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0B8A2">
      <w:pPr>
        <w:pStyle w:val="2"/>
        <w:keepNext/>
        <w:keepLines/>
        <w:pageBreakBefore w:val="0"/>
        <w:widowControl/>
        <w:kinsoku/>
        <w:wordWrap/>
        <w:overflowPunct/>
        <w:topLinePunct w:val="0"/>
        <w:autoSpaceDE/>
        <w:autoSpaceDN/>
        <w:bidi w:val="0"/>
        <w:adjustRightInd w:val="0"/>
        <w:snapToGrid w:val="0"/>
        <w:spacing w:beforeLines="0" w:after="0" w:afterLines="0" w:line="560" w:lineRule="exact"/>
        <w:textAlignment w:val="auto"/>
        <w:rPr>
          <w:rFonts w:hint="eastAsia"/>
          <w:color w:val="auto"/>
          <w:u w:val="none"/>
          <w:lang w:val="en-US" w:eastAsia="zh-CN"/>
        </w:rPr>
      </w:pPr>
      <w:r>
        <w:rPr>
          <w:rFonts w:hint="eastAsia"/>
          <w:color w:val="auto"/>
          <w:u w:val="none"/>
          <w:lang w:val="en-US" w:eastAsia="zh-CN"/>
        </w:rPr>
        <w:t>永州市物业小区装修履约保证金管理</w:t>
      </w:r>
    </w:p>
    <w:p w14:paraId="50812DFC">
      <w:pPr>
        <w:pStyle w:val="2"/>
        <w:keepNext/>
        <w:keepLines/>
        <w:pageBreakBefore w:val="0"/>
        <w:widowControl/>
        <w:kinsoku/>
        <w:wordWrap/>
        <w:overflowPunct/>
        <w:topLinePunct w:val="0"/>
        <w:autoSpaceDE/>
        <w:autoSpaceDN/>
        <w:bidi w:val="0"/>
        <w:adjustRightInd w:val="0"/>
        <w:snapToGrid w:val="0"/>
        <w:spacing w:beforeLines="0" w:after="0" w:afterLines="0" w:line="560" w:lineRule="exact"/>
        <w:textAlignment w:val="auto"/>
        <w:rPr>
          <w:rFonts w:hint="default"/>
          <w:color w:val="auto"/>
          <w:u w:val="none"/>
          <w:lang w:val="en-US" w:eastAsia="zh-CN"/>
        </w:rPr>
      </w:pPr>
      <w:r>
        <w:rPr>
          <w:rFonts w:hint="eastAsia"/>
          <w:color w:val="auto"/>
          <w:u w:val="none"/>
          <w:lang w:val="en-US" w:eastAsia="zh-CN"/>
        </w:rPr>
        <w:t>工作指引（试行）</w:t>
      </w:r>
    </w:p>
    <w:p w14:paraId="61208244">
      <w:pPr>
        <w:pageBreakBefore w:val="0"/>
        <w:kinsoku/>
        <w:wordWrap/>
        <w:overflowPunct/>
        <w:topLinePunct w:val="0"/>
        <w:autoSpaceDE/>
        <w:autoSpaceDN/>
        <w:bidi w:val="0"/>
        <w:adjustRightInd w:val="0"/>
        <w:snapToGrid w:val="0"/>
        <w:spacing w:after="0" w:line="560" w:lineRule="exact"/>
        <w:jc w:val="center"/>
        <w:textAlignment w:val="auto"/>
        <w:rPr>
          <w:rFonts w:hint="eastAsia" w:ascii="楷体" w:hAnsi="楷体" w:eastAsia="楷体" w:cs="楷体"/>
          <w:color w:val="auto"/>
          <w:sz w:val="32"/>
          <w:szCs w:val="32"/>
          <w:u w:val="none"/>
          <w:lang w:val="en-US" w:eastAsia="zh-CN"/>
        </w:rPr>
      </w:pPr>
      <w:r>
        <w:rPr>
          <w:rFonts w:hint="eastAsia" w:ascii="楷体" w:hAnsi="楷体" w:eastAsia="楷体" w:cs="楷体"/>
          <w:color w:val="auto"/>
          <w:sz w:val="32"/>
          <w:szCs w:val="32"/>
          <w:u w:val="none"/>
          <w:lang w:val="en-US" w:eastAsia="zh-CN"/>
        </w:rPr>
        <w:t>（征求意见稿）</w:t>
      </w:r>
    </w:p>
    <w:p w14:paraId="0125E151">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color w:val="auto"/>
          <w:sz w:val="32"/>
          <w:szCs w:val="32"/>
          <w:u w:val="none"/>
        </w:rPr>
      </w:pPr>
    </w:p>
    <w:p w14:paraId="13ABAD1E">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sz w:val="32"/>
          <w:szCs w:val="32"/>
          <w:u w:val="none"/>
          <w:lang w:val="en-US"/>
        </w:rPr>
      </w:pPr>
      <w:r>
        <w:rPr>
          <w:rFonts w:hint="eastAsia" w:ascii="仿宋_GB2312" w:hAnsi="仿宋_GB2312" w:eastAsia="仿宋_GB2312" w:cs="仿宋_GB2312"/>
          <w:color w:val="auto"/>
          <w:sz w:val="32"/>
          <w:szCs w:val="32"/>
          <w:u w:val="none"/>
        </w:rPr>
        <w:t>为深入推进“治理物业服务突出问题”重大民生实事工作，着力破解物业小区装修履约保证金（以下称装修押金）违规收取、管理不规范、退还不及时、监管不到位等群众反映强烈的突出问题，切实维护广大业主和物业使用人合法权益，依据相关法律法规和有关文件精神，结合我市实际，现就进一步规范我市物业小区装修押金管理</w:t>
      </w:r>
      <w:r>
        <w:rPr>
          <w:rFonts w:hint="eastAsia" w:ascii="仿宋_GB2312" w:hAnsi="仿宋_GB2312" w:eastAsia="仿宋_GB2312" w:cs="仿宋_GB2312"/>
          <w:color w:val="auto"/>
          <w:sz w:val="32"/>
          <w:szCs w:val="32"/>
          <w:u w:val="none"/>
          <w:lang w:val="en-US" w:eastAsia="zh-CN"/>
        </w:rPr>
        <w:t>，制定本工作指引。</w:t>
      </w:r>
    </w:p>
    <w:p w14:paraId="4BC391C9">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黑体" w:hAnsi="黑体" w:eastAsia="黑体" w:cs="黑体"/>
          <w:color w:val="auto"/>
          <w:sz w:val="32"/>
          <w:szCs w:val="32"/>
          <w:u w:val="none"/>
          <w:lang w:val="en-US" w:eastAsia="zh-CN"/>
        </w:rPr>
        <w:t>一</w:t>
      </w:r>
      <w:r>
        <w:rPr>
          <w:rFonts w:hint="eastAsia" w:ascii="黑体" w:hAnsi="黑体" w:eastAsia="黑体" w:cs="黑体"/>
          <w:color w:val="auto"/>
          <w:sz w:val="32"/>
          <w:szCs w:val="32"/>
          <w:u w:val="none"/>
        </w:rPr>
        <w:t>、</w:t>
      </w:r>
      <w:r>
        <w:rPr>
          <w:rFonts w:hint="eastAsia" w:ascii="黑体" w:hAnsi="黑体" w:eastAsia="黑体" w:cs="黑体"/>
          <w:color w:val="auto"/>
          <w:sz w:val="32"/>
          <w:szCs w:val="32"/>
          <w:u w:val="none"/>
          <w:lang w:val="en-US" w:eastAsia="zh-CN"/>
        </w:rPr>
        <w:t>规范资金管理</w:t>
      </w:r>
    </w:p>
    <w:p w14:paraId="7D57F9E8">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rPr>
        <w:t>‌‌（一）开设专户。</w:t>
      </w:r>
      <w:r>
        <w:rPr>
          <w:rFonts w:hint="eastAsia" w:ascii="仿宋_GB2312" w:hAnsi="仿宋_GB2312" w:eastAsia="仿宋_GB2312" w:cs="仿宋_GB2312"/>
          <w:color w:val="auto"/>
          <w:sz w:val="32"/>
          <w:szCs w:val="32"/>
          <w:u w:val="none"/>
        </w:rPr>
        <w:t>由物业服务企业作为开户主体，在商业银行开设专户，账户名称为：“XX公司XX小区装修履约保证金专用账户”。</w:t>
      </w:r>
    </w:p>
    <w:p w14:paraId="5BB3242B">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本工作指引印发前已经收取的全部历史存量装修押金，物业服务企业应当自本工作指引印发之日起30日内完成梳理造册，全额划转至本小区对应的装修履约保证金专用账户管理。</w:t>
      </w:r>
    </w:p>
    <w:p w14:paraId="287EAEE8">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rPr>
        <w:t>‌（二）账户使用‌。</w:t>
      </w:r>
      <w:r>
        <w:rPr>
          <w:rFonts w:hint="eastAsia" w:ascii="仿宋_GB2312" w:hAnsi="仿宋_GB2312" w:eastAsia="仿宋_GB2312" w:cs="仿宋_GB2312"/>
          <w:color w:val="auto"/>
          <w:sz w:val="32"/>
          <w:szCs w:val="32"/>
          <w:u w:val="none"/>
        </w:rPr>
        <w:t>账户资金仅用于接收、存储、退还装修押金，不可提现、不可挪作他用。以现金方式缴纳的装修押金，物业服务企业应在3个工作日内存入专户，退还时不计利息，同时物业服务企业开具正规收款收据。</w:t>
      </w:r>
    </w:p>
    <w:p w14:paraId="2A14D5AF">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仿宋_GB2312" w:hAnsi="仿宋_GB2312" w:eastAsia="仿宋_GB2312" w:cs="仿宋_GB2312"/>
          <w:color w:val="auto"/>
          <w:sz w:val="32"/>
          <w:szCs w:val="32"/>
          <w:u w:val="none"/>
        </w:rPr>
      </w:pPr>
      <w:r>
        <w:rPr>
          <w:rFonts w:hint="eastAsia" w:ascii="楷体" w:hAnsi="楷体" w:eastAsia="楷体" w:cs="楷体"/>
          <w:b/>
          <w:bCs/>
          <w:color w:val="auto"/>
          <w:sz w:val="32"/>
          <w:szCs w:val="32"/>
          <w:u w:val="none"/>
        </w:rPr>
        <w:t>（三）资金监督。</w:t>
      </w:r>
      <w:r>
        <w:rPr>
          <w:rFonts w:hint="eastAsia" w:ascii="仿宋_GB2312" w:hAnsi="仿宋_GB2312" w:eastAsia="仿宋_GB2312" w:cs="仿宋_GB2312"/>
          <w:color w:val="auto"/>
          <w:sz w:val="32"/>
          <w:szCs w:val="32"/>
          <w:u w:val="none"/>
        </w:rPr>
        <w:t>专户应开通企业网上银行，并授权给指定监督人查询权限，</w:t>
      </w:r>
      <w:r>
        <w:rPr>
          <w:rFonts w:hint="eastAsia" w:ascii="仿宋_GB2312" w:hAnsi="仿宋_GB2312" w:eastAsia="仿宋_GB2312" w:cs="仿宋_GB2312"/>
          <w:color w:val="auto"/>
          <w:sz w:val="32"/>
          <w:szCs w:val="32"/>
          <w:u w:val="none"/>
          <w:lang w:val="en-US" w:eastAsia="zh-CN"/>
        </w:rPr>
        <w:t>监督人产生方式：成立业主委员会的小区，由业主委员会推选监督人，报社区居委会备案；未成立业主委员会的小区，由社区居委会指定专人担任监督人。</w:t>
      </w:r>
    </w:p>
    <w:p w14:paraId="1211078F">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指定监督人（社区代表或小区业主代表）</w:t>
      </w:r>
      <w:r>
        <w:rPr>
          <w:rFonts w:hint="eastAsia" w:ascii="仿宋_GB2312" w:hAnsi="仿宋_GB2312" w:eastAsia="仿宋_GB2312" w:cs="仿宋_GB2312"/>
          <w:color w:val="auto"/>
          <w:sz w:val="32"/>
          <w:szCs w:val="32"/>
          <w:u w:val="none"/>
          <w:lang w:val="en-US" w:eastAsia="zh-CN"/>
        </w:rPr>
        <w:t>应每周</w:t>
      </w:r>
      <w:r>
        <w:rPr>
          <w:rFonts w:hint="eastAsia" w:ascii="仿宋_GB2312" w:hAnsi="仿宋_GB2312" w:eastAsia="仿宋_GB2312" w:cs="仿宋_GB2312"/>
          <w:color w:val="auto"/>
          <w:sz w:val="32"/>
          <w:szCs w:val="32"/>
          <w:u w:val="none"/>
          <w:lang w:eastAsia="zh-CN"/>
        </w:rPr>
        <w:t>登录</w:t>
      </w:r>
      <w:r>
        <w:rPr>
          <w:rFonts w:hint="eastAsia" w:ascii="仿宋_GB2312" w:hAnsi="仿宋_GB2312" w:eastAsia="仿宋_GB2312" w:cs="仿宋_GB2312"/>
          <w:color w:val="auto"/>
          <w:sz w:val="32"/>
          <w:szCs w:val="32"/>
          <w:u w:val="none"/>
        </w:rPr>
        <w:t>企业网上银行或企业手机银行查询专户资金使用情况，行使监督责任。</w:t>
      </w:r>
    </w:p>
    <w:p w14:paraId="68A6E8A9">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 w:hAnsi="楷体" w:eastAsia="楷体" w:cs="楷体"/>
          <w:b/>
          <w:bCs/>
          <w:color w:val="auto"/>
          <w:sz w:val="32"/>
          <w:szCs w:val="32"/>
          <w:u w:val="none"/>
          <w:lang w:eastAsia="zh-CN"/>
        </w:rPr>
        <w:t>（</w:t>
      </w:r>
      <w:r>
        <w:rPr>
          <w:rFonts w:hint="eastAsia" w:ascii="楷体" w:hAnsi="楷体" w:eastAsia="楷体" w:cs="楷体"/>
          <w:b/>
          <w:bCs/>
          <w:color w:val="auto"/>
          <w:sz w:val="32"/>
          <w:szCs w:val="32"/>
          <w:u w:val="none"/>
          <w:lang w:val="en-US" w:eastAsia="zh-CN"/>
        </w:rPr>
        <w:t>四）押金收取。</w:t>
      </w:r>
      <w:r>
        <w:rPr>
          <w:rFonts w:hint="eastAsia" w:ascii="仿宋_GB2312" w:hAnsi="仿宋_GB2312" w:eastAsia="仿宋_GB2312" w:cs="仿宋_GB2312"/>
          <w:color w:val="auto"/>
          <w:sz w:val="32"/>
          <w:szCs w:val="32"/>
          <w:u w:val="none"/>
          <w:lang w:val="en-US" w:eastAsia="zh-CN"/>
        </w:rPr>
        <w:t>根据永州市发改委、永州市住建局两部门《关于规范我市物业服务收费管理的通知》（永发改价费〔2022〕11号）规定，电梯房每套装修押金最高不超过2000元；多层无电梯房每套装修押金最高不超过1000元；商铺按照建筑面积每平方米不超过30元，单户总额最高不超过5000元。</w:t>
      </w:r>
    </w:p>
    <w:p w14:paraId="3AD5688A">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黑体" w:hAnsi="黑体" w:eastAsia="黑体" w:cs="黑体"/>
          <w:color w:val="auto"/>
          <w:sz w:val="32"/>
          <w:szCs w:val="32"/>
          <w:u w:val="none"/>
          <w:lang w:val="en-US" w:eastAsia="zh-CN"/>
        </w:rPr>
        <w:t>二</w:t>
      </w:r>
      <w:r>
        <w:rPr>
          <w:rFonts w:hint="eastAsia" w:ascii="黑体" w:hAnsi="黑体" w:eastAsia="黑体" w:cs="黑体"/>
          <w:color w:val="auto"/>
          <w:sz w:val="32"/>
          <w:szCs w:val="32"/>
          <w:u w:val="none"/>
        </w:rPr>
        <w:t>、押金使用与扣款规则</w:t>
      </w:r>
    </w:p>
    <w:p w14:paraId="6EABE7A6">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仿宋_GB2312" w:hAnsi="仿宋_GB2312" w:eastAsia="仿宋_GB2312" w:cs="仿宋_GB2312"/>
          <w:b/>
          <w:color w:val="auto"/>
          <w:sz w:val="32"/>
          <w:szCs w:val="32"/>
          <w:u w:val="none"/>
        </w:rPr>
      </w:pPr>
      <w:r>
        <w:rPr>
          <w:rFonts w:hint="eastAsia" w:ascii="楷体" w:hAnsi="楷体" w:eastAsia="楷体" w:cs="楷体"/>
          <w:b/>
          <w:bCs/>
          <w:color w:val="auto"/>
          <w:sz w:val="32"/>
          <w:szCs w:val="32"/>
          <w:u w:val="none"/>
        </w:rPr>
        <w:t>（一）可以合理扣款的情形</w:t>
      </w:r>
    </w:p>
    <w:p w14:paraId="2677C95B">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装修业主</w:t>
      </w:r>
      <w:r>
        <w:rPr>
          <w:rFonts w:hint="eastAsia" w:ascii="仿宋_GB2312" w:hAnsi="仿宋_GB2312" w:eastAsia="仿宋_GB2312" w:cs="仿宋_GB2312"/>
          <w:color w:val="auto"/>
          <w:sz w:val="32"/>
          <w:szCs w:val="32"/>
          <w:u w:val="none"/>
        </w:rPr>
        <w:t>出现以下损坏且</w:t>
      </w:r>
      <w:r>
        <w:rPr>
          <w:rFonts w:hint="eastAsia" w:ascii="仿宋_GB2312" w:hAnsi="仿宋_GB2312" w:eastAsia="仿宋_GB2312" w:cs="仿宋_GB2312"/>
          <w:color w:val="auto"/>
          <w:sz w:val="32"/>
          <w:szCs w:val="32"/>
          <w:u w:val="none"/>
          <w:lang w:val="en-US" w:eastAsia="zh-CN"/>
        </w:rPr>
        <w:t>超过7日期限</w:t>
      </w:r>
      <w:r>
        <w:rPr>
          <w:rFonts w:hint="eastAsia" w:ascii="仿宋_GB2312" w:hAnsi="仿宋_GB2312" w:eastAsia="仿宋_GB2312" w:cs="仿宋_GB2312"/>
          <w:color w:val="auto"/>
          <w:sz w:val="32"/>
          <w:szCs w:val="32"/>
          <w:u w:val="none"/>
        </w:rPr>
        <w:t>拒不整改修复，物业服务企业可凭现场照片、维修报价单、维修票据扣除对应维修费，剩余押金退还：</w:t>
      </w:r>
    </w:p>
    <w:p w14:paraId="31D7E388">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w:t>
      </w:r>
      <w:r>
        <w:rPr>
          <w:rFonts w:hint="eastAsia" w:ascii="仿宋_GB2312" w:hAnsi="仿宋_GB2312" w:eastAsia="仿宋_GB2312" w:cs="仿宋_GB2312"/>
          <w:color w:val="auto"/>
          <w:sz w:val="32"/>
          <w:szCs w:val="32"/>
          <w:u w:val="none"/>
          <w:lang w:val="en-US" w:eastAsia="zh-CN"/>
        </w:rPr>
        <w:t>杜绝损毁房屋主体结构，</w:t>
      </w:r>
      <w:r>
        <w:rPr>
          <w:rFonts w:hint="eastAsia" w:ascii="仿宋_GB2312" w:hAnsi="仿宋_GB2312" w:eastAsia="仿宋_GB2312" w:cs="仿宋_GB2312"/>
          <w:color w:val="auto"/>
          <w:sz w:val="32"/>
          <w:szCs w:val="32"/>
          <w:u w:val="none"/>
        </w:rPr>
        <w:t>擅自拆改承重墙、剪力墙、梁柱、配重墙、外墙、房屋原有节能设施；</w:t>
      </w:r>
    </w:p>
    <w:p w14:paraId="540BE8D7">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2.打穿楼板、破坏防水层造成渗漏；</w:t>
      </w:r>
    </w:p>
    <w:p w14:paraId="32DEF6E7">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3.划伤、撞击损坏电梯轿厢、楼道地砖墙砖、消防门、公共管线；</w:t>
      </w:r>
    </w:p>
    <w:p w14:paraId="65C0B5BB">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4.装修垃圾长期堆放在消防通道、楼道，</w:t>
      </w:r>
      <w:r>
        <w:rPr>
          <w:rFonts w:hint="eastAsia" w:ascii="仿宋_GB2312" w:hAnsi="仿宋_GB2312" w:eastAsia="仿宋_GB2312" w:cs="仿宋_GB2312"/>
          <w:color w:val="auto"/>
          <w:sz w:val="32"/>
          <w:szCs w:val="32"/>
          <w:u w:val="none"/>
          <w:lang w:val="en-US" w:eastAsia="zh-CN"/>
        </w:rPr>
        <w:t>超过7日</w:t>
      </w:r>
      <w:r>
        <w:rPr>
          <w:rFonts w:hint="eastAsia" w:ascii="仿宋_GB2312" w:hAnsi="仿宋_GB2312" w:eastAsia="仿宋_GB2312" w:cs="仿宋_GB2312"/>
          <w:color w:val="auto"/>
          <w:sz w:val="32"/>
          <w:szCs w:val="32"/>
          <w:u w:val="none"/>
        </w:rPr>
        <w:t>拒不清理</w:t>
      </w:r>
      <w:r>
        <w:rPr>
          <w:rFonts w:hint="default"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rPr>
        <w:t>污染公共区域拒不清理；</w:t>
      </w:r>
    </w:p>
    <w:p w14:paraId="1581BFE2">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b/>
          <w:color w:val="auto"/>
          <w:sz w:val="32"/>
          <w:szCs w:val="32"/>
          <w:u w:val="none"/>
        </w:rPr>
      </w:pPr>
      <w:r>
        <w:rPr>
          <w:rFonts w:hint="eastAsia" w:ascii="仿宋_GB2312" w:hAnsi="仿宋_GB2312" w:eastAsia="仿宋_GB2312" w:cs="仿宋_GB2312"/>
          <w:color w:val="auto"/>
          <w:sz w:val="32"/>
          <w:szCs w:val="32"/>
          <w:u w:val="none"/>
        </w:rPr>
        <w:t>5.违规打孔破坏外立面、排水管、燃气管道。</w:t>
      </w:r>
    </w:p>
    <w:p w14:paraId="218D3CF7">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楷体" w:hAnsi="楷体" w:eastAsia="楷体" w:cs="楷体"/>
          <w:b/>
          <w:bCs/>
          <w:color w:val="auto"/>
          <w:sz w:val="32"/>
          <w:szCs w:val="32"/>
          <w:u w:val="none"/>
        </w:rPr>
      </w:pPr>
      <w:r>
        <w:rPr>
          <w:rFonts w:hint="eastAsia" w:ascii="楷体" w:hAnsi="楷体" w:eastAsia="楷体" w:cs="楷体"/>
          <w:b/>
          <w:bCs/>
          <w:color w:val="auto"/>
          <w:sz w:val="32"/>
          <w:szCs w:val="32"/>
          <w:u w:val="none"/>
        </w:rPr>
        <w:t>（二）不应扣款的情形</w:t>
      </w:r>
    </w:p>
    <w:p w14:paraId="50316844">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1.正常室内软装改造、墙面刷漆、室内水电微调；</w:t>
      </w:r>
    </w:p>
    <w:p w14:paraId="04729E6E">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2.轻微灰尘、临时堆放材料及时清理；</w:t>
      </w:r>
    </w:p>
    <w:p w14:paraId="2E4BAEF3">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3.以“装修管理费”“监管费”直接扣押金；</w:t>
      </w:r>
    </w:p>
    <w:p w14:paraId="6AF05C8B">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4.无照片、无维修明细，口头随意扣钱。</w:t>
      </w:r>
    </w:p>
    <w:p w14:paraId="44EEEC5F">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严禁物业服务企业以任何形式截留、挪用业主装修押金，包括但不限于以抵扣物业费、水电费等方式变相扣划。装修人对物业服务企业押金扣款决定存在异议的，可向属地街道办事处（乡镇人民政府）申请复核，街道（乡镇）应当组织社区、物业企业、业主代表开展核查并出具复核意见。</w:t>
      </w:r>
    </w:p>
    <w:p w14:paraId="60977CF3">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楷体" w:hAnsi="楷体" w:eastAsia="楷体" w:cs="楷体"/>
          <w:b/>
          <w:bCs/>
          <w:color w:val="auto"/>
          <w:sz w:val="32"/>
          <w:szCs w:val="32"/>
          <w:u w:val="none"/>
        </w:rPr>
      </w:pPr>
      <w:r>
        <w:rPr>
          <w:rFonts w:hint="eastAsia" w:ascii="楷体" w:hAnsi="楷体" w:eastAsia="楷体" w:cs="楷体"/>
          <w:b/>
          <w:bCs/>
          <w:color w:val="auto"/>
          <w:sz w:val="32"/>
          <w:szCs w:val="32"/>
          <w:u w:val="none"/>
        </w:rPr>
        <w:t>（三）违规装修的整改流程</w:t>
      </w:r>
    </w:p>
    <w:p w14:paraId="073533B9">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1.物业服务企业发现违规装修的，先下发整改</w:t>
      </w:r>
      <w:r>
        <w:rPr>
          <w:rFonts w:hint="eastAsia" w:ascii="仿宋_GB2312" w:hAnsi="仿宋_GB2312" w:eastAsia="仿宋_GB2312" w:cs="仿宋_GB2312"/>
          <w:color w:val="auto"/>
          <w:sz w:val="32"/>
          <w:szCs w:val="32"/>
          <w:u w:val="none"/>
          <w:lang w:eastAsia="zh-CN"/>
        </w:rPr>
        <w:t>工作指引</w:t>
      </w:r>
      <w:r>
        <w:rPr>
          <w:rFonts w:hint="eastAsia" w:ascii="仿宋_GB2312" w:hAnsi="仿宋_GB2312" w:eastAsia="仿宋_GB2312" w:cs="仿宋_GB2312"/>
          <w:color w:val="auto"/>
          <w:sz w:val="32"/>
          <w:szCs w:val="32"/>
          <w:u w:val="none"/>
        </w:rPr>
        <w:t>书，</w:t>
      </w:r>
      <w:r>
        <w:rPr>
          <w:rFonts w:hint="eastAsia" w:ascii="仿宋_GB2312" w:hAnsi="仿宋_GB2312" w:eastAsia="仿宋_GB2312" w:cs="仿宋_GB2312"/>
          <w:color w:val="auto"/>
          <w:sz w:val="32"/>
          <w:szCs w:val="32"/>
          <w:u w:val="none"/>
          <w:lang w:val="en-US" w:eastAsia="zh-CN"/>
        </w:rPr>
        <w:t>整改期限原则上不超过7日</w:t>
      </w:r>
      <w:r>
        <w:rPr>
          <w:rFonts w:hint="default"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限期整改；拒不整改的，物业服务企业上报社区、街道（乡镇）和物业管理（房地产）行政主管部门；</w:t>
      </w:r>
    </w:p>
    <w:p w14:paraId="0511E2E0">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2.物业管理（房地产）行政主管部门或街道（乡镇）根据相关法规责令改正，并处罚款。</w:t>
      </w:r>
    </w:p>
    <w:p w14:paraId="1A9316BD">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lang w:val="en-US" w:eastAsia="zh-CN"/>
        </w:rPr>
        <w:t>三</w:t>
      </w:r>
      <w:r>
        <w:rPr>
          <w:rFonts w:hint="eastAsia" w:ascii="黑体" w:hAnsi="黑体" w:eastAsia="黑体" w:cs="黑体"/>
          <w:color w:val="auto"/>
          <w:sz w:val="32"/>
          <w:szCs w:val="32"/>
          <w:u w:val="none"/>
        </w:rPr>
        <w:t>、验收与退还流程</w:t>
      </w:r>
    </w:p>
    <w:p w14:paraId="3FB84DA9">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楷体" w:hAnsi="楷体" w:eastAsia="楷体" w:cs="楷体"/>
          <w:b/>
          <w:bCs/>
          <w:color w:val="auto"/>
          <w:sz w:val="32"/>
          <w:szCs w:val="32"/>
          <w:u w:val="none"/>
        </w:rPr>
      </w:pPr>
      <w:r>
        <w:rPr>
          <w:rFonts w:hint="eastAsia" w:ascii="楷体" w:hAnsi="楷体" w:eastAsia="楷体" w:cs="楷体"/>
          <w:b/>
          <w:bCs/>
          <w:color w:val="auto"/>
          <w:sz w:val="32"/>
          <w:szCs w:val="32"/>
          <w:u w:val="none"/>
        </w:rPr>
        <w:t>（一）完工申报</w:t>
      </w:r>
    </w:p>
    <w:p w14:paraId="56B44E0C">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装修完工，且建筑垃圾清理完成后，装修人向物业服务企业（小区项目部客服中心）提交《装修押金退还申请表》</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附件3）</w:t>
      </w:r>
      <w:r>
        <w:rPr>
          <w:rFonts w:hint="eastAsia" w:ascii="仿宋_GB2312" w:hAnsi="仿宋_GB2312" w:eastAsia="仿宋_GB2312" w:cs="仿宋_GB2312"/>
          <w:color w:val="auto"/>
          <w:sz w:val="32"/>
          <w:szCs w:val="32"/>
          <w:u w:val="none"/>
        </w:rPr>
        <w:t>。</w:t>
      </w:r>
    </w:p>
    <w:p w14:paraId="3AD87F68">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楷体" w:hAnsi="楷体" w:eastAsia="楷体" w:cs="楷体"/>
          <w:b/>
          <w:bCs/>
          <w:color w:val="auto"/>
          <w:sz w:val="32"/>
          <w:szCs w:val="32"/>
          <w:u w:val="none"/>
        </w:rPr>
      </w:pPr>
      <w:r>
        <w:rPr>
          <w:rFonts w:hint="eastAsia" w:ascii="楷体" w:hAnsi="楷体" w:eastAsia="楷体" w:cs="楷体"/>
          <w:b/>
          <w:bCs/>
          <w:color w:val="auto"/>
          <w:sz w:val="32"/>
          <w:szCs w:val="32"/>
          <w:u w:val="none"/>
        </w:rPr>
        <w:t>（二）现场验收</w:t>
      </w:r>
    </w:p>
    <w:p w14:paraId="1B47D8D9">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1.初验：水电封槽、墙体改造完工后查验；</w:t>
      </w:r>
    </w:p>
    <w:p w14:paraId="550D00D8">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2.终验：装修工程全部完工后进行整体验收，查看物业共用部位、共用设施设备有无损坏。</w:t>
      </w:r>
    </w:p>
    <w:p w14:paraId="56087187">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物业服务企业应在收到申请后3个工作日内完成现场验收。验收合格的，出具验收合格证明。</w:t>
      </w:r>
    </w:p>
    <w:p w14:paraId="72E6B2E0">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验收不合格的，物业服务企业应当一次性书面告知装修人全部整改事项；装修人完成整改后可申请复检，物业服务企业应当在收到复检申请3个工作日内组织复检。</w:t>
      </w:r>
    </w:p>
    <w:p w14:paraId="20D031BB">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楷体" w:hAnsi="楷体" w:eastAsia="楷体" w:cs="楷体"/>
          <w:b/>
          <w:bCs/>
          <w:color w:val="auto"/>
          <w:sz w:val="32"/>
          <w:szCs w:val="32"/>
          <w:u w:val="none"/>
        </w:rPr>
      </w:pPr>
      <w:r>
        <w:rPr>
          <w:rFonts w:hint="eastAsia" w:ascii="楷体" w:hAnsi="楷体" w:eastAsia="楷体" w:cs="楷体"/>
          <w:b/>
          <w:bCs/>
          <w:color w:val="auto"/>
          <w:sz w:val="32"/>
          <w:szCs w:val="32"/>
          <w:u w:val="none"/>
        </w:rPr>
        <w:t>（三）押金退还</w:t>
      </w:r>
    </w:p>
    <w:p w14:paraId="32C374BF">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1.验收合格的，物业服务企业应当在5日内原路无息退还押金（转账退回原支付账户）。退还押金时，未经对方同意，不得强制使用现金退还押金或将押金抵扣物业费；</w:t>
      </w:r>
    </w:p>
    <w:p w14:paraId="2CE19B61">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对于以现金缴纳押金的老年人等特殊群体，装修人可凭本人有效身份证件现场领取现金退款，物业服务企业必须留存签字领取凭证归档备查。</w:t>
      </w:r>
    </w:p>
    <w:p w14:paraId="5B8C7E6B">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2.特殊情况：装修人变更时，可由新旧装修人协商装修押金转让事宜，物业服务企业应当予以配合。</w:t>
      </w:r>
    </w:p>
    <w:p w14:paraId="7E0E36D5">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黑体" w:hAnsi="黑体" w:eastAsia="黑体" w:cs="黑体"/>
          <w:color w:val="auto"/>
          <w:sz w:val="32"/>
          <w:szCs w:val="32"/>
          <w:u w:val="none"/>
          <w:lang w:val="en-US" w:eastAsia="zh-CN"/>
        </w:rPr>
        <w:t>四</w:t>
      </w:r>
      <w:r>
        <w:rPr>
          <w:rFonts w:hint="eastAsia" w:ascii="黑体" w:hAnsi="黑体" w:eastAsia="黑体" w:cs="黑体"/>
          <w:color w:val="auto"/>
          <w:sz w:val="32"/>
          <w:szCs w:val="32"/>
          <w:u w:val="none"/>
        </w:rPr>
        <w:t>、监督管理与违规处理</w:t>
      </w:r>
    </w:p>
    <w:p w14:paraId="39F361A9">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楷体" w:hAnsi="楷体" w:eastAsia="楷体" w:cs="楷体"/>
          <w:b/>
          <w:bCs/>
          <w:color w:val="auto"/>
          <w:sz w:val="32"/>
          <w:szCs w:val="32"/>
          <w:u w:val="none"/>
        </w:rPr>
      </w:pPr>
      <w:r>
        <w:rPr>
          <w:rFonts w:hint="eastAsia" w:ascii="楷体" w:hAnsi="楷体" w:eastAsia="楷体" w:cs="楷体"/>
          <w:b/>
          <w:bCs/>
          <w:color w:val="auto"/>
          <w:sz w:val="32"/>
          <w:szCs w:val="32"/>
          <w:u w:val="none"/>
        </w:rPr>
        <w:t>（一）信息公开</w:t>
      </w:r>
    </w:p>
    <w:p w14:paraId="1BFFA614">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物业服务企业自收取装修押金后，应在次月5日前，通过小区公示栏、业主微信群等渠道，向全体业主公示上月专户资金收支情况，公示期不少于7个工作日。</w:t>
      </w:r>
    </w:p>
    <w:p w14:paraId="030CA67C">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公示内容应当包含：当月押金收取明细、退还明细、扣款明细、专户期末余额。</w:t>
      </w:r>
    </w:p>
    <w:p w14:paraId="50F60F06">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楷体" w:hAnsi="楷体" w:eastAsia="楷体" w:cs="楷体"/>
          <w:b/>
          <w:bCs/>
          <w:color w:val="auto"/>
          <w:sz w:val="32"/>
          <w:szCs w:val="32"/>
          <w:u w:val="none"/>
        </w:rPr>
      </w:pPr>
      <w:r>
        <w:rPr>
          <w:rFonts w:hint="eastAsia" w:ascii="楷体" w:hAnsi="楷体" w:eastAsia="楷体" w:cs="楷体"/>
          <w:b/>
          <w:bCs/>
          <w:color w:val="auto"/>
          <w:sz w:val="32"/>
          <w:szCs w:val="32"/>
          <w:u w:val="none"/>
        </w:rPr>
        <w:t>（二）动态监管</w:t>
      </w:r>
    </w:p>
    <w:p w14:paraId="38FAE04A">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社区居委会、业主委员会应采取定期和不定期相结合的方式，对专户收支情况进行抽查监督，对发现的违规问题，督促物业服务企业限期整改，并跟踪督促落实。</w:t>
      </w:r>
    </w:p>
    <w:p w14:paraId="29ABFA67">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楷体" w:hAnsi="楷体" w:eastAsia="楷体" w:cs="楷体"/>
          <w:b/>
          <w:bCs/>
          <w:color w:val="auto"/>
          <w:sz w:val="32"/>
          <w:szCs w:val="32"/>
          <w:u w:val="none"/>
        </w:rPr>
      </w:pPr>
      <w:r>
        <w:rPr>
          <w:rFonts w:hint="eastAsia" w:ascii="楷体" w:hAnsi="楷体" w:eastAsia="楷体" w:cs="楷体"/>
          <w:b/>
          <w:bCs/>
          <w:color w:val="auto"/>
          <w:sz w:val="32"/>
          <w:szCs w:val="32"/>
          <w:u w:val="none"/>
        </w:rPr>
        <w:t>（三）违规处理</w:t>
      </w:r>
    </w:p>
    <w:p w14:paraId="000A167D">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1.对存在非法挪用、</w:t>
      </w:r>
      <w:r>
        <w:rPr>
          <w:rFonts w:hint="eastAsia" w:ascii="仿宋_GB2312" w:hAnsi="仿宋_GB2312" w:eastAsia="仿宋_GB2312" w:cs="仿宋_GB2312"/>
          <w:color w:val="auto"/>
          <w:sz w:val="32"/>
          <w:szCs w:val="32"/>
          <w:u w:val="none"/>
          <w:lang w:val="en-US" w:eastAsia="zh-CN"/>
        </w:rPr>
        <w:t>故意拖延验收、</w:t>
      </w:r>
      <w:r>
        <w:rPr>
          <w:rFonts w:hint="eastAsia" w:ascii="仿宋_GB2312" w:hAnsi="仿宋_GB2312" w:eastAsia="仿宋_GB2312" w:cs="仿宋_GB2312"/>
          <w:color w:val="auto"/>
          <w:sz w:val="32"/>
          <w:szCs w:val="32"/>
          <w:u w:val="none"/>
        </w:rPr>
        <w:t>拒不退还装修押金等违规行为的物业服务企业，由县市区</w:t>
      </w:r>
      <w:bookmarkStart w:id="0" w:name="OLE_LINK1"/>
      <w:r>
        <w:rPr>
          <w:rFonts w:hint="eastAsia" w:ascii="仿宋_GB2312" w:hAnsi="仿宋_GB2312" w:eastAsia="仿宋_GB2312" w:cs="仿宋_GB2312"/>
          <w:color w:val="auto"/>
          <w:sz w:val="32"/>
          <w:szCs w:val="32"/>
          <w:u w:val="none"/>
        </w:rPr>
        <w:t>物业管理（房地产）行政主管部门</w:t>
      </w:r>
      <w:bookmarkEnd w:id="0"/>
      <w:r>
        <w:rPr>
          <w:rFonts w:hint="eastAsia" w:ascii="仿宋_GB2312" w:hAnsi="仿宋_GB2312" w:eastAsia="仿宋_GB2312" w:cs="仿宋_GB2312"/>
          <w:color w:val="auto"/>
          <w:sz w:val="32"/>
          <w:szCs w:val="32"/>
          <w:u w:val="none"/>
        </w:rPr>
        <w:t>、相关部门、街道（乡镇）联合依法查处，将其失信行为记入企业信用档案。</w:t>
      </w:r>
    </w:p>
    <w:p w14:paraId="3C7A2768">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2.对涉嫌犯罪的，依法移送司法机关追究刑事责任。</w:t>
      </w:r>
    </w:p>
    <w:p w14:paraId="2D923CF1">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lang w:val="en-US" w:eastAsia="zh-CN"/>
        </w:rPr>
        <w:t>五</w:t>
      </w:r>
      <w:r>
        <w:rPr>
          <w:rFonts w:hint="eastAsia" w:ascii="黑体" w:hAnsi="黑体" w:eastAsia="黑体" w:cs="黑体"/>
          <w:color w:val="auto"/>
          <w:sz w:val="32"/>
          <w:szCs w:val="32"/>
          <w:u w:val="none"/>
        </w:rPr>
        <w:t>、其他</w:t>
      </w:r>
    </w:p>
    <w:p w14:paraId="4C663DB3">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（一）本工作指引适用于本市行政区域内所有物业小区住宅、商铺的装修押金收取、存储、使用和退还全流程管理活动。</w:t>
      </w:r>
      <w:r>
        <w:rPr>
          <w:rFonts w:hint="eastAsia" w:ascii="仿宋_GB2312" w:hAnsi="仿宋_GB2312" w:eastAsia="仿宋_GB2312" w:cs="仿宋_GB2312"/>
          <w:color w:val="auto"/>
          <w:sz w:val="32"/>
          <w:szCs w:val="32"/>
          <w:u w:val="none"/>
        </w:rPr>
        <w:t>如与国家法律法规、上级文件相冲突的，以国家法律法规、上级文件为准。</w:t>
      </w:r>
    </w:p>
    <w:p w14:paraId="623E8621">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二）本工作指引自发布之日起施行，有效期两年。</w:t>
      </w:r>
    </w:p>
    <w:p w14:paraId="542E3BED">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p>
    <w:p w14:paraId="027A6BE2">
      <w:pPr>
        <w:keepNext w:val="0"/>
        <w:keepLines w:val="0"/>
        <w:pageBreakBefore w:val="0"/>
        <w:kinsoku/>
        <w:wordWrap w:val="0"/>
        <w:overflowPunct/>
        <w:topLinePunct w:val="0"/>
        <w:autoSpaceDE/>
        <w:autoSpaceDN/>
        <w:bidi w:val="0"/>
        <w:adjustRightInd w:val="0"/>
        <w:snapToGrid w:val="0"/>
        <w:spacing w:after="0" w:line="560" w:lineRule="exact"/>
        <w:ind w:firstLine="640" w:firstLineChars="200"/>
        <w:jc w:val="right"/>
        <w:textAlignment w:val="auto"/>
        <w:rPr>
          <w:rFonts w:hint="default" w:ascii="Times New Roman" w:hAnsi="Times New Roman" w:eastAsia="仿宋_GB2312"/>
          <w:color w:val="auto"/>
          <w:kern w:val="2"/>
          <w:sz w:val="32"/>
          <w:szCs w:val="24"/>
          <w:u w:val="none"/>
          <w:lang w:val="en-US" w:eastAsia="zh-CN"/>
        </w:rPr>
      </w:pPr>
      <w:r>
        <w:rPr>
          <w:rFonts w:hint="eastAsia" w:ascii="Times New Roman" w:hAnsi="Times New Roman" w:eastAsia="仿宋_GB2312"/>
          <w:color w:val="auto"/>
          <w:kern w:val="2"/>
          <w:sz w:val="32"/>
          <w:szCs w:val="24"/>
          <w:u w:val="none"/>
        </w:rPr>
        <w:t>永州市住房和城乡建设局</w:t>
      </w:r>
      <w:r>
        <w:rPr>
          <w:rFonts w:hint="eastAsia" w:ascii="Times New Roman" w:hAnsi="Times New Roman" w:eastAsia="仿宋_GB2312"/>
          <w:color w:val="auto"/>
          <w:kern w:val="2"/>
          <w:sz w:val="32"/>
          <w:szCs w:val="24"/>
          <w:u w:val="none"/>
          <w:lang w:val="en-US" w:eastAsia="zh-CN"/>
        </w:rPr>
        <w:t xml:space="preserve">    </w:t>
      </w:r>
    </w:p>
    <w:p w14:paraId="44A676A5">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center"/>
        <w:textAlignment w:val="auto"/>
        <w:rPr>
          <w:rFonts w:hint="default" w:ascii="仿宋_GB2312" w:hAnsi="仿宋_GB2312" w:eastAsia="仿宋_GB2312" w:cs="仿宋_GB2312"/>
          <w:color w:val="auto"/>
          <w:sz w:val="32"/>
          <w:szCs w:val="32"/>
          <w:u w:val="none"/>
          <w:lang w:val="en-US" w:eastAsia="zh-CN"/>
        </w:rPr>
      </w:pPr>
      <w:r>
        <w:rPr>
          <w:rFonts w:hint="eastAsia" w:ascii="Times New Roman" w:hAnsi="Times New Roman" w:eastAsia="仿宋_GB2312"/>
          <w:color w:val="auto"/>
          <w:kern w:val="2"/>
          <w:sz w:val="32"/>
          <w:szCs w:val="24"/>
          <w:u w:val="none"/>
          <w:lang w:val="en-US" w:eastAsia="zh-CN"/>
        </w:rPr>
        <w:t xml:space="preserve">                         2026年9月15日     </w:t>
      </w:r>
    </w:p>
    <w:p w14:paraId="08B5E334">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p>
    <w:p w14:paraId="5BA840A5">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附：1.违规装修处罚的相关法律法规</w:t>
      </w:r>
      <w:r>
        <w:rPr>
          <w:rFonts w:hint="eastAsia" w:ascii="仿宋_GB2312" w:hAnsi="仿宋_GB2312" w:eastAsia="仿宋_GB2312" w:cs="仿宋_GB2312"/>
          <w:color w:val="auto"/>
          <w:sz w:val="32"/>
          <w:szCs w:val="32"/>
          <w:u w:val="none"/>
          <w:lang w:eastAsia="zh-CN"/>
        </w:rPr>
        <w:t>；</w:t>
      </w:r>
    </w:p>
    <w:p w14:paraId="0BBF48BD">
      <w:pPr>
        <w:keepNext w:val="0"/>
        <w:keepLines w:val="0"/>
        <w:pageBreakBefore w:val="0"/>
        <w:kinsoku/>
        <w:wordWrap/>
        <w:overflowPunct/>
        <w:topLinePunct w:val="0"/>
        <w:autoSpaceDE/>
        <w:autoSpaceDN/>
        <w:bidi w:val="0"/>
        <w:adjustRightInd w:val="0"/>
        <w:snapToGrid w:val="0"/>
        <w:spacing w:after="0" w:line="560" w:lineRule="exact"/>
        <w:ind w:left="1278" w:leftChars="290" w:hanging="640" w:hanging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 xml:space="preserve">    2.商业银行企业网上银行的开通与监督管理操作流程</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指引。</w:t>
      </w:r>
    </w:p>
    <w:p w14:paraId="25002AFE">
      <w:pPr>
        <w:keepNext w:val="0"/>
        <w:keepLines w:val="0"/>
        <w:pageBreakBefore w:val="0"/>
        <w:kinsoku/>
        <w:wordWrap/>
        <w:overflowPunct/>
        <w:topLinePunct w:val="0"/>
        <w:autoSpaceDE/>
        <w:autoSpaceDN/>
        <w:bidi w:val="0"/>
        <w:adjustRightInd w:val="0"/>
        <w:snapToGrid w:val="0"/>
        <w:spacing w:after="0" w:line="560" w:lineRule="exact"/>
        <w:ind w:left="1276" w:leftChars="580" w:firstLine="0" w:firstLineChars="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3.装修押金退还申请表</w:t>
      </w:r>
    </w:p>
    <w:p w14:paraId="722E0387">
      <w:pPr>
        <w:pageBreakBefore w:val="0"/>
        <w:kinsoku/>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br w:type="page"/>
      </w:r>
    </w:p>
    <w:p w14:paraId="65126B6B">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附件1</w:t>
      </w:r>
    </w:p>
    <w:p w14:paraId="5DB8CE8E">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rPr>
          <w:rFonts w:hint="default" w:ascii="仿宋_GB2312" w:hAnsi="仿宋_GB2312" w:eastAsia="仿宋_GB2312" w:cs="仿宋_GB2312"/>
          <w:color w:val="auto"/>
          <w:sz w:val="32"/>
          <w:szCs w:val="32"/>
          <w:u w:val="none"/>
          <w:lang w:val="en-US" w:eastAsia="zh-CN"/>
        </w:rPr>
      </w:pPr>
    </w:p>
    <w:p w14:paraId="2269121F">
      <w:pPr>
        <w:pStyle w:val="2"/>
        <w:pageBreakBefore w:val="0"/>
        <w:widowControl/>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bCs/>
          <w:color w:val="auto"/>
          <w:szCs w:val="32"/>
          <w:u w:val="none"/>
        </w:rPr>
      </w:pPr>
      <w:r>
        <w:rPr>
          <w:rFonts w:hint="eastAsia"/>
          <w:u w:val="none"/>
        </w:rPr>
        <w:t>违规装修处罚的相关法律法规</w:t>
      </w:r>
    </w:p>
    <w:p w14:paraId="6265724C">
      <w:pPr>
        <w:keepNext w:val="0"/>
        <w:keepLines w:val="0"/>
        <w:pageBreakBefore w:val="0"/>
        <w:widowControl/>
        <w:kinsoku/>
        <w:wordWrap/>
        <w:overflowPunct/>
        <w:topLinePunct w:val="0"/>
        <w:autoSpaceDE/>
        <w:autoSpaceDN/>
        <w:bidi w:val="0"/>
        <w:adjustRightInd w:val="0"/>
        <w:snapToGrid w:val="0"/>
        <w:spacing w:after="0" w:line="560" w:lineRule="exact"/>
        <w:ind w:firstLine="482"/>
        <w:jc w:val="both"/>
        <w:textAlignment w:val="auto"/>
        <w:rPr>
          <w:rFonts w:hint="eastAsia" w:ascii="仿宋_GB2312" w:hAnsi="仿宋_GB2312" w:eastAsia="仿宋_GB2312" w:cs="仿宋_GB2312"/>
          <w:b/>
          <w:bCs/>
          <w:color w:val="auto"/>
          <w:sz w:val="32"/>
          <w:szCs w:val="32"/>
          <w:u w:val="none"/>
        </w:rPr>
      </w:pPr>
    </w:p>
    <w:p w14:paraId="24DDE42A">
      <w:pPr>
        <w:keepNext w:val="0"/>
        <w:keepLines w:val="0"/>
        <w:pageBreakBefore w:val="0"/>
        <w:widowControl/>
        <w:kinsoku/>
        <w:wordWrap/>
        <w:overflowPunct/>
        <w:topLinePunct w:val="0"/>
        <w:autoSpaceDE/>
        <w:autoSpaceDN/>
        <w:bidi w:val="0"/>
        <w:adjustRightInd w:val="0"/>
        <w:snapToGrid w:val="0"/>
        <w:spacing w:after="0" w:line="560" w:lineRule="exact"/>
        <w:ind w:firstLine="482"/>
        <w:jc w:val="center"/>
        <w:textAlignment w:val="auto"/>
        <w:rPr>
          <w:rFonts w:hint="eastAsia" w:ascii="仿宋_GB2312" w:hAnsi="仿宋_GB2312" w:eastAsia="仿宋_GB2312" w:cs="仿宋_GB2312"/>
          <w:b/>
          <w:bCs/>
          <w:color w:val="auto"/>
          <w:sz w:val="32"/>
          <w:szCs w:val="32"/>
          <w:u w:val="none"/>
        </w:rPr>
      </w:pPr>
      <w:r>
        <w:rPr>
          <w:rFonts w:hint="eastAsia" w:ascii="仿宋_GB2312" w:hAnsi="仿宋_GB2312" w:eastAsia="仿宋_GB2312" w:cs="仿宋_GB2312"/>
          <w:b/>
          <w:bCs/>
          <w:color w:val="auto"/>
          <w:sz w:val="32"/>
          <w:szCs w:val="32"/>
          <w:u w:val="none"/>
        </w:rPr>
        <w:t>《中华人民共和国城乡规划法（2019修正）》</w:t>
      </w:r>
    </w:p>
    <w:p w14:paraId="152DF178">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第六十四条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F04C565">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rPr>
          <w:rFonts w:hint="eastAsia" w:ascii="仿宋_GB2312" w:hAnsi="仿宋_GB2312" w:eastAsia="仿宋_GB2312" w:cs="仿宋_GB2312"/>
          <w:color w:val="auto"/>
          <w:sz w:val="32"/>
          <w:szCs w:val="32"/>
          <w:u w:val="none"/>
        </w:rPr>
      </w:pPr>
    </w:p>
    <w:p w14:paraId="7F911C24">
      <w:pPr>
        <w:keepNext w:val="0"/>
        <w:keepLines w:val="0"/>
        <w:pageBreakBefore w:val="0"/>
        <w:widowControl/>
        <w:kinsoku/>
        <w:wordWrap/>
        <w:overflowPunct/>
        <w:topLinePunct w:val="0"/>
        <w:autoSpaceDE/>
        <w:autoSpaceDN/>
        <w:bidi w:val="0"/>
        <w:adjustRightInd w:val="0"/>
        <w:snapToGrid w:val="0"/>
        <w:spacing w:after="0" w:line="560" w:lineRule="exact"/>
        <w:ind w:firstLine="482"/>
        <w:jc w:val="center"/>
        <w:textAlignment w:val="auto"/>
        <w:rPr>
          <w:rFonts w:hint="eastAsia" w:ascii="仿宋_GB2312" w:hAnsi="仿宋_GB2312" w:eastAsia="仿宋_GB2312" w:cs="仿宋_GB2312"/>
          <w:b/>
          <w:bCs/>
          <w:color w:val="auto"/>
          <w:sz w:val="32"/>
          <w:szCs w:val="32"/>
          <w:u w:val="none"/>
        </w:rPr>
      </w:pPr>
      <w:r>
        <w:rPr>
          <w:rFonts w:hint="eastAsia" w:ascii="仿宋_GB2312" w:hAnsi="仿宋_GB2312" w:eastAsia="仿宋_GB2312" w:cs="仿宋_GB2312"/>
          <w:b/>
          <w:bCs/>
          <w:color w:val="auto"/>
          <w:sz w:val="32"/>
          <w:szCs w:val="32"/>
          <w:u w:val="none"/>
        </w:rPr>
        <w:t>《物业管理条例》</w:t>
      </w:r>
    </w:p>
    <w:p w14:paraId="78EF6B63">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第六十三条 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p>
    <w:p w14:paraId="5B832C01">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（一）擅自改变物业管理区域内按照规划建设的公共建筑和共用设施用途的；</w:t>
      </w:r>
    </w:p>
    <w:p w14:paraId="73BF7A2B">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（二）擅自占用、挖掘物业管理区域内道路、场地，损害业主共同利益的；</w:t>
      </w:r>
    </w:p>
    <w:p w14:paraId="15461363">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（三）擅自利用物业共用部位、共用设施设备进行经营的。</w:t>
      </w:r>
    </w:p>
    <w:p w14:paraId="237CCF7D">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个人有前款规定行为之一的，处1000元以上1万元以下的罚款；单位有前款规定行为之一的，处5万元以上20万元以下的罚款。</w:t>
      </w:r>
    </w:p>
    <w:p w14:paraId="249C25A2">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p>
    <w:p w14:paraId="3DA526C2">
      <w:pPr>
        <w:keepNext w:val="0"/>
        <w:keepLines w:val="0"/>
        <w:pageBreakBefore w:val="0"/>
        <w:widowControl/>
        <w:kinsoku/>
        <w:wordWrap/>
        <w:overflowPunct/>
        <w:topLinePunct w:val="0"/>
        <w:autoSpaceDE/>
        <w:autoSpaceDN/>
        <w:bidi w:val="0"/>
        <w:adjustRightInd w:val="0"/>
        <w:snapToGrid w:val="0"/>
        <w:spacing w:after="0" w:line="560" w:lineRule="exact"/>
        <w:ind w:firstLine="482"/>
        <w:jc w:val="center"/>
        <w:textAlignment w:val="auto"/>
        <w:rPr>
          <w:rFonts w:hint="eastAsia" w:ascii="仿宋_GB2312" w:hAnsi="仿宋_GB2312" w:eastAsia="仿宋_GB2312" w:cs="仿宋_GB2312"/>
          <w:b/>
          <w:bCs/>
          <w:color w:val="auto"/>
          <w:sz w:val="32"/>
          <w:szCs w:val="32"/>
          <w:u w:val="none"/>
        </w:rPr>
      </w:pPr>
      <w:r>
        <w:rPr>
          <w:rFonts w:hint="eastAsia" w:ascii="仿宋_GB2312" w:hAnsi="仿宋_GB2312" w:eastAsia="仿宋_GB2312" w:cs="仿宋_GB2312"/>
          <w:b/>
          <w:bCs/>
          <w:color w:val="auto"/>
          <w:sz w:val="32"/>
          <w:szCs w:val="32"/>
          <w:u w:val="none"/>
        </w:rPr>
        <w:t>《住宅室内装饰装修管理办法（2011修正）》</w:t>
      </w:r>
    </w:p>
    <w:p w14:paraId="256609C7">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 xml:space="preserve">第五条　住宅室内装饰装修活动，禁止下列行为： </w:t>
      </w:r>
      <w:r>
        <w:rPr>
          <w:rFonts w:hint="eastAsia" w:ascii="仿宋_GB2312" w:hAnsi="仿宋_GB2312" w:eastAsia="仿宋_GB2312" w:cs="仿宋_GB2312"/>
          <w:color w:val="auto"/>
          <w:sz w:val="32"/>
          <w:szCs w:val="32"/>
          <w:u w:val="none"/>
        </w:rPr>
        <w:br w:type="textWrapping"/>
      </w:r>
      <w:r>
        <w:rPr>
          <w:rFonts w:hint="eastAsia" w:ascii="仿宋_GB2312" w:hAnsi="仿宋_GB2312" w:eastAsia="仿宋_GB2312" w:cs="仿宋_GB2312"/>
          <w:color w:val="auto"/>
          <w:sz w:val="32"/>
          <w:szCs w:val="32"/>
          <w:u w:val="none"/>
        </w:rPr>
        <w:t xml:space="preserve">　　（一）未经原设计单位或者具有相应资质等级的设计单位提出设计方案，变动建筑主体和承重结构； </w:t>
      </w:r>
      <w:r>
        <w:rPr>
          <w:rFonts w:hint="eastAsia" w:ascii="仿宋_GB2312" w:hAnsi="仿宋_GB2312" w:eastAsia="仿宋_GB2312" w:cs="仿宋_GB2312"/>
          <w:color w:val="auto"/>
          <w:sz w:val="32"/>
          <w:szCs w:val="32"/>
          <w:u w:val="none"/>
        </w:rPr>
        <w:br w:type="textWrapping"/>
      </w:r>
      <w:r>
        <w:rPr>
          <w:rFonts w:hint="eastAsia" w:ascii="仿宋_GB2312" w:hAnsi="仿宋_GB2312" w:eastAsia="仿宋_GB2312" w:cs="仿宋_GB2312"/>
          <w:color w:val="auto"/>
          <w:sz w:val="32"/>
          <w:szCs w:val="32"/>
          <w:u w:val="none"/>
        </w:rPr>
        <w:t xml:space="preserve">　　（二）将没有防水要求的房间或者阳台改为卫生间、厨房间； </w:t>
      </w:r>
      <w:r>
        <w:rPr>
          <w:rFonts w:hint="eastAsia" w:ascii="仿宋_GB2312" w:hAnsi="仿宋_GB2312" w:eastAsia="仿宋_GB2312" w:cs="仿宋_GB2312"/>
          <w:color w:val="auto"/>
          <w:sz w:val="32"/>
          <w:szCs w:val="32"/>
          <w:u w:val="none"/>
        </w:rPr>
        <w:br w:type="textWrapping"/>
      </w:r>
      <w:r>
        <w:rPr>
          <w:rFonts w:hint="eastAsia" w:ascii="仿宋_GB2312" w:hAnsi="仿宋_GB2312" w:eastAsia="仿宋_GB2312" w:cs="仿宋_GB2312"/>
          <w:color w:val="auto"/>
          <w:sz w:val="32"/>
          <w:szCs w:val="32"/>
          <w:u w:val="none"/>
        </w:rPr>
        <w:t xml:space="preserve">　　（三）扩大承重墙上原有的门窗尺寸，拆除连接阳台的砖、混凝土墙体； </w:t>
      </w:r>
      <w:r>
        <w:rPr>
          <w:rFonts w:hint="eastAsia" w:ascii="仿宋_GB2312" w:hAnsi="仿宋_GB2312" w:eastAsia="仿宋_GB2312" w:cs="仿宋_GB2312"/>
          <w:color w:val="auto"/>
          <w:sz w:val="32"/>
          <w:szCs w:val="32"/>
          <w:u w:val="none"/>
        </w:rPr>
        <w:br w:type="textWrapping"/>
      </w:r>
      <w:r>
        <w:rPr>
          <w:rFonts w:hint="eastAsia" w:ascii="仿宋_GB2312" w:hAnsi="仿宋_GB2312" w:eastAsia="仿宋_GB2312" w:cs="仿宋_GB2312"/>
          <w:color w:val="auto"/>
          <w:sz w:val="32"/>
          <w:szCs w:val="32"/>
          <w:u w:val="none"/>
        </w:rPr>
        <w:t xml:space="preserve">　　（四）损坏房屋原有节能设施，降低节能效果； </w:t>
      </w:r>
      <w:r>
        <w:rPr>
          <w:rFonts w:hint="eastAsia" w:ascii="仿宋_GB2312" w:hAnsi="仿宋_GB2312" w:eastAsia="仿宋_GB2312" w:cs="仿宋_GB2312"/>
          <w:color w:val="auto"/>
          <w:sz w:val="32"/>
          <w:szCs w:val="32"/>
          <w:u w:val="none"/>
        </w:rPr>
        <w:br w:type="textWrapping"/>
      </w:r>
      <w:r>
        <w:rPr>
          <w:rFonts w:hint="eastAsia" w:ascii="仿宋_GB2312" w:hAnsi="仿宋_GB2312" w:eastAsia="仿宋_GB2312" w:cs="仿宋_GB2312"/>
          <w:color w:val="auto"/>
          <w:sz w:val="32"/>
          <w:szCs w:val="32"/>
          <w:u w:val="none"/>
        </w:rPr>
        <w:t xml:space="preserve">　　（五）其他影响建筑结构和使用安全的行为。 </w:t>
      </w:r>
      <w:r>
        <w:rPr>
          <w:rFonts w:hint="eastAsia" w:ascii="仿宋_GB2312" w:hAnsi="仿宋_GB2312" w:eastAsia="仿宋_GB2312" w:cs="仿宋_GB2312"/>
          <w:color w:val="auto"/>
          <w:sz w:val="32"/>
          <w:szCs w:val="32"/>
          <w:u w:val="none"/>
        </w:rPr>
        <w:br w:type="textWrapping"/>
      </w:r>
      <w:r>
        <w:rPr>
          <w:rFonts w:hint="eastAsia" w:ascii="仿宋_GB2312" w:hAnsi="仿宋_GB2312" w:eastAsia="仿宋_GB2312" w:cs="仿宋_GB2312"/>
          <w:color w:val="auto"/>
          <w:sz w:val="32"/>
          <w:szCs w:val="32"/>
          <w:u w:val="none"/>
        </w:rPr>
        <w:t xml:space="preserve">　　本办法所称建筑主体，是指建筑实体的结构构造，包括屋盖、楼盖、梁、柱、支撑、墙体、连接接点和基础等。 </w:t>
      </w:r>
      <w:r>
        <w:rPr>
          <w:rFonts w:hint="eastAsia" w:ascii="仿宋_GB2312" w:hAnsi="仿宋_GB2312" w:eastAsia="仿宋_GB2312" w:cs="仿宋_GB2312"/>
          <w:color w:val="auto"/>
          <w:sz w:val="32"/>
          <w:szCs w:val="32"/>
          <w:u w:val="none"/>
        </w:rPr>
        <w:br w:type="textWrapping"/>
      </w:r>
      <w:r>
        <w:rPr>
          <w:rFonts w:hint="eastAsia" w:ascii="仿宋_GB2312" w:hAnsi="仿宋_GB2312" w:eastAsia="仿宋_GB2312" w:cs="仿宋_GB2312"/>
          <w:color w:val="auto"/>
          <w:sz w:val="32"/>
          <w:szCs w:val="32"/>
          <w:u w:val="none"/>
        </w:rPr>
        <w:t xml:space="preserve">　　本办法所称承重结构，是指直接将本身自重与各种外加作用力系统地传递给基础地基的主要结构构件和其连接接点，包括承重墙体、立杆、柱、框架柱、支墩、楼板、梁、屋架、悬索等。 </w:t>
      </w:r>
    </w:p>
    <w:p w14:paraId="428C13E8">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第三十八条 住宅室内装饰装修活动有下列行为之一的，由城市房地产行政主管部门责令改正，并处罚款：</w:t>
      </w:r>
    </w:p>
    <w:p w14:paraId="3598C40B">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（一）将没有防水要求的房间或者阳台改为卫生间、厨房间的，或者拆除连接阳台的砖、混凝土墙体的，对装修人处5百元以上1千元以下的罚款，对装饰装修企业处1千元以上1万元以下的罚款；</w:t>
      </w:r>
    </w:p>
    <w:p w14:paraId="58C8CB49">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（二）损坏房屋原有节能设施或者降低节能效果的，对装饰装修企业处1千元以上5千元以下的罚款；</w:t>
      </w:r>
    </w:p>
    <w:p w14:paraId="21B8C67C">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（三）擅自拆改供暖、燃气管道和设施的，对装修人处5百元以上1千元以下的罚款；</w:t>
      </w:r>
    </w:p>
    <w:p w14:paraId="6176E97E">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（四）未经原设计单位或者具有相应资质等级的设计单位提出设计方案，擅自超过设计标准或者规范增加楼面荷载的，对装修人处5百元以上1千元以下的罚款，对装饰装修企业处1千元以上1万元以下的罚款。</w:t>
      </w:r>
    </w:p>
    <w:p w14:paraId="7B3E43D0">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第四十条 装修人或者装饰装修企业违反《建设工程质量管理条例》的，由建设行政主管部门按照有关规定处罚。</w:t>
      </w:r>
    </w:p>
    <w:p w14:paraId="4A555CD8">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第四十二条 物业管理单位发现装修人或者装饰装修企业有违反本办法规定的行为不及时向有关部门报告的，由房地产行政主管部门给予警告，可处装饰装修管理服务协议约定的装饰装修管理服务费2至3倍的罚款。</w:t>
      </w:r>
    </w:p>
    <w:p w14:paraId="7A2CA77C">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p>
    <w:p w14:paraId="24D7E26C">
      <w:pPr>
        <w:keepNext w:val="0"/>
        <w:keepLines w:val="0"/>
        <w:pageBreakBefore w:val="0"/>
        <w:widowControl/>
        <w:kinsoku/>
        <w:wordWrap/>
        <w:overflowPunct/>
        <w:topLinePunct w:val="0"/>
        <w:autoSpaceDE/>
        <w:autoSpaceDN/>
        <w:bidi w:val="0"/>
        <w:adjustRightInd w:val="0"/>
        <w:snapToGrid w:val="0"/>
        <w:spacing w:after="0" w:line="560" w:lineRule="exact"/>
        <w:ind w:firstLine="482"/>
        <w:jc w:val="center"/>
        <w:textAlignment w:val="auto"/>
        <w:rPr>
          <w:rFonts w:hint="eastAsia" w:ascii="仿宋_GB2312" w:hAnsi="仿宋_GB2312" w:eastAsia="仿宋_GB2312" w:cs="仿宋_GB2312"/>
          <w:b/>
          <w:bCs/>
          <w:color w:val="auto"/>
          <w:sz w:val="32"/>
          <w:szCs w:val="32"/>
          <w:u w:val="none"/>
        </w:rPr>
      </w:pPr>
    </w:p>
    <w:p w14:paraId="0B1E719A">
      <w:pPr>
        <w:keepNext w:val="0"/>
        <w:keepLines w:val="0"/>
        <w:pageBreakBefore w:val="0"/>
        <w:widowControl/>
        <w:kinsoku/>
        <w:wordWrap/>
        <w:overflowPunct/>
        <w:topLinePunct w:val="0"/>
        <w:autoSpaceDE/>
        <w:autoSpaceDN/>
        <w:bidi w:val="0"/>
        <w:adjustRightInd w:val="0"/>
        <w:snapToGrid w:val="0"/>
        <w:spacing w:after="0" w:line="560" w:lineRule="exact"/>
        <w:ind w:firstLine="482"/>
        <w:jc w:val="center"/>
        <w:textAlignment w:val="auto"/>
        <w:rPr>
          <w:rFonts w:hint="eastAsia" w:ascii="仿宋_GB2312" w:hAnsi="仿宋_GB2312" w:eastAsia="仿宋_GB2312" w:cs="仿宋_GB2312"/>
          <w:b/>
          <w:bCs/>
          <w:color w:val="auto"/>
          <w:sz w:val="32"/>
          <w:szCs w:val="32"/>
          <w:u w:val="none"/>
        </w:rPr>
      </w:pPr>
      <w:r>
        <w:rPr>
          <w:rFonts w:hint="eastAsia" w:ascii="仿宋_GB2312" w:hAnsi="仿宋_GB2312" w:eastAsia="仿宋_GB2312" w:cs="仿宋_GB2312"/>
          <w:b/>
          <w:bCs/>
          <w:color w:val="auto"/>
          <w:sz w:val="32"/>
          <w:szCs w:val="32"/>
          <w:u w:val="none"/>
        </w:rPr>
        <w:t>《建设工程质量管理条例（2019修订）》</w:t>
      </w:r>
    </w:p>
    <w:p w14:paraId="3F8AD6C3">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第六十九条 违反本条例规定，涉及建筑主体或者承重结构变动的装修工程，没有设计方案擅自施工的，责令改正，处50万元以上100万元以下的罚款；房屋建筑使用者在装修过程中擅自变动房屋建筑主体和承重结构的，责令改正，处5万元以上10万元以下的罚款。</w:t>
      </w:r>
    </w:p>
    <w:p w14:paraId="6F88F583">
      <w:pPr>
        <w:keepNext w:val="0"/>
        <w:keepLines w:val="0"/>
        <w:pageBreakBefore w:val="0"/>
        <w:widowControl/>
        <w:kinsoku/>
        <w:wordWrap/>
        <w:overflowPunct/>
        <w:topLinePunct w:val="0"/>
        <w:autoSpaceDE/>
        <w:autoSpaceDN/>
        <w:bidi w:val="0"/>
        <w:adjustRightInd w:val="0"/>
        <w:snapToGrid w:val="0"/>
        <w:spacing w:after="0" w:line="560" w:lineRule="exact"/>
        <w:ind w:firstLine="48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有前款所列行为，造成损失的，依法承担赔偿责任。</w:t>
      </w:r>
    </w:p>
    <w:p w14:paraId="10E2E681">
      <w:pPr>
        <w:pageBreakBefore w:val="0"/>
        <w:kinsoku/>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br w:type="page"/>
      </w:r>
    </w:p>
    <w:p w14:paraId="180F7AD9">
      <w:pPr>
        <w:keepNext w:val="0"/>
        <w:keepLines w:val="0"/>
        <w:pageBreakBefore w:val="0"/>
        <w:kinsoku/>
        <w:wordWrap/>
        <w:overflowPunct/>
        <w:topLinePunct w:val="0"/>
        <w:autoSpaceDE/>
        <w:autoSpaceDN/>
        <w:bidi w:val="0"/>
        <w:adjustRightInd w:val="0"/>
        <w:snapToGrid w:val="0"/>
        <w:spacing w:after="0" w:line="560" w:lineRule="exact"/>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附件2：</w:t>
      </w:r>
    </w:p>
    <w:p w14:paraId="6AF39CFA">
      <w:pPr>
        <w:keepNext w:val="0"/>
        <w:keepLines w:val="0"/>
        <w:pageBreakBefore w:val="0"/>
        <w:kinsoku/>
        <w:wordWrap/>
        <w:overflowPunct/>
        <w:topLinePunct w:val="0"/>
        <w:autoSpaceDE/>
        <w:autoSpaceDN/>
        <w:bidi w:val="0"/>
        <w:adjustRightInd w:val="0"/>
        <w:snapToGrid w:val="0"/>
        <w:spacing w:after="0" w:line="560" w:lineRule="exact"/>
        <w:jc w:val="both"/>
        <w:textAlignment w:val="auto"/>
        <w:rPr>
          <w:rFonts w:hint="eastAsia" w:ascii="仿宋_GB2312" w:hAnsi="仿宋_GB2312" w:eastAsia="仿宋_GB2312" w:cs="仿宋_GB2312"/>
          <w:color w:val="auto"/>
          <w:sz w:val="32"/>
          <w:szCs w:val="32"/>
          <w:u w:val="none"/>
        </w:rPr>
      </w:pPr>
    </w:p>
    <w:p w14:paraId="529C599C">
      <w:pPr>
        <w:pStyle w:val="2"/>
        <w:pageBreakBefore w:val="0"/>
        <w:kinsoku/>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Cs w:val="32"/>
          <w:u w:val="none"/>
        </w:rPr>
      </w:pPr>
      <w:r>
        <w:rPr>
          <w:rFonts w:hint="eastAsia"/>
          <w:u w:val="none"/>
        </w:rPr>
        <w:t>商业银行企业网上银行的开通与监督管理操作流程指引</w:t>
      </w:r>
    </w:p>
    <w:p w14:paraId="6EA930F1">
      <w:pPr>
        <w:keepNext w:val="0"/>
        <w:keepLines w:val="0"/>
        <w:pageBreakBefore w:val="0"/>
        <w:kinsoku/>
        <w:wordWrap/>
        <w:overflowPunct/>
        <w:topLinePunct w:val="0"/>
        <w:autoSpaceDE/>
        <w:autoSpaceDN/>
        <w:bidi w:val="0"/>
        <w:adjustRightInd w:val="0"/>
        <w:snapToGrid w:val="0"/>
        <w:spacing w:after="0" w:line="560" w:lineRule="exact"/>
        <w:jc w:val="both"/>
        <w:textAlignment w:val="auto"/>
        <w:rPr>
          <w:rFonts w:hint="eastAsia" w:ascii="仿宋_GB2312" w:hAnsi="仿宋_GB2312" w:eastAsia="仿宋_GB2312" w:cs="仿宋_GB2312"/>
          <w:color w:val="auto"/>
          <w:sz w:val="32"/>
          <w:szCs w:val="32"/>
          <w:u w:val="none"/>
        </w:rPr>
      </w:pPr>
    </w:p>
    <w:p w14:paraId="571E3DB3">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仿宋_GB2312" w:hAnsi="仿宋_GB2312" w:eastAsia="仿宋_GB2312" w:cs="仿宋_GB2312"/>
          <w:b/>
          <w:color w:val="auto"/>
          <w:sz w:val="32"/>
          <w:szCs w:val="32"/>
          <w:u w:val="none"/>
        </w:rPr>
      </w:pPr>
      <w:r>
        <w:rPr>
          <w:rFonts w:hint="eastAsia" w:ascii="仿宋_GB2312" w:hAnsi="仿宋_GB2312" w:eastAsia="仿宋_GB2312" w:cs="仿宋_GB2312"/>
          <w:b/>
          <w:color w:val="auto"/>
          <w:sz w:val="32"/>
          <w:szCs w:val="32"/>
          <w:u w:val="none"/>
        </w:rPr>
        <w:t>一、开立装修履约保证金专用账户</w:t>
      </w:r>
    </w:p>
    <w:p w14:paraId="6DEB53E7">
      <w:pPr>
        <w:keepNext w:val="0"/>
        <w:keepLines w:val="0"/>
        <w:pageBreakBefore w:val="0"/>
        <w:kinsoku/>
        <w:wordWrap/>
        <w:overflowPunct/>
        <w:topLinePunct w:val="0"/>
        <w:autoSpaceDE/>
        <w:autoSpaceDN/>
        <w:bidi w:val="0"/>
        <w:adjustRightInd w:val="0"/>
        <w:snapToGrid w:val="0"/>
        <w:spacing w:after="0" w:line="560" w:lineRule="exact"/>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 xml:space="preserve">    所需资料包括：营业执照、开户许可证、法人身份证、经办人身份证及与专用账户户名一致的专用章。账户名称为：“XX公司XX小区装修履约保证金专用账户”。</w:t>
      </w:r>
    </w:p>
    <w:p w14:paraId="2CFF9D68">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仿宋_GB2312" w:hAnsi="仿宋_GB2312" w:eastAsia="仿宋_GB2312" w:cs="仿宋_GB2312"/>
          <w:b/>
          <w:color w:val="auto"/>
          <w:sz w:val="32"/>
          <w:szCs w:val="32"/>
          <w:u w:val="none"/>
        </w:rPr>
      </w:pPr>
      <w:r>
        <w:rPr>
          <w:rFonts w:hint="eastAsia" w:ascii="仿宋_GB2312" w:hAnsi="仿宋_GB2312" w:eastAsia="仿宋_GB2312" w:cs="仿宋_GB2312"/>
          <w:b/>
          <w:color w:val="auto"/>
          <w:sz w:val="32"/>
          <w:szCs w:val="32"/>
          <w:u w:val="none"/>
        </w:rPr>
        <w:t>二、企业网上银行的开立</w:t>
      </w:r>
    </w:p>
    <w:p w14:paraId="72F701BA">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（一）高级版</w:t>
      </w:r>
    </w:p>
    <w:p w14:paraId="3DC0DA28">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1. 功能介绍：账户管理与查询、资金结算与划转、投资理财、企业手机银行等多项功能，需要到开户银行申请开通，一般情况下需要申请办理两个以上（含）网银盾（USB KEY），也可根据实际情况申请更多网银盾。</w:t>
      </w:r>
    </w:p>
    <w:p w14:paraId="462035DE">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2. 使用场景：电脑、手机均</w:t>
      </w:r>
      <w:r>
        <w:rPr>
          <w:rFonts w:hint="eastAsia" w:ascii="仿宋_GB2312" w:hAnsi="仿宋_GB2312" w:eastAsia="仿宋_GB2312" w:cs="仿宋_GB2312"/>
          <w:color w:val="auto"/>
          <w:sz w:val="32"/>
          <w:szCs w:val="32"/>
          <w:u w:val="none"/>
          <w:lang w:eastAsia="zh-CN"/>
        </w:rPr>
        <w:t>可</w:t>
      </w:r>
      <w:r>
        <w:rPr>
          <w:rFonts w:hint="eastAsia" w:ascii="仿宋_GB2312" w:hAnsi="仿宋_GB2312" w:eastAsia="仿宋_GB2312" w:cs="仿宋_GB2312"/>
          <w:color w:val="auto"/>
          <w:sz w:val="32"/>
          <w:szCs w:val="32"/>
          <w:u w:val="none"/>
        </w:rPr>
        <w:t>登录操作。</w:t>
      </w:r>
    </w:p>
    <w:p w14:paraId="337D3414">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（二）简版</w:t>
      </w:r>
    </w:p>
    <w:p w14:paraId="561236AB">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功能介绍</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仅有账户查询功能，需要到开户银行申请开通。</w:t>
      </w:r>
    </w:p>
    <w:p w14:paraId="55894E15">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使用场景：仅限电脑登录操作，并下载保存电子</w:t>
      </w:r>
      <w:bookmarkStart w:id="1" w:name="_GoBack"/>
      <w:bookmarkEnd w:id="1"/>
      <w:r>
        <w:rPr>
          <w:rFonts w:hint="eastAsia" w:ascii="仿宋_GB2312" w:hAnsi="仿宋_GB2312" w:eastAsia="仿宋_GB2312" w:cs="仿宋_GB2312"/>
          <w:color w:val="auto"/>
          <w:sz w:val="32"/>
          <w:szCs w:val="32"/>
          <w:u w:val="none"/>
        </w:rPr>
        <w:t>证书。</w:t>
      </w:r>
    </w:p>
    <w:p w14:paraId="67553C69">
      <w:pPr>
        <w:keepNext w:val="0"/>
        <w:keepLines w:val="0"/>
        <w:pageBreakBefore w:val="0"/>
        <w:kinsoku/>
        <w:wordWrap/>
        <w:overflowPunct/>
        <w:topLinePunct w:val="0"/>
        <w:autoSpaceDE/>
        <w:autoSpaceDN/>
        <w:bidi w:val="0"/>
        <w:adjustRightInd w:val="0"/>
        <w:snapToGrid w:val="0"/>
        <w:spacing w:after="0" w:line="560" w:lineRule="exact"/>
        <w:ind w:firstLine="643" w:firstLineChars="200"/>
        <w:jc w:val="both"/>
        <w:textAlignment w:val="auto"/>
        <w:rPr>
          <w:rFonts w:hint="eastAsia" w:ascii="仿宋_GB2312" w:hAnsi="仿宋_GB2312" w:eastAsia="仿宋_GB2312" w:cs="仿宋_GB2312"/>
          <w:b/>
          <w:color w:val="auto"/>
          <w:sz w:val="32"/>
          <w:szCs w:val="32"/>
          <w:u w:val="none"/>
        </w:rPr>
      </w:pPr>
      <w:r>
        <w:rPr>
          <w:rFonts w:hint="eastAsia" w:ascii="仿宋_GB2312" w:hAnsi="仿宋_GB2312" w:eastAsia="仿宋_GB2312" w:cs="仿宋_GB2312"/>
          <w:b/>
          <w:color w:val="auto"/>
          <w:sz w:val="32"/>
          <w:szCs w:val="32"/>
          <w:u w:val="none"/>
        </w:rPr>
        <w:t>三、资金监督管理</w:t>
      </w:r>
    </w:p>
    <w:p w14:paraId="5EED906D">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（一）高级版企业网银</w:t>
      </w:r>
    </w:p>
    <w:p w14:paraId="11F7B753">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为指定监督人申请网银盾，物业公司财务主管在企业网银上将装修履约保证金专用账户的查询权限分配给指定监督人，同时也可自主为指定监督人设置开通</w:t>
      </w:r>
      <w:r>
        <w:rPr>
          <w:rFonts w:hint="eastAsia" w:ascii="仿宋_GB2312" w:hAnsi="仿宋_GB2312" w:eastAsia="仿宋_GB2312" w:cs="仿宋_GB2312"/>
          <w:color w:val="auto"/>
          <w:sz w:val="32"/>
          <w:szCs w:val="32"/>
          <w:u w:val="none"/>
          <w:lang w:eastAsia="zh-CN"/>
        </w:rPr>
        <w:t>商业银行</w:t>
      </w:r>
      <w:r>
        <w:rPr>
          <w:rFonts w:hint="eastAsia" w:ascii="仿宋_GB2312" w:hAnsi="仿宋_GB2312" w:eastAsia="仿宋_GB2312" w:cs="仿宋_GB2312"/>
          <w:color w:val="auto"/>
          <w:sz w:val="32"/>
          <w:szCs w:val="32"/>
          <w:u w:val="none"/>
        </w:rPr>
        <w:t>手机银行。指定监督人可通过电脑</w:t>
      </w:r>
      <w:r>
        <w:rPr>
          <w:rFonts w:hint="eastAsia" w:ascii="仿宋_GB2312" w:hAnsi="仿宋_GB2312" w:eastAsia="仿宋_GB2312" w:cs="仿宋_GB2312"/>
          <w:color w:val="auto"/>
          <w:sz w:val="32"/>
          <w:szCs w:val="32"/>
          <w:u w:val="none"/>
          <w:lang w:eastAsia="zh-CN"/>
        </w:rPr>
        <w:t>登录商业银行</w:t>
      </w:r>
      <w:r>
        <w:rPr>
          <w:rFonts w:hint="eastAsia" w:ascii="仿宋_GB2312" w:hAnsi="仿宋_GB2312" w:eastAsia="仿宋_GB2312" w:cs="仿宋_GB2312"/>
          <w:color w:val="auto"/>
          <w:sz w:val="32"/>
          <w:szCs w:val="32"/>
          <w:u w:val="none"/>
        </w:rPr>
        <w:t>网站或在手机下载</w:t>
      </w:r>
      <w:r>
        <w:rPr>
          <w:rFonts w:hint="eastAsia" w:ascii="仿宋_GB2312" w:hAnsi="仿宋_GB2312" w:eastAsia="仿宋_GB2312" w:cs="仿宋_GB2312"/>
          <w:color w:val="auto"/>
          <w:sz w:val="32"/>
          <w:szCs w:val="32"/>
          <w:u w:val="none"/>
          <w:lang w:eastAsia="zh-CN"/>
        </w:rPr>
        <w:t>商业银行</w:t>
      </w:r>
      <w:r>
        <w:rPr>
          <w:rFonts w:hint="eastAsia" w:ascii="仿宋_GB2312" w:hAnsi="仿宋_GB2312" w:eastAsia="仿宋_GB2312" w:cs="仿宋_GB2312"/>
          <w:color w:val="auto"/>
          <w:sz w:val="32"/>
          <w:szCs w:val="32"/>
          <w:u w:val="none"/>
        </w:rPr>
        <w:t>手机银行查询账户情况，落实监督责任。当指定监督人进行调整时，物业公司财务主管在企业网银上可进行操作设置换人。</w:t>
      </w:r>
    </w:p>
    <w:p w14:paraId="09DFEC4C">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（二）简版企业网银</w:t>
      </w:r>
    </w:p>
    <w:p w14:paraId="3184165D">
      <w:pPr>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物业公司财务主管将下载的</w:t>
      </w:r>
      <w:r>
        <w:rPr>
          <w:rFonts w:hint="eastAsia" w:ascii="仿宋_GB2312" w:hAnsi="仿宋_GB2312" w:eastAsia="仿宋_GB2312" w:cs="仿宋_GB2312"/>
          <w:color w:val="auto"/>
          <w:sz w:val="32"/>
          <w:szCs w:val="32"/>
          <w:u w:val="none"/>
          <w:lang w:eastAsia="zh-CN"/>
        </w:rPr>
        <w:t>商业银行</w:t>
      </w:r>
      <w:r>
        <w:rPr>
          <w:rFonts w:hint="eastAsia" w:ascii="仿宋_GB2312" w:hAnsi="仿宋_GB2312" w:eastAsia="仿宋_GB2312" w:cs="仿宋_GB2312"/>
          <w:color w:val="auto"/>
          <w:sz w:val="32"/>
          <w:szCs w:val="32"/>
          <w:u w:val="none"/>
        </w:rPr>
        <w:t>简版网银电子证书拷贝给指定监督人，并将</w:t>
      </w:r>
      <w:r>
        <w:rPr>
          <w:rFonts w:hint="eastAsia" w:ascii="仿宋_GB2312" w:hAnsi="仿宋_GB2312" w:eastAsia="仿宋_GB2312" w:cs="仿宋_GB2312"/>
          <w:color w:val="auto"/>
          <w:sz w:val="32"/>
          <w:szCs w:val="32"/>
          <w:u w:val="none"/>
          <w:lang w:eastAsia="zh-CN"/>
        </w:rPr>
        <w:t>登录</w:t>
      </w:r>
      <w:r>
        <w:rPr>
          <w:rFonts w:hint="eastAsia" w:ascii="仿宋_GB2312" w:hAnsi="仿宋_GB2312" w:eastAsia="仿宋_GB2312" w:cs="仿宋_GB2312"/>
          <w:color w:val="auto"/>
          <w:sz w:val="32"/>
          <w:szCs w:val="32"/>
          <w:u w:val="none"/>
        </w:rPr>
        <w:t>信息告知指定监督人。指定监督人在可上网的电脑上进行安装</w:t>
      </w:r>
      <w:r>
        <w:rPr>
          <w:rFonts w:hint="eastAsia" w:ascii="仿宋_GB2312" w:hAnsi="仿宋_GB2312" w:eastAsia="仿宋_GB2312" w:cs="仿宋_GB2312"/>
          <w:color w:val="auto"/>
          <w:sz w:val="32"/>
          <w:szCs w:val="32"/>
          <w:u w:val="none"/>
          <w:lang w:eastAsia="zh-CN"/>
        </w:rPr>
        <w:t>商业银行</w:t>
      </w:r>
      <w:r>
        <w:rPr>
          <w:rFonts w:hint="eastAsia" w:ascii="仿宋_GB2312" w:hAnsi="仿宋_GB2312" w:eastAsia="仿宋_GB2312" w:cs="仿宋_GB2312"/>
          <w:color w:val="auto"/>
          <w:sz w:val="32"/>
          <w:szCs w:val="32"/>
          <w:u w:val="none"/>
        </w:rPr>
        <w:t>简版网银电子证书后，</w:t>
      </w:r>
      <w:r>
        <w:rPr>
          <w:rFonts w:hint="eastAsia" w:ascii="仿宋_GB2312" w:hAnsi="仿宋_GB2312" w:eastAsia="仿宋_GB2312" w:cs="仿宋_GB2312"/>
          <w:color w:val="auto"/>
          <w:sz w:val="32"/>
          <w:szCs w:val="32"/>
          <w:u w:val="none"/>
          <w:lang w:eastAsia="zh-CN"/>
        </w:rPr>
        <w:t>登录商业银行</w:t>
      </w:r>
      <w:r>
        <w:rPr>
          <w:rFonts w:hint="eastAsia" w:ascii="仿宋_GB2312" w:hAnsi="仿宋_GB2312" w:eastAsia="仿宋_GB2312" w:cs="仿宋_GB2312"/>
          <w:color w:val="auto"/>
          <w:sz w:val="32"/>
          <w:szCs w:val="32"/>
          <w:u w:val="none"/>
        </w:rPr>
        <w:t>网站查询账户情况，落实监督责任。该方式存在一个不足，指定监督人可查询到该物业公司在</w:t>
      </w:r>
      <w:r>
        <w:rPr>
          <w:rFonts w:hint="eastAsia" w:ascii="仿宋_GB2312" w:hAnsi="仿宋_GB2312" w:eastAsia="仿宋_GB2312" w:cs="仿宋_GB2312"/>
          <w:color w:val="auto"/>
          <w:sz w:val="32"/>
          <w:szCs w:val="32"/>
          <w:u w:val="none"/>
          <w:lang w:eastAsia="zh-CN"/>
        </w:rPr>
        <w:t>商业银行</w:t>
      </w:r>
      <w:r>
        <w:rPr>
          <w:rFonts w:hint="eastAsia" w:ascii="仿宋_GB2312" w:hAnsi="仿宋_GB2312" w:eastAsia="仿宋_GB2312" w:cs="仿宋_GB2312"/>
          <w:color w:val="auto"/>
          <w:sz w:val="32"/>
          <w:szCs w:val="32"/>
          <w:u w:val="none"/>
        </w:rPr>
        <w:t>开通简版网银中签约所有账户信息；如要保密，简版网银只能签约开通装修履约保证金专用账户这一个账户。</w:t>
      </w:r>
    </w:p>
    <w:p w14:paraId="1F33D46E">
      <w:pPr>
        <w:pageBreakBefore w:val="0"/>
        <w:kinsoku/>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br w:type="page"/>
      </w:r>
    </w:p>
    <w:p w14:paraId="3B6CD9EA">
      <w:pPr>
        <w:keepNext w:val="0"/>
        <w:keepLines w:val="0"/>
        <w:pageBreakBefore w:val="0"/>
        <w:kinsoku/>
        <w:wordWrap/>
        <w:overflowPunct/>
        <w:topLinePunct w:val="0"/>
        <w:autoSpaceDE/>
        <w:autoSpaceDN/>
        <w:bidi w:val="0"/>
        <w:adjustRightInd w:val="0"/>
        <w:snapToGrid w:val="0"/>
        <w:spacing w:after="0" w:line="560" w:lineRule="exact"/>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附件3</w:t>
      </w:r>
    </w:p>
    <w:tbl>
      <w:tblPr>
        <w:tblStyle w:val="6"/>
        <w:tblW w:w="542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80"/>
        <w:gridCol w:w="2523"/>
        <w:gridCol w:w="1114"/>
        <w:gridCol w:w="1650"/>
        <w:gridCol w:w="1180"/>
        <w:gridCol w:w="1399"/>
      </w:tblGrid>
      <w:tr w14:paraId="1B3C5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6"/>
            <w:tcBorders>
              <w:top w:val="nil"/>
              <w:left w:val="nil"/>
              <w:bottom w:val="nil"/>
              <w:right w:val="nil"/>
            </w:tcBorders>
            <w:shd w:val="clear" w:color="auto" w:fill="auto"/>
            <w:noWrap/>
            <w:vAlign w:val="center"/>
          </w:tcPr>
          <w:p w14:paraId="2ACC5E6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方正小标宋简体" w:hAnsi="方正小标宋简体" w:eastAsia="方正小标宋简体" w:cs="方正小标宋简体"/>
                <w:i w:val="0"/>
                <w:iCs w:val="0"/>
                <w:color w:val="000000"/>
                <w:sz w:val="36"/>
                <w:szCs w:val="36"/>
                <w:u w:val="none"/>
              </w:rPr>
            </w:pPr>
            <w:r>
              <w:rPr>
                <w:rFonts w:hint="eastAsia" w:ascii="方正小标宋简体" w:hAnsi="方正小标宋简体" w:eastAsia="方正小标宋简体" w:cs="方正小标宋简体"/>
                <w:i w:val="0"/>
                <w:iCs w:val="0"/>
                <w:color w:val="000000"/>
                <w:kern w:val="0"/>
                <w:sz w:val="36"/>
                <w:szCs w:val="36"/>
                <w:u w:val="none"/>
                <w:lang w:val="en-US" w:eastAsia="zh-CN" w:bidi="ar"/>
              </w:rPr>
              <w:t>装修押金退还申请表</w:t>
            </w:r>
          </w:p>
        </w:tc>
      </w:tr>
      <w:tr w14:paraId="2FB86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93B23">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一、申请人基本信息</w:t>
            </w:r>
          </w:p>
        </w:tc>
      </w:tr>
      <w:tr w14:paraId="1AB19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6CE7B">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业主姓名</w:t>
            </w:r>
          </w:p>
        </w:tc>
        <w:tc>
          <w:tcPr>
            <w:tcW w:w="1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73591">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2100">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联系电话</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29AB9">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7433">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房号</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BA7D">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09B4E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A63DE">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身份证号码</w:t>
            </w:r>
          </w:p>
        </w:tc>
        <w:tc>
          <w:tcPr>
            <w:tcW w:w="265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48FDE">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F4D7">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装修开始日期</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B2EF3">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2CB31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E67F">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装修结束日期</w:t>
            </w:r>
          </w:p>
        </w:tc>
        <w:tc>
          <w:tcPr>
            <w:tcW w:w="1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3C024">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A8AE9">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装修内容简述</w:t>
            </w:r>
          </w:p>
        </w:tc>
        <w:tc>
          <w:tcPr>
            <w:tcW w:w="212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2B61">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4141D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662D2">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二、装修押金信息</w:t>
            </w:r>
          </w:p>
        </w:tc>
      </w:tr>
      <w:tr w14:paraId="034F7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A509B">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押金缴纳金额（元）</w:t>
            </w:r>
          </w:p>
        </w:tc>
        <w:tc>
          <w:tcPr>
            <w:tcW w:w="1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7AB44">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365E8">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缴纳日期</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D7BB">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12326">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收据编号</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F1897">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6DBF4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C4F27">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三、验收情况</w:t>
            </w:r>
          </w:p>
        </w:tc>
      </w:tr>
      <w:tr w14:paraId="3E77D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0D6D">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验收日期</w:t>
            </w:r>
          </w:p>
        </w:tc>
        <w:tc>
          <w:tcPr>
            <w:tcW w:w="1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93BC">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D4A6">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验收结果</w:t>
            </w:r>
          </w:p>
        </w:tc>
        <w:tc>
          <w:tcPr>
            <w:tcW w:w="212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C4F0B">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□合格  □不合格（需整改）</w:t>
            </w:r>
          </w:p>
        </w:tc>
      </w:tr>
      <w:tr w14:paraId="6B741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834D7">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公共区域损坏情况</w:t>
            </w:r>
          </w:p>
        </w:tc>
        <w:tc>
          <w:tcPr>
            <w:tcW w:w="395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D28A2">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71CF0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0C0A6">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损坏维修费用（元）</w:t>
            </w:r>
          </w:p>
        </w:tc>
        <w:tc>
          <w:tcPr>
            <w:tcW w:w="1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44C22">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47D14">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应退金额（元）</w:t>
            </w:r>
          </w:p>
        </w:tc>
        <w:tc>
          <w:tcPr>
            <w:tcW w:w="212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5BCDE">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3009C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E5EF2">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四、退款信息</w:t>
            </w:r>
          </w:p>
        </w:tc>
      </w:tr>
      <w:tr w14:paraId="44089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D1CE7">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退款方式</w:t>
            </w:r>
          </w:p>
        </w:tc>
        <w:tc>
          <w:tcPr>
            <w:tcW w:w="395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799C">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□银行转账  □现金（需说明原因）</w:t>
            </w:r>
          </w:p>
        </w:tc>
      </w:tr>
      <w:tr w14:paraId="7938A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786CF">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开户银行</w:t>
            </w:r>
          </w:p>
        </w:tc>
        <w:tc>
          <w:tcPr>
            <w:tcW w:w="1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F02ED">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9CC8">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银行账号</w:t>
            </w:r>
          </w:p>
        </w:tc>
        <w:tc>
          <w:tcPr>
            <w:tcW w:w="212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3A2C">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11CD0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E167">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账户名称</w:t>
            </w:r>
          </w:p>
        </w:tc>
        <w:tc>
          <w:tcPr>
            <w:tcW w:w="1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AD360">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A4AD">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联系电话</w:t>
            </w:r>
          </w:p>
        </w:tc>
        <w:tc>
          <w:tcPr>
            <w:tcW w:w="212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9D67E">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5103E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6"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62E4">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五、审批意见</w:t>
            </w:r>
          </w:p>
        </w:tc>
      </w:tr>
      <w:tr w14:paraId="0FD93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8B7AD">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kern w:val="0"/>
                <w:sz w:val="22"/>
                <w:szCs w:val="22"/>
                <w:u w:val="none"/>
                <w:lang w:val="en-US" w:eastAsia="zh-CN" w:bidi="ar"/>
              </w:rPr>
            </w:pPr>
            <w:r>
              <w:rPr>
                <w:rFonts w:hint="eastAsia" w:ascii="方正仿宋_GB2312" w:hAnsi="方正仿宋_GB2312" w:eastAsia="方正仿宋_GB2312" w:cs="方正仿宋_GB2312"/>
                <w:i w:val="0"/>
                <w:iCs w:val="0"/>
                <w:color w:val="000000"/>
                <w:kern w:val="0"/>
                <w:sz w:val="22"/>
                <w:szCs w:val="22"/>
                <w:u w:val="none"/>
                <w:lang w:val="en-US" w:eastAsia="zh-CN" w:bidi="ar"/>
              </w:rPr>
              <w:t>装修业主签字</w:t>
            </w:r>
          </w:p>
        </w:tc>
        <w:tc>
          <w:tcPr>
            <w:tcW w:w="395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DC4E">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288C3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8FF9B">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物业服务中心意见</w:t>
            </w:r>
          </w:p>
        </w:tc>
        <w:tc>
          <w:tcPr>
            <w:tcW w:w="395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98D1A">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3192F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B4F33">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经办人签字</w:t>
            </w:r>
          </w:p>
        </w:tc>
        <w:tc>
          <w:tcPr>
            <w:tcW w:w="395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20343">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05AC0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A29A2">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default" w:ascii="方正仿宋_GB2312" w:hAnsi="方正仿宋_GB2312" w:eastAsia="方正仿宋_GB2312" w:cs="方正仿宋_GB2312"/>
                <w:i w:val="0"/>
                <w:iCs w:val="0"/>
                <w:color w:val="000000"/>
                <w:kern w:val="0"/>
                <w:sz w:val="22"/>
                <w:szCs w:val="22"/>
                <w:u w:val="none"/>
                <w:lang w:val="en-US" w:eastAsia="zh-CN" w:bidi="ar"/>
              </w:rPr>
              <w:t>项目负责人审批</w:t>
            </w:r>
          </w:p>
        </w:tc>
        <w:tc>
          <w:tcPr>
            <w:tcW w:w="395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1B47">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r w14:paraId="5EAAE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jc w:val="center"/>
        </w:trPr>
        <w:tc>
          <w:tcPr>
            <w:tcW w:w="10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9E86">
            <w:pPr>
              <w:keepNext w:val="0"/>
              <w:keepLines w:val="0"/>
              <w:pageBreakBefore w:val="0"/>
              <w:widowControl/>
              <w:suppressLineNumbers w:val="0"/>
              <w:kinsoku/>
              <w:wordWrap/>
              <w:overflowPunct/>
              <w:topLinePunct w:val="0"/>
              <w:autoSpaceDE/>
              <w:autoSpaceDN/>
              <w:bidi w:val="0"/>
              <w:adjustRightInd w:val="0"/>
              <w:snapToGrid w:val="0"/>
              <w:spacing w:after="0"/>
              <w:jc w:val="left"/>
              <w:textAlignment w:val="center"/>
              <w:rPr>
                <w:rFonts w:hint="default" w:ascii="方正仿宋_GB2312" w:hAnsi="方正仿宋_GB2312" w:eastAsia="方正仿宋_GB2312" w:cs="方正仿宋_GB2312"/>
                <w:i w:val="0"/>
                <w:iCs w:val="0"/>
                <w:color w:val="000000"/>
                <w:sz w:val="22"/>
                <w:szCs w:val="22"/>
                <w:u w:val="none"/>
              </w:rPr>
            </w:pPr>
            <w:r>
              <w:rPr>
                <w:rFonts w:hint="eastAsia" w:ascii="方正仿宋_GB2312" w:hAnsi="方正仿宋_GB2312" w:eastAsia="方正仿宋_GB2312" w:cs="方正仿宋_GB2312"/>
                <w:i w:val="0"/>
                <w:iCs w:val="0"/>
                <w:color w:val="000000"/>
                <w:kern w:val="0"/>
                <w:sz w:val="22"/>
                <w:szCs w:val="22"/>
                <w:u w:val="none"/>
                <w:lang w:val="en-US" w:eastAsia="zh-CN" w:bidi="ar"/>
              </w:rPr>
              <w:t>街道（社区）</w:t>
            </w:r>
            <w:r>
              <w:rPr>
                <w:rFonts w:hint="default" w:ascii="方正仿宋_GB2312" w:hAnsi="方正仿宋_GB2312" w:eastAsia="方正仿宋_GB2312" w:cs="方正仿宋_GB2312"/>
                <w:i w:val="0"/>
                <w:iCs w:val="0"/>
                <w:color w:val="000000"/>
                <w:kern w:val="0"/>
                <w:sz w:val="22"/>
                <w:szCs w:val="22"/>
                <w:u w:val="none"/>
                <w:lang w:val="en-US" w:eastAsia="zh-CN" w:bidi="ar"/>
              </w:rPr>
              <w:t>审批人签字</w:t>
            </w:r>
          </w:p>
        </w:tc>
        <w:tc>
          <w:tcPr>
            <w:tcW w:w="395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26A06">
            <w:pPr>
              <w:keepNext w:val="0"/>
              <w:keepLines w:val="0"/>
              <w:pageBreakBefore w:val="0"/>
              <w:widowControl/>
              <w:kinsoku/>
              <w:wordWrap/>
              <w:overflowPunct/>
              <w:topLinePunct w:val="0"/>
              <w:autoSpaceDE/>
              <w:autoSpaceDN/>
              <w:bidi w:val="0"/>
              <w:adjustRightInd w:val="0"/>
              <w:snapToGrid w:val="0"/>
              <w:spacing w:after="0"/>
              <w:jc w:val="left"/>
              <w:rPr>
                <w:rFonts w:hint="default" w:ascii="方正仿宋_GB2312" w:hAnsi="方正仿宋_GB2312" w:eastAsia="方正仿宋_GB2312" w:cs="方正仿宋_GB2312"/>
                <w:i w:val="0"/>
                <w:iCs w:val="0"/>
                <w:color w:val="000000"/>
                <w:sz w:val="22"/>
                <w:szCs w:val="22"/>
                <w:u w:val="none"/>
              </w:rPr>
            </w:pPr>
          </w:p>
        </w:tc>
      </w:tr>
    </w:tbl>
    <w:p w14:paraId="3E288290">
      <w:pPr>
        <w:keepNext w:val="0"/>
        <w:keepLines w:val="0"/>
        <w:pageBreakBefore w:val="0"/>
        <w:kinsoku/>
        <w:wordWrap/>
        <w:overflowPunct/>
        <w:topLinePunct w:val="0"/>
        <w:autoSpaceDE/>
        <w:autoSpaceDN/>
        <w:bidi w:val="0"/>
        <w:adjustRightInd w:val="0"/>
        <w:snapToGrid w:val="0"/>
        <w:spacing w:after="0" w:line="560" w:lineRule="exact"/>
        <w:jc w:val="both"/>
        <w:textAlignment w:val="auto"/>
        <w:rPr>
          <w:rFonts w:hint="default" w:ascii="仿宋_GB2312" w:hAnsi="仿宋_GB2312" w:eastAsia="仿宋_GB2312" w:cs="仿宋_GB2312"/>
          <w:color w:val="auto"/>
          <w:sz w:val="32"/>
          <w:szCs w:val="32"/>
          <w:u w:val="none"/>
          <w:lang w:val="en-US" w:eastAsia="zh-CN"/>
        </w:rPr>
      </w:pPr>
    </w:p>
    <w:sectPr>
      <w:footerReference r:id="rId4" w:type="default"/>
      <w:pgSz w:w="11906" w:h="16838"/>
      <w:pgMar w:top="1984" w:right="1474" w:bottom="1984" w:left="1474" w:header="708" w:footer="708" w:gutter="0"/>
      <w:pgNumType w:fmt="numberInDash"/>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A93AB">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B82566D">
                <w:pPr>
                  <w:pStyle w:val="4"/>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711D64BA"/>
    <w:rsid w:val="000F4CD9"/>
    <w:rsid w:val="0034661E"/>
    <w:rsid w:val="004254DF"/>
    <w:rsid w:val="00B00EB3"/>
    <w:rsid w:val="00B801A6"/>
    <w:rsid w:val="00C47966"/>
    <w:rsid w:val="00F62E9B"/>
    <w:rsid w:val="00FE0CBD"/>
    <w:rsid w:val="01EA717E"/>
    <w:rsid w:val="023C6DB0"/>
    <w:rsid w:val="138F0A8C"/>
    <w:rsid w:val="18B134FC"/>
    <w:rsid w:val="1F3C6152"/>
    <w:rsid w:val="4B8673D1"/>
    <w:rsid w:val="54061EE5"/>
    <w:rsid w:val="66C70AED"/>
    <w:rsid w:val="6F143F3F"/>
    <w:rsid w:val="6F595E64"/>
    <w:rsid w:val="711D64BA"/>
    <w:rsid w:val="7B255716"/>
    <w:rsid w:val="BEF7DE4B"/>
    <w:rsid w:val="F8BBC4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jc w:val="center"/>
      <w:outlineLvl w:val="0"/>
    </w:pPr>
    <w:rPr>
      <w:rFonts w:ascii="Times New Roman" w:hAnsi="Times New Roman" w:eastAsia="方正小标宋简体"/>
      <w:kern w:val="44"/>
      <w:sz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uiPriority w:val="0"/>
    <w:pPr>
      <w:spacing w:after="0"/>
    </w:pPr>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 w:type="character" w:customStyle="1" w:styleId="9">
    <w:name w:val="批注框文本 Char"/>
    <w:basedOn w:val="7"/>
    <w:link w:val="3"/>
    <w:qFormat/>
    <w:uiPriority w:val="0"/>
    <w:rPr>
      <w:rFonts w:ascii="Tahoma" w:hAnsi="Tahoma" w:eastAsia="微软雅黑"/>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2.xml><?xml version="1.0" encoding="utf-8"?>
<contractReview xmlns="http://schemas.wps.cn/vas-ai-hub/contract-review">
  <reviewItems>
    <reviewItem>
      <errorID>52066fa8-fca5-4700-9790-da4356eee210</errorID>
      <errorWord>下</errorWord>
      <group>L1_Word</group>
      <groupName>字词问题</groupName>
      <ability>L2_Typo</ability>
      <abilityName>字词错误</abilityName>
      <candidateList>
        <item>下简</item>
      </candidateList>
      <explain/>
      <paraID>13ABAD1E</paraID>
      <start>43</start>
      <end>44</end>
      <status>ignored</status>
      <modifiedWord/>
      <trackRevisions>false</trackRevisions>
    </reviewItem>
    <reviewItem>
      <errorID>6ab9e10f-d680-40a4-b59f-7208034d3d71</errorID>
      <errorWord>登陆</errorWord>
      <group>L1_Word</group>
      <groupName>字词问题</groupName>
      <ability>L2_Typo</ability>
      <abilityName>字词错误</abilityName>
      <candidateList>
        <item>登录</item>
      </candidateList>
      <explain/>
      <paraID>1211078F</paraID>
      <start>19</start>
      <end>21</end>
      <status>modified</status>
      <modifiedWord>登录</modifiedWord>
      <trackRevisions>false</trackRevisions>
    </reviewItem>
    <reviewItem>
      <errorID>e8d1d401-3de6-4fbf-8687-51185e96f687</errorID>
      <errorWord>[2022]11号</errorWord>
      <group>L1_Knowledge</group>
      <groupName>知识性问题</groupName>
      <ability>L2_Knowledge</ability>
      <abilityName>其他知识</abilityName>
      <candidateList>
        <item>〔2022〕11号</item>
      </candidateList>
      <explain>发文字号格式错误。</explain>
      <paraID>68A6E8A9</paraID>
      <start>51</start>
      <end>60</end>
      <status>modified</status>
      <modifiedWord>〔2022〕11号</modifiedWord>
      <trackRevisions>false</trackRevisions>
    </reviewItem>
    <reviewItem>
      <errorID>a59be6f2-fcda-4ed0-ac34-048eb59feee3</errorID>
      <errorWord>年</errorWord>
      <group>L1_Word</group>
      <groupName>字词问题</groupName>
      <ability>L2_Typo</ability>
      <abilityName>字词错误</abilityName>
      <candidateList>
        <item>年人</item>
      </candidateList>
      <explain/>
      <paraID>2CE19B61</paraID>
      <start>11</start>
      <end>13</end>
      <status>modified</status>
      <modifiedWord>年人</modifiedWord>
      <trackRevisions>false</trackRevisions>
    </reviewItem>
    <reviewItem>
      <errorID>86f384f4-ddc3-4d10-a5ff-ba313d5eebd1</errorID>
      <errorWord>;</errorWord>
      <group>L1_Format</group>
      <groupName>格式问题</groupName>
      <ability>L2_HalfPunc_CN</ability>
      <abilityName>全半角问题</abilityName>
      <candidateList>
        <item>；</item>
      </candidateList>
      <explain>文本全半角错误。</explain>
      <paraID>5BA840A5</paraID>
      <start>17</start>
      <end>18</end>
      <status>modified</status>
      <modifiedWord>；</modifiedWord>
      <trackRevisions>false</trackRevisions>
    </reviewItem>
    <reviewItem>
      <errorID>9494e375-669c-445d-8a8c-2cc3d99d0927</errorID>
      <errorWord>5百</errorWord>
      <group>L1_Knowledge</group>
      <groupName>知识性问题</groupName>
      <ability>L2_Knowledge</ability>
      <abilityName>其他知识</abilityName>
      <candidateList>
        <item>500</item>
      </candidateList>
      <explain>根据GB/T 15835-2011规定，只有“万”、“亿可以与阿拉伯数字混用，例如：“4万”、“4亿”、“4万亿”等。其他情况应统一使用阿拉伯数字。</explain>
      <paraID>3598C40B</paraID>
      <start>51</start>
      <end>53</end>
      <status>ignored</status>
      <modifiedWord/>
      <trackRevisions>false</trackRevisions>
    </reviewItem>
    <reviewItem>
      <errorID>860d8f69-a33a-4dc1-ad8e-ddbc68d43bcf</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3598C40B</paraID>
      <start>56</start>
      <end>58</end>
      <status>ignored</status>
      <modifiedWord/>
      <trackRevisions>false</trackRevisions>
    </reviewItem>
    <reviewItem>
      <errorID>5d90c755-81b4-4985-9938-f7828d152ffd</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3598C40B</paraID>
      <start>73</start>
      <end>75</end>
      <status>ignored</status>
      <modifiedWord/>
      <trackRevisions>false</trackRevisions>
    </reviewItem>
    <reviewItem>
      <errorID>12eaaa59-6b7c-43b4-9742-02ffcedd5d32</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58C8CB49</paraID>
      <start>31</start>
      <end>33</end>
      <status>ignored</status>
      <modifiedWord/>
      <trackRevisions>false</trackRevisions>
    </reviewItem>
    <reviewItem>
      <errorID>3010c07b-4ac7-46ed-bd7d-eeb0ea5f8bfc</errorID>
      <errorWord>5千</errorWord>
      <group>L1_Knowledge</group>
      <groupName>知识性问题</groupName>
      <ability>L2_Knowledge</ability>
      <abilityName>其他知识</abilityName>
      <candidateList>
        <item>5000</item>
      </candidateList>
      <explain>根据GB/T 15835-2011规定，只有“万”、“亿可以与阿拉伯数字混用，例如：“4万”、“4亿”、“4万亿”等。其他情况应统一使用阿拉伯数字。</explain>
      <paraID>58C8CB49</paraID>
      <start>36</start>
      <end>38</end>
      <status>ignored</status>
      <modifiedWord/>
      <trackRevisions>false</trackRevisions>
    </reviewItem>
    <reviewItem>
      <errorID>5ddf92a5-4169-41e8-bbe5-54518235cbc4</errorID>
      <errorWord>5百</errorWord>
      <group>L1_Knowledge</group>
      <groupName>知识性问题</groupName>
      <ability>L2_Knowledge</ability>
      <abilityName>其他知识</abilityName>
      <candidateList>
        <item>500</item>
      </candidateList>
      <explain>根据GB/T 15835-2011规定，只有“万”、“亿可以与阿拉伯数字混用，例如：“4万”、“4亿”、“4万亿”等。其他情况应统一使用阿拉伯数字。</explain>
      <paraID>21B8C67C</paraID>
      <start>24</start>
      <end>26</end>
      <status>ignored</status>
      <modifiedWord/>
      <trackRevisions>false</trackRevisions>
    </reviewItem>
    <reviewItem>
      <errorID>fdcbf3bd-2ad2-4b53-95f1-6e253428993d</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21B8C67C</paraID>
      <start>29</start>
      <end>31</end>
      <status>ignored</status>
      <modifiedWord/>
      <trackRevisions>false</trackRevisions>
    </reviewItem>
    <reviewItem>
      <errorID>bad77a8b-94ad-4f95-a313-a922cd8e2ad6</errorID>
      <errorWord>5百</errorWord>
      <group>L1_Knowledge</group>
      <groupName>知识性问题</groupName>
      <ability>L2_Knowledge</ability>
      <abilityName>其他知识</abilityName>
      <candidateList>
        <item>500</item>
      </candidateList>
      <explain>根据GB/T 15835-2011规定，只有“万”、“亿可以与阿拉伯数字混用，例如：“4万”、“4亿”、“4万亿”等。其他情况应统一使用阿拉伯数字。</explain>
      <paraID>6176E97E</paraID>
      <start>57</start>
      <end>59</end>
      <status>ignored</status>
      <modifiedWord/>
      <trackRevisions>false</trackRevisions>
    </reviewItem>
    <reviewItem>
      <errorID>550fd77b-7411-4a77-ac73-de0c4a593c80</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6176E97E</paraID>
      <start>62</start>
      <end>64</end>
      <status>ignored</status>
      <modifiedWord/>
      <trackRevisions>false</trackRevisions>
    </reviewItem>
    <reviewItem>
      <errorID>6af3e000-bb0f-4be9-b324-e47aa3392e97</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6176E97E</paraID>
      <start>79</start>
      <end>81</end>
      <status>ignored</status>
      <modifiedWord/>
      <trackRevisions>false</trackRevisions>
    </reviewItem>
    <reviewItem>
      <errorID>a7120677-f35b-4d26-b1e5-a274541b6f17</errorID>
      <errorWord>可以</errorWord>
      <group>L1_Word</group>
      <groupName>字词问题</groupName>
      <ability>L2_Typo</ability>
      <abilityName>字词错误</abilityName>
      <candidateList>
        <item>可</item>
      </candidateList>
      <explain/>
      <paraID>462035DE</paraID>
      <start>14</start>
      <end>15</end>
      <status>modified</status>
      <modifiedWord>可</modifiedWord>
      <trackRevisions>false</trackRevisions>
    </reviewItem>
    <reviewItem>
      <errorID>194e2893-699e-4203-b637-d5e73b8c93eb</errorID>
      <errorWord>:</errorWord>
      <group>L1_Format</group>
      <groupName>格式问题</groupName>
      <ability>L2_HalfPunc_CN</ability>
      <abilityName>全半角问题</abilityName>
      <candidateList>
        <item>：</item>
      </candidateList>
      <explain>文本全半角错误。</explain>
      <paraID>561236AB</paraID>
      <start>4</start>
      <end>5</end>
      <status>modified</status>
      <modifiedWord>：</modifiedWord>
      <trackRevisions>false</trackRevisions>
    </reviewItem>
    <reviewItem>
      <errorID>3bd48d6d-0a01-42d6-a177-621cd6268529</errorID>
      <errorWord>登陆</errorWord>
      <group>L1_Word</group>
      <groupName>字词问题</groupName>
      <ability>L2_Typo</ability>
      <abilityName>字词错误</abilityName>
      <candidateList>
        <item>登录</item>
      </candidateList>
      <explain/>
      <paraID>11F7B753</paraID>
      <start>87</start>
      <end>89</end>
      <status>modified</status>
      <modifiedWord>登录</modifiedWord>
      <trackRevisions>false</trackRevisions>
    </reviewItem>
    <reviewItem>
      <errorID>9f3f57df-d56e-4ec5-b912-f8fa1b47af89</errorID>
      <errorWord>登陆</errorWord>
      <group>L1_Word</group>
      <groupName>字词问题</groupName>
      <ability>L2_Typo</ability>
      <abilityName>字词错误</abilityName>
      <candidateList>
        <item>登录</item>
      </candidateList>
      <explain/>
      <paraID>3184165D</paraID>
      <start>35</start>
      <end>37</end>
      <status>modified</status>
      <modifiedWord>登录</modifiedWord>
      <trackRevisions>false</trackRevisions>
    </reviewItem>
    <reviewItem>
      <errorID>8d9fd301-f573-48d4-b40e-01a563306ed1</errorID>
      <errorWord>登陆</errorWord>
      <group>L1_Word</group>
      <groupName>字词问题</groupName>
      <ability>L2_Typo</ability>
      <abilityName>字词错误</abilityName>
      <candidateList>
        <item>登录</item>
      </candidateList>
      <explain>存在发音相同字词的误用。</explain>
      <paraID>3184165D</paraID>
      <start>78</start>
      <end>80</end>
      <status>modified</status>
      <modifiedWord>登录</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4368b4-3797-448c-9054-59abee84f423}">
  <ds:schemaRefs/>
</ds:datastoreItem>
</file>

<file path=docProps/app.xml><?xml version="1.0" encoding="utf-8"?>
<Properties xmlns="http://schemas.openxmlformats.org/officeDocument/2006/extended-properties" xmlns:vt="http://schemas.openxmlformats.org/officeDocument/2006/docPropsVTypes">
  <Template>Normal</Template>
  <Pages>13</Pages>
  <Words>4692</Words>
  <Characters>4760</Characters>
  <Lines>28</Lines>
  <Paragraphs>7</Paragraphs>
  <TotalTime>46</TotalTime>
  <ScaleCrop>false</ScaleCrop>
  <LinksUpToDate>false</LinksUpToDate>
  <CharactersWithSpaces>4841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2026-09-21T21:10:00Z</dcterms:created>
  <dc:creator>蜗牛</dc:creator>
  <cp:lastModifiedBy>拼搏的南瓜</cp:lastModifiedBy>
  <cp:lastPrinted>2026-09-22T09:24:00Z</cp:lastPrinted>
  <dcterms:modified xsi:type="dcterms:W3CDTF">2026-09-30T09:05:07Z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64CD5CEECD354BFC8A0807A8179D4028_11</vt:lpwstr>
  </property>
  <property fmtid="{D5CDD505-2E9C-101B-9397-08002B2CF9AE}" pid="4" name="KSOTemplateDocerSaveRecord">
    <vt:lpwstr>eyJoZGlkIjoiOGIwNzc0ODdmNzI4ZDBhZDFmMGYwNGY3NGQ2MWFlNjQiLCJ1c2VySWQiOiI3NTQwMTg5NTcifQ==</vt:lpwstr>
  </property>
</Properties>
</file>