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附件2</w:t>
      </w:r>
    </w:p>
    <w:p>
      <w:pPr>
        <w:jc w:val="center"/>
        <w:rPr>
          <w:rFonts w:eastAsia="方正小标宋简体"/>
          <w:sz w:val="44"/>
          <w:szCs w:val="44"/>
        </w:rPr>
      </w:pPr>
      <w:r>
        <w:rPr>
          <w:rFonts w:eastAsia="方正小标宋简体"/>
          <w:sz w:val="44"/>
          <w:szCs w:val="44"/>
        </w:rPr>
        <w:t>倾斜摄影数据汇交要求</w:t>
      </w:r>
    </w:p>
    <w:p>
      <w:pPr>
        <w:spacing w:line="360" w:lineRule="auto"/>
        <w:ind w:right="-105" w:rightChars="-50"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各市州按县市及市本级分类组织后统一汇交，汇交要求如下：</w:t>
      </w:r>
    </w:p>
    <w:p>
      <w:pPr>
        <w:spacing w:line="360" w:lineRule="auto"/>
        <w:ind w:right="-105" w:rightChars="-50"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1.目录文件结构要求</w:t>
      </w:r>
    </w:p>
    <w:p>
      <w:pPr>
        <w:ind w:right="-105" w:rightChars="-50"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按照以下文件目录结构样例汇交。</w:t>
      </w:r>
      <w:r>
        <w:drawing>
          <wp:inline distT="0" distB="0" distL="114300" distR="114300">
            <wp:extent cx="6127115" cy="6528435"/>
            <wp:effectExtent l="0" t="0" r="6985" b="571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127115" cy="6528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5"/>
        <w:tabs>
          <w:tab w:val="left" w:pos="1508"/>
        </w:tabs>
        <w:ind w:firstLine="64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2.命名规则和内容要求</w:t>
      </w:r>
    </w:p>
    <w:p>
      <w:pPr>
        <w:pStyle w:val="5"/>
        <w:tabs>
          <w:tab w:val="left" w:pos="1508"/>
        </w:tabs>
        <w:ind w:firstLine="64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对照结构样例图，对文件目录含义、命名规则和关系要求如下：</w:t>
      </w:r>
    </w:p>
    <w:p>
      <w:pPr>
        <w:pStyle w:val="5"/>
        <w:tabs>
          <w:tab w:val="left" w:pos="1508"/>
        </w:tabs>
        <w:ind w:firstLine="64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（1）根目录</w:t>
      </w:r>
    </w:p>
    <w:p>
      <w:pPr>
        <w:pStyle w:val="5"/>
        <w:tabs>
          <w:tab w:val="left" w:pos="1508"/>
        </w:tabs>
        <w:ind w:firstLine="64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命名规则为：市州全称+“汇交成果”，包含辖区内各县市级成果汇交目录。</w:t>
      </w:r>
    </w:p>
    <w:p>
      <w:pPr>
        <w:pStyle w:val="5"/>
        <w:tabs>
          <w:tab w:val="left" w:pos="1508"/>
        </w:tabs>
        <w:ind w:firstLine="64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（2）县市级成果目录</w:t>
      </w:r>
    </w:p>
    <w:p>
      <w:pPr>
        <w:pStyle w:val="5"/>
        <w:tabs>
          <w:tab w:val="left" w:pos="1508"/>
        </w:tabs>
        <w:ind w:firstLine="64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命名规则为：县市全称+“汇交成果”或市州全称+“市本级 汇交成果”，包含辖区收集到的各任务区成果目录。</w:t>
      </w:r>
    </w:p>
    <w:p>
      <w:pPr>
        <w:pStyle w:val="5"/>
        <w:tabs>
          <w:tab w:val="left" w:pos="1508"/>
        </w:tabs>
        <w:ind w:firstLine="64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（3）任务区成果目录</w:t>
      </w:r>
    </w:p>
    <w:p>
      <w:pPr>
        <w:pStyle w:val="5"/>
        <w:tabs>
          <w:tab w:val="left" w:pos="1508"/>
        </w:tabs>
        <w:ind w:firstLine="64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命名规则为：所在目录名称＋３位序号，包含三维成果、正射影像图成果。</w:t>
      </w:r>
    </w:p>
    <w:p>
      <w:pPr>
        <w:pStyle w:val="5"/>
        <w:tabs>
          <w:tab w:val="left" w:pos="1508"/>
        </w:tabs>
        <w:ind w:firstLine="64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（4）三维成果目录</w:t>
      </w:r>
    </w:p>
    <w:p>
      <w:pPr>
        <w:pStyle w:val="5"/>
        <w:tabs>
          <w:tab w:val="left" w:pos="1508"/>
        </w:tabs>
        <w:ind w:firstLine="64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三维成果目录命名规则为：所在目录名称＋“_OSGB”，包含 Data目录、metadata.xml文件、元数据文件和坐标转换点对照文件。</w:t>
      </w:r>
    </w:p>
    <w:p>
      <w:pPr>
        <w:pStyle w:val="5"/>
        <w:tabs>
          <w:tab w:val="left" w:pos="1508"/>
        </w:tabs>
        <w:ind w:firstLine="64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Data目录为软件产生，包含 OSGB数据本体，名称“Data”</w:t>
      </w:r>
      <w:r>
        <w:rPr>
          <w:rFonts w:hint="eastAsia" w:ascii="Times New Roman" w:hAnsi="Times New Roman" w:eastAsia="仿宋_GB2312"/>
          <w:sz w:val="32"/>
          <w:szCs w:val="32"/>
        </w:rPr>
        <w:t>维持</w:t>
      </w:r>
      <w:r>
        <w:rPr>
          <w:rFonts w:ascii="Times New Roman" w:hAnsi="Times New Roman" w:eastAsia="仿宋_GB2312"/>
          <w:sz w:val="32"/>
          <w:szCs w:val="32"/>
        </w:rPr>
        <w:t>不变。</w:t>
      </w:r>
    </w:p>
    <w:p>
      <w:pPr>
        <w:pStyle w:val="5"/>
        <w:tabs>
          <w:tab w:val="left" w:pos="1508"/>
        </w:tabs>
        <w:ind w:firstLine="64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metadata.xml文件为软件产生，是数据描述文件，其中至少应包含空间参考和模型中心偏移量，名称“metadata.xml”维持不变。</w:t>
      </w:r>
    </w:p>
    <w:p>
      <w:pPr>
        <w:pStyle w:val="5"/>
        <w:tabs>
          <w:tab w:val="left" w:pos="1508"/>
        </w:tabs>
        <w:ind w:firstLine="64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（5）正射影像图目录</w:t>
      </w:r>
    </w:p>
    <w:p>
      <w:pPr>
        <w:pStyle w:val="5"/>
        <w:tabs>
          <w:tab w:val="left" w:pos="1508"/>
        </w:tabs>
        <w:ind w:firstLine="64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正射影像图目录命名规则为：所在目录名称+“_DOM”，包含正射影像文件、空间参考定义文件、元数据文件和坐标转换点对照文件。</w:t>
      </w:r>
    </w:p>
    <w:p>
      <w:pPr>
        <w:pStyle w:val="5"/>
        <w:tabs>
          <w:tab w:val="left" w:pos="1508"/>
        </w:tabs>
        <w:ind w:firstLine="64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正射影像文件格式为TIFF，命名规则为：所在目录名称</w:t>
      </w:r>
    </w:p>
    <w:p>
      <w:pPr>
        <w:pStyle w:val="5"/>
        <w:tabs>
          <w:tab w:val="left" w:pos="1508"/>
        </w:tabs>
        <w:ind w:firstLine="0" w:firstLineChars="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+“.TIFF”。</w:t>
      </w:r>
    </w:p>
    <w:p>
      <w:pPr>
        <w:pStyle w:val="5"/>
        <w:tabs>
          <w:tab w:val="left" w:pos="1508"/>
        </w:tabs>
        <w:ind w:firstLine="64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空间参考文件格式为PRJ，命名规则为：所在目录名称</w:t>
      </w:r>
    </w:p>
    <w:p>
      <w:pPr>
        <w:pStyle w:val="5"/>
        <w:tabs>
          <w:tab w:val="left" w:pos="1508"/>
        </w:tabs>
        <w:ind w:firstLine="0" w:firstLineChars="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+“.PRJ”。</w:t>
      </w:r>
    </w:p>
    <w:p>
      <w:pPr>
        <w:pStyle w:val="5"/>
        <w:tabs>
          <w:tab w:val="left" w:pos="1508"/>
        </w:tabs>
        <w:ind w:firstLine="64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（6）元数据文件</w:t>
      </w:r>
    </w:p>
    <w:p>
      <w:pPr>
        <w:pStyle w:val="5"/>
        <w:tabs>
          <w:tab w:val="left" w:pos="1508"/>
        </w:tabs>
        <w:ind w:firstLine="64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元数据文件为Excel 2007格式，参照附件3填写，命名规则为：所在目录名称+“.xlsx”。</w:t>
      </w:r>
    </w:p>
    <w:p>
      <w:pPr>
        <w:pStyle w:val="5"/>
        <w:tabs>
          <w:tab w:val="left" w:pos="1508"/>
        </w:tabs>
        <w:ind w:firstLine="64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（7）坐标转换点对照文件</w:t>
      </w:r>
    </w:p>
    <w:p>
      <w:pPr>
        <w:pStyle w:val="5"/>
        <w:tabs>
          <w:tab w:val="left" w:pos="1508"/>
        </w:tabs>
        <w:ind w:firstLine="64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成果平面坐标系统不是2000国家大地坐标系时，需提供坐标转换参数文件，数据格式为Excel 2007，参照附件4填写，命名为：“坐标转换参数.xlsx”。</w:t>
      </w:r>
    </w:p>
    <w:p>
      <w:pPr>
        <w:spacing w:line="360" w:lineRule="auto"/>
        <w:ind w:firstLine="640" w:firstLineChars="200"/>
        <w:rPr>
          <w:rFonts w:eastAsia="仿宋_GB2312"/>
          <w:sz w:val="32"/>
          <w:szCs w:val="32"/>
        </w:rPr>
        <w:sectPr>
          <w:footerReference r:id="rId3" w:type="default"/>
          <w:pgSz w:w="11910" w:h="16840"/>
          <w:pgMar w:top="1440" w:right="1797" w:bottom="1440" w:left="1797" w:header="0" w:footer="1252" w:gutter="0"/>
          <w:cols w:space="720" w:num="1"/>
        </w:sect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7</w:t>
    </w:r>
    <w: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876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List Paragraph"/>
    <w:basedOn w:val="1"/>
    <w:qFormat/>
    <w:uiPriority w:val="0"/>
    <w:pPr>
      <w:spacing w:line="360" w:lineRule="auto"/>
      <w:ind w:firstLine="420" w:firstLineChars="200"/>
      <w:jc w:val="left"/>
    </w:pPr>
    <w:rPr>
      <w:rFonts w:ascii="Calibri" w:hAnsi="Calibri"/>
      <w:sz w:val="24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2021-01-29T09:27:22Z</dcterms:created>
  <dc:creator>Administrator</dc:creator>
  <cp:lastModifiedBy>易礼</cp:lastModifiedBy>
  <dcterms:modified xsi:type="dcterms:W3CDTF">2021-01-29T09:30:21Z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