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rPr>
          <w:rFonts w:ascii="Calibri" w:hAnsi="Calibri" w:eastAsia="宋体" w:cs="Calibri"/>
          <w:kern w:val="0"/>
          <w:szCs w:val="21"/>
        </w:rPr>
      </w:pPr>
      <w:r>
        <w:rPr>
          <w:rFonts w:hint="eastAsia" w:ascii="黑体" w:hAnsi="黑体" w:eastAsia="黑体" w:cs="Calibri"/>
          <w:kern w:val="0"/>
          <w:sz w:val="32"/>
          <w:szCs w:val="32"/>
        </w:rPr>
        <w:t>附件</w:t>
      </w:r>
      <w:r>
        <w:rPr>
          <w:rFonts w:ascii="Times New Roman" w:hAnsi="Times New Roman" w:eastAsia="宋体" w:cs="Times New Roman"/>
          <w:kern w:val="0"/>
          <w:sz w:val="32"/>
          <w:szCs w:val="32"/>
        </w:rPr>
        <w:t>1</w:t>
      </w:r>
    </w:p>
    <w:p>
      <w:pPr>
        <w:widowControl/>
        <w:shd w:val="clear" w:color="auto" w:fill="FFFFFF"/>
        <w:spacing w:line="600" w:lineRule="atLeast"/>
        <w:jc w:val="center"/>
        <w:rPr>
          <w:rFonts w:ascii="Calibri" w:hAnsi="Calibri" w:eastAsia="宋体" w:cs="Calibri"/>
          <w:kern w:val="0"/>
          <w:szCs w:val="21"/>
        </w:rPr>
      </w:pPr>
      <w:r>
        <w:rPr>
          <w:rFonts w:hint="eastAsia" w:ascii="方正小标宋简体" w:hAnsi="Calibri" w:eastAsia="方正小标宋简体" w:cs="Calibri"/>
          <w:kern w:val="0"/>
          <w:sz w:val="44"/>
          <w:szCs w:val="44"/>
        </w:rPr>
        <w:t>健康永州行动考核指标框架</w:t>
      </w:r>
    </w:p>
    <w:tbl>
      <w:tblPr>
        <w:tblStyle w:val="3"/>
        <w:tblW w:w="9306" w:type="dxa"/>
        <w:jc w:val="center"/>
        <w:tblInd w:w="0" w:type="dxa"/>
        <w:tblLayout w:type="fixed"/>
        <w:tblCellMar>
          <w:top w:w="0" w:type="dxa"/>
          <w:left w:w="0" w:type="dxa"/>
          <w:bottom w:w="0" w:type="dxa"/>
          <w:right w:w="0" w:type="dxa"/>
        </w:tblCellMar>
      </w:tblPr>
      <w:tblGrid>
        <w:gridCol w:w="729"/>
        <w:gridCol w:w="5440"/>
        <w:gridCol w:w="1559"/>
        <w:gridCol w:w="1578"/>
      </w:tblGrid>
      <w:tr>
        <w:tblPrEx>
          <w:tblLayout w:type="fixed"/>
          <w:tblCellMar>
            <w:top w:w="0" w:type="dxa"/>
            <w:left w:w="0" w:type="dxa"/>
            <w:bottom w:w="0" w:type="dxa"/>
            <w:right w:w="0" w:type="dxa"/>
          </w:tblCellMar>
        </w:tblPrEx>
        <w:trPr>
          <w:trHeight w:val="340" w:hRule="atLeast"/>
          <w:jc w:val="center"/>
        </w:trPr>
        <w:tc>
          <w:tcPr>
            <w:tcW w:w="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序号</w:t>
            </w:r>
          </w:p>
        </w:tc>
        <w:tc>
          <w:tcPr>
            <w:tcW w:w="54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指标</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基期水平</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2022</w:t>
            </w:r>
            <w:r>
              <w:rPr>
                <w:rFonts w:hint="eastAsia" w:ascii="宋体" w:hAnsi="宋体" w:eastAsia="宋体" w:cs="Calibri"/>
                <w:kern w:val="0"/>
                <w:sz w:val="20"/>
                <w:szCs w:val="20"/>
              </w:rPr>
              <w:t>年目标值</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人均预期寿命（岁）</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78.12</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78.8</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婴儿死亡率（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3.09</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持续改善</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ascii="Times New Roman" w:hAnsi="Times New Roman" w:eastAsia="宋体" w:cs="Times New Roman"/>
                <w:kern w:val="0"/>
                <w:sz w:val="20"/>
                <w:szCs w:val="20"/>
              </w:rPr>
              <w:t>5</w:t>
            </w:r>
            <w:r>
              <w:rPr>
                <w:rFonts w:hint="eastAsia" w:ascii="宋体" w:hAnsi="宋体" w:eastAsia="宋体" w:cs="Calibri"/>
                <w:kern w:val="0"/>
                <w:sz w:val="20"/>
                <w:szCs w:val="20"/>
              </w:rPr>
              <w:t>岁以下儿童死亡率（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5.06</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持续改善</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4</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孕产妇死亡率（</w:t>
            </w:r>
            <w:r>
              <w:rPr>
                <w:rFonts w:ascii="Times New Roman" w:hAnsi="Times New Roman" w:eastAsia="宋体" w:cs="Times New Roman"/>
                <w:kern w:val="0"/>
                <w:sz w:val="20"/>
                <w:szCs w:val="20"/>
              </w:rPr>
              <w:t>1/10</w:t>
            </w:r>
            <w:r>
              <w:rPr>
                <w:rFonts w:hint="eastAsia" w:ascii="宋体" w:hAnsi="宋体" w:eastAsia="宋体" w:cs="Calibri"/>
                <w:kern w:val="0"/>
                <w:sz w:val="20"/>
                <w:szCs w:val="20"/>
              </w:rPr>
              <w:t>万）</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10.12</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持续改善</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5</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城乡居民达到《国民体质测定标准》合格以上的人数比例（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89.6</w:t>
            </w:r>
            <w:r>
              <w:rPr>
                <w:rFonts w:hint="eastAsia" w:ascii="宋体" w:hAnsi="宋体" w:eastAsia="宋体" w:cs="Calibri"/>
                <w:kern w:val="0"/>
                <w:sz w:val="20"/>
                <w:szCs w:val="20"/>
              </w:rPr>
              <w:t>（</w:t>
            </w:r>
            <w:r>
              <w:rPr>
                <w:rFonts w:ascii="Times New Roman" w:hAnsi="Times New Roman" w:eastAsia="宋体" w:cs="Times New Roman"/>
                <w:kern w:val="0"/>
                <w:sz w:val="20"/>
                <w:szCs w:val="20"/>
              </w:rPr>
              <w:t>2015</w:t>
            </w:r>
            <w:r>
              <w:rPr>
                <w:rFonts w:hint="eastAsia" w:ascii="宋体" w:hAnsi="宋体" w:eastAsia="宋体" w:cs="Calibri"/>
                <w:kern w:val="0"/>
                <w:sz w:val="20"/>
                <w:szCs w:val="20"/>
              </w:rPr>
              <w:t>年）</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≥91</w:t>
            </w:r>
          </w:p>
        </w:tc>
      </w:tr>
      <w:tr>
        <w:tblPrEx>
          <w:tblLayout w:type="fixed"/>
          <w:tblCellMar>
            <w:top w:w="0" w:type="dxa"/>
            <w:left w:w="0" w:type="dxa"/>
            <w:bottom w:w="0" w:type="dxa"/>
            <w:right w:w="0" w:type="dxa"/>
          </w:tblCellMar>
        </w:tblPrEx>
        <w:trPr>
          <w:trHeight w:val="31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6</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居民健康素养水平（</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16.8</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≥22</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7</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经常参加体育锻炼人数比例（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30</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≥37</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重大慢性病过早死亡率（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21.65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≤15.9</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每千常住人口执业（助理）医师数（人）</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2.62</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2.85</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10</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个人卫生支出占卫生总费用的比重（</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33.55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w:t>
            </w:r>
            <w:r>
              <w:rPr>
                <w:rFonts w:ascii="Times New Roman" w:hAnsi="Times New Roman" w:eastAsia="宋体" w:cs="Times New Roman"/>
                <w:kern w:val="0"/>
                <w:sz w:val="20"/>
                <w:szCs w:val="20"/>
              </w:rPr>
              <w:t>30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11</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建立并完善健康科普专家库和资源库，构建健康科普知识发布和传播机制</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持续加强</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12</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建立医疗机构和医务人员开展健康教育和健康促进的绩效考核机制</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持续加强</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13</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产前筛查率（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96.54</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14</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新生儿遗传代谢性疾病筛查率（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96.35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≥98</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15</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农村适龄妇女宫颈癌和乳腺癌筛查覆盖率（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87.25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16</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学生体质健康标准达标优良率（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31.75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≥50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17</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符合要求的中小学体育与健康课程开课率（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100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18</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中小学生每天校内体育活动时间（小时）</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19</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寄宿制中小学校或</w:t>
            </w:r>
            <w:r>
              <w:rPr>
                <w:rFonts w:ascii="Times New Roman" w:hAnsi="Times New Roman" w:eastAsia="宋体" w:cs="Times New Roman"/>
                <w:kern w:val="0"/>
                <w:sz w:val="20"/>
                <w:szCs w:val="20"/>
              </w:rPr>
              <w:t>600</w:t>
            </w:r>
            <w:r>
              <w:rPr>
                <w:rFonts w:hint="eastAsia" w:ascii="宋体" w:hAnsi="宋体" w:eastAsia="宋体" w:cs="Calibri"/>
                <w:kern w:val="0"/>
                <w:sz w:val="20"/>
                <w:szCs w:val="20"/>
              </w:rPr>
              <w:t>名学生以上的非寄宿制中小学校配备专职卫生专业技术人员、</w:t>
            </w:r>
            <w:r>
              <w:rPr>
                <w:rFonts w:ascii="Times New Roman" w:hAnsi="Times New Roman" w:eastAsia="宋体" w:cs="Times New Roman"/>
                <w:kern w:val="0"/>
                <w:sz w:val="20"/>
                <w:szCs w:val="20"/>
              </w:rPr>
              <w:t>600</w:t>
            </w:r>
            <w:r>
              <w:rPr>
                <w:rFonts w:hint="eastAsia" w:ascii="宋体" w:hAnsi="宋体" w:eastAsia="宋体" w:cs="Calibri"/>
                <w:kern w:val="0"/>
                <w:sz w:val="20"/>
                <w:szCs w:val="20"/>
              </w:rPr>
              <w:t>名学生以下的非寄宿制中小学校配备专兼职保健教师或卫生专业技术人员的比例（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≥70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20</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配备专兼职心理健康工作人员的中小学校比例（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80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21</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接尘工龄不足</w:t>
            </w:r>
            <w:r>
              <w:rPr>
                <w:rFonts w:ascii="Times New Roman" w:hAnsi="Times New Roman" w:eastAsia="宋体" w:cs="Times New Roman"/>
                <w:kern w:val="0"/>
                <w:sz w:val="20"/>
                <w:szCs w:val="20"/>
              </w:rPr>
              <w:t>5</w:t>
            </w:r>
            <w:r>
              <w:rPr>
                <w:rFonts w:hint="eastAsia" w:ascii="宋体" w:hAnsi="宋体" w:eastAsia="宋体" w:cs="Calibri"/>
                <w:kern w:val="0"/>
                <w:sz w:val="20"/>
                <w:szCs w:val="20"/>
              </w:rPr>
              <w:t>年的劳动者新发尘肺病报告例数占年度报告总例数比例（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下降</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22</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二级以上综合性医院设老年医学科比例（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≥50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23</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高血压患者规范管理率（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2015</w:t>
            </w:r>
            <w:r>
              <w:rPr>
                <w:rFonts w:hint="eastAsia" w:ascii="宋体" w:hAnsi="宋体" w:eastAsia="宋体" w:cs="Calibri"/>
                <w:kern w:val="0"/>
                <w:sz w:val="20"/>
                <w:szCs w:val="20"/>
              </w:rPr>
              <w:t>年为</w:t>
            </w:r>
            <w:r>
              <w:rPr>
                <w:rFonts w:ascii="Times New Roman" w:hAnsi="Times New Roman" w:eastAsia="宋体" w:cs="Times New Roman"/>
                <w:kern w:val="0"/>
                <w:sz w:val="20"/>
                <w:szCs w:val="20"/>
              </w:rPr>
              <w:t>50</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≥60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24</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糖尿病患者规范管理率（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2015</w:t>
            </w:r>
            <w:r>
              <w:rPr>
                <w:rFonts w:hint="eastAsia" w:ascii="宋体" w:hAnsi="宋体" w:eastAsia="宋体" w:cs="Calibri"/>
                <w:kern w:val="0"/>
                <w:sz w:val="20"/>
                <w:szCs w:val="20"/>
              </w:rPr>
              <w:t>年为</w:t>
            </w:r>
            <w:r>
              <w:rPr>
                <w:rFonts w:ascii="Times New Roman" w:hAnsi="Times New Roman" w:eastAsia="宋体" w:cs="Times New Roman"/>
                <w:kern w:val="0"/>
                <w:sz w:val="20"/>
                <w:szCs w:val="20"/>
              </w:rPr>
              <w:t>50</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≥60</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25</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乡镇卫生院、社区卫生服务中心提供中医非药物疗法的比例（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），村卫生室提供中医非药物疗法的比例（</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98.8</w:t>
            </w:r>
            <w:r>
              <w:rPr>
                <w:rFonts w:hint="eastAsia" w:ascii="宋体" w:hAnsi="宋体" w:eastAsia="宋体" w:cs="Calibri"/>
                <w:kern w:val="0"/>
                <w:sz w:val="20"/>
                <w:szCs w:val="20"/>
              </w:rPr>
              <w:t>，</w:t>
            </w:r>
            <w:r>
              <w:rPr>
                <w:rFonts w:ascii="Times New Roman" w:hAnsi="Times New Roman" w:eastAsia="宋体" w:cs="Times New Roman"/>
                <w:kern w:val="0"/>
                <w:sz w:val="20"/>
                <w:szCs w:val="20"/>
              </w:rPr>
              <w:t>64.5</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100</w:t>
            </w:r>
            <w:r>
              <w:rPr>
                <w:rFonts w:hint="eastAsia" w:ascii="宋体" w:hAnsi="宋体" w:eastAsia="宋体" w:cs="Calibri"/>
                <w:kern w:val="0"/>
                <w:sz w:val="20"/>
                <w:szCs w:val="20"/>
              </w:rPr>
              <w:t>，</w:t>
            </w:r>
            <w:r>
              <w:rPr>
                <w:rFonts w:ascii="Times New Roman" w:hAnsi="Times New Roman" w:eastAsia="宋体" w:cs="Times New Roman"/>
                <w:kern w:val="0"/>
                <w:sz w:val="20"/>
                <w:szCs w:val="20"/>
              </w:rPr>
              <w:t>75</w:t>
            </w:r>
          </w:p>
        </w:tc>
      </w:tr>
      <w:tr>
        <w:tblPrEx>
          <w:tblLayout w:type="fixed"/>
          <w:tblCellMar>
            <w:top w:w="0" w:type="dxa"/>
            <w:left w:w="0" w:type="dxa"/>
            <w:bottom w:w="0" w:type="dxa"/>
            <w:right w:w="0" w:type="dxa"/>
          </w:tblCellMar>
        </w:tblPrEx>
        <w:trPr>
          <w:trHeight w:val="340" w:hRule="atLeast"/>
          <w:jc w:val="center"/>
        </w:trPr>
        <w:tc>
          <w:tcPr>
            <w:tcW w:w="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26</w:t>
            </w:r>
          </w:p>
        </w:tc>
        <w:tc>
          <w:tcPr>
            <w:tcW w:w="54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left"/>
              <w:rPr>
                <w:rFonts w:ascii="Calibri" w:hAnsi="Calibri" w:eastAsia="宋体" w:cs="Calibri"/>
                <w:kern w:val="0"/>
                <w:szCs w:val="21"/>
              </w:rPr>
            </w:pPr>
            <w:r>
              <w:rPr>
                <w:rFonts w:hint="eastAsia" w:ascii="宋体" w:hAnsi="宋体" w:eastAsia="宋体" w:cs="Calibri"/>
                <w:kern w:val="0"/>
                <w:sz w:val="20"/>
                <w:szCs w:val="20"/>
              </w:rPr>
              <w:t>以乡（镇、街道）为单位适龄儿童免疫规划疫苗接种率（</w:t>
            </w:r>
            <w:r>
              <w:rPr>
                <w:rFonts w:ascii="Times New Roman" w:hAnsi="Times New Roman" w:eastAsia="宋体" w:cs="Times New Roman"/>
                <w:kern w:val="0"/>
                <w:sz w:val="20"/>
                <w:szCs w:val="20"/>
              </w:rPr>
              <w:t>%</w:t>
            </w:r>
            <w:r>
              <w:rPr>
                <w:rFonts w:hint="eastAsia" w:ascii="宋体" w:hAnsi="宋体" w:eastAsia="宋体" w:cs="Calibri"/>
                <w:kern w:val="0"/>
                <w:sz w:val="20"/>
                <w:szCs w:val="20"/>
              </w:rPr>
              <w:t>）</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ascii="Times New Roman" w:hAnsi="Times New Roman" w:eastAsia="宋体" w:cs="Times New Roman"/>
                <w:kern w:val="0"/>
                <w:sz w:val="20"/>
                <w:szCs w:val="20"/>
              </w:rPr>
              <w:t>99.74</w:t>
            </w:r>
          </w:p>
        </w:tc>
        <w:tc>
          <w:tcPr>
            <w:tcW w:w="15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Calibri" w:hAnsi="Calibri" w:eastAsia="宋体" w:cs="Calibri"/>
                <w:kern w:val="0"/>
                <w:szCs w:val="21"/>
              </w:rPr>
            </w:pPr>
            <w:r>
              <w:rPr>
                <w:rFonts w:hint="eastAsia" w:ascii="宋体" w:hAnsi="宋体" w:eastAsia="宋体" w:cs="Calibri"/>
                <w:kern w:val="0"/>
                <w:sz w:val="20"/>
                <w:szCs w:val="20"/>
              </w:rPr>
              <w:t>＞</w:t>
            </w:r>
            <w:r>
              <w:rPr>
                <w:rFonts w:ascii="Times New Roman" w:hAnsi="Times New Roman" w:eastAsia="宋体" w:cs="Times New Roman"/>
                <w:kern w:val="0"/>
                <w:sz w:val="20"/>
                <w:szCs w:val="20"/>
              </w:rPr>
              <w:t>98</w:t>
            </w:r>
          </w:p>
        </w:tc>
      </w:tr>
    </w:tbl>
    <w:p>
      <w:pPr>
        <w:widowControl/>
        <w:shd w:val="clear" w:color="auto" w:fill="FFFFFF"/>
        <w:spacing w:line="600" w:lineRule="atLeast"/>
        <w:rPr>
          <w:rFonts w:hint="eastAsia" w:ascii="宋体" w:hAnsi="宋体" w:eastAsia="宋体" w:cs="Calibri"/>
          <w:kern w:val="0"/>
          <w:sz w:val="20"/>
          <w:szCs w:val="20"/>
        </w:rPr>
      </w:pPr>
      <w:r>
        <w:rPr>
          <w:rFonts w:hint="eastAsia" w:ascii="宋体" w:hAnsi="宋体" w:eastAsia="宋体" w:cs="Calibri"/>
          <w:kern w:val="0"/>
          <w:sz w:val="20"/>
          <w:szCs w:val="20"/>
        </w:rPr>
        <w:t>注：未写明年份的基期水平值均为</w:t>
      </w:r>
      <w:r>
        <w:rPr>
          <w:rFonts w:ascii="Times New Roman" w:hAnsi="Times New Roman" w:eastAsia="宋体" w:cs="Times New Roman"/>
          <w:kern w:val="0"/>
          <w:sz w:val="20"/>
          <w:szCs w:val="20"/>
        </w:rPr>
        <w:t>2018</w:t>
      </w:r>
      <w:r>
        <w:rPr>
          <w:rFonts w:hint="eastAsia" w:ascii="宋体" w:hAnsi="宋体" w:eastAsia="宋体" w:cs="Calibri"/>
          <w:kern w:val="0"/>
          <w:sz w:val="20"/>
          <w:szCs w:val="20"/>
        </w:rPr>
        <w:t>年全市基数。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A6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WPS_265405322</cp:lastModifiedBy>
  <dcterms:modified xsi:type="dcterms:W3CDTF">2021-11-30T01:35:26Z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