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21"/>
          <w:szCs w:val="24"/>
          <w:lang w:val="en-US" w:eastAsia="zh-CN" w:bidi="ar-SA"/>
        </w:rPr>
        <w:id w:val="147460819"/>
        <w15:color w:val="DBDBDB"/>
        <w:docPartObj>
          <w:docPartGallery w:val="Table of Contents"/>
          <w:docPartUnique/>
        </w:docPartObj>
      </w:sdtPr>
      <w:sdtEndPr>
        <w:rPr>
          <w:rFonts w:hint="default" w:ascii="Times New Roman" w:hAnsi="Times New Roman" w:eastAsia="宋体" w:cs="Times New Roman"/>
          <w:color w:val="auto"/>
          <w:spacing w:val="11"/>
          <w:kern w:val="2"/>
          <w:position w:val="0"/>
          <w:sz w:val="21"/>
          <w:szCs w:val="24"/>
          <w:u w:val="none"/>
          <w:lang w:val="en-US" w:eastAsia="zh-CN" w:bidi="ar-SA"/>
        </w:rPr>
      </w:sdtEndPr>
      <w:sdtContent>
        <w:p w14:paraId="7D3F8002">
          <w:pPr>
            <w:keepNext w:val="0"/>
            <w:keepLines w:val="0"/>
            <w:pageBreakBefore w:val="0"/>
            <w:widowControl w:val="0"/>
            <w:kinsoku/>
            <w:wordWrap/>
            <w:overflowPunct w:val="0"/>
            <w:topLinePunct w:val="0"/>
            <w:autoSpaceDE w:val="0"/>
            <w:autoSpaceDN w:val="0"/>
            <w:bidi w:val="0"/>
            <w:adjustRightInd w:val="0"/>
            <w:snapToGrid w:val="0"/>
            <w:spacing w:before="312" w:line="360" w:lineRule="auto"/>
            <w:ind w:firstLine="0" w:firstLineChars="0"/>
            <w:jc w:val="center"/>
            <w:textAlignment w:val="baseline"/>
            <w:rPr>
              <w:rFonts w:hint="default" w:ascii="Times New Roman" w:hAnsi="Times New Roman" w:eastAsia="宋体" w:cs="Times New Roman"/>
              <w:b/>
              <w:color w:val="000000"/>
              <w:sz w:val="72"/>
              <w:szCs w:val="72"/>
              <w:highlight w:val="none"/>
              <w:u w:val="none" w:color="auto"/>
            </w:rPr>
          </w:pPr>
        </w:p>
        <w:p w14:paraId="7A35D1CA">
          <w:pPr>
            <w:overflowPunct w:val="0"/>
            <w:autoSpaceDE w:val="0"/>
            <w:autoSpaceDN w:val="0"/>
            <w:adjustRightInd w:val="0"/>
            <w:snapToGrid w:val="0"/>
            <w:spacing w:before="312" w:line="360" w:lineRule="auto"/>
            <w:ind w:left="0" w:leftChars="0" w:firstLine="0" w:firstLineChars="0"/>
            <w:jc w:val="center"/>
            <w:textAlignment w:val="baseline"/>
            <w:rPr>
              <w:rFonts w:hint="default" w:ascii="Times New Roman" w:hAnsi="Times New Roman" w:eastAsia="宋体" w:cs="Times New Roman"/>
              <w:b/>
              <w:color w:val="000000"/>
              <w:sz w:val="48"/>
              <w:szCs w:val="48"/>
              <w:highlight w:val="none"/>
              <w:u w:val="none" w:color="auto"/>
            </w:rPr>
          </w:pPr>
          <w:r>
            <w:rPr>
              <w:rFonts w:hint="default" w:ascii="Times New Roman" w:hAnsi="Times New Roman" w:eastAsia="宋体" w:cs="Times New Roman"/>
              <w:b/>
              <w:color w:val="000000"/>
              <w:sz w:val="72"/>
              <w:szCs w:val="72"/>
              <w:highlight w:val="none"/>
              <w:u w:val="none" w:color="auto"/>
            </w:rPr>
            <w:t>建设项目环境影响报告表</w:t>
          </w:r>
        </w:p>
        <w:p w14:paraId="30123892">
          <w:pPr>
            <w:overflowPunct w:val="0"/>
            <w:autoSpaceDE w:val="0"/>
            <w:autoSpaceDN w:val="0"/>
            <w:adjustRightInd w:val="0"/>
            <w:snapToGrid w:val="0"/>
            <w:spacing w:before="312" w:line="360" w:lineRule="auto"/>
            <w:ind w:left="0" w:leftChars="0" w:firstLine="0" w:firstLineChars="0"/>
            <w:jc w:val="center"/>
            <w:textAlignment w:val="baseline"/>
            <w:rPr>
              <w:rFonts w:hint="default" w:ascii="Times New Roman" w:hAnsi="Times New Roman" w:eastAsia="宋体" w:cs="Times New Roman"/>
              <w:b/>
              <w:bCs/>
              <w:color w:val="000000"/>
              <w:sz w:val="40"/>
              <w:szCs w:val="28"/>
              <w:highlight w:val="none"/>
              <w:u w:val="none" w:color="auto"/>
            </w:rPr>
          </w:pPr>
          <w:r>
            <w:rPr>
              <w:rFonts w:hint="default" w:ascii="Times New Roman" w:hAnsi="Times New Roman" w:eastAsia="宋体" w:cs="Times New Roman"/>
              <w:b/>
              <w:bCs/>
              <w:color w:val="000000"/>
              <w:sz w:val="40"/>
              <w:szCs w:val="28"/>
              <w:highlight w:val="none"/>
              <w:u w:val="none" w:color="auto"/>
            </w:rPr>
            <w:t>（</w:t>
          </w:r>
          <w:r>
            <w:rPr>
              <w:rFonts w:hint="default" w:ascii="Times New Roman" w:hAnsi="Times New Roman" w:eastAsia="宋体" w:cs="Times New Roman"/>
              <w:b/>
              <w:bCs/>
              <w:color w:val="000000"/>
              <w:sz w:val="40"/>
              <w:szCs w:val="28"/>
              <w:highlight w:val="none"/>
              <w:u w:val="none" w:color="auto"/>
              <w:lang w:val="en-US" w:eastAsia="zh-CN"/>
            </w:rPr>
            <w:t>生态影响类</w:t>
          </w:r>
          <w:r>
            <w:rPr>
              <w:rFonts w:hint="default" w:ascii="Times New Roman" w:hAnsi="Times New Roman" w:eastAsia="宋体" w:cs="Times New Roman"/>
              <w:b/>
              <w:bCs/>
              <w:color w:val="000000"/>
              <w:sz w:val="40"/>
              <w:szCs w:val="28"/>
              <w:highlight w:val="none"/>
              <w:u w:val="none" w:color="auto"/>
            </w:rPr>
            <w:t>）</w:t>
          </w:r>
        </w:p>
        <w:p w14:paraId="0BC7DD57">
          <w:pPr>
            <w:pageBreakBefore w:val="0"/>
            <w:widowControl w:val="0"/>
            <w:kinsoku/>
            <w:wordWrap/>
            <w:overflowPunct/>
            <w:topLinePunct w:val="0"/>
            <w:bidi w:val="0"/>
            <w:adjustRightInd w:val="0"/>
            <w:snapToGrid w:val="0"/>
            <w:spacing w:line="360" w:lineRule="auto"/>
            <w:ind w:left="0" w:firstLine="0" w:firstLineChars="0"/>
            <w:jc w:val="center"/>
            <w:textAlignment w:val="auto"/>
            <w:rPr>
              <w:rFonts w:hint="default" w:ascii="Times New Roman" w:hAnsi="Times New Roman" w:eastAsia="宋体" w:cs="Times New Roman"/>
              <w:b/>
              <w:color w:val="000000"/>
              <w:w w:val="110"/>
              <w:kern w:val="0"/>
              <w:sz w:val="44"/>
              <w:szCs w:val="44"/>
              <w:highlight w:val="none"/>
              <w:u w:val="none" w:color="auto"/>
            </w:rPr>
          </w:pPr>
        </w:p>
        <w:p w14:paraId="592C2962">
          <w:pPr>
            <w:pageBreakBefore w:val="0"/>
            <w:widowControl w:val="0"/>
            <w:kinsoku/>
            <w:wordWrap/>
            <w:overflowPunct/>
            <w:topLinePunct w:val="0"/>
            <w:bidi w:val="0"/>
            <w:adjustRightInd w:val="0"/>
            <w:snapToGrid w:val="0"/>
            <w:spacing w:line="360" w:lineRule="auto"/>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14:paraId="0DAA2815">
          <w:pPr>
            <w:pageBreakBefore w:val="0"/>
            <w:widowControl w:val="0"/>
            <w:kinsoku/>
            <w:wordWrap/>
            <w:overflowPunct/>
            <w:topLinePunct w:val="0"/>
            <w:autoSpaceDE w:val="0"/>
            <w:autoSpaceDN w:val="0"/>
            <w:bidi w:val="0"/>
            <w:adjustRightInd w:val="0"/>
            <w:snapToGrid w:val="0"/>
            <w:spacing w:line="360" w:lineRule="auto"/>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14:paraId="669E1F40">
          <w:pPr>
            <w:pageBreakBefore w:val="0"/>
            <w:widowControl w:val="0"/>
            <w:kinsoku/>
            <w:wordWrap/>
            <w:overflowPunct/>
            <w:topLinePunct w:val="0"/>
            <w:autoSpaceDE w:val="0"/>
            <w:autoSpaceDN w:val="0"/>
            <w:bidi w:val="0"/>
            <w:adjustRightInd w:val="0"/>
            <w:snapToGrid w:val="0"/>
            <w:spacing w:line="360" w:lineRule="auto"/>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14:paraId="64E39FAF">
          <w:pPr>
            <w:keepNext/>
            <w:keepLines/>
            <w:pageBreakBefore w:val="0"/>
            <w:widowControl w:val="0"/>
            <w:numPr>
              <w:ilvl w:val="2"/>
              <w:numId w:val="0"/>
            </w:numPr>
            <w:kinsoku/>
            <w:wordWrap/>
            <w:overflowPunct/>
            <w:topLinePunct w:val="0"/>
            <w:bidi w:val="0"/>
            <w:adjustRightInd w:val="0"/>
            <w:snapToGrid w:val="0"/>
            <w:spacing w:line="360" w:lineRule="auto"/>
            <w:ind w:left="0" w:leftChars="0" w:firstLine="0" w:firstLineChars="0"/>
            <w:jc w:val="both"/>
            <w:textAlignment w:val="auto"/>
            <w:outlineLvl w:val="2"/>
            <w:rPr>
              <w:rFonts w:hint="default" w:ascii="Times New Roman" w:hAnsi="Times New Roman" w:eastAsia="宋体" w:cs="Times New Roman"/>
              <w:b/>
              <w:bCs/>
              <w:kern w:val="2"/>
              <w:sz w:val="24"/>
              <w:szCs w:val="32"/>
              <w:highlight w:val="none"/>
              <w:u w:val="none" w:color="auto"/>
              <w:lang w:val="en-US" w:eastAsia="zh-CN" w:bidi="ar-SA"/>
            </w:rPr>
          </w:pPr>
        </w:p>
        <w:p w14:paraId="05FFE949">
          <w:pPr>
            <w:pageBreakBefore w:val="0"/>
            <w:widowControl w:val="0"/>
            <w:kinsoku/>
            <w:wordWrap/>
            <w:overflowPunct/>
            <w:topLinePunct w:val="0"/>
            <w:bidi w:val="0"/>
            <w:adjustRightInd w:val="0"/>
            <w:snapToGrid w:val="0"/>
            <w:spacing w:line="360" w:lineRule="auto"/>
            <w:ind w:left="0" w:firstLine="0" w:firstLineChars="0"/>
            <w:textAlignment w:val="auto"/>
            <w:rPr>
              <w:rFonts w:hint="default" w:ascii="Times New Roman" w:hAnsi="Times New Roman" w:eastAsia="宋体" w:cs="Times New Roman"/>
              <w:sz w:val="24"/>
              <w:szCs w:val="21"/>
              <w:highlight w:val="none"/>
              <w:u w:val="none" w:color="auto"/>
              <w:lang w:val="en-US" w:eastAsia="zh-CN"/>
            </w:rPr>
          </w:pPr>
        </w:p>
        <w:p w14:paraId="6FD6E841">
          <w:pPr>
            <w:pageBreakBefore w:val="0"/>
            <w:widowControl w:val="0"/>
            <w:kinsoku/>
            <w:wordWrap/>
            <w:overflowPunct/>
            <w:topLinePunct w:val="0"/>
            <w:bidi w:val="0"/>
            <w:adjustRightInd w:val="0"/>
            <w:snapToGrid w:val="0"/>
            <w:spacing w:line="640" w:lineRule="exact"/>
            <w:ind w:left="0" w:firstLine="0" w:firstLineChars="0"/>
            <w:jc w:val="both"/>
            <w:textAlignment w:val="auto"/>
            <w:rPr>
              <w:rFonts w:hint="default" w:ascii="Times New Roman" w:hAnsi="Times New Roman" w:eastAsia="宋体" w:cs="Times New Roman"/>
              <w:kern w:val="2"/>
              <w:sz w:val="28"/>
              <w:szCs w:val="20"/>
              <w:highlight w:val="none"/>
              <w:u w:val="none" w:color="auto"/>
              <w:lang w:val="en-US" w:eastAsia="zh-CN" w:bidi="ar-SA"/>
            </w:rPr>
          </w:pPr>
        </w:p>
        <w:p w14:paraId="2CCB9306">
          <w:pPr>
            <w:pageBreakBefore w:val="0"/>
            <w:widowControl w:val="0"/>
            <w:kinsoku/>
            <w:wordWrap/>
            <w:overflowPunct/>
            <w:topLinePunct w:val="0"/>
            <w:bidi w:val="0"/>
            <w:adjustRightInd w:val="0"/>
            <w:snapToGrid w:val="0"/>
            <w:spacing w:line="640" w:lineRule="exact"/>
            <w:ind w:left="0" w:leftChars="0" w:firstLine="0" w:firstLineChars="0"/>
            <w:jc w:val="both"/>
            <w:textAlignment w:val="auto"/>
            <w:rPr>
              <w:rFonts w:hint="default" w:ascii="Times New Roman" w:hAnsi="Times New Roman" w:eastAsia="宋体" w:cs="Times New Roman"/>
              <w:kern w:val="2"/>
              <w:sz w:val="28"/>
              <w:szCs w:val="20"/>
              <w:highlight w:val="none"/>
              <w:lang w:val="en-US" w:eastAsia="zh-CN" w:bidi="ar-SA"/>
            </w:rPr>
          </w:pPr>
        </w:p>
        <w:p w14:paraId="22526A2F">
          <w:pPr>
            <w:pageBreakBefore w:val="0"/>
            <w:widowControl w:val="0"/>
            <w:kinsoku/>
            <w:wordWrap/>
            <w:overflowPunct/>
            <w:topLinePunct w:val="0"/>
            <w:bidi w:val="0"/>
            <w:adjustRightInd w:val="0"/>
            <w:snapToGrid w:val="0"/>
            <w:spacing w:line="360" w:lineRule="auto"/>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14:paraId="0AF1CF1A">
          <w:pPr>
            <w:widowControl w:val="0"/>
            <w:adjustRightInd w:val="0"/>
            <w:snapToGrid w:val="0"/>
            <w:spacing w:line="360" w:lineRule="auto"/>
            <w:ind w:firstLine="420" w:firstLineChars="200"/>
            <w:jc w:val="both"/>
            <w:rPr>
              <w:rFonts w:hint="default" w:ascii="Times New Roman" w:hAnsi="Times New Roman" w:eastAsia="宋体" w:cs="Times New Roman"/>
              <w:color w:val="000000"/>
              <w:kern w:val="2"/>
              <w:sz w:val="21"/>
              <w:szCs w:val="24"/>
              <w:highlight w:val="none"/>
              <w:u w:val="none" w:color="auto"/>
              <w:lang w:val="en-US" w:eastAsia="zh-CN" w:bidi="ar-SA"/>
            </w:rPr>
          </w:pPr>
        </w:p>
        <w:p w14:paraId="5633A2E4">
          <w:pPr>
            <w:adjustRightInd/>
            <w:snapToGrid/>
            <w:spacing w:after="120" w:line="360" w:lineRule="auto"/>
            <w:ind w:firstLine="0" w:firstLineChars="0"/>
            <w:rPr>
              <w:rFonts w:ascii="Times New Roman" w:hAnsi="Times New Roman" w:eastAsia="宋体" w:cs="Times New Roman"/>
              <w:color w:val="000000"/>
              <w:sz w:val="28"/>
              <w:szCs w:val="28"/>
              <w:highlight w:val="none"/>
              <w:u w:val="single"/>
            </w:rPr>
          </w:pPr>
          <w:r>
            <w:rPr>
              <w:rFonts w:ascii="Times New Roman" w:hAnsi="Times New Roman" w:eastAsia="宋体" w:cs="Times New Roman"/>
              <w:color w:val="000000"/>
              <w:sz w:val="28"/>
              <w:szCs w:val="28"/>
              <w:highlight w:val="none"/>
            </w:rPr>
            <w:t>项目名称：</w:t>
          </w:r>
          <w:r>
            <w:rPr>
              <w:rFonts w:hint="eastAsia" w:ascii="Times New Roman" w:hAnsi="Times New Roman" w:eastAsia="宋体" w:cs="Times New Roman"/>
              <w:color w:val="000000"/>
              <w:sz w:val="28"/>
              <w:szCs w:val="28"/>
              <w:highlight w:val="none"/>
              <w:u w:val="single"/>
              <w:lang w:val="en-US" w:eastAsia="zh-CN"/>
            </w:rPr>
            <w:t xml:space="preserve">  新田县创景建材有限公司文峰岭矿区灰岩矿开采项目</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rPr>
            <w:t xml:space="preserve">    </w:t>
          </w:r>
        </w:p>
        <w:p w14:paraId="7EA1F701">
          <w:pPr>
            <w:adjustRightInd/>
            <w:snapToGrid/>
            <w:spacing w:after="120" w:line="360" w:lineRule="auto"/>
            <w:ind w:firstLine="0" w:firstLineChars="0"/>
            <w:rPr>
              <w:rFonts w:hint="eastAsia" w:ascii="Times New Roman" w:hAnsi="Times New Roman" w:eastAsia="宋体" w:cs="Times New Roman"/>
              <w:color w:val="000000"/>
              <w:sz w:val="28"/>
              <w:szCs w:val="28"/>
              <w:highlight w:val="none"/>
              <w:u w:val="single"/>
              <w:lang w:val="en-US" w:eastAsia="zh-CN"/>
            </w:rPr>
          </w:pPr>
          <w:r>
            <w:rPr>
              <w:rFonts w:ascii="Times New Roman" w:hAnsi="Times New Roman" w:eastAsia="宋体" w:cs="Times New Roman"/>
              <w:color w:val="000000"/>
              <w:sz w:val="28"/>
              <w:szCs w:val="28"/>
              <w:highlight w:val="none"/>
            </w:rPr>
            <w:t>建设单位（盖章）：</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新田县创景建材有限公司</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rPr>
            <w:t xml:space="preserve">  </w:t>
          </w:r>
        </w:p>
        <w:p w14:paraId="3281E06C">
          <w:pPr>
            <w:adjustRightInd w:val="0"/>
            <w:snapToGrid w:val="0"/>
            <w:spacing w:line="360" w:lineRule="auto"/>
            <w:ind w:left="0" w:leftChars="0" w:firstLine="0" w:firstLineChars="0"/>
            <w:jc w:val="left"/>
            <w:rPr>
              <w:rFonts w:hint="default" w:ascii="Times New Roman" w:hAnsi="Times New Roman" w:eastAsia="宋体" w:cs="Times New Roman"/>
              <w:color w:val="000000"/>
              <w:sz w:val="24"/>
              <w:szCs w:val="21"/>
              <w:highlight w:val="none"/>
              <w:u w:val="none" w:color="auto"/>
            </w:rPr>
          </w:pPr>
          <w:r>
            <w:rPr>
              <w:rFonts w:ascii="Times New Roman" w:hAnsi="Times New Roman" w:eastAsia="宋体" w:cs="Times New Roman"/>
              <w:color w:val="000000"/>
              <w:sz w:val="28"/>
              <w:szCs w:val="28"/>
              <w:highlight w:val="none"/>
            </w:rPr>
            <w:t>编制日期：</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rPr>
            <w:t xml:space="preserve"> </w:t>
          </w:r>
          <w:r>
            <w:rPr>
              <w:rFonts w:ascii="Times New Roman" w:hAnsi="Times New Roman" w:eastAsia="宋体" w:cs="Times New Roman"/>
              <w:color w:val="000000"/>
              <w:sz w:val="28"/>
              <w:szCs w:val="28"/>
              <w:highlight w:val="none"/>
              <w:u w:val="single"/>
            </w:rPr>
            <w:t>202</w:t>
          </w:r>
          <w:r>
            <w:rPr>
              <w:rFonts w:hint="eastAsia" w:ascii="Times New Roman" w:hAnsi="Times New Roman" w:eastAsia="宋体" w:cs="Times New Roman"/>
              <w:color w:val="000000"/>
              <w:sz w:val="28"/>
              <w:szCs w:val="28"/>
              <w:highlight w:val="none"/>
              <w:u w:val="single"/>
              <w:lang w:val="en-US" w:eastAsia="zh-CN"/>
            </w:rPr>
            <w:t>5</w:t>
          </w:r>
          <w:r>
            <w:rPr>
              <w:rFonts w:ascii="Times New Roman" w:hAnsi="Times New Roman" w:eastAsia="宋体" w:cs="Times New Roman"/>
              <w:color w:val="000000"/>
              <w:sz w:val="28"/>
              <w:szCs w:val="28"/>
              <w:highlight w:val="none"/>
              <w:u w:val="single"/>
            </w:rPr>
            <w:t>年</w:t>
          </w:r>
          <w:r>
            <w:rPr>
              <w:rFonts w:hint="eastAsia" w:ascii="Times New Roman" w:hAnsi="Times New Roman" w:eastAsia="宋体" w:cs="Times New Roman"/>
              <w:color w:val="000000"/>
              <w:sz w:val="28"/>
              <w:szCs w:val="28"/>
              <w:highlight w:val="none"/>
              <w:u w:val="single"/>
              <w:lang w:val="en-US" w:eastAsia="zh-CN"/>
            </w:rPr>
            <w:t>7</w:t>
          </w:r>
          <w:r>
            <w:rPr>
              <w:rFonts w:ascii="Times New Roman" w:hAnsi="Times New Roman" w:eastAsia="宋体" w:cs="Times New Roman"/>
              <w:color w:val="000000"/>
              <w:sz w:val="28"/>
              <w:szCs w:val="28"/>
              <w:highlight w:val="none"/>
              <w:u w:val="single"/>
            </w:rPr>
            <w:t xml:space="preserve">月      </w:t>
          </w:r>
          <w:r>
            <w:rPr>
              <w:rFonts w:hint="eastAsia" w:ascii="Times New Roman" w:hAnsi="Times New Roman" w:eastAsia="宋体" w:cs="Times New Roman"/>
              <w:color w:val="000000"/>
              <w:sz w:val="28"/>
              <w:szCs w:val="28"/>
              <w:highlight w:val="none"/>
              <w:u w:val="single"/>
            </w:rPr>
            <w:t xml:space="preserve">  </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rPr>
            <w:t xml:space="preserve"> </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p>
        <w:p w14:paraId="21D4DBBF">
          <w:pPr>
            <w:widowControl w:val="0"/>
            <w:adjustRightInd w:val="0"/>
            <w:snapToGrid w:val="0"/>
            <w:spacing w:line="360" w:lineRule="auto"/>
            <w:ind w:left="42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14:paraId="5060883D">
          <w:pPr>
            <w:adjustRightInd w:val="0"/>
            <w:snapToGrid w:val="0"/>
            <w:spacing w:line="360" w:lineRule="auto"/>
            <w:ind w:firstLine="480" w:firstLineChars="200"/>
            <w:rPr>
              <w:rFonts w:hint="default" w:ascii="Times New Roman" w:hAnsi="Times New Roman" w:eastAsia="宋体" w:cs="Times New Roman"/>
              <w:color w:val="000000"/>
              <w:sz w:val="24"/>
              <w:szCs w:val="21"/>
              <w:highlight w:val="none"/>
              <w:u w:val="none" w:color="auto"/>
            </w:rPr>
          </w:pPr>
        </w:p>
        <w:p w14:paraId="1CCDC07B">
          <w:pPr>
            <w:widowControl w:val="0"/>
            <w:adjustRightInd w:val="0"/>
            <w:snapToGrid w:val="0"/>
            <w:spacing w:line="360" w:lineRule="auto"/>
            <w:ind w:left="42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14:paraId="134BD869">
          <w:pPr>
            <w:adjustRightInd w:val="0"/>
            <w:snapToGrid w:val="0"/>
            <w:spacing w:line="360" w:lineRule="auto"/>
            <w:ind w:left="0" w:leftChars="0" w:firstLine="0" w:firstLineChars="0"/>
            <w:jc w:val="center"/>
            <w:rPr>
              <w:rFonts w:ascii="Times New Roman" w:hAnsi="Times New Roman" w:eastAsia="宋体" w:cs="Times New Roman"/>
              <w:sz w:val="24"/>
              <w:szCs w:val="21"/>
            </w:rPr>
          </w:pPr>
          <w:r>
            <w:rPr>
              <w:rFonts w:hint="default" w:ascii="Times New Roman" w:hAnsi="Times New Roman" w:eastAsia="宋体" w:cs="Times New Roman"/>
              <w:b/>
              <w:color w:val="000000"/>
              <w:sz w:val="32"/>
              <w:szCs w:val="32"/>
              <w:highlight w:val="none"/>
              <w:u w:val="none" w:color="auto"/>
              <w:lang w:val="en-US" w:eastAsia="zh-CN"/>
            </w:rPr>
            <w:t>中华人民共和国生态环境部制</w:t>
          </w:r>
        </w:p>
        <w:p w14:paraId="4C3463CD">
          <w:pPr>
            <w:keepNext w:val="0"/>
            <w:keepLines w:val="0"/>
            <w:pageBreakBefore w:val="0"/>
            <w:widowControl w:val="0"/>
            <w:kinsoku/>
            <w:wordWrap/>
            <w:overflowPunct/>
            <w:topLinePunct w:val="0"/>
            <w:autoSpaceDE/>
            <w:autoSpaceDN/>
            <w:bidi w:val="0"/>
            <w:adjustRightInd w:val="0"/>
            <w:snapToGrid w:val="0"/>
            <w:spacing w:before="0" w:beforeLines="0" w:after="0" w:afterLines="0" w:line="480" w:lineRule="auto"/>
            <w:ind w:left="0" w:leftChars="0" w:right="0" w:rightChars="0" w:firstLine="0" w:firstLineChars="0"/>
            <w:jc w:val="center"/>
            <w:textAlignment w:val="auto"/>
            <w:rPr>
              <w:rFonts w:ascii="宋体" w:hAnsi="宋体" w:eastAsia="宋体" w:cs="Times New Roman"/>
              <w:kern w:val="2"/>
              <w:sz w:val="21"/>
              <w:szCs w:val="24"/>
              <w:lang w:val="en-US" w:eastAsia="zh-CN" w:bidi="ar-SA"/>
            </w:rPr>
          </w:pPr>
        </w:p>
        <w:p w14:paraId="7FA70006">
          <w:pPr>
            <w:jc w:val="center"/>
            <w:rPr>
              <w:rFonts w:ascii="宋体" w:hAnsi="宋体" w:eastAsia="宋体"/>
              <w:b/>
              <w:bCs/>
              <w:sz w:val="28"/>
              <w:szCs w:val="28"/>
            </w:rPr>
          </w:pPr>
        </w:p>
        <w:p w14:paraId="63830CB3">
          <w:pPr>
            <w:jc w:val="center"/>
            <w:rPr>
              <w:b/>
              <w:bCs/>
              <w:sz w:val="28"/>
              <w:szCs w:val="28"/>
            </w:rPr>
          </w:pPr>
          <w:r>
            <w:rPr>
              <w:rFonts w:ascii="宋体" w:hAnsi="宋体" w:eastAsia="宋体"/>
              <w:b/>
              <w:bCs/>
              <w:sz w:val="28"/>
              <w:szCs w:val="28"/>
            </w:rPr>
            <w:t>目</w:t>
          </w:r>
          <w:r>
            <w:rPr>
              <w:rFonts w:hint="eastAsia" w:ascii="宋体" w:hAnsi="宋体" w:eastAsia="宋体"/>
              <w:b/>
              <w:bCs/>
              <w:sz w:val="28"/>
              <w:szCs w:val="28"/>
              <w:lang w:val="en-US" w:eastAsia="zh-CN"/>
            </w:rPr>
            <w:t xml:space="preserve">   </w:t>
          </w:r>
          <w:r>
            <w:rPr>
              <w:rFonts w:ascii="宋体" w:hAnsi="宋体" w:eastAsia="宋体"/>
              <w:b/>
              <w:bCs/>
              <w:sz w:val="28"/>
              <w:szCs w:val="28"/>
            </w:rPr>
            <w:t>录</w:t>
          </w:r>
        </w:p>
        <w:p w14:paraId="686EEA6B">
          <w:pPr>
            <w:pStyle w:val="25"/>
            <w:keepNext w:val="0"/>
            <w:keepLines w:val="0"/>
            <w:pageBreakBefore w:val="0"/>
            <w:widowControl w:val="0"/>
            <w:tabs>
              <w:tab w:val="right" w:leader="dot" w:pos="8844"/>
            </w:tabs>
            <w:kinsoku/>
            <w:wordWrap/>
            <w:overflowPunct/>
            <w:topLinePunct w:val="0"/>
            <w:autoSpaceDE/>
            <w:autoSpaceDN/>
            <w:bidi w:val="0"/>
            <w:adjustRightInd w:val="0"/>
            <w:snapToGrid w:val="0"/>
            <w:spacing w:line="480" w:lineRule="auto"/>
            <w:textAlignment w:val="auto"/>
            <w:rPr>
              <w:sz w:val="28"/>
              <w:szCs w:val="28"/>
            </w:rPr>
          </w:pPr>
          <w:r>
            <w:rPr>
              <w:rFonts w:hint="default" w:ascii="Times New Roman" w:hAnsi="Times New Roman" w:cs="Times New Roman"/>
              <w:color w:val="auto"/>
              <w:spacing w:val="11"/>
              <w:position w:val="0"/>
              <w:sz w:val="28"/>
              <w:szCs w:val="28"/>
              <w:u w:val="none"/>
            </w:rPr>
            <w:fldChar w:fldCharType="begin"/>
          </w:r>
          <w:r>
            <w:rPr>
              <w:rFonts w:hint="default" w:ascii="Times New Roman" w:hAnsi="Times New Roman" w:cs="Times New Roman"/>
              <w:color w:val="auto"/>
              <w:spacing w:val="11"/>
              <w:position w:val="0"/>
              <w:sz w:val="28"/>
              <w:szCs w:val="28"/>
              <w:u w:val="none"/>
            </w:rPr>
            <w:instrText xml:space="preserve">TOC \o "1-2" \h \u </w:instrText>
          </w:r>
          <w:r>
            <w:rPr>
              <w:rFonts w:hint="default" w:ascii="Times New Roman" w:hAnsi="Times New Roman" w:cs="Times New Roman"/>
              <w:color w:val="auto"/>
              <w:spacing w:val="11"/>
              <w:position w:val="0"/>
              <w:sz w:val="28"/>
              <w:szCs w:val="28"/>
              <w:u w:val="none"/>
            </w:rPr>
            <w:fldChar w:fldCharType="separate"/>
          </w:r>
          <w:r>
            <w:rPr>
              <w:rFonts w:hint="default" w:ascii="Times New Roman" w:hAnsi="Times New Roman" w:cs="Times New Roman"/>
              <w:color w:val="auto"/>
              <w:spacing w:val="11"/>
              <w:position w:val="0"/>
              <w:sz w:val="28"/>
              <w:szCs w:val="28"/>
              <w:u w:val="none"/>
            </w:rPr>
            <w:fldChar w:fldCharType="begin"/>
          </w:r>
          <w:r>
            <w:rPr>
              <w:rFonts w:hint="default" w:ascii="Times New Roman" w:hAnsi="Times New Roman" w:cs="Times New Roman"/>
              <w:spacing w:val="11"/>
              <w:position w:val="0"/>
              <w:sz w:val="28"/>
              <w:szCs w:val="28"/>
            </w:rPr>
            <w:instrText xml:space="preserve"> HYPERLINK \l _Toc7770 </w:instrText>
          </w:r>
          <w:r>
            <w:rPr>
              <w:rFonts w:hint="default" w:ascii="Times New Roman" w:hAnsi="Times New Roman" w:cs="Times New Roman"/>
              <w:spacing w:val="11"/>
              <w:position w:val="0"/>
              <w:sz w:val="28"/>
              <w:szCs w:val="28"/>
            </w:rPr>
            <w:fldChar w:fldCharType="separate"/>
          </w:r>
          <w:r>
            <w:rPr>
              <w:rFonts w:hint="default" w:ascii="Times New Roman" w:hAnsi="Times New Roman" w:eastAsia="宋体" w:cs="Times New Roman"/>
              <w:bCs/>
              <w:snapToGrid w:val="0"/>
              <w:spacing w:val="11"/>
              <w:position w:val="0"/>
              <w:sz w:val="28"/>
              <w:szCs w:val="28"/>
            </w:rPr>
            <w:t>一、建设项目基本情况</w:t>
          </w:r>
          <w:r>
            <w:rPr>
              <w:sz w:val="28"/>
              <w:szCs w:val="28"/>
            </w:rPr>
            <w:tab/>
          </w:r>
          <w:r>
            <w:rPr>
              <w:sz w:val="28"/>
              <w:szCs w:val="28"/>
            </w:rPr>
            <w:fldChar w:fldCharType="begin"/>
          </w:r>
          <w:r>
            <w:rPr>
              <w:sz w:val="28"/>
              <w:szCs w:val="28"/>
            </w:rPr>
            <w:instrText xml:space="preserve"> PAGEREF _Toc7770 \h </w:instrText>
          </w:r>
          <w:r>
            <w:rPr>
              <w:sz w:val="28"/>
              <w:szCs w:val="28"/>
            </w:rPr>
            <w:fldChar w:fldCharType="separate"/>
          </w:r>
          <w:r>
            <w:rPr>
              <w:sz w:val="28"/>
              <w:szCs w:val="28"/>
            </w:rPr>
            <w:t>1</w:t>
          </w:r>
          <w:r>
            <w:rPr>
              <w:sz w:val="28"/>
              <w:szCs w:val="28"/>
            </w:rPr>
            <w:fldChar w:fldCharType="end"/>
          </w:r>
          <w:r>
            <w:rPr>
              <w:rFonts w:hint="default" w:ascii="Times New Roman" w:hAnsi="Times New Roman" w:cs="Times New Roman"/>
              <w:color w:val="auto"/>
              <w:spacing w:val="11"/>
              <w:position w:val="0"/>
              <w:sz w:val="28"/>
              <w:szCs w:val="28"/>
              <w:u w:val="none"/>
            </w:rPr>
            <w:fldChar w:fldCharType="end"/>
          </w:r>
        </w:p>
        <w:p w14:paraId="269561AD">
          <w:pPr>
            <w:pStyle w:val="25"/>
            <w:keepNext w:val="0"/>
            <w:keepLines w:val="0"/>
            <w:pageBreakBefore w:val="0"/>
            <w:widowControl w:val="0"/>
            <w:tabs>
              <w:tab w:val="right" w:leader="dot" w:pos="8844"/>
            </w:tabs>
            <w:kinsoku/>
            <w:wordWrap/>
            <w:overflowPunct/>
            <w:topLinePunct w:val="0"/>
            <w:autoSpaceDE/>
            <w:autoSpaceDN/>
            <w:bidi w:val="0"/>
            <w:adjustRightInd w:val="0"/>
            <w:snapToGrid w:val="0"/>
            <w:spacing w:line="480" w:lineRule="auto"/>
            <w:textAlignment w:val="auto"/>
            <w:rPr>
              <w:sz w:val="28"/>
              <w:szCs w:val="28"/>
            </w:rPr>
          </w:pPr>
          <w:r>
            <w:rPr>
              <w:rFonts w:hint="default" w:ascii="Times New Roman" w:hAnsi="Times New Roman" w:cs="Times New Roman"/>
              <w:color w:val="auto"/>
              <w:spacing w:val="11"/>
              <w:position w:val="0"/>
              <w:sz w:val="28"/>
              <w:szCs w:val="28"/>
              <w:u w:val="none"/>
            </w:rPr>
            <w:fldChar w:fldCharType="begin"/>
          </w:r>
          <w:r>
            <w:rPr>
              <w:rFonts w:hint="default" w:ascii="Times New Roman" w:hAnsi="Times New Roman" w:cs="Times New Roman"/>
              <w:spacing w:val="11"/>
              <w:position w:val="0"/>
              <w:sz w:val="28"/>
              <w:szCs w:val="28"/>
            </w:rPr>
            <w:instrText xml:space="preserve"> HYPERLINK \l _Toc15329 </w:instrText>
          </w:r>
          <w:r>
            <w:rPr>
              <w:rFonts w:hint="default" w:ascii="Times New Roman" w:hAnsi="Times New Roman" w:cs="Times New Roman"/>
              <w:spacing w:val="11"/>
              <w:position w:val="0"/>
              <w:sz w:val="28"/>
              <w:szCs w:val="28"/>
            </w:rPr>
            <w:fldChar w:fldCharType="separate"/>
          </w:r>
          <w:r>
            <w:rPr>
              <w:rFonts w:hint="default" w:ascii="Times New Roman" w:hAnsi="Times New Roman" w:eastAsia="宋体" w:cs="Times New Roman"/>
              <w:bCs/>
              <w:snapToGrid w:val="0"/>
              <w:spacing w:val="11"/>
              <w:position w:val="0"/>
              <w:sz w:val="28"/>
              <w:szCs w:val="28"/>
            </w:rPr>
            <w:t>二、建设内容</w:t>
          </w:r>
          <w:r>
            <w:rPr>
              <w:sz w:val="28"/>
              <w:szCs w:val="28"/>
            </w:rPr>
            <w:tab/>
          </w:r>
          <w:r>
            <w:rPr>
              <w:sz w:val="28"/>
              <w:szCs w:val="28"/>
            </w:rPr>
            <w:fldChar w:fldCharType="begin"/>
          </w:r>
          <w:r>
            <w:rPr>
              <w:sz w:val="28"/>
              <w:szCs w:val="28"/>
            </w:rPr>
            <w:instrText xml:space="preserve"> PAGEREF _Toc15329 \h </w:instrText>
          </w:r>
          <w:r>
            <w:rPr>
              <w:sz w:val="28"/>
              <w:szCs w:val="28"/>
            </w:rPr>
            <w:fldChar w:fldCharType="separate"/>
          </w:r>
          <w:r>
            <w:rPr>
              <w:sz w:val="28"/>
              <w:szCs w:val="28"/>
            </w:rPr>
            <w:t>22</w:t>
          </w:r>
          <w:r>
            <w:rPr>
              <w:sz w:val="28"/>
              <w:szCs w:val="28"/>
            </w:rPr>
            <w:fldChar w:fldCharType="end"/>
          </w:r>
          <w:r>
            <w:rPr>
              <w:rFonts w:hint="default" w:ascii="Times New Roman" w:hAnsi="Times New Roman" w:cs="Times New Roman"/>
              <w:color w:val="auto"/>
              <w:spacing w:val="11"/>
              <w:position w:val="0"/>
              <w:sz w:val="28"/>
              <w:szCs w:val="28"/>
              <w:u w:val="none"/>
            </w:rPr>
            <w:fldChar w:fldCharType="end"/>
          </w:r>
        </w:p>
        <w:p w14:paraId="6D5A6A04">
          <w:pPr>
            <w:pStyle w:val="25"/>
            <w:keepNext w:val="0"/>
            <w:keepLines w:val="0"/>
            <w:pageBreakBefore w:val="0"/>
            <w:widowControl w:val="0"/>
            <w:tabs>
              <w:tab w:val="right" w:leader="dot" w:pos="8844"/>
            </w:tabs>
            <w:kinsoku/>
            <w:wordWrap/>
            <w:overflowPunct/>
            <w:topLinePunct w:val="0"/>
            <w:autoSpaceDE/>
            <w:autoSpaceDN/>
            <w:bidi w:val="0"/>
            <w:adjustRightInd w:val="0"/>
            <w:snapToGrid w:val="0"/>
            <w:spacing w:line="480" w:lineRule="auto"/>
            <w:textAlignment w:val="auto"/>
            <w:rPr>
              <w:sz w:val="28"/>
              <w:szCs w:val="28"/>
            </w:rPr>
          </w:pPr>
          <w:r>
            <w:rPr>
              <w:rFonts w:hint="default" w:ascii="Times New Roman" w:hAnsi="Times New Roman" w:cs="Times New Roman"/>
              <w:color w:val="auto"/>
              <w:spacing w:val="11"/>
              <w:position w:val="0"/>
              <w:sz w:val="28"/>
              <w:szCs w:val="28"/>
              <w:u w:val="none"/>
            </w:rPr>
            <w:fldChar w:fldCharType="begin"/>
          </w:r>
          <w:r>
            <w:rPr>
              <w:rFonts w:hint="default" w:ascii="Times New Roman" w:hAnsi="Times New Roman" w:cs="Times New Roman"/>
              <w:spacing w:val="11"/>
              <w:position w:val="0"/>
              <w:sz w:val="28"/>
              <w:szCs w:val="28"/>
            </w:rPr>
            <w:instrText xml:space="preserve"> HYPERLINK \l _Toc30224 </w:instrText>
          </w:r>
          <w:r>
            <w:rPr>
              <w:rFonts w:hint="default" w:ascii="Times New Roman" w:hAnsi="Times New Roman" w:cs="Times New Roman"/>
              <w:spacing w:val="11"/>
              <w:position w:val="0"/>
              <w:sz w:val="28"/>
              <w:szCs w:val="28"/>
            </w:rPr>
            <w:fldChar w:fldCharType="separate"/>
          </w:r>
          <w:r>
            <w:rPr>
              <w:rFonts w:hint="default" w:ascii="Times New Roman" w:hAnsi="Times New Roman" w:eastAsia="宋体" w:cs="Times New Roman"/>
              <w:bCs/>
              <w:snapToGrid w:val="0"/>
              <w:spacing w:val="11"/>
              <w:position w:val="0"/>
              <w:sz w:val="28"/>
              <w:szCs w:val="28"/>
            </w:rPr>
            <w:t>三、生态环境现状、保护目标及评价标准</w:t>
          </w:r>
          <w:r>
            <w:rPr>
              <w:sz w:val="28"/>
              <w:szCs w:val="28"/>
            </w:rPr>
            <w:tab/>
          </w:r>
          <w:r>
            <w:rPr>
              <w:sz w:val="28"/>
              <w:szCs w:val="28"/>
            </w:rPr>
            <w:fldChar w:fldCharType="begin"/>
          </w:r>
          <w:r>
            <w:rPr>
              <w:sz w:val="28"/>
              <w:szCs w:val="28"/>
            </w:rPr>
            <w:instrText xml:space="preserve"> PAGEREF _Toc30224 \h </w:instrText>
          </w:r>
          <w:r>
            <w:rPr>
              <w:sz w:val="28"/>
              <w:szCs w:val="28"/>
            </w:rPr>
            <w:fldChar w:fldCharType="separate"/>
          </w:r>
          <w:r>
            <w:rPr>
              <w:sz w:val="28"/>
              <w:szCs w:val="28"/>
            </w:rPr>
            <w:t>39</w:t>
          </w:r>
          <w:r>
            <w:rPr>
              <w:sz w:val="28"/>
              <w:szCs w:val="28"/>
            </w:rPr>
            <w:fldChar w:fldCharType="end"/>
          </w:r>
          <w:r>
            <w:rPr>
              <w:rFonts w:hint="default" w:ascii="Times New Roman" w:hAnsi="Times New Roman" w:cs="Times New Roman"/>
              <w:color w:val="auto"/>
              <w:spacing w:val="11"/>
              <w:position w:val="0"/>
              <w:sz w:val="28"/>
              <w:szCs w:val="28"/>
              <w:u w:val="none"/>
            </w:rPr>
            <w:fldChar w:fldCharType="end"/>
          </w:r>
        </w:p>
        <w:p w14:paraId="073C3698">
          <w:pPr>
            <w:pStyle w:val="25"/>
            <w:keepNext w:val="0"/>
            <w:keepLines w:val="0"/>
            <w:pageBreakBefore w:val="0"/>
            <w:widowControl w:val="0"/>
            <w:tabs>
              <w:tab w:val="right" w:leader="dot" w:pos="8844"/>
            </w:tabs>
            <w:kinsoku/>
            <w:wordWrap/>
            <w:overflowPunct/>
            <w:topLinePunct w:val="0"/>
            <w:autoSpaceDE/>
            <w:autoSpaceDN/>
            <w:bidi w:val="0"/>
            <w:adjustRightInd w:val="0"/>
            <w:snapToGrid w:val="0"/>
            <w:spacing w:line="480" w:lineRule="auto"/>
            <w:textAlignment w:val="auto"/>
            <w:rPr>
              <w:sz w:val="28"/>
              <w:szCs w:val="28"/>
            </w:rPr>
          </w:pPr>
          <w:r>
            <w:rPr>
              <w:rFonts w:hint="default" w:ascii="Times New Roman" w:hAnsi="Times New Roman" w:cs="Times New Roman"/>
              <w:color w:val="auto"/>
              <w:spacing w:val="11"/>
              <w:position w:val="0"/>
              <w:sz w:val="28"/>
              <w:szCs w:val="28"/>
              <w:u w:val="none"/>
            </w:rPr>
            <w:fldChar w:fldCharType="begin"/>
          </w:r>
          <w:r>
            <w:rPr>
              <w:rFonts w:hint="default" w:ascii="Times New Roman" w:hAnsi="Times New Roman" w:cs="Times New Roman"/>
              <w:spacing w:val="11"/>
              <w:position w:val="0"/>
              <w:sz w:val="28"/>
              <w:szCs w:val="28"/>
            </w:rPr>
            <w:instrText xml:space="preserve"> HYPERLINK \l _Toc19279 </w:instrText>
          </w:r>
          <w:r>
            <w:rPr>
              <w:rFonts w:hint="default" w:ascii="Times New Roman" w:hAnsi="Times New Roman" w:cs="Times New Roman"/>
              <w:spacing w:val="11"/>
              <w:position w:val="0"/>
              <w:sz w:val="28"/>
              <w:szCs w:val="28"/>
            </w:rPr>
            <w:fldChar w:fldCharType="separate"/>
          </w:r>
          <w:r>
            <w:rPr>
              <w:rFonts w:hint="default" w:ascii="Times New Roman" w:hAnsi="Times New Roman" w:eastAsia="宋体" w:cs="Times New Roman"/>
              <w:bCs/>
              <w:snapToGrid w:val="0"/>
              <w:spacing w:val="11"/>
              <w:position w:val="0"/>
              <w:sz w:val="28"/>
              <w:szCs w:val="28"/>
            </w:rPr>
            <w:t>四、生态环境影响分析</w:t>
          </w:r>
          <w:r>
            <w:rPr>
              <w:sz w:val="28"/>
              <w:szCs w:val="28"/>
            </w:rPr>
            <w:tab/>
          </w:r>
          <w:r>
            <w:rPr>
              <w:sz w:val="28"/>
              <w:szCs w:val="28"/>
            </w:rPr>
            <w:fldChar w:fldCharType="begin"/>
          </w:r>
          <w:r>
            <w:rPr>
              <w:sz w:val="28"/>
              <w:szCs w:val="28"/>
            </w:rPr>
            <w:instrText xml:space="preserve"> PAGEREF _Toc19279 \h </w:instrText>
          </w:r>
          <w:r>
            <w:rPr>
              <w:sz w:val="28"/>
              <w:szCs w:val="28"/>
            </w:rPr>
            <w:fldChar w:fldCharType="separate"/>
          </w:r>
          <w:r>
            <w:rPr>
              <w:sz w:val="28"/>
              <w:szCs w:val="28"/>
            </w:rPr>
            <w:t>48</w:t>
          </w:r>
          <w:r>
            <w:rPr>
              <w:sz w:val="28"/>
              <w:szCs w:val="28"/>
            </w:rPr>
            <w:fldChar w:fldCharType="end"/>
          </w:r>
          <w:r>
            <w:rPr>
              <w:rFonts w:hint="default" w:ascii="Times New Roman" w:hAnsi="Times New Roman" w:cs="Times New Roman"/>
              <w:color w:val="auto"/>
              <w:spacing w:val="11"/>
              <w:position w:val="0"/>
              <w:sz w:val="28"/>
              <w:szCs w:val="28"/>
              <w:u w:val="none"/>
            </w:rPr>
            <w:fldChar w:fldCharType="end"/>
          </w:r>
        </w:p>
        <w:p w14:paraId="246F27A1">
          <w:pPr>
            <w:pStyle w:val="25"/>
            <w:keepNext w:val="0"/>
            <w:keepLines w:val="0"/>
            <w:pageBreakBefore w:val="0"/>
            <w:widowControl w:val="0"/>
            <w:tabs>
              <w:tab w:val="right" w:leader="dot" w:pos="8844"/>
            </w:tabs>
            <w:kinsoku/>
            <w:wordWrap/>
            <w:overflowPunct/>
            <w:topLinePunct w:val="0"/>
            <w:autoSpaceDE/>
            <w:autoSpaceDN/>
            <w:bidi w:val="0"/>
            <w:adjustRightInd w:val="0"/>
            <w:snapToGrid w:val="0"/>
            <w:spacing w:line="480" w:lineRule="auto"/>
            <w:textAlignment w:val="auto"/>
            <w:rPr>
              <w:sz w:val="28"/>
              <w:szCs w:val="28"/>
            </w:rPr>
          </w:pPr>
          <w:r>
            <w:rPr>
              <w:rFonts w:hint="default" w:ascii="Times New Roman" w:hAnsi="Times New Roman" w:cs="Times New Roman"/>
              <w:color w:val="auto"/>
              <w:spacing w:val="11"/>
              <w:position w:val="0"/>
              <w:sz w:val="28"/>
              <w:szCs w:val="28"/>
              <w:u w:val="none"/>
            </w:rPr>
            <w:fldChar w:fldCharType="begin"/>
          </w:r>
          <w:r>
            <w:rPr>
              <w:rFonts w:hint="default" w:ascii="Times New Roman" w:hAnsi="Times New Roman" w:cs="Times New Roman"/>
              <w:spacing w:val="11"/>
              <w:position w:val="0"/>
              <w:sz w:val="28"/>
              <w:szCs w:val="28"/>
            </w:rPr>
            <w:instrText xml:space="preserve"> HYPERLINK \l _Toc14107 </w:instrText>
          </w:r>
          <w:r>
            <w:rPr>
              <w:rFonts w:hint="default" w:ascii="Times New Roman" w:hAnsi="Times New Roman" w:cs="Times New Roman"/>
              <w:spacing w:val="11"/>
              <w:position w:val="0"/>
              <w:sz w:val="28"/>
              <w:szCs w:val="28"/>
            </w:rPr>
            <w:fldChar w:fldCharType="separate"/>
          </w:r>
          <w:r>
            <w:rPr>
              <w:rFonts w:hint="default" w:ascii="Times New Roman" w:hAnsi="Times New Roman" w:eastAsia="宋体" w:cs="Times New Roman"/>
              <w:bCs/>
              <w:snapToGrid w:val="0"/>
              <w:spacing w:val="11"/>
              <w:position w:val="0"/>
              <w:sz w:val="28"/>
              <w:szCs w:val="28"/>
            </w:rPr>
            <w:t>五、主要生态环境保护措施</w:t>
          </w:r>
          <w:r>
            <w:rPr>
              <w:sz w:val="28"/>
              <w:szCs w:val="28"/>
            </w:rPr>
            <w:tab/>
          </w:r>
          <w:r>
            <w:rPr>
              <w:sz w:val="28"/>
              <w:szCs w:val="28"/>
            </w:rPr>
            <w:fldChar w:fldCharType="begin"/>
          </w:r>
          <w:r>
            <w:rPr>
              <w:sz w:val="28"/>
              <w:szCs w:val="28"/>
            </w:rPr>
            <w:instrText xml:space="preserve"> PAGEREF _Toc14107 \h </w:instrText>
          </w:r>
          <w:r>
            <w:rPr>
              <w:sz w:val="28"/>
              <w:szCs w:val="28"/>
            </w:rPr>
            <w:fldChar w:fldCharType="separate"/>
          </w:r>
          <w:r>
            <w:rPr>
              <w:sz w:val="28"/>
              <w:szCs w:val="28"/>
            </w:rPr>
            <w:t>90</w:t>
          </w:r>
          <w:r>
            <w:rPr>
              <w:sz w:val="28"/>
              <w:szCs w:val="28"/>
            </w:rPr>
            <w:fldChar w:fldCharType="end"/>
          </w:r>
          <w:r>
            <w:rPr>
              <w:rFonts w:hint="default" w:ascii="Times New Roman" w:hAnsi="Times New Roman" w:cs="Times New Roman"/>
              <w:color w:val="auto"/>
              <w:spacing w:val="11"/>
              <w:position w:val="0"/>
              <w:sz w:val="28"/>
              <w:szCs w:val="28"/>
              <w:u w:val="none"/>
            </w:rPr>
            <w:fldChar w:fldCharType="end"/>
          </w:r>
        </w:p>
        <w:p w14:paraId="144367D2">
          <w:pPr>
            <w:pStyle w:val="25"/>
            <w:keepNext w:val="0"/>
            <w:keepLines w:val="0"/>
            <w:pageBreakBefore w:val="0"/>
            <w:widowControl w:val="0"/>
            <w:tabs>
              <w:tab w:val="right" w:leader="dot" w:pos="8844"/>
            </w:tabs>
            <w:kinsoku/>
            <w:wordWrap/>
            <w:overflowPunct/>
            <w:topLinePunct w:val="0"/>
            <w:autoSpaceDE/>
            <w:autoSpaceDN/>
            <w:bidi w:val="0"/>
            <w:adjustRightInd w:val="0"/>
            <w:snapToGrid w:val="0"/>
            <w:spacing w:line="480" w:lineRule="auto"/>
            <w:textAlignment w:val="auto"/>
            <w:rPr>
              <w:sz w:val="28"/>
              <w:szCs w:val="28"/>
            </w:rPr>
          </w:pPr>
          <w:r>
            <w:rPr>
              <w:rFonts w:hint="default" w:ascii="Times New Roman" w:hAnsi="Times New Roman" w:cs="Times New Roman"/>
              <w:color w:val="auto"/>
              <w:spacing w:val="11"/>
              <w:position w:val="0"/>
              <w:sz w:val="28"/>
              <w:szCs w:val="28"/>
              <w:u w:val="none"/>
            </w:rPr>
            <w:fldChar w:fldCharType="begin"/>
          </w:r>
          <w:r>
            <w:rPr>
              <w:rFonts w:hint="default" w:ascii="Times New Roman" w:hAnsi="Times New Roman" w:cs="Times New Roman"/>
              <w:spacing w:val="11"/>
              <w:position w:val="0"/>
              <w:sz w:val="28"/>
              <w:szCs w:val="28"/>
            </w:rPr>
            <w:instrText xml:space="preserve"> HYPERLINK \l _Toc1286 </w:instrText>
          </w:r>
          <w:r>
            <w:rPr>
              <w:rFonts w:hint="default" w:ascii="Times New Roman" w:hAnsi="Times New Roman" w:cs="Times New Roman"/>
              <w:spacing w:val="11"/>
              <w:position w:val="0"/>
              <w:sz w:val="28"/>
              <w:szCs w:val="28"/>
            </w:rPr>
            <w:fldChar w:fldCharType="separate"/>
          </w:r>
          <w:r>
            <w:rPr>
              <w:rFonts w:hint="default" w:ascii="Times New Roman" w:hAnsi="Times New Roman" w:eastAsia="宋体" w:cs="Times New Roman"/>
              <w:bCs/>
              <w:snapToGrid w:val="0"/>
              <w:spacing w:val="11"/>
              <w:position w:val="0"/>
              <w:sz w:val="28"/>
              <w:szCs w:val="28"/>
            </w:rPr>
            <w:t>六、生态环境保护措施监督检查清单</w:t>
          </w:r>
          <w:r>
            <w:rPr>
              <w:sz w:val="28"/>
              <w:szCs w:val="28"/>
            </w:rPr>
            <w:tab/>
          </w:r>
          <w:r>
            <w:rPr>
              <w:sz w:val="28"/>
              <w:szCs w:val="28"/>
            </w:rPr>
            <w:fldChar w:fldCharType="begin"/>
          </w:r>
          <w:r>
            <w:rPr>
              <w:sz w:val="28"/>
              <w:szCs w:val="28"/>
            </w:rPr>
            <w:instrText xml:space="preserve"> PAGEREF _Toc1286 \h </w:instrText>
          </w:r>
          <w:r>
            <w:rPr>
              <w:sz w:val="28"/>
              <w:szCs w:val="28"/>
            </w:rPr>
            <w:fldChar w:fldCharType="separate"/>
          </w:r>
          <w:r>
            <w:rPr>
              <w:sz w:val="28"/>
              <w:szCs w:val="28"/>
            </w:rPr>
            <w:t>110</w:t>
          </w:r>
          <w:r>
            <w:rPr>
              <w:sz w:val="28"/>
              <w:szCs w:val="28"/>
            </w:rPr>
            <w:fldChar w:fldCharType="end"/>
          </w:r>
          <w:r>
            <w:rPr>
              <w:rFonts w:hint="default" w:ascii="Times New Roman" w:hAnsi="Times New Roman" w:cs="Times New Roman"/>
              <w:color w:val="auto"/>
              <w:spacing w:val="11"/>
              <w:position w:val="0"/>
              <w:sz w:val="28"/>
              <w:szCs w:val="28"/>
              <w:u w:val="none"/>
            </w:rPr>
            <w:fldChar w:fldCharType="end"/>
          </w:r>
        </w:p>
        <w:p w14:paraId="1D8047DC">
          <w:pPr>
            <w:pStyle w:val="25"/>
            <w:keepNext w:val="0"/>
            <w:keepLines w:val="0"/>
            <w:pageBreakBefore w:val="0"/>
            <w:widowControl w:val="0"/>
            <w:tabs>
              <w:tab w:val="right" w:leader="dot" w:pos="8844"/>
            </w:tabs>
            <w:kinsoku/>
            <w:wordWrap/>
            <w:overflowPunct/>
            <w:topLinePunct w:val="0"/>
            <w:autoSpaceDE/>
            <w:autoSpaceDN/>
            <w:bidi w:val="0"/>
            <w:adjustRightInd w:val="0"/>
            <w:snapToGrid w:val="0"/>
            <w:spacing w:line="480" w:lineRule="auto"/>
            <w:textAlignment w:val="auto"/>
            <w:rPr>
              <w:sz w:val="28"/>
              <w:szCs w:val="28"/>
            </w:rPr>
          </w:pPr>
          <w:r>
            <w:rPr>
              <w:rFonts w:hint="default" w:ascii="Times New Roman" w:hAnsi="Times New Roman" w:cs="Times New Roman"/>
              <w:color w:val="auto"/>
              <w:spacing w:val="11"/>
              <w:position w:val="0"/>
              <w:sz w:val="28"/>
              <w:szCs w:val="28"/>
              <w:u w:val="none"/>
            </w:rPr>
            <w:fldChar w:fldCharType="begin"/>
          </w:r>
          <w:r>
            <w:rPr>
              <w:rFonts w:hint="default" w:ascii="Times New Roman" w:hAnsi="Times New Roman" w:cs="Times New Roman"/>
              <w:spacing w:val="11"/>
              <w:position w:val="0"/>
              <w:sz w:val="28"/>
              <w:szCs w:val="28"/>
            </w:rPr>
            <w:instrText xml:space="preserve"> HYPERLINK \l _Toc16632 </w:instrText>
          </w:r>
          <w:r>
            <w:rPr>
              <w:rFonts w:hint="default" w:ascii="Times New Roman" w:hAnsi="Times New Roman" w:cs="Times New Roman"/>
              <w:spacing w:val="11"/>
              <w:position w:val="0"/>
              <w:sz w:val="28"/>
              <w:szCs w:val="28"/>
            </w:rPr>
            <w:fldChar w:fldCharType="separate"/>
          </w:r>
          <w:r>
            <w:rPr>
              <w:rFonts w:hint="default" w:ascii="Times New Roman" w:hAnsi="Times New Roman" w:eastAsia="宋体" w:cs="Times New Roman"/>
              <w:bCs/>
              <w:snapToGrid w:val="0"/>
              <w:spacing w:val="11"/>
              <w:position w:val="0"/>
              <w:sz w:val="28"/>
              <w:szCs w:val="28"/>
            </w:rPr>
            <w:t>七、结论</w:t>
          </w:r>
          <w:r>
            <w:rPr>
              <w:sz w:val="28"/>
              <w:szCs w:val="28"/>
            </w:rPr>
            <w:tab/>
          </w:r>
          <w:r>
            <w:rPr>
              <w:sz w:val="28"/>
              <w:szCs w:val="28"/>
            </w:rPr>
            <w:fldChar w:fldCharType="begin"/>
          </w:r>
          <w:r>
            <w:rPr>
              <w:sz w:val="28"/>
              <w:szCs w:val="28"/>
            </w:rPr>
            <w:instrText xml:space="preserve"> PAGEREF _Toc16632 \h </w:instrText>
          </w:r>
          <w:r>
            <w:rPr>
              <w:sz w:val="28"/>
              <w:szCs w:val="28"/>
            </w:rPr>
            <w:fldChar w:fldCharType="separate"/>
          </w:r>
          <w:r>
            <w:rPr>
              <w:sz w:val="28"/>
              <w:szCs w:val="28"/>
            </w:rPr>
            <w:t>114</w:t>
          </w:r>
          <w:r>
            <w:rPr>
              <w:sz w:val="28"/>
              <w:szCs w:val="28"/>
            </w:rPr>
            <w:fldChar w:fldCharType="end"/>
          </w:r>
          <w:r>
            <w:rPr>
              <w:rFonts w:hint="default" w:ascii="Times New Roman" w:hAnsi="Times New Roman" w:cs="Times New Roman"/>
              <w:color w:val="auto"/>
              <w:spacing w:val="11"/>
              <w:position w:val="0"/>
              <w:sz w:val="28"/>
              <w:szCs w:val="28"/>
              <w:u w:val="none"/>
            </w:rPr>
            <w:fldChar w:fldCharType="end"/>
          </w:r>
        </w:p>
        <w:p w14:paraId="6FDE01E9">
          <w:pPr>
            <w:keepNext w:val="0"/>
            <w:keepLines w:val="0"/>
            <w:pageBreakBefore w:val="0"/>
            <w:widowControl w:val="0"/>
            <w:kinsoku/>
            <w:wordWrap/>
            <w:overflowPunct/>
            <w:topLinePunct w:val="0"/>
            <w:autoSpaceDE/>
            <w:autoSpaceDN/>
            <w:bidi w:val="0"/>
            <w:adjustRightInd w:val="0"/>
            <w:snapToGrid w:val="0"/>
            <w:spacing w:line="480" w:lineRule="auto"/>
            <w:ind w:left="0" w:leftChars="0" w:right="0" w:firstLine="604" w:firstLineChars="200"/>
            <w:jc w:val="left"/>
            <w:textAlignment w:val="auto"/>
            <w:rPr>
              <w:rFonts w:hint="default" w:ascii="Times New Roman" w:hAnsi="Times New Roman" w:eastAsia="宋体" w:cs="Times New Roman"/>
              <w:color w:val="auto"/>
              <w:spacing w:val="11"/>
              <w:kern w:val="2"/>
              <w:position w:val="0"/>
              <w:sz w:val="21"/>
              <w:szCs w:val="24"/>
              <w:u w:val="none"/>
              <w:lang w:val="en-US" w:eastAsia="zh-CN" w:bidi="ar-SA"/>
            </w:rPr>
          </w:pPr>
          <w:r>
            <w:rPr>
              <w:rFonts w:hint="default" w:ascii="Times New Roman" w:hAnsi="Times New Roman" w:cs="Times New Roman"/>
              <w:color w:val="auto"/>
              <w:spacing w:val="11"/>
              <w:position w:val="0"/>
              <w:sz w:val="28"/>
              <w:szCs w:val="28"/>
              <w:u w:val="none"/>
            </w:rPr>
            <w:fldChar w:fldCharType="end"/>
          </w:r>
        </w:p>
      </w:sdtContent>
    </w:sdt>
    <w:p w14:paraId="1A0D13C8">
      <w:pPr>
        <w:pStyle w:val="17"/>
        <w:rPr>
          <w:rFonts w:hint="default"/>
        </w:rPr>
        <w:sectPr>
          <w:headerReference r:id="rId3" w:type="defaul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14:paraId="6F265C64">
      <w:pPr>
        <w:pStyle w:val="2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pacing w:val="11"/>
          <w:position w:val="0"/>
          <w:sz w:val="30"/>
          <w:szCs w:val="30"/>
        </w:rPr>
      </w:pPr>
      <w:bookmarkStart w:id="0" w:name="_Toc24654"/>
      <w:bookmarkStart w:id="1" w:name="_Toc7770"/>
      <w:r>
        <w:rPr>
          <w:rFonts w:hint="default" w:ascii="Times New Roman" w:hAnsi="Times New Roman" w:eastAsia="宋体" w:cs="Times New Roman"/>
          <w:b/>
          <w:bCs/>
          <w:snapToGrid w:val="0"/>
          <w:color w:val="auto"/>
          <w:spacing w:val="11"/>
          <w:position w:val="0"/>
          <w:sz w:val="30"/>
          <w:szCs w:val="30"/>
        </w:rPr>
        <w:t>一、建设项目基本情况</w:t>
      </w:r>
      <w:bookmarkEnd w:id="0"/>
      <w:bookmarkEnd w:id="1"/>
    </w:p>
    <w:tbl>
      <w:tblPr>
        <w:tblStyle w:val="32"/>
        <w:tblW w:w="9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226"/>
        <w:gridCol w:w="2043"/>
        <w:gridCol w:w="1941"/>
        <w:gridCol w:w="2829"/>
      </w:tblGrid>
      <w:tr w14:paraId="099EC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26" w:type="dxa"/>
            <w:tcBorders>
              <w:tl2br w:val="nil"/>
              <w:tr2bl w:val="nil"/>
            </w:tcBorders>
            <w:noWrap w:val="0"/>
            <w:tcMar>
              <w:top w:w="16" w:type="dxa"/>
              <w:left w:w="16" w:type="dxa"/>
              <w:right w:w="16" w:type="dxa"/>
            </w:tcMar>
            <w:vAlign w:val="center"/>
          </w:tcPr>
          <w:p w14:paraId="79F3D552">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建设项目名称</w:t>
            </w:r>
          </w:p>
        </w:tc>
        <w:tc>
          <w:tcPr>
            <w:tcW w:w="6813" w:type="dxa"/>
            <w:gridSpan w:val="3"/>
            <w:tcBorders>
              <w:tl2br w:val="nil"/>
              <w:tr2bl w:val="nil"/>
            </w:tcBorders>
            <w:noWrap w:val="0"/>
            <w:vAlign w:val="center"/>
          </w:tcPr>
          <w:p w14:paraId="4C9D6FC4">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cs="Times New Roman"/>
                <w:color w:val="auto"/>
                <w:spacing w:val="11"/>
                <w:position w:val="0"/>
                <w:sz w:val="24"/>
                <w:szCs w:val="24"/>
                <w:lang w:val="en-US" w:eastAsia="zh-CN"/>
              </w:rPr>
              <w:t>新田县创景建材有限公司文峰岭矿区灰岩矿开采项目</w:t>
            </w:r>
          </w:p>
        </w:tc>
      </w:tr>
      <w:tr w14:paraId="29245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26" w:type="dxa"/>
            <w:tcBorders>
              <w:tl2br w:val="nil"/>
              <w:tr2bl w:val="nil"/>
            </w:tcBorders>
            <w:noWrap w:val="0"/>
            <w:tcMar>
              <w:top w:w="16" w:type="dxa"/>
              <w:left w:w="16" w:type="dxa"/>
              <w:right w:w="16" w:type="dxa"/>
            </w:tcMar>
            <w:vAlign w:val="center"/>
          </w:tcPr>
          <w:p w14:paraId="672D9C44">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项目代码</w:t>
            </w:r>
          </w:p>
        </w:tc>
        <w:tc>
          <w:tcPr>
            <w:tcW w:w="6813" w:type="dxa"/>
            <w:gridSpan w:val="3"/>
            <w:tcBorders>
              <w:tl2br w:val="nil"/>
              <w:tr2bl w:val="nil"/>
            </w:tcBorders>
            <w:noWrap w:val="0"/>
            <w:vAlign w:val="center"/>
          </w:tcPr>
          <w:p w14:paraId="2C1233F9">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2501-431128-04-01-663806</w:t>
            </w:r>
          </w:p>
        </w:tc>
      </w:tr>
      <w:tr w14:paraId="2BB23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26" w:type="dxa"/>
            <w:tcBorders>
              <w:tl2br w:val="nil"/>
              <w:tr2bl w:val="nil"/>
            </w:tcBorders>
            <w:noWrap w:val="0"/>
            <w:tcMar>
              <w:top w:w="16" w:type="dxa"/>
              <w:left w:w="16" w:type="dxa"/>
              <w:right w:w="16" w:type="dxa"/>
            </w:tcMar>
            <w:vAlign w:val="center"/>
          </w:tcPr>
          <w:p w14:paraId="381DE976">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建设单位联系人</w:t>
            </w:r>
          </w:p>
        </w:tc>
        <w:tc>
          <w:tcPr>
            <w:tcW w:w="2043" w:type="dxa"/>
            <w:tcBorders>
              <w:tl2br w:val="nil"/>
              <w:tr2bl w:val="nil"/>
            </w:tcBorders>
            <w:noWrap w:val="0"/>
            <w:vAlign w:val="center"/>
          </w:tcPr>
          <w:p w14:paraId="41A0A7EA">
            <w:pPr>
              <w:adjustRightInd w:val="0"/>
              <w:snapToGrid w:val="0"/>
              <w:jc w:val="center"/>
              <w:rPr>
                <w:rFonts w:hint="default" w:ascii="Times New Roman" w:hAnsi="Times New Roman" w:eastAsia="宋体" w:cs="Times New Roman"/>
                <w:color w:val="auto"/>
                <w:spacing w:val="11"/>
                <w:position w:val="0"/>
                <w:sz w:val="24"/>
                <w:szCs w:val="24"/>
                <w:lang w:val="en-US"/>
              </w:rPr>
            </w:pPr>
            <w:r>
              <w:rPr>
                <w:rFonts w:hint="default" w:ascii="Times New Roman" w:hAnsi="Times New Roman" w:cs="Times New Roman"/>
                <w:color w:val="auto"/>
                <w:spacing w:val="11"/>
                <w:position w:val="0"/>
                <w:sz w:val="24"/>
                <w:szCs w:val="24"/>
                <w:lang w:val="en-US" w:eastAsia="zh-CN"/>
              </w:rPr>
              <w:t>孔军</w:t>
            </w:r>
          </w:p>
        </w:tc>
        <w:tc>
          <w:tcPr>
            <w:tcW w:w="1941" w:type="dxa"/>
            <w:tcBorders>
              <w:tl2br w:val="nil"/>
              <w:tr2bl w:val="nil"/>
            </w:tcBorders>
            <w:noWrap w:val="0"/>
            <w:vAlign w:val="center"/>
          </w:tcPr>
          <w:p w14:paraId="6419A731">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联系方式</w:t>
            </w:r>
          </w:p>
        </w:tc>
        <w:tc>
          <w:tcPr>
            <w:tcW w:w="2829" w:type="dxa"/>
            <w:tcBorders>
              <w:tl2br w:val="nil"/>
              <w:tr2bl w:val="nil"/>
            </w:tcBorders>
            <w:noWrap w:val="0"/>
            <w:vAlign w:val="center"/>
          </w:tcPr>
          <w:p w14:paraId="56FE66F4">
            <w:pPr>
              <w:adjustRightInd w:val="0"/>
              <w:snapToGrid w:val="0"/>
              <w:jc w:val="center"/>
              <w:rPr>
                <w:rFonts w:hint="default" w:ascii="Times New Roman" w:hAnsi="Times New Roman" w:eastAsia="宋体" w:cs="Times New Roman"/>
                <w:color w:val="auto"/>
                <w:spacing w:val="11"/>
                <w:position w:val="0"/>
                <w:sz w:val="24"/>
                <w:szCs w:val="24"/>
                <w:lang w:val="en-US"/>
              </w:rPr>
            </w:pPr>
            <w:r>
              <w:rPr>
                <w:rFonts w:hint="default" w:ascii="Times New Roman" w:hAnsi="Times New Roman" w:cs="Times New Roman"/>
                <w:color w:val="auto"/>
                <w:spacing w:val="11"/>
                <w:position w:val="0"/>
                <w:sz w:val="24"/>
                <w:szCs w:val="24"/>
                <w:lang w:val="en-US" w:eastAsia="zh-CN"/>
              </w:rPr>
              <w:t>13093552777</w:t>
            </w:r>
          </w:p>
        </w:tc>
      </w:tr>
      <w:tr w14:paraId="43A39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2226" w:type="dxa"/>
            <w:tcBorders>
              <w:tl2br w:val="nil"/>
              <w:tr2bl w:val="nil"/>
            </w:tcBorders>
            <w:noWrap w:val="0"/>
            <w:tcMar>
              <w:top w:w="16" w:type="dxa"/>
              <w:left w:w="16" w:type="dxa"/>
              <w:right w:w="16" w:type="dxa"/>
            </w:tcMar>
            <w:vAlign w:val="center"/>
          </w:tcPr>
          <w:p w14:paraId="4E4ABAF7">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建设地点</w:t>
            </w:r>
          </w:p>
        </w:tc>
        <w:tc>
          <w:tcPr>
            <w:tcW w:w="6813" w:type="dxa"/>
            <w:gridSpan w:val="3"/>
            <w:tcBorders>
              <w:tl2br w:val="nil"/>
              <w:tr2bl w:val="nil"/>
            </w:tcBorders>
            <w:noWrap w:val="0"/>
            <w:vAlign w:val="center"/>
          </w:tcPr>
          <w:p w14:paraId="7915D377">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eastAsia="宋体" w:cs="Times New Roman"/>
                <w:color w:val="auto"/>
                <w:spacing w:val="11"/>
                <w:position w:val="0"/>
                <w:sz w:val="24"/>
                <w:szCs w:val="24"/>
                <w:u w:val="single"/>
                <w:lang w:val="en-US" w:eastAsia="zh-CN"/>
              </w:rPr>
              <w:t>湖南</w:t>
            </w: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eastAsia="宋体" w:cs="Times New Roman"/>
                <w:color w:val="auto"/>
                <w:spacing w:val="11"/>
                <w:position w:val="0"/>
                <w:sz w:val="24"/>
                <w:szCs w:val="24"/>
              </w:rPr>
              <w:t>省（自治区）</w:t>
            </w: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eastAsia="宋体" w:cs="Times New Roman"/>
                <w:color w:val="auto"/>
                <w:spacing w:val="11"/>
                <w:position w:val="0"/>
                <w:sz w:val="24"/>
                <w:szCs w:val="24"/>
                <w:u w:val="single"/>
                <w:lang w:val="en-US" w:eastAsia="zh-CN"/>
              </w:rPr>
              <w:t>永州</w:t>
            </w: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eastAsia="宋体" w:cs="Times New Roman"/>
                <w:color w:val="auto"/>
                <w:spacing w:val="11"/>
                <w:position w:val="0"/>
                <w:sz w:val="24"/>
                <w:szCs w:val="24"/>
              </w:rPr>
              <w:t>市</w:t>
            </w: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cs="Times New Roman"/>
                <w:color w:val="auto"/>
                <w:spacing w:val="11"/>
                <w:position w:val="0"/>
                <w:sz w:val="24"/>
                <w:szCs w:val="24"/>
                <w:u w:val="single"/>
                <w:lang w:val="en-US" w:eastAsia="zh-CN"/>
              </w:rPr>
              <w:t>新田</w:t>
            </w: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eastAsia="宋体" w:cs="Times New Roman"/>
                <w:color w:val="auto"/>
                <w:spacing w:val="11"/>
                <w:position w:val="0"/>
                <w:sz w:val="24"/>
                <w:szCs w:val="24"/>
              </w:rPr>
              <w:t>县（区）</w:t>
            </w: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cs="Times New Roman"/>
                <w:color w:val="auto"/>
                <w:spacing w:val="11"/>
                <w:position w:val="0"/>
                <w:sz w:val="24"/>
                <w:szCs w:val="24"/>
                <w:u w:val="single"/>
                <w:lang w:val="en-US" w:eastAsia="zh-CN"/>
              </w:rPr>
              <w:t>龙泉街道</w:t>
            </w: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eastAsia="宋体" w:cs="Times New Roman"/>
                <w:color w:val="auto"/>
                <w:spacing w:val="11"/>
                <w:position w:val="0"/>
                <w:sz w:val="24"/>
                <w:szCs w:val="24"/>
              </w:rPr>
              <w:t>乡（街道）</w:t>
            </w:r>
            <w:r>
              <w:rPr>
                <w:rFonts w:hint="default" w:ascii="Times New Roman" w:hAnsi="Times New Roman" w:eastAsia="宋体" w:cs="Times New Roman"/>
                <w:color w:val="auto"/>
                <w:spacing w:val="11"/>
                <w:position w:val="0"/>
                <w:sz w:val="24"/>
                <w:szCs w:val="24"/>
                <w:u w:val="single"/>
                <w:lang w:val="en-US" w:eastAsia="zh-CN"/>
              </w:rPr>
              <w:t xml:space="preserve"> </w:t>
            </w:r>
            <w:bookmarkStart w:id="97" w:name="_GoBack"/>
            <w:r>
              <w:rPr>
                <w:rFonts w:hint="default" w:ascii="Times New Roman" w:hAnsi="Times New Roman" w:eastAsia="宋体" w:cs="Times New Roman"/>
                <w:color w:val="auto"/>
                <w:spacing w:val="11"/>
                <w:position w:val="0"/>
                <w:sz w:val="24"/>
                <w:szCs w:val="24"/>
                <w:u w:val="single"/>
                <w:lang w:val="en-US" w:eastAsia="zh-CN"/>
              </w:rPr>
              <w:t>潮水铺村文峰岭矿区</w:t>
            </w:r>
            <w:bookmarkEnd w:id="97"/>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eastAsia="宋体" w:cs="Times New Roman"/>
                <w:color w:val="auto"/>
                <w:spacing w:val="11"/>
                <w:position w:val="0"/>
                <w:sz w:val="24"/>
                <w:szCs w:val="24"/>
              </w:rPr>
              <w:t>（具体地址）</w:t>
            </w:r>
          </w:p>
        </w:tc>
      </w:tr>
      <w:tr w14:paraId="065EF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26" w:type="dxa"/>
            <w:tcBorders>
              <w:tl2br w:val="nil"/>
              <w:tr2bl w:val="nil"/>
            </w:tcBorders>
            <w:noWrap w:val="0"/>
            <w:tcMar>
              <w:top w:w="16" w:type="dxa"/>
              <w:left w:w="16" w:type="dxa"/>
              <w:right w:w="16" w:type="dxa"/>
            </w:tcMar>
            <w:vAlign w:val="center"/>
          </w:tcPr>
          <w:p w14:paraId="41F57396">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rPr>
              <w:t>地理坐标</w:t>
            </w:r>
          </w:p>
        </w:tc>
        <w:tc>
          <w:tcPr>
            <w:tcW w:w="6813" w:type="dxa"/>
            <w:gridSpan w:val="3"/>
            <w:tcBorders>
              <w:tl2br w:val="nil"/>
              <w:tr2bl w:val="nil"/>
            </w:tcBorders>
            <w:noWrap w:val="0"/>
            <w:vAlign w:val="center"/>
          </w:tcPr>
          <w:p w14:paraId="56D7E82E">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lang w:val="en-US" w:eastAsia="zh-CN"/>
              </w:rPr>
              <w:t>（</w:t>
            </w:r>
            <w:r>
              <w:rPr>
                <w:rFonts w:hint="default" w:ascii="Times New Roman" w:hAnsi="Times New Roman" w:eastAsia="宋体" w:cs="Times New Roman"/>
                <w:color w:val="auto"/>
                <w:spacing w:val="11"/>
                <w:position w:val="0"/>
                <w:sz w:val="24"/>
                <w:szCs w:val="24"/>
                <w:highlight w:val="none"/>
                <w:u w:val="single"/>
                <w:lang w:val="en-US" w:eastAsia="zh-CN"/>
              </w:rPr>
              <w:t xml:space="preserve"> 112 </w:t>
            </w:r>
            <w:r>
              <w:rPr>
                <w:rFonts w:hint="default" w:ascii="Times New Roman" w:hAnsi="Times New Roman" w:eastAsia="宋体" w:cs="Times New Roman"/>
                <w:color w:val="auto"/>
                <w:spacing w:val="11"/>
                <w:position w:val="0"/>
                <w:sz w:val="24"/>
                <w:szCs w:val="24"/>
                <w:highlight w:val="none"/>
                <w:lang w:val="en-US" w:eastAsia="zh-CN"/>
              </w:rPr>
              <w:t>度</w:t>
            </w:r>
            <w:r>
              <w:rPr>
                <w:rFonts w:hint="default" w:ascii="Times New Roman" w:hAnsi="Times New Roman" w:eastAsia="宋体" w:cs="Times New Roman"/>
                <w:color w:val="auto"/>
                <w:spacing w:val="11"/>
                <w:position w:val="0"/>
                <w:sz w:val="24"/>
                <w:szCs w:val="24"/>
                <w:highlight w:val="none"/>
                <w:u w:val="single"/>
                <w:lang w:val="en-US" w:eastAsia="zh-CN"/>
              </w:rPr>
              <w:t xml:space="preserve"> </w:t>
            </w:r>
            <w:r>
              <w:rPr>
                <w:rFonts w:hint="default" w:ascii="Times New Roman" w:hAnsi="Times New Roman" w:cs="Times New Roman"/>
                <w:color w:val="auto"/>
                <w:spacing w:val="11"/>
                <w:position w:val="0"/>
                <w:sz w:val="24"/>
                <w:szCs w:val="24"/>
                <w:highlight w:val="none"/>
                <w:u w:val="single"/>
                <w:lang w:val="en-US" w:eastAsia="zh-CN"/>
              </w:rPr>
              <w:t>7</w:t>
            </w:r>
            <w:r>
              <w:rPr>
                <w:rFonts w:hint="default" w:ascii="Times New Roman" w:hAnsi="Times New Roman" w:eastAsia="宋体" w:cs="Times New Roman"/>
                <w:color w:val="auto"/>
                <w:spacing w:val="11"/>
                <w:position w:val="0"/>
                <w:sz w:val="24"/>
                <w:szCs w:val="24"/>
                <w:highlight w:val="none"/>
                <w:u w:val="single"/>
                <w:lang w:val="en-US" w:eastAsia="zh-CN"/>
              </w:rPr>
              <w:t xml:space="preserve"> </w:t>
            </w:r>
            <w:r>
              <w:rPr>
                <w:rFonts w:hint="default" w:ascii="Times New Roman" w:hAnsi="Times New Roman" w:eastAsia="宋体" w:cs="Times New Roman"/>
                <w:color w:val="auto"/>
                <w:spacing w:val="11"/>
                <w:position w:val="0"/>
                <w:sz w:val="24"/>
                <w:szCs w:val="24"/>
                <w:highlight w:val="none"/>
                <w:lang w:val="en-US" w:eastAsia="zh-CN"/>
              </w:rPr>
              <w:t>分</w:t>
            </w:r>
            <w:r>
              <w:rPr>
                <w:rFonts w:hint="default" w:ascii="Times New Roman" w:hAnsi="Times New Roman" w:eastAsia="宋体" w:cs="Times New Roman"/>
                <w:color w:val="auto"/>
                <w:spacing w:val="11"/>
                <w:position w:val="0"/>
                <w:sz w:val="24"/>
                <w:szCs w:val="24"/>
                <w:highlight w:val="none"/>
                <w:u w:val="single"/>
                <w:lang w:val="en-US" w:eastAsia="zh-CN"/>
              </w:rPr>
              <w:t xml:space="preserve"> 59.276 </w:t>
            </w:r>
            <w:r>
              <w:rPr>
                <w:rFonts w:hint="default" w:ascii="Times New Roman" w:hAnsi="Times New Roman" w:eastAsia="宋体" w:cs="Times New Roman"/>
                <w:color w:val="auto"/>
                <w:spacing w:val="11"/>
                <w:position w:val="0"/>
                <w:sz w:val="24"/>
                <w:szCs w:val="24"/>
                <w:highlight w:val="none"/>
                <w:lang w:val="en-US" w:eastAsia="zh-CN"/>
              </w:rPr>
              <w:t>秒，</w:t>
            </w:r>
            <w:r>
              <w:rPr>
                <w:rFonts w:hint="default" w:ascii="Times New Roman" w:hAnsi="Times New Roman" w:eastAsia="宋体" w:cs="Times New Roman"/>
                <w:color w:val="auto"/>
                <w:spacing w:val="11"/>
                <w:position w:val="0"/>
                <w:sz w:val="24"/>
                <w:szCs w:val="24"/>
                <w:highlight w:val="none"/>
                <w:u w:val="single"/>
                <w:lang w:val="en-US" w:eastAsia="zh-CN"/>
              </w:rPr>
              <w:t xml:space="preserve"> 25 </w:t>
            </w:r>
            <w:r>
              <w:rPr>
                <w:rFonts w:hint="default" w:ascii="Times New Roman" w:hAnsi="Times New Roman" w:eastAsia="宋体" w:cs="Times New Roman"/>
                <w:color w:val="auto"/>
                <w:spacing w:val="11"/>
                <w:position w:val="0"/>
                <w:sz w:val="24"/>
                <w:szCs w:val="24"/>
                <w:highlight w:val="none"/>
                <w:u w:val="none"/>
                <w:lang w:val="en-US" w:eastAsia="zh-CN"/>
              </w:rPr>
              <w:t>度</w:t>
            </w:r>
            <w:r>
              <w:rPr>
                <w:rFonts w:hint="default" w:ascii="Times New Roman" w:hAnsi="Times New Roman" w:eastAsia="宋体" w:cs="Times New Roman"/>
                <w:color w:val="auto"/>
                <w:spacing w:val="11"/>
                <w:position w:val="0"/>
                <w:sz w:val="24"/>
                <w:szCs w:val="24"/>
                <w:highlight w:val="none"/>
                <w:u w:val="single"/>
                <w:lang w:val="en-US" w:eastAsia="zh-CN"/>
              </w:rPr>
              <w:t xml:space="preserve"> </w:t>
            </w:r>
            <w:r>
              <w:rPr>
                <w:rFonts w:hint="default" w:ascii="Times New Roman" w:hAnsi="Times New Roman" w:cs="Times New Roman"/>
                <w:color w:val="auto"/>
                <w:spacing w:val="11"/>
                <w:position w:val="0"/>
                <w:sz w:val="24"/>
                <w:szCs w:val="24"/>
                <w:highlight w:val="none"/>
                <w:u w:val="single"/>
                <w:lang w:val="en-US" w:eastAsia="zh-CN"/>
              </w:rPr>
              <w:t>54</w:t>
            </w:r>
            <w:r>
              <w:rPr>
                <w:rFonts w:hint="default" w:ascii="Times New Roman" w:hAnsi="Times New Roman" w:eastAsia="宋体" w:cs="Times New Roman"/>
                <w:color w:val="auto"/>
                <w:spacing w:val="11"/>
                <w:position w:val="0"/>
                <w:sz w:val="24"/>
                <w:szCs w:val="24"/>
                <w:highlight w:val="none"/>
                <w:u w:val="single"/>
                <w:lang w:val="en-US" w:eastAsia="zh-CN"/>
              </w:rPr>
              <w:t xml:space="preserve"> </w:t>
            </w:r>
            <w:r>
              <w:rPr>
                <w:rFonts w:hint="default" w:ascii="Times New Roman" w:hAnsi="Times New Roman" w:eastAsia="宋体" w:cs="Times New Roman"/>
                <w:color w:val="auto"/>
                <w:spacing w:val="11"/>
                <w:position w:val="0"/>
                <w:sz w:val="24"/>
                <w:szCs w:val="24"/>
                <w:highlight w:val="none"/>
                <w:u w:val="none"/>
                <w:lang w:val="en-US" w:eastAsia="zh-CN"/>
              </w:rPr>
              <w:t>分</w:t>
            </w:r>
            <w:r>
              <w:rPr>
                <w:rFonts w:hint="default" w:ascii="Times New Roman" w:hAnsi="Times New Roman" w:eastAsia="宋体" w:cs="Times New Roman"/>
                <w:color w:val="auto"/>
                <w:spacing w:val="11"/>
                <w:position w:val="0"/>
                <w:sz w:val="24"/>
                <w:szCs w:val="24"/>
                <w:highlight w:val="none"/>
                <w:u w:val="single"/>
                <w:lang w:val="en-US" w:eastAsia="zh-CN"/>
              </w:rPr>
              <w:t xml:space="preserve"> 17.335 秒）</w:t>
            </w:r>
          </w:p>
        </w:tc>
      </w:tr>
      <w:tr w14:paraId="08746F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2226" w:type="dxa"/>
            <w:tcBorders>
              <w:tl2br w:val="nil"/>
              <w:tr2bl w:val="nil"/>
            </w:tcBorders>
            <w:noWrap w:val="0"/>
            <w:tcMar>
              <w:top w:w="16" w:type="dxa"/>
              <w:left w:w="16" w:type="dxa"/>
              <w:right w:w="16" w:type="dxa"/>
            </w:tcMar>
            <w:vAlign w:val="center"/>
          </w:tcPr>
          <w:p w14:paraId="284FB2A1">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建设项目</w:t>
            </w:r>
          </w:p>
          <w:p w14:paraId="0E96155B">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行业类别</w:t>
            </w:r>
          </w:p>
        </w:tc>
        <w:tc>
          <w:tcPr>
            <w:tcW w:w="2043" w:type="dxa"/>
            <w:tcBorders>
              <w:tl2br w:val="nil"/>
              <w:tr2bl w:val="nil"/>
            </w:tcBorders>
            <w:noWrap w:val="0"/>
            <w:vAlign w:val="center"/>
          </w:tcPr>
          <w:p w14:paraId="34B0B240">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八、非金属矿采选业 10</w:t>
            </w:r>
            <w:r>
              <w:rPr>
                <w:rFonts w:hint="default" w:ascii="Times New Roman" w:hAnsi="Times New Roman" w:cs="Times New Roman"/>
                <w:color w:val="auto"/>
                <w:spacing w:val="11"/>
                <w:position w:val="0"/>
                <w:sz w:val="24"/>
                <w:szCs w:val="24"/>
                <w:lang w:val="en-US" w:eastAsia="zh-CN"/>
              </w:rPr>
              <w:t>--</w:t>
            </w:r>
            <w:r>
              <w:rPr>
                <w:rFonts w:hint="default" w:ascii="Times New Roman" w:hAnsi="Times New Roman" w:eastAsia="宋体" w:cs="Times New Roman"/>
                <w:color w:val="auto"/>
                <w:spacing w:val="11"/>
                <w:position w:val="0"/>
                <w:sz w:val="24"/>
                <w:szCs w:val="24"/>
                <w:lang w:val="en-US" w:eastAsia="zh-CN"/>
              </w:rPr>
              <w:t>11.土砂石开采 101（不含河道采砂项目）</w:t>
            </w:r>
            <w:r>
              <w:rPr>
                <w:rFonts w:hint="default" w:ascii="Times New Roman" w:hAnsi="Times New Roman" w:cs="Times New Roman"/>
                <w:color w:val="auto"/>
                <w:spacing w:val="11"/>
                <w:position w:val="0"/>
                <w:sz w:val="24"/>
                <w:szCs w:val="24"/>
                <w:lang w:val="en-US" w:eastAsia="zh-CN"/>
              </w:rPr>
              <w:t>--其他</w:t>
            </w:r>
            <w:r>
              <w:rPr>
                <w:rFonts w:hint="eastAsia" w:ascii="Times New Roman" w:hAnsi="Times New Roman" w:cs="Times New Roman"/>
                <w:color w:val="auto"/>
                <w:spacing w:val="11"/>
                <w:position w:val="0"/>
                <w:sz w:val="24"/>
                <w:szCs w:val="24"/>
                <w:lang w:val="en-US" w:eastAsia="zh-CN"/>
              </w:rPr>
              <w:t>；</w:t>
            </w:r>
          </w:p>
          <w:p w14:paraId="1BE4C85B">
            <w:pPr>
              <w:adjustRightInd w:val="0"/>
              <w:snapToGrid w:val="0"/>
              <w:jc w:val="center"/>
              <w:rPr>
                <w:rFonts w:hint="default" w:ascii="Times New Roman" w:hAnsi="Times New Roman" w:cs="Times New Roman"/>
                <w:color w:val="auto"/>
                <w:spacing w:val="11"/>
                <w:position w:val="0"/>
                <w:sz w:val="24"/>
                <w:szCs w:val="24"/>
                <w:lang w:val="en-US" w:eastAsia="zh-CN"/>
              </w:rPr>
            </w:pPr>
            <w:r>
              <w:rPr>
                <w:rFonts w:hint="default" w:ascii="Times New Roman" w:hAnsi="Times New Roman" w:cs="Times New Roman"/>
                <w:color w:val="auto"/>
                <w:spacing w:val="11"/>
                <w:position w:val="0"/>
                <w:sz w:val="24"/>
                <w:szCs w:val="24"/>
                <w:lang w:val="en-US" w:eastAsia="zh-CN"/>
              </w:rPr>
              <w:t>二十七、非金属矿物制品业 30--60石墨及其他非金属矿物制品制造</w:t>
            </w:r>
          </w:p>
          <w:p w14:paraId="0EC71BEC">
            <w:pPr>
              <w:adjustRightInd w:val="0"/>
              <w:snapToGrid w:val="0"/>
              <w:jc w:val="center"/>
              <w:rPr>
                <w:rFonts w:hint="default" w:ascii="Times New Roman" w:hAnsi="Times New Roman" w:eastAsia="宋体" w:cs="Times New Roman"/>
                <w:color w:val="auto"/>
                <w:spacing w:val="11"/>
                <w:position w:val="0"/>
                <w:lang w:val="en-US" w:eastAsia="zh-CN"/>
              </w:rPr>
            </w:pPr>
            <w:r>
              <w:rPr>
                <w:rFonts w:hint="default" w:ascii="Times New Roman" w:hAnsi="Times New Roman" w:cs="Times New Roman"/>
                <w:color w:val="auto"/>
                <w:spacing w:val="11"/>
                <w:position w:val="0"/>
                <w:sz w:val="24"/>
                <w:szCs w:val="24"/>
                <w:lang w:val="en-US" w:eastAsia="zh-CN"/>
              </w:rPr>
              <w:t xml:space="preserve"> 309--其他</w:t>
            </w:r>
          </w:p>
        </w:tc>
        <w:tc>
          <w:tcPr>
            <w:tcW w:w="1941" w:type="dxa"/>
            <w:tcBorders>
              <w:tl2br w:val="nil"/>
              <w:tr2bl w:val="nil"/>
            </w:tcBorders>
            <w:noWrap w:val="0"/>
            <w:vAlign w:val="center"/>
          </w:tcPr>
          <w:p w14:paraId="7473AA96">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rPr>
              <w:t>用地（用海）面积（m</w:t>
            </w:r>
            <w:r>
              <w:rPr>
                <w:rFonts w:hint="default" w:ascii="Times New Roman" w:hAnsi="Times New Roman" w:eastAsia="宋体" w:cs="Times New Roman"/>
                <w:color w:val="auto"/>
                <w:spacing w:val="11"/>
                <w:position w:val="0"/>
                <w:sz w:val="24"/>
                <w:szCs w:val="24"/>
                <w:highlight w:val="none"/>
                <w:vertAlign w:val="superscript"/>
              </w:rPr>
              <w:t>2</w:t>
            </w:r>
            <w:r>
              <w:rPr>
                <w:rFonts w:hint="default" w:ascii="Times New Roman" w:hAnsi="Times New Roman" w:eastAsia="宋体" w:cs="Times New Roman"/>
                <w:color w:val="auto"/>
                <w:spacing w:val="11"/>
                <w:position w:val="0"/>
                <w:sz w:val="24"/>
                <w:szCs w:val="24"/>
                <w:highlight w:val="none"/>
              </w:rPr>
              <w:t>）/长度（km）</w:t>
            </w:r>
          </w:p>
        </w:tc>
        <w:tc>
          <w:tcPr>
            <w:tcW w:w="2829" w:type="dxa"/>
            <w:tcBorders>
              <w:tl2br w:val="nil"/>
              <w:tr2bl w:val="nil"/>
            </w:tcBorders>
            <w:noWrap w:val="0"/>
            <w:vAlign w:val="center"/>
          </w:tcPr>
          <w:p w14:paraId="2439410E">
            <w:pPr>
              <w:adjustRightInd w:val="0"/>
              <w:snapToGrid w:val="0"/>
              <w:jc w:val="center"/>
              <w:rPr>
                <w:rFonts w:hint="default" w:ascii="Times New Roman" w:hAnsi="Times New Roman" w:eastAsia="宋体" w:cs="Times New Roman"/>
                <w:color w:val="auto"/>
                <w:spacing w:val="11"/>
                <w:position w:val="0"/>
                <w:sz w:val="24"/>
                <w:szCs w:val="24"/>
                <w:highlight w:val="none"/>
                <w:lang w:val="en-US"/>
              </w:rPr>
            </w:pPr>
            <w:r>
              <w:rPr>
                <w:rFonts w:hint="default" w:ascii="Times New Roman" w:hAnsi="Times New Roman" w:cs="Times New Roman"/>
                <w:color w:val="auto"/>
                <w:spacing w:val="11"/>
                <w:position w:val="0"/>
                <w:sz w:val="24"/>
                <w:szCs w:val="24"/>
                <w:highlight w:val="none"/>
                <w:lang w:val="en-US" w:eastAsia="zh-CN"/>
              </w:rPr>
              <w:t>63300</w:t>
            </w:r>
            <w:r>
              <w:rPr>
                <w:rFonts w:hint="default" w:ascii="Times New Roman" w:hAnsi="Times New Roman" w:eastAsia="宋体" w:cs="Times New Roman"/>
                <w:color w:val="auto"/>
                <w:spacing w:val="11"/>
                <w:position w:val="0"/>
                <w:sz w:val="24"/>
                <w:szCs w:val="24"/>
                <w:highlight w:val="none"/>
              </w:rPr>
              <w:t>m</w:t>
            </w:r>
            <w:r>
              <w:rPr>
                <w:rFonts w:hint="default" w:ascii="Times New Roman" w:hAnsi="Times New Roman" w:eastAsia="宋体" w:cs="Times New Roman"/>
                <w:color w:val="auto"/>
                <w:spacing w:val="11"/>
                <w:position w:val="0"/>
                <w:sz w:val="24"/>
                <w:szCs w:val="24"/>
                <w:highlight w:val="none"/>
                <w:vertAlign w:val="superscript"/>
              </w:rPr>
              <w:t>2</w:t>
            </w:r>
          </w:p>
        </w:tc>
      </w:tr>
      <w:tr w14:paraId="76C74A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2226" w:type="dxa"/>
            <w:tcBorders>
              <w:tl2br w:val="nil"/>
              <w:tr2bl w:val="nil"/>
            </w:tcBorders>
            <w:noWrap w:val="0"/>
            <w:tcMar>
              <w:top w:w="16" w:type="dxa"/>
              <w:left w:w="16" w:type="dxa"/>
              <w:right w:w="16" w:type="dxa"/>
            </w:tcMar>
            <w:vAlign w:val="center"/>
          </w:tcPr>
          <w:p w14:paraId="69AEDAFE">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建设性质</w:t>
            </w:r>
          </w:p>
        </w:tc>
        <w:tc>
          <w:tcPr>
            <w:tcW w:w="2043" w:type="dxa"/>
            <w:tcBorders>
              <w:tl2br w:val="nil"/>
              <w:tr2bl w:val="nil"/>
            </w:tcBorders>
            <w:noWrap w:val="0"/>
            <w:vAlign w:val="center"/>
          </w:tcPr>
          <w:p w14:paraId="39285796">
            <w:pPr>
              <w:keepNext w:val="0"/>
              <w:keepLines w:val="0"/>
              <w:pageBreakBefore w:val="0"/>
              <w:widowControl w:val="0"/>
              <w:kinsoku/>
              <w:wordWrap/>
              <w:overflowPunct/>
              <w:topLinePunct w:val="0"/>
              <w:autoSpaceDE/>
              <w:autoSpaceDN/>
              <w:bidi w:val="0"/>
              <w:adjustRightInd w:val="0"/>
              <w:snapToGrid w:val="0"/>
              <w:ind w:left="21" w:leftChars="10"/>
              <w:jc w:val="left"/>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新建（迁建）</w:t>
            </w:r>
          </w:p>
          <w:p w14:paraId="1FFDAA8E">
            <w:pPr>
              <w:keepNext w:val="0"/>
              <w:keepLines w:val="0"/>
              <w:pageBreakBefore w:val="0"/>
              <w:widowControl w:val="0"/>
              <w:kinsoku/>
              <w:wordWrap/>
              <w:overflowPunct/>
              <w:topLinePunct w:val="0"/>
              <w:autoSpaceDE/>
              <w:autoSpaceDN/>
              <w:bidi w:val="0"/>
              <w:adjustRightInd w:val="0"/>
              <w:snapToGrid w:val="0"/>
              <w:ind w:left="21" w:leftChars="10"/>
              <w:jc w:val="left"/>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改建</w:t>
            </w:r>
          </w:p>
          <w:p w14:paraId="286F1D3C">
            <w:pPr>
              <w:keepNext w:val="0"/>
              <w:keepLines w:val="0"/>
              <w:pageBreakBefore w:val="0"/>
              <w:widowControl w:val="0"/>
              <w:kinsoku/>
              <w:wordWrap/>
              <w:overflowPunct/>
              <w:topLinePunct w:val="0"/>
              <w:autoSpaceDE/>
              <w:autoSpaceDN/>
              <w:bidi w:val="0"/>
              <w:adjustRightInd w:val="0"/>
              <w:snapToGrid w:val="0"/>
              <w:ind w:left="21" w:leftChars="10"/>
              <w:jc w:val="left"/>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扩建</w:t>
            </w:r>
          </w:p>
          <w:p w14:paraId="19041B1B">
            <w:pPr>
              <w:keepNext w:val="0"/>
              <w:keepLines w:val="0"/>
              <w:pageBreakBefore w:val="0"/>
              <w:widowControl w:val="0"/>
              <w:kinsoku/>
              <w:wordWrap/>
              <w:overflowPunct/>
              <w:topLinePunct w:val="0"/>
              <w:autoSpaceDE/>
              <w:autoSpaceDN/>
              <w:bidi w:val="0"/>
              <w:adjustRightInd w:val="0"/>
              <w:snapToGrid w:val="0"/>
              <w:ind w:left="21" w:leftChars="10"/>
              <w:jc w:val="left"/>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技术改造</w:t>
            </w:r>
          </w:p>
        </w:tc>
        <w:tc>
          <w:tcPr>
            <w:tcW w:w="1941" w:type="dxa"/>
            <w:tcBorders>
              <w:tl2br w:val="nil"/>
              <w:tr2bl w:val="nil"/>
            </w:tcBorders>
            <w:noWrap w:val="0"/>
            <w:vAlign w:val="center"/>
          </w:tcPr>
          <w:p w14:paraId="589AA598">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建设项目</w:t>
            </w:r>
          </w:p>
          <w:p w14:paraId="66DA7BB7">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申报情形</w:t>
            </w:r>
          </w:p>
        </w:tc>
        <w:tc>
          <w:tcPr>
            <w:tcW w:w="2829" w:type="dxa"/>
            <w:tcBorders>
              <w:tl2br w:val="nil"/>
              <w:tr2bl w:val="nil"/>
            </w:tcBorders>
            <w:noWrap w:val="0"/>
            <w:vAlign w:val="center"/>
          </w:tcPr>
          <w:p w14:paraId="2C1210D5">
            <w:pPr>
              <w:keepNext w:val="0"/>
              <w:keepLines w:val="0"/>
              <w:pageBreakBefore w:val="0"/>
              <w:widowControl w:val="0"/>
              <w:kinsoku/>
              <w:wordWrap/>
              <w:overflowPunct/>
              <w:topLinePunct w:val="0"/>
              <w:autoSpaceDE/>
              <w:autoSpaceDN/>
              <w:bidi w:val="0"/>
              <w:adjustRightInd w:val="0"/>
              <w:snapToGrid w:val="0"/>
              <w:ind w:left="21" w:leftChars="10"/>
              <w:jc w:val="left"/>
              <w:textAlignment w:val="auto"/>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首次申报项目</w:t>
            </w:r>
          </w:p>
          <w:p w14:paraId="785038A9">
            <w:pPr>
              <w:keepNext w:val="0"/>
              <w:keepLines w:val="0"/>
              <w:pageBreakBefore w:val="0"/>
              <w:widowControl w:val="0"/>
              <w:kinsoku/>
              <w:wordWrap/>
              <w:overflowPunct/>
              <w:topLinePunct w:val="0"/>
              <w:autoSpaceDE/>
              <w:autoSpaceDN/>
              <w:bidi w:val="0"/>
              <w:adjustRightInd w:val="0"/>
              <w:snapToGrid w:val="0"/>
              <w:ind w:left="21" w:leftChars="10"/>
              <w:jc w:val="left"/>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不予批准后再次申报项目</w:t>
            </w:r>
          </w:p>
          <w:p w14:paraId="291BFE8E">
            <w:pPr>
              <w:keepNext w:val="0"/>
              <w:keepLines w:val="0"/>
              <w:pageBreakBefore w:val="0"/>
              <w:widowControl w:val="0"/>
              <w:kinsoku/>
              <w:wordWrap/>
              <w:overflowPunct/>
              <w:topLinePunct w:val="0"/>
              <w:autoSpaceDE/>
              <w:autoSpaceDN/>
              <w:bidi w:val="0"/>
              <w:adjustRightInd w:val="0"/>
              <w:snapToGrid w:val="0"/>
              <w:ind w:left="21" w:leftChars="10"/>
              <w:jc w:val="left"/>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超五年重新审核项目</w:t>
            </w:r>
          </w:p>
          <w:p w14:paraId="6E7D37BA">
            <w:pPr>
              <w:keepNext w:val="0"/>
              <w:keepLines w:val="0"/>
              <w:pageBreakBefore w:val="0"/>
              <w:widowControl w:val="0"/>
              <w:kinsoku/>
              <w:wordWrap/>
              <w:overflowPunct/>
              <w:topLinePunct w:val="0"/>
              <w:autoSpaceDE/>
              <w:autoSpaceDN/>
              <w:bidi w:val="0"/>
              <w:adjustRightInd w:val="0"/>
              <w:snapToGrid w:val="0"/>
              <w:ind w:left="21" w:leftChars="10"/>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重大变动重新报批项目</w:t>
            </w:r>
          </w:p>
        </w:tc>
      </w:tr>
      <w:tr w14:paraId="36D4A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2226" w:type="dxa"/>
            <w:tcBorders>
              <w:tl2br w:val="nil"/>
              <w:tr2bl w:val="nil"/>
            </w:tcBorders>
            <w:noWrap w:val="0"/>
            <w:tcMar>
              <w:top w:w="16" w:type="dxa"/>
              <w:left w:w="16" w:type="dxa"/>
              <w:right w:w="16" w:type="dxa"/>
            </w:tcMar>
            <w:vAlign w:val="center"/>
          </w:tcPr>
          <w:p w14:paraId="6811A8B5">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项目审批（核准/</w:t>
            </w:r>
          </w:p>
          <w:p w14:paraId="29976E5F">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备案）部门（选填）</w:t>
            </w:r>
          </w:p>
        </w:tc>
        <w:tc>
          <w:tcPr>
            <w:tcW w:w="2043" w:type="dxa"/>
            <w:tcBorders>
              <w:tl2br w:val="nil"/>
              <w:tr2bl w:val="nil"/>
            </w:tcBorders>
            <w:noWrap w:val="0"/>
            <w:vAlign w:val="center"/>
          </w:tcPr>
          <w:p w14:paraId="64418813">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新田县发展和改革局</w:t>
            </w:r>
          </w:p>
        </w:tc>
        <w:tc>
          <w:tcPr>
            <w:tcW w:w="1941" w:type="dxa"/>
            <w:tcBorders>
              <w:tl2br w:val="nil"/>
              <w:tr2bl w:val="nil"/>
            </w:tcBorders>
            <w:noWrap w:val="0"/>
            <w:vAlign w:val="center"/>
          </w:tcPr>
          <w:p w14:paraId="7A160A78">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项目审批（核准/</w:t>
            </w:r>
          </w:p>
          <w:p w14:paraId="05288DD8">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备案）文号</w:t>
            </w:r>
          </w:p>
          <w:p w14:paraId="3D908A60">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（选填）</w:t>
            </w:r>
          </w:p>
        </w:tc>
        <w:tc>
          <w:tcPr>
            <w:tcW w:w="2829" w:type="dxa"/>
            <w:tcBorders>
              <w:tl2br w:val="nil"/>
              <w:tr2bl w:val="nil"/>
            </w:tcBorders>
            <w:noWrap w:val="0"/>
            <w:vAlign w:val="center"/>
          </w:tcPr>
          <w:p w14:paraId="5E96C5AC">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新发改备案</w:t>
            </w:r>
            <w:r>
              <w:rPr>
                <w:rFonts w:hint="default" w:ascii="Times New Roman" w:hAnsi="Times New Roman" w:cs="Times New Roman"/>
                <w:color w:val="auto"/>
                <w:spacing w:val="11"/>
                <w:position w:val="0"/>
                <w:sz w:val="24"/>
                <w:szCs w:val="24"/>
                <w:lang w:val="en-US" w:eastAsia="zh-CN"/>
              </w:rPr>
              <w:t>[</w:t>
            </w:r>
            <w:r>
              <w:rPr>
                <w:rFonts w:hint="default" w:ascii="Times New Roman" w:hAnsi="Times New Roman" w:eastAsia="宋体" w:cs="Times New Roman"/>
                <w:color w:val="auto"/>
                <w:spacing w:val="11"/>
                <w:position w:val="0"/>
                <w:sz w:val="24"/>
                <w:szCs w:val="24"/>
                <w:lang w:val="en-US" w:eastAsia="zh-CN"/>
              </w:rPr>
              <w:t>2025]</w:t>
            </w:r>
            <w:r>
              <w:rPr>
                <w:rFonts w:hint="default" w:ascii="Times New Roman" w:hAnsi="Times New Roman" w:cs="Times New Roman"/>
                <w:color w:val="auto"/>
                <w:spacing w:val="11"/>
                <w:position w:val="0"/>
                <w:sz w:val="24"/>
                <w:szCs w:val="24"/>
                <w:lang w:val="en-US" w:eastAsia="zh-CN"/>
              </w:rPr>
              <w:t>6</w:t>
            </w:r>
            <w:r>
              <w:rPr>
                <w:rFonts w:hint="default" w:ascii="Times New Roman" w:hAnsi="Times New Roman" w:eastAsia="宋体" w:cs="Times New Roman"/>
                <w:color w:val="auto"/>
                <w:spacing w:val="11"/>
                <w:position w:val="0"/>
                <w:sz w:val="24"/>
                <w:szCs w:val="24"/>
                <w:lang w:val="en-US" w:eastAsia="zh-CN"/>
              </w:rPr>
              <w:t>号</w:t>
            </w:r>
          </w:p>
        </w:tc>
      </w:tr>
      <w:tr w14:paraId="5DCFA9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26" w:type="dxa"/>
            <w:tcBorders>
              <w:tl2br w:val="nil"/>
              <w:tr2bl w:val="nil"/>
            </w:tcBorders>
            <w:noWrap w:val="0"/>
            <w:tcMar>
              <w:top w:w="16" w:type="dxa"/>
              <w:left w:w="16" w:type="dxa"/>
              <w:right w:w="16" w:type="dxa"/>
            </w:tcMar>
            <w:vAlign w:val="center"/>
          </w:tcPr>
          <w:p w14:paraId="136358C2">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rPr>
              <w:t>总投资（万元）</w:t>
            </w:r>
          </w:p>
        </w:tc>
        <w:tc>
          <w:tcPr>
            <w:tcW w:w="2043" w:type="dxa"/>
            <w:tcBorders>
              <w:tl2br w:val="nil"/>
              <w:tr2bl w:val="nil"/>
            </w:tcBorders>
            <w:noWrap w:val="0"/>
            <w:vAlign w:val="center"/>
          </w:tcPr>
          <w:p w14:paraId="3AD2DAF4">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cs="Times New Roman"/>
                <w:color w:val="auto"/>
                <w:spacing w:val="11"/>
                <w:position w:val="0"/>
                <w:sz w:val="24"/>
                <w:szCs w:val="24"/>
                <w:highlight w:val="none"/>
                <w:lang w:val="en-US" w:eastAsia="zh-CN"/>
              </w:rPr>
              <w:t>8</w:t>
            </w:r>
            <w:r>
              <w:rPr>
                <w:rFonts w:hint="default" w:ascii="Times New Roman" w:hAnsi="Times New Roman" w:eastAsia="宋体" w:cs="Times New Roman"/>
                <w:color w:val="auto"/>
                <w:spacing w:val="11"/>
                <w:position w:val="0"/>
                <w:sz w:val="24"/>
                <w:szCs w:val="24"/>
                <w:highlight w:val="none"/>
                <w:lang w:val="en-US" w:eastAsia="zh-CN"/>
              </w:rPr>
              <w:t>000</w:t>
            </w:r>
          </w:p>
        </w:tc>
        <w:tc>
          <w:tcPr>
            <w:tcW w:w="1941" w:type="dxa"/>
            <w:tcBorders>
              <w:tl2br w:val="nil"/>
              <w:tr2bl w:val="nil"/>
            </w:tcBorders>
            <w:noWrap w:val="0"/>
            <w:tcMar>
              <w:top w:w="16" w:type="dxa"/>
              <w:left w:w="16" w:type="dxa"/>
              <w:right w:w="16" w:type="dxa"/>
            </w:tcMar>
            <w:vAlign w:val="center"/>
          </w:tcPr>
          <w:p w14:paraId="5CD0AED4">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rPr>
              <w:t>环保投资（万元）</w:t>
            </w:r>
          </w:p>
        </w:tc>
        <w:tc>
          <w:tcPr>
            <w:tcW w:w="2829" w:type="dxa"/>
            <w:tcBorders>
              <w:tl2br w:val="nil"/>
              <w:tr2bl w:val="nil"/>
            </w:tcBorders>
            <w:noWrap w:val="0"/>
            <w:vAlign w:val="center"/>
          </w:tcPr>
          <w:p w14:paraId="317F8304">
            <w:pPr>
              <w:adjustRightInd w:val="0"/>
              <w:snapToGrid w:val="0"/>
              <w:jc w:val="center"/>
              <w:rPr>
                <w:rFonts w:hint="default" w:ascii="Times New Roman" w:hAnsi="Times New Roman" w:eastAsia="宋体" w:cs="Times New Roman"/>
                <w:color w:val="auto"/>
                <w:spacing w:val="11"/>
                <w:position w:val="0"/>
                <w:sz w:val="24"/>
                <w:szCs w:val="24"/>
                <w:highlight w:val="none"/>
                <w:lang w:val="en-US" w:eastAsia="zh-CN"/>
              </w:rPr>
            </w:pPr>
            <w:r>
              <w:rPr>
                <w:rFonts w:hint="eastAsia" w:cs="Times New Roman"/>
                <w:color w:val="auto"/>
                <w:spacing w:val="11"/>
                <w:position w:val="0"/>
                <w:sz w:val="24"/>
                <w:szCs w:val="24"/>
                <w:highlight w:val="none"/>
                <w:lang w:val="en-US" w:eastAsia="zh-CN"/>
              </w:rPr>
              <w:t>963.4</w:t>
            </w:r>
          </w:p>
        </w:tc>
      </w:tr>
      <w:tr w14:paraId="53D91D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26" w:type="dxa"/>
            <w:tcBorders>
              <w:tl2br w:val="nil"/>
              <w:tr2bl w:val="nil"/>
            </w:tcBorders>
            <w:noWrap w:val="0"/>
            <w:tcMar>
              <w:top w:w="16" w:type="dxa"/>
              <w:left w:w="16" w:type="dxa"/>
              <w:right w:w="16" w:type="dxa"/>
            </w:tcMar>
            <w:vAlign w:val="center"/>
          </w:tcPr>
          <w:p w14:paraId="4BB618FA">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rPr>
              <w:t>环保投资占比（%）</w:t>
            </w:r>
          </w:p>
        </w:tc>
        <w:tc>
          <w:tcPr>
            <w:tcW w:w="2043" w:type="dxa"/>
            <w:tcBorders>
              <w:tl2br w:val="nil"/>
              <w:tr2bl w:val="nil"/>
            </w:tcBorders>
            <w:noWrap w:val="0"/>
            <w:vAlign w:val="center"/>
          </w:tcPr>
          <w:p w14:paraId="3FE0E58F">
            <w:pPr>
              <w:adjustRightInd w:val="0"/>
              <w:snapToGrid w:val="0"/>
              <w:jc w:val="center"/>
              <w:rPr>
                <w:rFonts w:hint="default" w:ascii="Times New Roman" w:hAnsi="Times New Roman" w:eastAsia="宋体" w:cs="Times New Roman"/>
                <w:color w:val="auto"/>
                <w:spacing w:val="11"/>
                <w:position w:val="0"/>
                <w:sz w:val="24"/>
                <w:szCs w:val="24"/>
                <w:highlight w:val="none"/>
                <w:lang w:val="en-US" w:eastAsia="zh-CN"/>
              </w:rPr>
            </w:pPr>
            <w:r>
              <w:rPr>
                <w:rFonts w:hint="eastAsia" w:cs="Times New Roman"/>
                <w:color w:val="auto"/>
                <w:spacing w:val="11"/>
                <w:position w:val="0"/>
                <w:sz w:val="24"/>
                <w:szCs w:val="24"/>
                <w:highlight w:val="none"/>
                <w:lang w:val="en-US" w:eastAsia="zh-CN"/>
              </w:rPr>
              <w:t>12.04</w:t>
            </w:r>
          </w:p>
        </w:tc>
        <w:tc>
          <w:tcPr>
            <w:tcW w:w="1941" w:type="dxa"/>
            <w:tcBorders>
              <w:tl2br w:val="nil"/>
              <w:tr2bl w:val="nil"/>
            </w:tcBorders>
            <w:noWrap w:val="0"/>
            <w:tcMar>
              <w:top w:w="16" w:type="dxa"/>
              <w:left w:w="16" w:type="dxa"/>
              <w:right w:w="16" w:type="dxa"/>
            </w:tcMar>
            <w:vAlign w:val="center"/>
          </w:tcPr>
          <w:p w14:paraId="1F22AD04">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rPr>
              <w:t>施工工期</w:t>
            </w:r>
          </w:p>
        </w:tc>
        <w:tc>
          <w:tcPr>
            <w:tcW w:w="2829" w:type="dxa"/>
            <w:tcBorders>
              <w:tl2br w:val="nil"/>
              <w:tr2bl w:val="nil"/>
            </w:tcBorders>
            <w:noWrap w:val="0"/>
            <w:vAlign w:val="center"/>
          </w:tcPr>
          <w:p w14:paraId="0A6A4BBA">
            <w:pPr>
              <w:adjustRightInd w:val="0"/>
              <w:snapToGrid w:val="0"/>
              <w:jc w:val="center"/>
              <w:rPr>
                <w:rFonts w:hint="default" w:ascii="Times New Roman" w:hAnsi="Times New Roman" w:eastAsia="宋体" w:cs="Times New Roman"/>
                <w:color w:val="auto"/>
                <w:spacing w:val="11"/>
                <w:position w:val="0"/>
                <w:sz w:val="24"/>
                <w:szCs w:val="24"/>
                <w:highlight w:val="none"/>
                <w:lang w:val="en-US"/>
              </w:rPr>
            </w:pPr>
            <w:r>
              <w:rPr>
                <w:rFonts w:hint="default" w:ascii="Times New Roman" w:hAnsi="Times New Roman" w:cs="Times New Roman"/>
                <w:color w:val="auto"/>
                <w:spacing w:val="11"/>
                <w:position w:val="0"/>
                <w:sz w:val="24"/>
                <w:szCs w:val="24"/>
                <w:highlight w:val="none"/>
                <w:lang w:val="en-US" w:eastAsia="zh-CN"/>
              </w:rPr>
              <w:t>2025年6月~2025年12月</w:t>
            </w:r>
          </w:p>
        </w:tc>
      </w:tr>
      <w:tr w14:paraId="04831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2226" w:type="dxa"/>
            <w:tcBorders>
              <w:tl2br w:val="nil"/>
              <w:tr2bl w:val="nil"/>
            </w:tcBorders>
            <w:noWrap w:val="0"/>
            <w:tcMar>
              <w:top w:w="16" w:type="dxa"/>
              <w:left w:w="16" w:type="dxa"/>
              <w:right w:w="16" w:type="dxa"/>
            </w:tcMar>
            <w:vAlign w:val="center"/>
          </w:tcPr>
          <w:p w14:paraId="0E7BC24F">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是否开工建设</w:t>
            </w:r>
          </w:p>
        </w:tc>
        <w:tc>
          <w:tcPr>
            <w:tcW w:w="6813" w:type="dxa"/>
            <w:gridSpan w:val="3"/>
            <w:tcBorders>
              <w:tl2br w:val="nil"/>
              <w:tr2bl w:val="nil"/>
            </w:tcBorders>
            <w:noWrap w:val="0"/>
            <w:vAlign w:val="center"/>
          </w:tcPr>
          <w:p w14:paraId="5F9D0C2F">
            <w:pPr>
              <w:adjustRightInd w:val="0"/>
              <w:snapToGrid w:val="0"/>
              <w:ind w:firstLine="105"/>
              <w:jc w:val="left"/>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否</w:t>
            </w:r>
          </w:p>
          <w:p w14:paraId="78E775CD">
            <w:pPr>
              <w:adjustRightInd w:val="0"/>
              <w:snapToGrid w:val="0"/>
              <w:ind w:firstLine="92"/>
              <w:jc w:val="left"/>
              <w:rPr>
                <w:rFonts w:hint="default" w:ascii="Times New Roman" w:hAnsi="Times New Roman" w:eastAsia="宋体" w:cs="Times New Roman"/>
                <w:color w:val="auto"/>
                <w:spacing w:val="11"/>
                <w:position w:val="0"/>
                <w:sz w:val="24"/>
                <w:szCs w:val="24"/>
              </w:rPr>
            </w:pPr>
            <w:r>
              <w:rPr>
                <w:rFonts w:hint="eastAsia" w:ascii="Times New Roman" w:hAnsi="Times New Roman"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是：</w:t>
            </w:r>
            <w:r>
              <w:rPr>
                <w:rFonts w:hint="default" w:ascii="Times New Roman" w:hAnsi="Times New Roman" w:eastAsia="宋体" w:cs="Times New Roman"/>
                <w:color w:val="auto"/>
                <w:spacing w:val="11"/>
                <w:position w:val="0"/>
                <w:sz w:val="24"/>
                <w:szCs w:val="24"/>
                <w:u w:val="single"/>
              </w:rPr>
              <w:t xml:space="preserve">                             </w:t>
            </w:r>
          </w:p>
        </w:tc>
      </w:tr>
      <w:tr w14:paraId="38538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26" w:type="dxa"/>
            <w:tcBorders>
              <w:tl2br w:val="nil"/>
              <w:tr2bl w:val="nil"/>
            </w:tcBorders>
            <w:noWrap w:val="0"/>
            <w:tcMar>
              <w:top w:w="16" w:type="dxa"/>
              <w:left w:w="16" w:type="dxa"/>
              <w:right w:w="16" w:type="dxa"/>
            </w:tcMar>
            <w:vAlign w:val="center"/>
          </w:tcPr>
          <w:p w14:paraId="2383EB30">
            <w:pPr>
              <w:autoSpaceDE w:val="0"/>
              <w:autoSpaceDN w:val="0"/>
              <w:adjustRightInd w:val="0"/>
              <w:snapToGrid w:val="0"/>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专项评价设置情况</w:t>
            </w:r>
          </w:p>
        </w:tc>
        <w:tc>
          <w:tcPr>
            <w:tcW w:w="6813" w:type="dxa"/>
            <w:gridSpan w:val="3"/>
            <w:tcBorders>
              <w:tl2br w:val="nil"/>
              <w:tr2bl w:val="nil"/>
            </w:tcBorders>
            <w:noWrap w:val="0"/>
            <w:tcMar>
              <w:top w:w="16" w:type="dxa"/>
              <w:left w:w="16" w:type="dxa"/>
              <w:right w:w="16" w:type="dxa"/>
            </w:tcMar>
            <w:vAlign w:val="center"/>
          </w:tcPr>
          <w:p w14:paraId="4FDDAE2A">
            <w:pPr>
              <w:autoSpaceDE w:val="0"/>
              <w:autoSpaceDN w:val="0"/>
              <w:adjustRightInd w:val="0"/>
              <w:snapToGrid w:val="0"/>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lang w:val="en-US" w:eastAsia="zh-CN"/>
              </w:rPr>
              <w:t>无</w:t>
            </w:r>
          </w:p>
        </w:tc>
      </w:tr>
      <w:tr w14:paraId="12EC3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26" w:type="dxa"/>
            <w:tcBorders>
              <w:tl2br w:val="nil"/>
              <w:tr2bl w:val="nil"/>
            </w:tcBorders>
            <w:noWrap w:val="0"/>
            <w:tcMar>
              <w:top w:w="16" w:type="dxa"/>
              <w:left w:w="16" w:type="dxa"/>
              <w:right w:w="16" w:type="dxa"/>
            </w:tcMar>
            <w:vAlign w:val="center"/>
          </w:tcPr>
          <w:p w14:paraId="2DD72028">
            <w:pPr>
              <w:autoSpaceDE w:val="0"/>
              <w:autoSpaceDN w:val="0"/>
              <w:adjustRightInd w:val="0"/>
              <w:snapToGrid w:val="0"/>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position w:val="0"/>
                <w:sz w:val="24"/>
                <w:szCs w:val="24"/>
              </w:rPr>
              <w:t>规划情况</w:t>
            </w:r>
          </w:p>
        </w:tc>
        <w:tc>
          <w:tcPr>
            <w:tcW w:w="6813" w:type="dxa"/>
            <w:gridSpan w:val="3"/>
            <w:tcBorders>
              <w:tl2br w:val="nil"/>
              <w:tr2bl w:val="nil"/>
            </w:tcBorders>
            <w:noWrap w:val="0"/>
            <w:tcMar>
              <w:top w:w="16" w:type="dxa"/>
              <w:left w:w="16" w:type="dxa"/>
              <w:right w:w="16" w:type="dxa"/>
            </w:tcMar>
            <w:vAlign w:val="center"/>
          </w:tcPr>
          <w:p w14:paraId="38560A33">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1、《湖南省矿产资源总体规划（2021~2025年）》；</w:t>
            </w:r>
          </w:p>
          <w:p w14:paraId="2000CD7A">
            <w:pPr>
              <w:keepNext w:val="0"/>
              <w:keepLines w:val="0"/>
              <w:pageBreakBefore w:val="0"/>
              <w:widowControl w:val="0"/>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2、《湖南省普通建筑材料用砂石土矿专项规划（2021~2025年）》；</w:t>
            </w:r>
          </w:p>
          <w:p w14:paraId="518ABFFF">
            <w:pPr>
              <w:keepNext w:val="0"/>
              <w:keepLines w:val="0"/>
              <w:pageBreakBefore w:val="0"/>
              <w:widowControl w:val="0"/>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3、《永州市矿产资源总体规划（2021-2025年）》；</w:t>
            </w:r>
          </w:p>
          <w:p w14:paraId="36929685">
            <w:pPr>
              <w:keepNext w:val="0"/>
              <w:keepLines w:val="0"/>
              <w:pageBreakBefore w:val="0"/>
              <w:widowControl w:val="0"/>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rPr>
            </w:pPr>
            <w:r>
              <w:rPr>
                <w:rFonts w:hint="default" w:ascii="Times New Roman" w:hAnsi="Times New Roman" w:eastAsia="宋体" w:cs="Times New Roman"/>
                <w:color w:val="auto"/>
                <w:spacing w:val="11"/>
                <w:kern w:val="0"/>
                <w:position w:val="0"/>
                <w:sz w:val="24"/>
                <w:szCs w:val="24"/>
                <w:lang w:val="en-US" w:eastAsia="zh-CN"/>
              </w:rPr>
              <w:t>4、《新田县普通建筑材料用砂石土矿开采专项规划（2021-2025年）》</w:t>
            </w:r>
            <w:r>
              <w:rPr>
                <w:rFonts w:hint="default" w:ascii="Times New Roman" w:hAnsi="Times New Roman" w:cs="Times New Roman"/>
                <w:color w:val="auto"/>
                <w:spacing w:val="11"/>
                <w:kern w:val="0"/>
                <w:position w:val="0"/>
                <w:sz w:val="24"/>
                <w:szCs w:val="24"/>
                <w:lang w:val="en-US" w:eastAsia="zh-CN"/>
              </w:rPr>
              <w:t>。</w:t>
            </w:r>
          </w:p>
        </w:tc>
      </w:tr>
      <w:tr w14:paraId="69F87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26" w:type="dxa"/>
            <w:tcBorders>
              <w:tl2br w:val="nil"/>
              <w:tr2bl w:val="nil"/>
            </w:tcBorders>
            <w:noWrap w:val="0"/>
            <w:tcMar>
              <w:top w:w="16" w:type="dxa"/>
              <w:left w:w="16" w:type="dxa"/>
              <w:right w:w="16" w:type="dxa"/>
            </w:tcMar>
            <w:vAlign w:val="center"/>
          </w:tcPr>
          <w:p w14:paraId="29C94DF0">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center"/>
              <w:textAlignment w:val="auto"/>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规划环境影响</w:t>
            </w:r>
          </w:p>
          <w:p w14:paraId="3E36E35A">
            <w:pPr>
              <w:autoSpaceDE w:val="0"/>
              <w:autoSpaceDN w:val="0"/>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position w:val="0"/>
                <w:sz w:val="24"/>
                <w:szCs w:val="24"/>
              </w:rPr>
              <w:t>评价情况</w:t>
            </w:r>
          </w:p>
        </w:tc>
        <w:tc>
          <w:tcPr>
            <w:tcW w:w="6813" w:type="dxa"/>
            <w:gridSpan w:val="3"/>
            <w:tcBorders>
              <w:tl2br w:val="nil"/>
              <w:tr2bl w:val="nil"/>
            </w:tcBorders>
            <w:noWrap w:val="0"/>
            <w:tcMar>
              <w:top w:w="16" w:type="dxa"/>
              <w:left w:w="16" w:type="dxa"/>
              <w:right w:w="16" w:type="dxa"/>
            </w:tcMar>
            <w:vAlign w:val="center"/>
          </w:tcPr>
          <w:p w14:paraId="18F08F8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lang w:val="en-US" w:eastAsia="zh-CN"/>
              </w:rPr>
              <w:t>《湖南省普通建筑材料用砂石土矿专项规划（2021~2025年）环境影响报告书》，湘环评函[2021]23号</w:t>
            </w:r>
            <w:r>
              <w:rPr>
                <w:rFonts w:hint="default" w:ascii="Times New Roman" w:hAnsi="Times New Roman" w:cs="Times New Roman"/>
                <w:color w:val="auto"/>
                <w:spacing w:val="11"/>
                <w:kern w:val="0"/>
                <w:position w:val="0"/>
                <w:sz w:val="24"/>
                <w:szCs w:val="24"/>
                <w:lang w:val="en-US" w:eastAsia="zh-CN"/>
              </w:rPr>
              <w:t>。</w:t>
            </w:r>
          </w:p>
        </w:tc>
      </w:tr>
      <w:tr w14:paraId="51DA3A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226" w:type="dxa"/>
            <w:tcBorders>
              <w:tl2br w:val="nil"/>
              <w:tr2bl w:val="nil"/>
            </w:tcBorders>
            <w:noWrap w:val="0"/>
            <w:tcMar>
              <w:top w:w="16" w:type="dxa"/>
              <w:left w:w="16" w:type="dxa"/>
              <w:right w:w="16" w:type="dxa"/>
            </w:tcMar>
            <w:vAlign w:val="center"/>
          </w:tcPr>
          <w:p w14:paraId="7C2604D1">
            <w:pPr>
              <w:autoSpaceDE w:val="0"/>
              <w:autoSpaceDN w:val="0"/>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规划及</w:t>
            </w:r>
            <w:r>
              <w:rPr>
                <w:rFonts w:hint="default" w:ascii="Times New Roman" w:hAnsi="Times New Roman" w:eastAsia="宋体" w:cs="Times New Roman"/>
                <w:color w:val="auto"/>
                <w:spacing w:val="11"/>
                <w:position w:val="0"/>
                <w:sz w:val="24"/>
                <w:szCs w:val="24"/>
              </w:rPr>
              <w:t>规划环境影响评价</w:t>
            </w:r>
            <w:r>
              <w:rPr>
                <w:rFonts w:hint="default" w:ascii="Times New Roman" w:hAnsi="Times New Roman" w:eastAsia="宋体" w:cs="Times New Roman"/>
                <w:color w:val="auto"/>
                <w:spacing w:val="11"/>
                <w:kern w:val="0"/>
                <w:position w:val="0"/>
                <w:sz w:val="24"/>
                <w:szCs w:val="24"/>
              </w:rPr>
              <w:t>符合性分析</w:t>
            </w:r>
          </w:p>
        </w:tc>
        <w:tc>
          <w:tcPr>
            <w:tcW w:w="6813" w:type="dxa"/>
            <w:gridSpan w:val="3"/>
            <w:tcBorders>
              <w:tl2br w:val="nil"/>
              <w:tr2bl w:val="nil"/>
            </w:tcBorders>
            <w:noWrap w:val="0"/>
            <w:tcMar>
              <w:top w:w="16" w:type="dxa"/>
              <w:left w:w="16" w:type="dxa"/>
              <w:right w:w="16" w:type="dxa"/>
            </w:tcMar>
            <w:vAlign w:val="center"/>
          </w:tcPr>
          <w:p w14:paraId="5F9A78F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6" w:firstLineChars="200"/>
              <w:jc w:val="left"/>
              <w:textAlignment w:val="auto"/>
              <w:outlineLvl w:val="1"/>
              <w:rPr>
                <w:rFonts w:hint="default" w:ascii="Times New Roman" w:hAnsi="Times New Roman" w:eastAsia="宋体" w:cs="Times New Roman"/>
                <w:b/>
                <w:bCs/>
                <w:color w:val="000000"/>
                <w:spacing w:val="11"/>
                <w:position w:val="0"/>
                <w:sz w:val="24"/>
                <w:u w:val="single"/>
              </w:rPr>
            </w:pPr>
            <w:bookmarkStart w:id="2" w:name="_Toc18038"/>
            <w:r>
              <w:rPr>
                <w:rFonts w:hint="eastAsia" w:cs="Times New Roman"/>
                <w:b/>
                <w:bCs/>
                <w:color w:val="000000"/>
                <w:spacing w:val="11"/>
                <w:position w:val="0"/>
                <w:sz w:val="24"/>
                <w:u w:val="single"/>
                <w:lang w:val="en-US" w:eastAsia="zh-CN"/>
              </w:rPr>
              <w:t>1</w:t>
            </w:r>
            <w:r>
              <w:rPr>
                <w:rFonts w:hint="default" w:ascii="Times New Roman" w:hAnsi="Times New Roman" w:eastAsia="宋体" w:cs="Times New Roman"/>
                <w:b/>
                <w:bCs/>
                <w:color w:val="000000"/>
                <w:spacing w:val="11"/>
                <w:position w:val="0"/>
                <w:sz w:val="24"/>
                <w:u w:val="single"/>
                <w:lang w:val="en-US" w:eastAsia="zh-CN"/>
              </w:rPr>
              <w:t>、</w:t>
            </w:r>
            <w:r>
              <w:rPr>
                <w:rFonts w:hint="default" w:ascii="Times New Roman" w:hAnsi="Times New Roman" w:eastAsia="宋体" w:cs="Times New Roman"/>
                <w:b/>
                <w:bCs/>
                <w:color w:val="000000"/>
                <w:spacing w:val="11"/>
                <w:position w:val="0"/>
                <w:sz w:val="24"/>
                <w:u w:val="single"/>
              </w:rPr>
              <w:t>与《</w:t>
            </w:r>
            <w:r>
              <w:rPr>
                <w:rFonts w:hint="default" w:ascii="Times New Roman" w:hAnsi="Times New Roman" w:eastAsia="宋体" w:cs="Times New Roman"/>
                <w:b/>
                <w:bCs/>
                <w:color w:val="000000"/>
                <w:spacing w:val="11"/>
                <w:position w:val="0"/>
                <w:sz w:val="24"/>
                <w:u w:val="single"/>
                <w:shd w:val="clear" w:color="auto" w:fill="FFFFFF"/>
              </w:rPr>
              <w:t>湖南省矿产资源总体规划（2021~2025年）</w:t>
            </w:r>
            <w:r>
              <w:rPr>
                <w:rFonts w:hint="default" w:ascii="Times New Roman" w:hAnsi="Times New Roman" w:eastAsia="宋体" w:cs="Times New Roman"/>
                <w:b/>
                <w:bCs/>
                <w:color w:val="000000"/>
                <w:spacing w:val="11"/>
                <w:position w:val="0"/>
                <w:sz w:val="24"/>
                <w:u w:val="single"/>
              </w:rPr>
              <w:t>》</w:t>
            </w:r>
            <w:r>
              <w:rPr>
                <w:rFonts w:hint="default" w:ascii="Times New Roman" w:hAnsi="Times New Roman" w:eastAsia="宋体" w:cs="Times New Roman"/>
                <w:b/>
                <w:bCs/>
                <w:color w:val="000000"/>
                <w:spacing w:val="11"/>
                <w:position w:val="0"/>
                <w:sz w:val="24"/>
                <w:u w:val="single"/>
                <w:shd w:val="clear" w:color="auto" w:fill="FFFFFF"/>
                <w:lang w:val="en-US" w:eastAsia="zh-CN"/>
              </w:rPr>
              <w:t>相符性分析</w:t>
            </w:r>
            <w:bookmarkEnd w:id="2"/>
          </w:p>
          <w:p w14:paraId="7E1C1C5E">
            <w:pPr>
              <w:adjustRightInd w:val="0"/>
              <w:snapToGrid w:val="0"/>
              <w:spacing w:line="360" w:lineRule="auto"/>
              <w:ind w:firstLine="524" w:firstLineChars="200"/>
              <w:jc w:val="left"/>
              <w:outlineLvl w:val="1"/>
              <w:rPr>
                <w:rFonts w:hint="default" w:ascii="Times New Roman" w:hAnsi="Times New Roman" w:eastAsia="宋体" w:cs="Times New Roman"/>
                <w:color w:val="000000"/>
                <w:spacing w:val="11"/>
                <w:position w:val="0"/>
                <w:sz w:val="24"/>
                <w:u w:val="single"/>
              </w:rPr>
            </w:pPr>
            <w:bookmarkStart w:id="3" w:name="_Toc17016"/>
            <w:r>
              <w:rPr>
                <w:rFonts w:hint="default" w:ascii="Times New Roman" w:hAnsi="Times New Roman" w:eastAsia="宋体" w:cs="Times New Roman"/>
                <w:color w:val="000000"/>
                <w:spacing w:val="11"/>
                <w:position w:val="0"/>
                <w:sz w:val="24"/>
                <w:u w:val="single"/>
              </w:rPr>
              <w:t>通过《湖南省矿产资源总体规划（</w:t>
            </w:r>
            <w:r>
              <w:rPr>
                <w:rFonts w:hint="default" w:ascii="Times New Roman" w:hAnsi="Times New Roman" w:eastAsia="宋体" w:cs="Times New Roman"/>
                <w:color w:val="000000"/>
                <w:spacing w:val="11"/>
                <w:position w:val="0"/>
                <w:sz w:val="24"/>
                <w:u w:val="single"/>
                <w:shd w:val="clear" w:color="auto" w:fill="FFFFFF"/>
              </w:rPr>
              <w:t>2021~2025年</w:t>
            </w:r>
            <w:r>
              <w:rPr>
                <w:rFonts w:hint="default" w:ascii="Times New Roman" w:hAnsi="Times New Roman" w:eastAsia="宋体" w:cs="Times New Roman"/>
                <w:color w:val="000000"/>
                <w:spacing w:val="11"/>
                <w:position w:val="0"/>
                <w:sz w:val="24"/>
                <w:u w:val="single"/>
              </w:rPr>
              <w:t>）》规划目标可知，到2025年，全省资源优势更加突显，矿产资源产业发展迈上新台阶，全省矿产资源安全保障更加自主可控，矿产资源开发利用更加规范集约，资源开发与生态保护更加协调适应，矿产资源治理体系和治理能力更加完善有效，矿业转型绿色发展新格局全面形成，全力保障全省“三高四新”战略顺利实施。</w:t>
            </w:r>
            <w:bookmarkEnd w:id="3"/>
          </w:p>
          <w:p w14:paraId="5543F8A3">
            <w:pPr>
              <w:adjustRightInd w:val="0"/>
              <w:snapToGrid w:val="0"/>
              <w:spacing w:line="360" w:lineRule="auto"/>
              <w:ind w:firstLine="524" w:firstLineChars="200"/>
              <w:jc w:val="left"/>
              <w:outlineLvl w:val="1"/>
              <w:rPr>
                <w:rFonts w:hint="default" w:ascii="Times New Roman" w:hAnsi="Times New Roman" w:eastAsia="宋体" w:cs="Times New Roman"/>
                <w:color w:val="000000"/>
                <w:spacing w:val="11"/>
                <w:position w:val="0"/>
                <w:sz w:val="24"/>
                <w:u w:val="single"/>
              </w:rPr>
            </w:pPr>
            <w:bookmarkStart w:id="4" w:name="_Toc28188"/>
            <w:r>
              <w:rPr>
                <w:rFonts w:hint="default" w:ascii="Times New Roman" w:hAnsi="Times New Roman" w:eastAsia="宋体" w:cs="Times New Roman"/>
                <w:color w:val="000000"/>
                <w:spacing w:val="11"/>
                <w:position w:val="0"/>
                <w:sz w:val="24"/>
                <w:u w:val="single"/>
              </w:rPr>
              <w:t>----资源安全保障更加自主可控。</w:t>
            </w:r>
            <w:bookmarkEnd w:id="4"/>
          </w:p>
          <w:p w14:paraId="71598664">
            <w:pPr>
              <w:adjustRightInd w:val="0"/>
              <w:snapToGrid w:val="0"/>
              <w:spacing w:line="360" w:lineRule="auto"/>
              <w:ind w:firstLine="524" w:firstLineChars="200"/>
              <w:jc w:val="left"/>
              <w:outlineLvl w:val="1"/>
              <w:rPr>
                <w:rFonts w:hint="default" w:ascii="Times New Roman" w:hAnsi="Times New Roman" w:eastAsia="宋体" w:cs="Times New Roman"/>
                <w:color w:val="000000"/>
                <w:spacing w:val="11"/>
                <w:position w:val="0"/>
                <w:sz w:val="24"/>
                <w:u w:val="single"/>
              </w:rPr>
            </w:pPr>
            <w:bookmarkStart w:id="5" w:name="_Toc22052"/>
            <w:r>
              <w:rPr>
                <w:rFonts w:hint="default" w:ascii="Times New Roman" w:hAnsi="Times New Roman" w:eastAsia="宋体" w:cs="Times New Roman"/>
                <w:color w:val="000000"/>
                <w:spacing w:val="11"/>
                <w:position w:val="0"/>
                <w:sz w:val="24"/>
                <w:u w:val="single"/>
              </w:rPr>
              <w:t>----矿产开发利用更加规范集约。</w:t>
            </w:r>
            <w:bookmarkEnd w:id="5"/>
          </w:p>
          <w:p w14:paraId="571261D3">
            <w:pPr>
              <w:adjustRightInd w:val="0"/>
              <w:snapToGrid w:val="0"/>
              <w:spacing w:line="360" w:lineRule="auto"/>
              <w:ind w:firstLine="524" w:firstLineChars="200"/>
              <w:jc w:val="left"/>
              <w:outlineLvl w:val="1"/>
              <w:rPr>
                <w:rFonts w:hint="default" w:ascii="Times New Roman" w:hAnsi="Times New Roman" w:eastAsia="宋体" w:cs="Times New Roman"/>
                <w:color w:val="000000"/>
                <w:spacing w:val="11"/>
                <w:position w:val="0"/>
                <w:sz w:val="24"/>
                <w:u w:val="single"/>
              </w:rPr>
            </w:pPr>
            <w:bookmarkStart w:id="6" w:name="_Toc16228"/>
            <w:r>
              <w:rPr>
                <w:rFonts w:hint="default" w:ascii="Times New Roman" w:hAnsi="Times New Roman" w:eastAsia="宋体" w:cs="Times New Roman"/>
                <w:color w:val="000000"/>
                <w:spacing w:val="11"/>
                <w:position w:val="0"/>
                <w:sz w:val="24"/>
                <w:u w:val="single"/>
              </w:rPr>
              <w:t>----资源开发与生态保护更加协调适应。</w:t>
            </w:r>
            <w:bookmarkEnd w:id="6"/>
          </w:p>
          <w:p w14:paraId="5828F095">
            <w:pPr>
              <w:adjustRightInd w:val="0"/>
              <w:snapToGrid w:val="0"/>
              <w:spacing w:line="360" w:lineRule="auto"/>
              <w:ind w:firstLine="524" w:firstLineChars="200"/>
              <w:jc w:val="left"/>
              <w:outlineLvl w:val="1"/>
              <w:rPr>
                <w:rFonts w:hint="default" w:ascii="Times New Roman" w:hAnsi="Times New Roman" w:eastAsia="宋体" w:cs="Times New Roman"/>
                <w:color w:val="000000"/>
                <w:spacing w:val="11"/>
                <w:position w:val="0"/>
                <w:sz w:val="24"/>
                <w:u w:val="single"/>
              </w:rPr>
            </w:pPr>
            <w:bookmarkStart w:id="7" w:name="_Toc14605"/>
            <w:r>
              <w:rPr>
                <w:rFonts w:hint="default" w:ascii="Times New Roman" w:hAnsi="Times New Roman" w:eastAsia="宋体" w:cs="Times New Roman"/>
                <w:color w:val="000000"/>
                <w:spacing w:val="11"/>
                <w:position w:val="0"/>
                <w:sz w:val="24"/>
                <w:u w:val="single"/>
              </w:rPr>
              <w:t>----矿产资源治理体系和治理能力更加完善有效。</w:t>
            </w:r>
            <w:bookmarkEnd w:id="7"/>
          </w:p>
          <w:p w14:paraId="5B876FCA">
            <w:pPr>
              <w:adjustRightInd w:val="0"/>
              <w:snapToGrid w:val="0"/>
              <w:spacing w:line="360" w:lineRule="auto"/>
              <w:ind w:firstLine="524" w:firstLineChars="200"/>
              <w:jc w:val="left"/>
              <w:outlineLvl w:val="1"/>
              <w:rPr>
                <w:rFonts w:hint="default" w:ascii="Times New Roman" w:hAnsi="Times New Roman" w:eastAsia="宋体" w:cs="Times New Roman"/>
                <w:color w:val="000000"/>
                <w:spacing w:val="11"/>
                <w:position w:val="0"/>
                <w:sz w:val="24"/>
                <w:u w:val="single"/>
              </w:rPr>
            </w:pPr>
            <w:bookmarkStart w:id="8" w:name="_Toc8070"/>
            <w:r>
              <w:rPr>
                <w:rFonts w:hint="default" w:ascii="Times New Roman" w:hAnsi="Times New Roman" w:eastAsia="宋体" w:cs="Times New Roman"/>
                <w:color w:val="000000"/>
                <w:spacing w:val="11"/>
                <w:position w:val="0"/>
                <w:sz w:val="24"/>
                <w:u w:val="single"/>
              </w:rPr>
              <w:t>展望2035年，全省矿产资源安全保障体制机制健全，矿产资源产业可持续发展，矿产资源开发利用结构布局优化，矿产资源利用规模化、集约化、绿色化发展全面实现，矿山生态环境实现根本好转，全面实现矿产资源治理体系和治理能力现代化，矿业绿色转型全面完成，全省矿业高质量发展新格局全面形成。</w:t>
            </w:r>
            <w:bookmarkEnd w:id="8"/>
          </w:p>
          <w:p w14:paraId="2EB48A15">
            <w:pPr>
              <w:adjustRightInd w:val="0"/>
              <w:snapToGrid w:val="0"/>
              <w:spacing w:line="360" w:lineRule="auto"/>
              <w:ind w:firstLine="524" w:firstLineChars="200"/>
              <w:jc w:val="left"/>
              <w:outlineLvl w:val="1"/>
              <w:rPr>
                <w:rFonts w:hint="default" w:ascii="Times New Roman" w:hAnsi="Times New Roman" w:eastAsia="宋体" w:cs="Times New Roman"/>
                <w:color w:val="000000"/>
                <w:spacing w:val="11"/>
                <w:position w:val="0"/>
                <w:sz w:val="24"/>
                <w:u w:val="single"/>
              </w:rPr>
            </w:pPr>
            <w:bookmarkStart w:id="9" w:name="_Toc22188"/>
            <w:r>
              <w:rPr>
                <w:rFonts w:hint="default" w:ascii="Times New Roman" w:hAnsi="Times New Roman" w:eastAsia="宋体" w:cs="Times New Roman"/>
                <w:color w:val="000000"/>
                <w:spacing w:val="11"/>
                <w:position w:val="0"/>
                <w:sz w:val="24"/>
                <w:u w:val="single"/>
              </w:rPr>
              <w:t>湖南省矿产资源开发利用为：</w:t>
            </w:r>
            <w:bookmarkEnd w:id="9"/>
          </w:p>
          <w:p w14:paraId="57B246CC">
            <w:pPr>
              <w:adjustRightInd w:val="0"/>
              <w:snapToGrid w:val="0"/>
              <w:spacing w:line="360" w:lineRule="auto"/>
              <w:ind w:firstLine="524" w:firstLineChars="200"/>
              <w:jc w:val="left"/>
              <w:outlineLvl w:val="1"/>
              <w:rPr>
                <w:rFonts w:hint="default" w:ascii="Times New Roman" w:hAnsi="Times New Roman" w:eastAsia="宋体" w:cs="Times New Roman"/>
                <w:color w:val="000000"/>
                <w:spacing w:val="11"/>
                <w:position w:val="0"/>
                <w:sz w:val="24"/>
                <w:u w:val="single"/>
              </w:rPr>
            </w:pPr>
            <w:bookmarkStart w:id="10" w:name="_Toc691"/>
            <w:r>
              <w:rPr>
                <w:rFonts w:hint="default" w:ascii="Times New Roman" w:hAnsi="Times New Roman" w:eastAsia="宋体" w:cs="Times New Roman"/>
                <w:color w:val="000000"/>
                <w:spacing w:val="11"/>
                <w:position w:val="0"/>
                <w:sz w:val="24"/>
                <w:u w:val="single"/>
              </w:rPr>
              <w:t>（一）优化开发利用分区布局科学划定重点开采区域。合理设置砂石土集中开采区。</w:t>
            </w:r>
            <w:bookmarkEnd w:id="10"/>
          </w:p>
          <w:p w14:paraId="3CA3F15B">
            <w:pPr>
              <w:adjustRightInd w:val="0"/>
              <w:snapToGrid w:val="0"/>
              <w:spacing w:line="360" w:lineRule="auto"/>
              <w:ind w:firstLine="524" w:firstLineChars="200"/>
              <w:jc w:val="left"/>
              <w:outlineLvl w:val="1"/>
              <w:rPr>
                <w:rFonts w:hint="default" w:ascii="Times New Roman" w:hAnsi="Times New Roman" w:eastAsia="宋体" w:cs="Times New Roman"/>
                <w:color w:val="000000"/>
                <w:spacing w:val="11"/>
                <w:position w:val="0"/>
                <w:sz w:val="24"/>
                <w:u w:val="single"/>
              </w:rPr>
            </w:pPr>
            <w:bookmarkStart w:id="11" w:name="_Toc5798"/>
            <w:r>
              <w:rPr>
                <w:rFonts w:hint="default" w:ascii="Times New Roman" w:hAnsi="Times New Roman" w:eastAsia="宋体" w:cs="Times New Roman"/>
                <w:color w:val="000000"/>
                <w:spacing w:val="11"/>
                <w:position w:val="0"/>
                <w:sz w:val="24"/>
                <w:u w:val="single"/>
              </w:rPr>
              <w:t>（二）科学设置开采规划区块</w:t>
            </w:r>
            <w:bookmarkEnd w:id="11"/>
          </w:p>
          <w:p w14:paraId="7CEC33B9">
            <w:pPr>
              <w:adjustRightInd w:val="0"/>
              <w:snapToGrid w:val="0"/>
              <w:spacing w:line="360" w:lineRule="auto"/>
              <w:ind w:firstLine="524" w:firstLineChars="200"/>
              <w:jc w:val="left"/>
              <w:outlineLvl w:val="1"/>
              <w:rPr>
                <w:rFonts w:hint="default" w:ascii="Times New Roman" w:hAnsi="Times New Roman" w:eastAsia="宋体" w:cs="Times New Roman"/>
                <w:color w:val="000000"/>
                <w:spacing w:val="11"/>
                <w:position w:val="0"/>
                <w:sz w:val="24"/>
                <w:u w:val="single"/>
              </w:rPr>
            </w:pPr>
            <w:bookmarkStart w:id="12" w:name="_Toc11624"/>
            <w:r>
              <w:rPr>
                <w:rFonts w:hint="default" w:ascii="Times New Roman" w:hAnsi="Times New Roman" w:eastAsia="宋体" w:cs="Times New Roman"/>
                <w:color w:val="000000"/>
                <w:spacing w:val="11"/>
                <w:position w:val="0"/>
                <w:sz w:val="24"/>
                <w:u w:val="single"/>
              </w:rPr>
              <w:t>明确开采规划区块设置原则。分级分类确定开采规划区块。</w:t>
            </w:r>
            <w:bookmarkEnd w:id="12"/>
          </w:p>
          <w:p w14:paraId="6326FBEF">
            <w:pPr>
              <w:adjustRightInd w:val="0"/>
              <w:snapToGrid w:val="0"/>
              <w:spacing w:line="360" w:lineRule="auto"/>
              <w:ind w:firstLine="524" w:firstLineChars="200"/>
              <w:jc w:val="left"/>
              <w:outlineLvl w:val="1"/>
              <w:rPr>
                <w:rFonts w:hint="default" w:ascii="Times New Roman" w:hAnsi="Times New Roman" w:eastAsia="宋体" w:cs="Times New Roman"/>
                <w:color w:val="000000"/>
                <w:spacing w:val="11"/>
                <w:position w:val="0"/>
                <w:sz w:val="24"/>
                <w:u w:val="single"/>
              </w:rPr>
            </w:pPr>
            <w:bookmarkStart w:id="13" w:name="_Toc24896"/>
            <w:r>
              <w:rPr>
                <w:rFonts w:hint="default" w:ascii="Times New Roman" w:hAnsi="Times New Roman" w:eastAsia="宋体" w:cs="Times New Roman"/>
                <w:color w:val="000000"/>
                <w:spacing w:val="11"/>
                <w:position w:val="0"/>
                <w:sz w:val="24"/>
                <w:u w:val="single"/>
              </w:rPr>
              <w:t>（三）节约集约利用矿产资源</w:t>
            </w:r>
            <w:bookmarkEnd w:id="13"/>
          </w:p>
          <w:p w14:paraId="0037A495">
            <w:pPr>
              <w:adjustRightInd w:val="0"/>
              <w:snapToGrid w:val="0"/>
              <w:spacing w:line="360" w:lineRule="auto"/>
              <w:ind w:firstLine="524" w:firstLineChars="200"/>
              <w:jc w:val="left"/>
              <w:outlineLvl w:val="1"/>
              <w:rPr>
                <w:rFonts w:hint="default" w:ascii="Times New Roman" w:hAnsi="Times New Roman" w:eastAsia="宋体" w:cs="Times New Roman"/>
                <w:color w:val="000000"/>
                <w:spacing w:val="11"/>
                <w:position w:val="0"/>
                <w:sz w:val="24"/>
                <w:u w:val="single"/>
              </w:rPr>
            </w:pPr>
            <w:bookmarkStart w:id="14" w:name="_Toc19852"/>
            <w:r>
              <w:rPr>
                <w:rFonts w:hint="default" w:ascii="Times New Roman" w:hAnsi="Times New Roman" w:eastAsia="宋体" w:cs="Times New Roman"/>
                <w:color w:val="000000"/>
                <w:spacing w:val="11"/>
                <w:position w:val="0"/>
                <w:sz w:val="24"/>
                <w:u w:val="single"/>
              </w:rPr>
              <w:t>鼓励科技创新节约利用资源。</w:t>
            </w:r>
            <w:bookmarkEnd w:id="14"/>
          </w:p>
          <w:p w14:paraId="150D1CEA">
            <w:pPr>
              <w:adjustRightInd w:val="0"/>
              <w:snapToGrid w:val="0"/>
              <w:spacing w:line="360" w:lineRule="auto"/>
              <w:ind w:firstLine="524" w:firstLineChars="200"/>
              <w:jc w:val="left"/>
              <w:outlineLvl w:val="1"/>
              <w:rPr>
                <w:rFonts w:hint="default" w:ascii="Times New Roman" w:hAnsi="Times New Roman" w:eastAsia="宋体" w:cs="Times New Roman"/>
                <w:color w:val="000000"/>
                <w:spacing w:val="11"/>
                <w:position w:val="0"/>
                <w:sz w:val="24"/>
                <w:u w:val="single"/>
              </w:rPr>
            </w:pPr>
            <w:bookmarkStart w:id="15" w:name="_Toc24729"/>
            <w:r>
              <w:rPr>
                <w:rFonts w:hint="default" w:ascii="Times New Roman" w:hAnsi="Times New Roman" w:eastAsia="宋体" w:cs="Times New Roman"/>
                <w:color w:val="000000"/>
                <w:spacing w:val="11"/>
                <w:position w:val="0"/>
                <w:sz w:val="24"/>
                <w:u w:val="single"/>
              </w:rPr>
              <w:t>提高矿产资源集约利用水平。</w:t>
            </w:r>
            <w:bookmarkEnd w:id="15"/>
          </w:p>
          <w:p w14:paraId="515556DD">
            <w:pPr>
              <w:adjustRightInd w:val="0"/>
              <w:snapToGrid w:val="0"/>
              <w:spacing w:line="360" w:lineRule="auto"/>
              <w:ind w:firstLine="524" w:firstLineChars="200"/>
              <w:jc w:val="left"/>
              <w:outlineLvl w:val="1"/>
              <w:rPr>
                <w:rFonts w:hint="default" w:ascii="Times New Roman" w:hAnsi="Times New Roman" w:eastAsia="宋体" w:cs="Times New Roman"/>
                <w:color w:val="000000"/>
                <w:spacing w:val="11"/>
                <w:position w:val="0"/>
                <w:sz w:val="24"/>
                <w:u w:val="single"/>
              </w:rPr>
            </w:pPr>
            <w:bookmarkStart w:id="16" w:name="_Toc4433"/>
            <w:r>
              <w:rPr>
                <w:rFonts w:hint="default" w:ascii="Times New Roman" w:hAnsi="Times New Roman" w:eastAsia="宋体" w:cs="Times New Roman"/>
                <w:color w:val="000000"/>
                <w:spacing w:val="11"/>
                <w:position w:val="0"/>
                <w:sz w:val="24"/>
                <w:u w:val="single"/>
              </w:rPr>
              <w:t>健全矿产资源节约集约长效机制。</w:t>
            </w:r>
            <w:bookmarkEnd w:id="16"/>
          </w:p>
          <w:p w14:paraId="490C2D47">
            <w:pPr>
              <w:adjustRightInd w:val="0"/>
              <w:snapToGrid w:val="0"/>
              <w:spacing w:line="360" w:lineRule="auto"/>
              <w:ind w:firstLine="524" w:firstLineChars="200"/>
              <w:jc w:val="left"/>
              <w:outlineLvl w:val="1"/>
              <w:rPr>
                <w:rFonts w:hint="default" w:ascii="Times New Roman" w:hAnsi="Times New Roman" w:eastAsia="宋体" w:cs="Times New Roman"/>
                <w:color w:val="000000"/>
                <w:spacing w:val="11"/>
                <w:position w:val="0"/>
                <w:sz w:val="24"/>
                <w:u w:val="single"/>
              </w:rPr>
            </w:pPr>
            <w:bookmarkStart w:id="17" w:name="_Toc11390"/>
            <w:r>
              <w:rPr>
                <w:rFonts w:hint="default" w:ascii="Times New Roman" w:hAnsi="Times New Roman" w:eastAsia="宋体" w:cs="Times New Roman"/>
                <w:color w:val="000000"/>
                <w:spacing w:val="11"/>
                <w:position w:val="0"/>
                <w:sz w:val="24"/>
                <w:u w:val="single"/>
              </w:rPr>
              <w:t>（四）完善开发准入退出机制</w:t>
            </w:r>
            <w:bookmarkEnd w:id="17"/>
          </w:p>
          <w:p w14:paraId="644EAFE3">
            <w:pPr>
              <w:adjustRightInd w:val="0"/>
              <w:snapToGrid w:val="0"/>
              <w:spacing w:line="360" w:lineRule="auto"/>
              <w:ind w:firstLine="524" w:firstLineChars="200"/>
              <w:jc w:val="left"/>
              <w:outlineLvl w:val="1"/>
              <w:rPr>
                <w:rFonts w:hint="default" w:ascii="Times New Roman" w:hAnsi="Times New Roman" w:eastAsia="宋体" w:cs="Times New Roman"/>
                <w:color w:val="000000"/>
                <w:spacing w:val="11"/>
                <w:position w:val="0"/>
                <w:sz w:val="24"/>
                <w:u w:val="single"/>
              </w:rPr>
            </w:pPr>
            <w:bookmarkStart w:id="18" w:name="_Toc21030"/>
            <w:r>
              <w:rPr>
                <w:rFonts w:hint="default" w:ascii="Times New Roman" w:hAnsi="Times New Roman" w:eastAsia="宋体" w:cs="Times New Roman"/>
                <w:color w:val="000000"/>
                <w:spacing w:val="11"/>
                <w:position w:val="0"/>
                <w:sz w:val="24"/>
                <w:u w:val="single"/>
              </w:rPr>
              <w:t>严格矿产资源开发准入。</w:t>
            </w:r>
            <w:bookmarkEnd w:id="18"/>
          </w:p>
          <w:p w14:paraId="1ADC0A07">
            <w:pPr>
              <w:adjustRightInd w:val="0"/>
              <w:snapToGrid w:val="0"/>
              <w:spacing w:line="360" w:lineRule="auto"/>
              <w:ind w:firstLine="524" w:firstLineChars="200"/>
              <w:jc w:val="left"/>
              <w:outlineLvl w:val="1"/>
              <w:rPr>
                <w:rFonts w:hint="default" w:ascii="Times New Roman" w:hAnsi="Times New Roman" w:eastAsia="宋体" w:cs="Times New Roman"/>
                <w:color w:val="000000"/>
                <w:spacing w:val="11"/>
                <w:position w:val="0"/>
                <w:sz w:val="24"/>
                <w:u w:val="single"/>
              </w:rPr>
            </w:pPr>
            <w:bookmarkStart w:id="19" w:name="_Toc15894"/>
            <w:r>
              <w:rPr>
                <w:rFonts w:hint="default" w:ascii="Times New Roman" w:hAnsi="Times New Roman" w:eastAsia="宋体" w:cs="Times New Roman"/>
                <w:color w:val="000000"/>
                <w:spacing w:val="11"/>
                <w:position w:val="0"/>
                <w:sz w:val="24"/>
                <w:u w:val="single"/>
              </w:rPr>
              <w:t>逐步完善采矿权退出机制。</w:t>
            </w:r>
            <w:bookmarkEnd w:id="19"/>
          </w:p>
          <w:p w14:paraId="1C388659">
            <w:pPr>
              <w:autoSpaceDE w:val="0"/>
              <w:autoSpaceDN w:val="0"/>
              <w:adjustRightInd w:val="0"/>
              <w:snapToGrid w:val="0"/>
              <w:spacing w:line="360" w:lineRule="auto"/>
              <w:ind w:firstLine="524" w:firstLineChars="200"/>
              <w:rPr>
                <w:rFonts w:hint="default" w:ascii="Times New Roman" w:hAnsi="Times New Roman" w:eastAsia="宋体" w:cs="Times New Roman"/>
                <w:color w:val="000000"/>
                <w:spacing w:val="11"/>
                <w:position w:val="0"/>
                <w:sz w:val="24"/>
                <w:u w:val="single"/>
                <w:lang w:eastAsia="zh-CN"/>
              </w:rPr>
            </w:pPr>
            <w:r>
              <w:rPr>
                <w:rFonts w:hint="default" w:ascii="Times New Roman" w:hAnsi="Times New Roman" w:eastAsia="宋体" w:cs="Times New Roman"/>
                <w:color w:val="000000"/>
                <w:spacing w:val="11"/>
                <w:position w:val="0"/>
                <w:sz w:val="24"/>
                <w:u w:val="single"/>
              </w:rPr>
              <w:t>本项目为建筑石料用灰岩矿开采项目，边开采边</w:t>
            </w:r>
            <w:r>
              <w:rPr>
                <w:rFonts w:hint="eastAsia" w:cs="Times New Roman"/>
                <w:color w:val="000000"/>
                <w:spacing w:val="11"/>
                <w:position w:val="0"/>
                <w:sz w:val="24"/>
                <w:u w:val="single"/>
                <w:lang w:val="en-US" w:eastAsia="zh-CN"/>
              </w:rPr>
              <w:t>复绿</w:t>
            </w:r>
            <w:r>
              <w:rPr>
                <w:rFonts w:hint="default" w:ascii="Times New Roman" w:hAnsi="Times New Roman" w:eastAsia="宋体" w:cs="Times New Roman"/>
                <w:color w:val="000000"/>
                <w:spacing w:val="11"/>
                <w:position w:val="0"/>
                <w:sz w:val="24"/>
                <w:u w:val="single"/>
              </w:rPr>
              <w:t>，打造砂石行业绿色矿山，使资源开发与生态保护更加协调适应</w:t>
            </w:r>
            <w:r>
              <w:rPr>
                <w:rFonts w:hint="default" w:ascii="Times New Roman" w:hAnsi="Times New Roman" w:eastAsia="宋体" w:cs="Times New Roman"/>
                <w:color w:val="000000"/>
                <w:spacing w:val="11"/>
                <w:position w:val="0"/>
                <w:sz w:val="24"/>
                <w:u w:val="single"/>
                <w:lang w:eastAsia="zh-CN"/>
              </w:rPr>
              <w:t>。</w:t>
            </w:r>
            <w:r>
              <w:rPr>
                <w:rFonts w:hint="default" w:ascii="Times New Roman" w:hAnsi="Times New Roman" w:eastAsia="宋体" w:cs="Times New Roman"/>
                <w:color w:val="000000"/>
                <w:spacing w:val="11"/>
                <w:position w:val="0"/>
                <w:sz w:val="24"/>
                <w:u w:val="single"/>
              </w:rPr>
              <w:t>项目于202</w:t>
            </w:r>
            <w:r>
              <w:rPr>
                <w:rFonts w:hint="default" w:ascii="Times New Roman" w:hAnsi="Times New Roman" w:eastAsia="宋体" w:cs="Times New Roman"/>
                <w:color w:val="000000"/>
                <w:spacing w:val="11"/>
                <w:position w:val="0"/>
                <w:sz w:val="24"/>
                <w:u w:val="single"/>
                <w:lang w:val="en-US" w:eastAsia="zh-CN"/>
              </w:rPr>
              <w:t>4</w:t>
            </w:r>
            <w:r>
              <w:rPr>
                <w:rFonts w:hint="default" w:ascii="Times New Roman" w:hAnsi="Times New Roman" w:eastAsia="宋体" w:cs="Times New Roman"/>
                <w:color w:val="000000"/>
                <w:spacing w:val="11"/>
                <w:position w:val="0"/>
                <w:sz w:val="24"/>
                <w:u w:val="single"/>
              </w:rPr>
              <w:t>年</w:t>
            </w:r>
            <w:r>
              <w:rPr>
                <w:rFonts w:hint="default" w:ascii="Times New Roman" w:hAnsi="Times New Roman" w:eastAsia="宋体" w:cs="Times New Roman"/>
                <w:color w:val="000000"/>
                <w:spacing w:val="11"/>
                <w:position w:val="0"/>
                <w:sz w:val="24"/>
                <w:u w:val="single"/>
                <w:lang w:val="en-US" w:eastAsia="zh-CN"/>
              </w:rPr>
              <w:t>9</w:t>
            </w:r>
            <w:r>
              <w:rPr>
                <w:rFonts w:hint="default" w:ascii="Times New Roman" w:hAnsi="Times New Roman" w:eastAsia="宋体" w:cs="Times New Roman"/>
                <w:color w:val="000000"/>
                <w:spacing w:val="11"/>
                <w:position w:val="0"/>
                <w:sz w:val="24"/>
                <w:u w:val="single"/>
              </w:rPr>
              <w:t>月</w:t>
            </w:r>
            <w:r>
              <w:rPr>
                <w:rFonts w:hint="default" w:ascii="Times New Roman" w:hAnsi="Times New Roman" w:eastAsia="宋体" w:cs="Times New Roman"/>
                <w:color w:val="000000"/>
                <w:spacing w:val="11"/>
                <w:position w:val="0"/>
                <w:sz w:val="24"/>
                <w:u w:val="single"/>
                <w:lang w:val="en-US" w:eastAsia="zh-CN"/>
              </w:rPr>
              <w:t>1</w:t>
            </w:r>
            <w:r>
              <w:rPr>
                <w:rFonts w:hint="eastAsia" w:cs="Times New Roman"/>
                <w:color w:val="000000"/>
                <w:spacing w:val="11"/>
                <w:position w:val="0"/>
                <w:sz w:val="24"/>
                <w:u w:val="single"/>
                <w:lang w:val="en-US" w:eastAsia="zh-CN"/>
              </w:rPr>
              <w:t>8</w:t>
            </w:r>
            <w:r>
              <w:rPr>
                <w:rFonts w:hint="default" w:ascii="Times New Roman" w:hAnsi="Times New Roman" w:eastAsia="宋体" w:cs="Times New Roman"/>
                <w:color w:val="000000"/>
                <w:spacing w:val="11"/>
                <w:position w:val="0"/>
                <w:sz w:val="24"/>
                <w:u w:val="single"/>
              </w:rPr>
              <w:t>日</w:t>
            </w:r>
            <w:r>
              <w:rPr>
                <w:rFonts w:hint="default" w:ascii="Times New Roman" w:hAnsi="Times New Roman" w:eastAsia="宋体" w:cs="Times New Roman"/>
                <w:color w:val="000000"/>
                <w:spacing w:val="11"/>
                <w:position w:val="0"/>
                <w:sz w:val="24"/>
                <w:u w:val="single"/>
                <w:lang w:eastAsia="zh-CN"/>
              </w:rPr>
              <w:t>竟</w:t>
            </w:r>
            <w:r>
              <w:rPr>
                <w:rFonts w:hint="default" w:ascii="Times New Roman" w:hAnsi="Times New Roman" w:eastAsia="宋体" w:cs="Times New Roman"/>
                <w:color w:val="000000"/>
                <w:spacing w:val="11"/>
                <w:position w:val="0"/>
                <w:sz w:val="24"/>
                <w:u w:val="single"/>
              </w:rPr>
              <w:t>得</w:t>
            </w:r>
            <w:r>
              <w:rPr>
                <w:rFonts w:hint="default" w:ascii="Times New Roman" w:hAnsi="Times New Roman" w:eastAsia="宋体" w:cs="Times New Roman"/>
                <w:color w:val="000000"/>
                <w:spacing w:val="11"/>
                <w:position w:val="0"/>
                <w:sz w:val="24"/>
                <w:u w:val="single"/>
                <w:lang w:eastAsia="zh-CN"/>
              </w:rPr>
              <w:t>永州市公共资源交易中心挂牌</w:t>
            </w:r>
            <w:r>
              <w:rPr>
                <w:rFonts w:hint="default" w:ascii="Times New Roman" w:hAnsi="Times New Roman" w:eastAsia="宋体" w:cs="Times New Roman"/>
                <w:color w:val="000000"/>
                <w:spacing w:val="11"/>
                <w:position w:val="0"/>
                <w:sz w:val="24"/>
                <w:u w:val="single"/>
                <w:lang w:val="en-US" w:eastAsia="zh-CN"/>
              </w:rPr>
              <w:t>出让编号为永资矿网挂〔</w:t>
            </w:r>
            <w:r>
              <w:rPr>
                <w:rFonts w:hint="default" w:ascii="Times New Roman" w:hAnsi="Times New Roman" w:eastAsia="宋体" w:cs="Times New Roman"/>
                <w:color w:val="000000"/>
                <w:spacing w:val="11"/>
                <w:position w:val="0"/>
                <w:sz w:val="24"/>
                <w:highlight w:val="none"/>
                <w:u w:val="single"/>
                <w:lang w:val="en-US" w:eastAsia="zh-CN"/>
              </w:rPr>
              <w:t>2024〕00</w:t>
            </w:r>
            <w:r>
              <w:rPr>
                <w:rFonts w:hint="eastAsia" w:cs="Times New Roman"/>
                <w:color w:val="000000"/>
                <w:spacing w:val="11"/>
                <w:position w:val="0"/>
                <w:sz w:val="24"/>
                <w:highlight w:val="none"/>
                <w:u w:val="single"/>
                <w:lang w:val="en-US" w:eastAsia="zh-CN"/>
              </w:rPr>
              <w:t>4</w:t>
            </w:r>
            <w:r>
              <w:rPr>
                <w:rFonts w:hint="default" w:ascii="Times New Roman" w:hAnsi="Times New Roman" w:eastAsia="宋体" w:cs="Times New Roman"/>
                <w:color w:val="000000"/>
                <w:spacing w:val="11"/>
                <w:position w:val="0"/>
                <w:sz w:val="24"/>
                <w:highlight w:val="none"/>
                <w:u w:val="single"/>
                <w:lang w:val="en-US" w:eastAsia="zh-CN"/>
              </w:rPr>
              <w:t>号的湖南省新田县文锋岭矿区建筑石料用灰</w:t>
            </w:r>
            <w:r>
              <w:rPr>
                <w:rFonts w:hint="default" w:ascii="Times New Roman" w:hAnsi="Times New Roman" w:eastAsia="宋体" w:cs="Times New Roman"/>
                <w:color w:val="auto"/>
                <w:spacing w:val="11"/>
                <w:position w:val="0"/>
                <w:sz w:val="24"/>
                <w:highlight w:val="none"/>
                <w:u w:val="single"/>
                <w:lang w:val="en-US" w:eastAsia="zh-CN"/>
              </w:rPr>
              <w:t>岩矿（具体详见附件</w:t>
            </w:r>
            <w:r>
              <w:rPr>
                <w:rFonts w:hint="eastAsia" w:cs="Times New Roman"/>
                <w:color w:val="auto"/>
                <w:spacing w:val="11"/>
                <w:position w:val="0"/>
                <w:sz w:val="24"/>
                <w:highlight w:val="none"/>
                <w:u w:val="single"/>
                <w:lang w:val="en-US" w:eastAsia="zh-CN"/>
              </w:rPr>
              <w:t>4</w:t>
            </w:r>
            <w:r>
              <w:rPr>
                <w:rFonts w:hint="default" w:ascii="Times New Roman" w:hAnsi="Times New Roman" w:eastAsia="宋体" w:cs="Times New Roman"/>
                <w:color w:val="auto"/>
                <w:spacing w:val="11"/>
                <w:position w:val="0"/>
                <w:sz w:val="24"/>
                <w:highlight w:val="none"/>
                <w:u w:val="single"/>
                <w:lang w:val="en-US" w:eastAsia="zh-CN"/>
              </w:rPr>
              <w:t>）</w:t>
            </w:r>
            <w:r>
              <w:rPr>
                <w:rFonts w:hint="default" w:ascii="Times New Roman" w:hAnsi="Times New Roman" w:eastAsia="宋体" w:cs="Times New Roman"/>
                <w:color w:val="auto"/>
                <w:spacing w:val="11"/>
                <w:position w:val="0"/>
                <w:sz w:val="24"/>
                <w:highlight w:val="none"/>
                <w:u w:val="single"/>
              </w:rPr>
              <w:t>。</w:t>
            </w:r>
            <w:r>
              <w:rPr>
                <w:rFonts w:hint="default" w:ascii="Times New Roman" w:hAnsi="Times New Roman" w:eastAsia="宋体" w:cs="Times New Roman"/>
                <w:spacing w:val="11"/>
                <w:position w:val="0"/>
                <w:sz w:val="24"/>
                <w:highlight w:val="none"/>
                <w:u w:val="single"/>
              </w:rPr>
              <w:t>项目已于202</w:t>
            </w:r>
            <w:r>
              <w:rPr>
                <w:rFonts w:hint="eastAsia" w:cs="Times New Roman"/>
                <w:spacing w:val="11"/>
                <w:position w:val="0"/>
                <w:sz w:val="24"/>
                <w:highlight w:val="none"/>
                <w:u w:val="single"/>
                <w:lang w:val="en-US" w:eastAsia="zh-CN"/>
              </w:rPr>
              <w:t>4</w:t>
            </w:r>
            <w:r>
              <w:rPr>
                <w:rFonts w:hint="default" w:ascii="Times New Roman" w:hAnsi="Times New Roman" w:eastAsia="宋体" w:cs="Times New Roman"/>
                <w:spacing w:val="11"/>
                <w:position w:val="0"/>
                <w:sz w:val="24"/>
                <w:highlight w:val="none"/>
                <w:u w:val="single"/>
              </w:rPr>
              <w:t>年</w:t>
            </w:r>
            <w:r>
              <w:rPr>
                <w:rFonts w:hint="default" w:ascii="Times New Roman" w:hAnsi="Times New Roman" w:eastAsia="宋体" w:cs="Times New Roman"/>
                <w:spacing w:val="11"/>
                <w:position w:val="0"/>
                <w:sz w:val="24"/>
                <w:highlight w:val="none"/>
                <w:u w:val="single"/>
                <w:lang w:val="en-US" w:eastAsia="zh-CN"/>
              </w:rPr>
              <w:t>1</w:t>
            </w:r>
            <w:r>
              <w:rPr>
                <w:rFonts w:hint="eastAsia" w:cs="Times New Roman"/>
                <w:spacing w:val="11"/>
                <w:position w:val="0"/>
                <w:sz w:val="24"/>
                <w:highlight w:val="none"/>
                <w:u w:val="single"/>
                <w:lang w:val="en-US" w:eastAsia="zh-CN"/>
              </w:rPr>
              <w:t>2</w:t>
            </w:r>
            <w:r>
              <w:rPr>
                <w:rFonts w:hint="default" w:ascii="Times New Roman" w:hAnsi="Times New Roman" w:eastAsia="宋体" w:cs="Times New Roman"/>
                <w:spacing w:val="11"/>
                <w:position w:val="0"/>
                <w:sz w:val="24"/>
                <w:highlight w:val="none"/>
                <w:u w:val="single"/>
              </w:rPr>
              <w:t>月</w:t>
            </w:r>
            <w:r>
              <w:rPr>
                <w:rFonts w:hint="default" w:ascii="Times New Roman" w:hAnsi="Times New Roman" w:eastAsia="宋体" w:cs="Times New Roman"/>
                <w:spacing w:val="11"/>
                <w:position w:val="0"/>
                <w:sz w:val="24"/>
                <w:highlight w:val="none"/>
                <w:u w:val="single"/>
                <w:lang w:val="en-US" w:eastAsia="zh-CN"/>
              </w:rPr>
              <w:t>1</w:t>
            </w:r>
            <w:r>
              <w:rPr>
                <w:rFonts w:hint="eastAsia" w:cs="Times New Roman"/>
                <w:spacing w:val="11"/>
                <w:position w:val="0"/>
                <w:sz w:val="24"/>
                <w:highlight w:val="none"/>
                <w:u w:val="single"/>
                <w:lang w:val="en-US" w:eastAsia="zh-CN"/>
              </w:rPr>
              <w:t>2</w:t>
            </w:r>
            <w:r>
              <w:rPr>
                <w:rFonts w:hint="default" w:ascii="Times New Roman" w:hAnsi="Times New Roman" w:eastAsia="宋体" w:cs="Times New Roman"/>
                <w:spacing w:val="11"/>
                <w:position w:val="0"/>
                <w:sz w:val="24"/>
                <w:highlight w:val="none"/>
                <w:u w:val="single"/>
              </w:rPr>
              <w:t>日取得</w:t>
            </w:r>
            <w:r>
              <w:rPr>
                <w:rFonts w:hint="default" w:ascii="Times New Roman" w:hAnsi="Times New Roman" w:eastAsia="宋体" w:cs="Times New Roman"/>
                <w:color w:val="auto"/>
                <w:spacing w:val="11"/>
                <w:position w:val="0"/>
                <w:sz w:val="24"/>
                <w:highlight w:val="none"/>
                <w:u w:val="single"/>
                <w:lang w:eastAsia="zh-CN"/>
              </w:rPr>
              <w:t>永州市自然资源和规划局</w:t>
            </w:r>
            <w:r>
              <w:rPr>
                <w:rFonts w:hint="default" w:ascii="Times New Roman" w:hAnsi="Times New Roman" w:eastAsia="宋体" w:cs="Times New Roman"/>
                <w:color w:val="auto"/>
                <w:spacing w:val="11"/>
                <w:position w:val="0"/>
                <w:sz w:val="24"/>
                <w:highlight w:val="none"/>
                <w:u w:val="single"/>
              </w:rPr>
              <w:t>发放的采矿许可证</w:t>
            </w:r>
            <w:r>
              <w:rPr>
                <w:rFonts w:hint="default" w:ascii="Times New Roman" w:hAnsi="Times New Roman" w:eastAsia="宋体" w:cs="Times New Roman"/>
                <w:color w:val="auto"/>
                <w:spacing w:val="11"/>
                <w:position w:val="0"/>
                <w:sz w:val="24"/>
                <w:highlight w:val="none"/>
                <w:u w:val="single"/>
                <w:lang w:eastAsia="zh-CN"/>
              </w:rPr>
              <w:t>（具体详见附件</w:t>
            </w:r>
            <w:r>
              <w:rPr>
                <w:rFonts w:hint="default" w:ascii="Times New Roman" w:hAnsi="Times New Roman" w:cs="Times New Roman"/>
                <w:color w:val="auto"/>
                <w:spacing w:val="11"/>
                <w:position w:val="0"/>
                <w:sz w:val="24"/>
                <w:highlight w:val="none"/>
                <w:u w:val="single"/>
                <w:lang w:val="en-US" w:eastAsia="zh-CN"/>
              </w:rPr>
              <w:t>3</w:t>
            </w:r>
            <w:r>
              <w:rPr>
                <w:rFonts w:hint="default" w:ascii="Times New Roman" w:hAnsi="Times New Roman" w:eastAsia="宋体" w:cs="Times New Roman"/>
                <w:color w:val="auto"/>
                <w:spacing w:val="11"/>
                <w:position w:val="0"/>
                <w:sz w:val="24"/>
                <w:highlight w:val="none"/>
                <w:u w:val="single"/>
                <w:lang w:eastAsia="zh-CN"/>
              </w:rPr>
              <w:t>）</w:t>
            </w:r>
            <w:r>
              <w:rPr>
                <w:rFonts w:hint="default" w:ascii="Times New Roman" w:hAnsi="Times New Roman" w:eastAsia="宋体" w:cs="Times New Roman"/>
                <w:spacing w:val="11"/>
                <w:position w:val="0"/>
                <w:sz w:val="24"/>
                <w:highlight w:val="none"/>
                <w:u w:val="single"/>
              </w:rPr>
              <w:t>。根据</w:t>
            </w:r>
            <w:r>
              <w:rPr>
                <w:rFonts w:hint="default" w:ascii="Times New Roman" w:hAnsi="Times New Roman" w:eastAsia="宋体" w:cs="Times New Roman"/>
                <w:color w:val="000000"/>
                <w:spacing w:val="11"/>
                <w:position w:val="0"/>
                <w:sz w:val="24"/>
                <w:highlight w:val="none"/>
                <w:u w:val="single"/>
              </w:rPr>
              <w:t>《</w:t>
            </w:r>
            <w:r>
              <w:rPr>
                <w:rFonts w:hint="default" w:ascii="Times New Roman" w:hAnsi="Times New Roman" w:eastAsia="宋体" w:cs="Times New Roman"/>
                <w:color w:val="000000"/>
                <w:spacing w:val="11"/>
                <w:position w:val="0"/>
                <w:sz w:val="24"/>
                <w:highlight w:val="none"/>
                <w:u w:val="single"/>
                <w:shd w:val="clear" w:color="auto" w:fill="FFFFFF"/>
              </w:rPr>
              <w:t>湖南省矿产资源总体</w:t>
            </w:r>
            <w:r>
              <w:rPr>
                <w:rFonts w:hint="default" w:ascii="Times New Roman" w:hAnsi="Times New Roman" w:eastAsia="宋体" w:cs="Times New Roman"/>
                <w:color w:val="000000"/>
                <w:spacing w:val="11"/>
                <w:position w:val="0"/>
                <w:sz w:val="24"/>
                <w:u w:val="single"/>
                <w:shd w:val="clear" w:color="auto" w:fill="FFFFFF"/>
              </w:rPr>
              <w:t>规划（2021~2025年）》</w:t>
            </w:r>
            <w:r>
              <w:rPr>
                <w:rFonts w:hint="default" w:ascii="Times New Roman" w:hAnsi="Times New Roman" w:eastAsia="宋体" w:cs="Times New Roman"/>
                <w:color w:val="000000"/>
                <w:spacing w:val="11"/>
                <w:position w:val="0"/>
                <w:sz w:val="24"/>
                <w:u w:val="single"/>
              </w:rPr>
              <w:t>中的重点矿区（周边无重点矿区）、禁止开采区（符合“三线一单”空间约束管控要求，不在湘江流域露天开采非金属矿禁采区内）、禁止开采矿种（禁止开采可耕地的砖瓦用粘土矿；落实汞公约公告，不再新建汞矿山，禁止开采新的原生汞矿，逐步关停现有汞矿山；全面退出单一利用的石煤矿开采）、限制开采矿种（限制开采高硫高灰煤炭、钒、低品位赤铁矿、砂金、难选铍铷铯矿、硫铁矿、低品位磷矿、石膏），项目不涉及重点矿区，不属于禁止开采区、禁止开采矿种、限制开采矿种</w:t>
            </w:r>
            <w:r>
              <w:rPr>
                <w:rFonts w:hint="default" w:ascii="Times New Roman" w:hAnsi="Times New Roman" w:eastAsia="宋体" w:cs="Times New Roman"/>
                <w:color w:val="000000"/>
                <w:spacing w:val="11"/>
                <w:position w:val="0"/>
                <w:sz w:val="24"/>
                <w:u w:val="single"/>
                <w:lang w:eastAsia="zh-CN"/>
              </w:rPr>
              <w:t>。</w:t>
            </w:r>
          </w:p>
          <w:p w14:paraId="7276E67B">
            <w:pPr>
              <w:keepNext w:val="0"/>
              <w:keepLines w:val="0"/>
              <w:pageBreakBefore w:val="0"/>
              <w:widowControl w:val="0"/>
              <w:kinsoku/>
              <w:wordWrap w:val="0"/>
              <w:overflowPunct w:val="0"/>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kern w:val="0"/>
                <w:position w:val="0"/>
                <w:sz w:val="24"/>
                <w:szCs w:val="24"/>
                <w:u w:val="single"/>
                <w:lang w:val="en-US" w:eastAsia="zh-CN"/>
              </w:rPr>
            </w:pPr>
            <w:r>
              <w:rPr>
                <w:rFonts w:hint="default" w:ascii="Times New Roman" w:hAnsi="Times New Roman" w:eastAsia="宋体" w:cs="Times New Roman"/>
                <w:color w:val="000000"/>
                <w:spacing w:val="11"/>
                <w:position w:val="0"/>
                <w:sz w:val="24"/>
                <w:u w:val="single"/>
                <w:lang w:eastAsia="zh-CN"/>
              </w:rPr>
              <w:t>因此，本项目</w:t>
            </w:r>
            <w:r>
              <w:rPr>
                <w:rFonts w:hint="default" w:ascii="Times New Roman" w:hAnsi="Times New Roman" w:eastAsia="宋体" w:cs="Times New Roman"/>
                <w:color w:val="000000"/>
                <w:spacing w:val="11"/>
                <w:position w:val="0"/>
                <w:sz w:val="24"/>
                <w:u w:val="single"/>
              </w:rPr>
              <w:t>与</w:t>
            </w:r>
            <w:r>
              <w:rPr>
                <w:rFonts w:hint="default" w:ascii="Times New Roman" w:hAnsi="Times New Roman" w:eastAsia="宋体" w:cs="Times New Roman"/>
                <w:color w:val="000000"/>
                <w:spacing w:val="11"/>
                <w:position w:val="0"/>
                <w:sz w:val="24"/>
                <w:u w:val="single"/>
                <w:lang w:eastAsia="zh-CN"/>
              </w:rPr>
              <w:t>《</w:t>
            </w:r>
            <w:r>
              <w:rPr>
                <w:rFonts w:hint="default" w:ascii="Times New Roman" w:hAnsi="Times New Roman" w:eastAsia="宋体" w:cs="Times New Roman"/>
                <w:color w:val="000000"/>
                <w:spacing w:val="11"/>
                <w:position w:val="0"/>
                <w:sz w:val="24"/>
                <w:u w:val="single"/>
                <w:shd w:val="clear" w:color="auto" w:fill="FFFFFF"/>
              </w:rPr>
              <w:t>湖南省矿产资源总体规划（2021~2025年）</w:t>
            </w:r>
            <w:r>
              <w:rPr>
                <w:rFonts w:hint="default" w:ascii="Times New Roman" w:hAnsi="Times New Roman" w:eastAsia="宋体" w:cs="Times New Roman"/>
                <w:color w:val="000000"/>
                <w:spacing w:val="11"/>
                <w:position w:val="0"/>
                <w:sz w:val="24"/>
                <w:u w:val="single"/>
                <w:lang w:eastAsia="zh-CN"/>
              </w:rPr>
              <w:t>》</w:t>
            </w:r>
            <w:r>
              <w:rPr>
                <w:rFonts w:hint="default" w:ascii="Times New Roman" w:hAnsi="Times New Roman" w:eastAsia="宋体" w:cs="Times New Roman"/>
                <w:color w:val="000000"/>
                <w:spacing w:val="11"/>
                <w:position w:val="0"/>
                <w:sz w:val="24"/>
                <w:u w:val="single"/>
              </w:rPr>
              <w:t>相关内容不冲突。</w:t>
            </w:r>
          </w:p>
          <w:p w14:paraId="78CDA1BE">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526" w:firstLineChars="200"/>
              <w:textAlignment w:val="auto"/>
              <w:rPr>
                <w:rFonts w:hint="default" w:ascii="Times New Roman" w:hAnsi="Times New Roman" w:eastAsia="宋体" w:cs="Times New Roman"/>
                <w:b/>
                <w:bCs/>
                <w:color w:val="auto"/>
                <w:spacing w:val="11"/>
                <w:kern w:val="0"/>
                <w:position w:val="0"/>
                <w:sz w:val="24"/>
                <w:szCs w:val="24"/>
              </w:rPr>
            </w:pPr>
            <w:r>
              <w:rPr>
                <w:rFonts w:hint="eastAsia" w:cs="Times New Roman"/>
                <w:b/>
                <w:bCs/>
                <w:color w:val="auto"/>
                <w:spacing w:val="11"/>
                <w:kern w:val="0"/>
                <w:position w:val="0"/>
                <w:sz w:val="24"/>
                <w:szCs w:val="24"/>
                <w:lang w:val="en-US" w:eastAsia="zh-CN"/>
              </w:rPr>
              <w:t>2</w:t>
            </w:r>
            <w:r>
              <w:rPr>
                <w:rFonts w:hint="default" w:ascii="Times New Roman" w:hAnsi="Times New Roman" w:eastAsia="宋体" w:cs="Times New Roman"/>
                <w:b/>
                <w:bCs/>
                <w:color w:val="auto"/>
                <w:spacing w:val="11"/>
                <w:kern w:val="0"/>
                <w:position w:val="0"/>
                <w:sz w:val="24"/>
                <w:szCs w:val="24"/>
                <w:lang w:val="en-US" w:eastAsia="zh-CN"/>
              </w:rPr>
              <w:t>、与《湖南省普通建筑材料用砂石土矿专项规划（2021~2025年）环境影响报告书》相符性分析</w:t>
            </w:r>
          </w:p>
          <w:p w14:paraId="62D2624F">
            <w:pPr>
              <w:keepNext w:val="0"/>
              <w:keepLines w:val="0"/>
              <w:pageBreakBefore w:val="0"/>
              <w:widowControl w:val="0"/>
              <w:kinsoku/>
              <w:wordWrap/>
              <w:overflowPunct/>
              <w:topLinePunct w:val="0"/>
              <w:autoSpaceDE w:val="0"/>
              <w:autoSpaceDN w:val="0"/>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依据《湖南省普通建筑材料用砂石土矿专项规划（2021~2025年）环境影响报告书》，相符性分析如下表所示。</w:t>
            </w:r>
          </w:p>
          <w:p w14:paraId="2B8618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pacing w:val="11"/>
                <w:position w:val="0"/>
                <w:sz w:val="21"/>
                <w:szCs w:val="21"/>
                <w:u w:val="none"/>
                <w:lang w:val="en-US" w:eastAsia="zh-CN"/>
              </w:rPr>
            </w:pPr>
            <w:r>
              <w:rPr>
                <w:rFonts w:hint="default" w:ascii="Times New Roman" w:hAnsi="Times New Roman" w:eastAsia="宋体" w:cs="Times New Roman"/>
                <w:b/>
                <w:color w:val="auto"/>
                <w:spacing w:val="11"/>
                <w:position w:val="0"/>
                <w:sz w:val="21"/>
                <w:szCs w:val="21"/>
                <w:u w:val="none"/>
                <w:lang w:val="en-US" w:eastAsia="zh-CN"/>
              </w:rPr>
              <w:t>表1-1 与《湖南省普通建筑材料用砂石土矿专项规划（2021~2025年）环境影响报告书》相符性分析一览表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16"/>
              <w:gridCol w:w="2655"/>
              <w:gridCol w:w="807"/>
            </w:tblGrid>
            <w:tr w14:paraId="39DC4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5" w:type="pct"/>
                  <w:tcBorders>
                    <w:tl2br w:val="nil"/>
                    <w:tr2bl w:val="nil"/>
                  </w:tcBorders>
                  <w:noWrap w:val="0"/>
                  <w:vAlign w:val="center"/>
                </w:tcPr>
                <w:p w14:paraId="35AFF2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《湖南省普通建筑材料用砂石土矿专项规划（2021~2025年）环境影响报告书》相关内容</w:t>
                  </w:r>
                </w:p>
              </w:tc>
              <w:tc>
                <w:tcPr>
                  <w:tcW w:w="1958" w:type="pct"/>
                  <w:tcBorders>
                    <w:tl2br w:val="nil"/>
                    <w:tr2bl w:val="nil"/>
                  </w:tcBorders>
                  <w:noWrap w:val="0"/>
                  <w:vAlign w:val="center"/>
                </w:tcPr>
                <w:p w14:paraId="790AB9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项目情况</w:t>
                  </w:r>
                </w:p>
              </w:tc>
              <w:tc>
                <w:tcPr>
                  <w:tcW w:w="595" w:type="pct"/>
                  <w:tcBorders>
                    <w:tl2br w:val="nil"/>
                    <w:tr2bl w:val="nil"/>
                  </w:tcBorders>
                  <w:noWrap w:val="0"/>
                  <w:vAlign w:val="center"/>
                </w:tcPr>
                <w:p w14:paraId="0012D6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是否相符</w:t>
                  </w:r>
                </w:p>
              </w:tc>
            </w:tr>
            <w:tr w14:paraId="74029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5" w:type="pct"/>
                  <w:tcBorders>
                    <w:tl2br w:val="nil"/>
                    <w:tr2bl w:val="nil"/>
                  </w:tcBorders>
                  <w:noWrap w:val="0"/>
                  <w:vAlign w:val="center"/>
                </w:tcPr>
                <w:p w14:paraId="4360D8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空间布局约束：</w:t>
                  </w:r>
                </w:p>
                <w:p w14:paraId="7BE934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1.设置禁止开采区，包括全省生态保护红线、永久基本农田、集中式饮用水源一级、二级保护区、自然保护地、风景名胜区、I级保护林地、一级国家级公益林、国有国家级公益林、军事禁区、湘江流域禁采区、国道省道向外100m、乡道向外50m范围、重点生态功能区负面清单要求的法定禁止范围。 </w:t>
                  </w:r>
                </w:p>
                <w:p w14:paraId="351A55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2.禁止开采区要求：不再新设砂石土矿采矿权，已设采矿权应一矿一策，制定方案，调整范围后纳入开采规划区块设置的，合理调整采矿权范围，无法调整范围或调整范围后也不满足规划区块设置要求的，原则上2021年10月底前必须退出到位，矿业活动造成的生态环境和土地植被破坏应及时治理恢复。 </w:t>
                  </w:r>
                </w:p>
                <w:p w14:paraId="4A6CD2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3.设置限制开采区，包括三类：一是湘江流域限制开采区（从湘江流域禁止开采区边界开始，外推至距河流两岸不超过1000m以内的区域，但外推区域内存在山脊线的，限采区为禁采区边界至第一层山脊线之间的区域；重要饮用水源地禁采区外边界至周边1000m以内的区域）。二是铁路、高速公路、国省干道、输电线路、输气管道、居民点等各类基础设施周边或两侧一定范围，依相关法律法规、条例遵其规定；三是重点生态功能区负面清单要求的限制开采区域。</w:t>
                  </w:r>
                </w:p>
                <w:p w14:paraId="4BD1ED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4.限制开采区要求：原则上不新设砂石土矿采矿权，已有矿山原则上不予扩界，但为减少终了边坡、消除安全生产隐患和地质灾害隐患的除外。为保障重大项目建设和民生需求确需新设（含以扩充资源为目的的扩界情形）的，应由具有采矿权审批权限的审批机关同级人民政府组织相关部门严格论证，确保符合环境保护、水土保持和安全生产要求。 </w:t>
                  </w:r>
                </w:p>
                <w:p w14:paraId="3D98C8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5.砂石土矿开采生态准入要求： </w:t>
                  </w:r>
                </w:p>
                <w:p w14:paraId="148F6C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①采矿权必须位于本规划的允许开采区内； </w:t>
                  </w:r>
                </w:p>
                <w:p w14:paraId="14FD6F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②资源储量：新设、整合和以扩充资源为目的的扩界矿山不低于300万吨，保留矿山不低于100万吨； </w:t>
                  </w:r>
                </w:p>
                <w:p w14:paraId="6A0543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lang w:val="en-US" w:eastAsia="zh-CN"/>
                    </w:rPr>
                  </w:pPr>
                  <w:r>
                    <w:rPr>
                      <w:rFonts w:hint="default" w:ascii="Times New Roman" w:hAnsi="Times New Roman" w:eastAsia="宋体" w:cs="Times New Roman"/>
                      <w:color w:val="auto"/>
                      <w:spacing w:val="11"/>
                      <w:position w:val="0"/>
                      <w:sz w:val="21"/>
                      <w:szCs w:val="21"/>
                      <w:u w:val="none"/>
                      <w:lang w:val="en-US" w:eastAsia="zh-CN"/>
                    </w:rPr>
                    <w:t xml:space="preserve">③生产规模：原则上不低于30万吨/年，长株潭城市圈、各市州中心城区周边和交通区位较好地区，新设矿山（砖瓦用砂石矿除外）应不低于100万吨/年；建筑用辉绿岩、建筑用玄武岩等优质砂石资源可适当降低标准； </w:t>
                  </w:r>
                </w:p>
                <w:p w14:paraId="2E4310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lang w:val="en-US" w:eastAsia="zh-CN"/>
                    </w:rPr>
                  </w:pPr>
                  <w:r>
                    <w:rPr>
                      <w:rFonts w:hint="default" w:ascii="Times New Roman" w:hAnsi="Times New Roman" w:eastAsia="宋体" w:cs="Times New Roman"/>
                      <w:color w:val="auto"/>
                      <w:spacing w:val="11"/>
                      <w:position w:val="0"/>
                      <w:sz w:val="21"/>
                      <w:szCs w:val="21"/>
                      <w:u w:val="none"/>
                      <w:lang w:val="en-US" w:eastAsia="zh-CN"/>
                    </w:rPr>
                    <w:t xml:space="preserve">④开采方式：根据资源禀赋条件，优选矿山开采方式，原则上以露天开采为主；露天开采时，矿山自上而下“边采边治”台阶式分层开采，严禁开采造成高陡边坡，原则上不允许负地形开采，新设矿山原则上实现移平式开发； </w:t>
                  </w:r>
                </w:p>
                <w:p w14:paraId="1A7AF4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lang w:val="en-US" w:eastAsia="zh-CN"/>
                    </w:rPr>
                  </w:pPr>
                  <w:r>
                    <w:rPr>
                      <w:rFonts w:hint="default" w:ascii="Times New Roman" w:hAnsi="Times New Roman" w:eastAsia="宋体" w:cs="Times New Roman"/>
                      <w:color w:val="auto"/>
                      <w:spacing w:val="11"/>
                      <w:position w:val="0"/>
                      <w:sz w:val="21"/>
                      <w:szCs w:val="21"/>
                      <w:u w:val="none"/>
                      <w:lang w:val="en-US" w:eastAsia="zh-CN"/>
                    </w:rPr>
                    <w:t xml:space="preserve">⑤绿色矿山建设：新设矿山必须达到湖南省绿色矿山建设标准并经验收合格后方可生产。现有生产矿山2025年底全部达到绿色矿山建设标准并经验收合格。 </w:t>
                  </w:r>
                </w:p>
                <w:p w14:paraId="60BFE2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⑥环境敏感区核实：进一步核实项目涉自然保护地、生态保护红线、分散式饮用水水源地、千人以上饮用水水源地、文物保护单位等情况。</w:t>
                  </w:r>
                </w:p>
              </w:tc>
              <w:tc>
                <w:tcPr>
                  <w:tcW w:w="1958" w:type="pct"/>
                  <w:tcBorders>
                    <w:tl2br w:val="nil"/>
                    <w:tr2bl w:val="nil"/>
                  </w:tcBorders>
                  <w:noWrap w:val="0"/>
                  <w:vAlign w:val="center"/>
                </w:tcPr>
                <w:p w14:paraId="4E9178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 xml:space="preserve">1、本项目矿界不涉及生态红线，不涉及禁止开采区、限制开采区。 </w:t>
                  </w:r>
                </w:p>
                <w:p w14:paraId="111E06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2、本项目属于允许开采区内，资源储量为</w:t>
                  </w:r>
                  <w:r>
                    <w:rPr>
                      <w:rFonts w:hint="default" w:ascii="Times New Roman" w:hAnsi="Times New Roman" w:cs="Times New Roman"/>
                      <w:color w:val="auto"/>
                      <w:spacing w:val="11"/>
                      <w:position w:val="0"/>
                      <w:sz w:val="21"/>
                      <w:szCs w:val="21"/>
                      <w:highlight w:val="none"/>
                      <w:u w:val="none"/>
                      <w:lang w:val="en-US" w:eastAsia="zh-CN"/>
                    </w:rPr>
                    <w:t>442.0</w:t>
                  </w:r>
                  <w:r>
                    <w:rPr>
                      <w:rFonts w:hint="default" w:ascii="Times New Roman" w:hAnsi="Times New Roman" w:eastAsia="宋体" w:cs="Times New Roman"/>
                      <w:color w:val="auto"/>
                      <w:spacing w:val="11"/>
                      <w:position w:val="0"/>
                      <w:sz w:val="21"/>
                      <w:szCs w:val="21"/>
                      <w:highlight w:val="none"/>
                      <w:u w:val="none"/>
                      <w:lang w:val="en-US" w:eastAsia="zh-CN"/>
                    </w:rPr>
                    <w:t>万t；按年生产规模</w:t>
                  </w:r>
                  <w:r>
                    <w:rPr>
                      <w:rFonts w:hint="default" w:ascii="Times New Roman" w:hAnsi="Times New Roman" w:cs="Times New Roman"/>
                      <w:color w:val="auto"/>
                      <w:spacing w:val="11"/>
                      <w:position w:val="0"/>
                      <w:sz w:val="21"/>
                      <w:szCs w:val="21"/>
                      <w:highlight w:val="none"/>
                      <w:u w:val="none"/>
                      <w:lang w:val="en-US" w:eastAsia="zh-CN"/>
                    </w:rPr>
                    <w:t>60</w:t>
                  </w:r>
                  <w:r>
                    <w:rPr>
                      <w:rFonts w:hint="default" w:ascii="Times New Roman" w:hAnsi="Times New Roman" w:eastAsia="宋体" w:cs="Times New Roman"/>
                      <w:color w:val="auto"/>
                      <w:spacing w:val="11"/>
                      <w:position w:val="0"/>
                      <w:sz w:val="21"/>
                      <w:szCs w:val="21"/>
                      <w:highlight w:val="none"/>
                      <w:u w:val="none"/>
                      <w:lang w:val="en-US" w:eastAsia="zh-CN"/>
                    </w:rPr>
                    <w:t>万吨/年，矿山服务年限约</w:t>
                  </w:r>
                  <w:r>
                    <w:rPr>
                      <w:rFonts w:hint="default" w:ascii="Times New Roman" w:hAnsi="Times New Roman" w:cs="Times New Roman"/>
                      <w:color w:val="auto"/>
                      <w:spacing w:val="11"/>
                      <w:position w:val="0"/>
                      <w:sz w:val="21"/>
                      <w:szCs w:val="21"/>
                      <w:highlight w:val="none"/>
                      <w:u w:val="none"/>
                      <w:lang w:val="en-US" w:eastAsia="zh-CN"/>
                    </w:rPr>
                    <w:t>7.2</w:t>
                  </w:r>
                  <w:r>
                    <w:rPr>
                      <w:rFonts w:hint="default" w:ascii="Times New Roman" w:hAnsi="Times New Roman" w:eastAsia="宋体" w:cs="Times New Roman"/>
                      <w:color w:val="auto"/>
                      <w:spacing w:val="11"/>
                      <w:position w:val="0"/>
                      <w:sz w:val="21"/>
                      <w:szCs w:val="21"/>
                      <w:highlight w:val="none"/>
                      <w:u w:val="none"/>
                      <w:lang w:val="en-US" w:eastAsia="zh-CN"/>
                    </w:rPr>
                    <w:t>年。矿山为露天开采，自上而</w:t>
                  </w:r>
                  <w:r>
                    <w:rPr>
                      <w:rFonts w:hint="eastAsia" w:ascii="宋体" w:hAnsi="宋体" w:eastAsia="宋体" w:cs="宋体"/>
                      <w:color w:val="auto"/>
                      <w:spacing w:val="11"/>
                      <w:position w:val="0"/>
                      <w:sz w:val="21"/>
                      <w:szCs w:val="21"/>
                      <w:highlight w:val="none"/>
                      <w:u w:val="none"/>
                      <w:lang w:val="en-US" w:eastAsia="zh-CN"/>
                    </w:rPr>
                    <w:t>下“边采边治”台</w:t>
                  </w:r>
                  <w:r>
                    <w:rPr>
                      <w:rFonts w:hint="default" w:ascii="Times New Roman" w:hAnsi="Times New Roman" w:eastAsia="宋体" w:cs="Times New Roman"/>
                      <w:color w:val="auto"/>
                      <w:spacing w:val="11"/>
                      <w:position w:val="0"/>
                      <w:sz w:val="21"/>
                      <w:szCs w:val="21"/>
                      <w:highlight w:val="none"/>
                      <w:u w:val="none"/>
                      <w:lang w:val="en-US" w:eastAsia="zh-CN"/>
                    </w:rPr>
                    <w:t>阶式</w:t>
                  </w:r>
                  <w:r>
                    <w:rPr>
                      <w:rFonts w:hint="default" w:ascii="Times New Roman" w:hAnsi="Times New Roman" w:cs="Times New Roman"/>
                      <w:color w:val="auto"/>
                      <w:spacing w:val="11"/>
                      <w:position w:val="0"/>
                      <w:sz w:val="21"/>
                      <w:szCs w:val="21"/>
                      <w:highlight w:val="none"/>
                      <w:u w:val="none"/>
                      <w:lang w:val="en-US" w:eastAsia="zh-CN"/>
                    </w:rPr>
                    <w:t>顺序</w:t>
                  </w:r>
                  <w:r>
                    <w:rPr>
                      <w:rFonts w:hint="default" w:ascii="Times New Roman" w:hAnsi="Times New Roman" w:eastAsia="宋体" w:cs="Times New Roman"/>
                      <w:color w:val="auto"/>
                      <w:spacing w:val="11"/>
                      <w:position w:val="0"/>
                      <w:sz w:val="21"/>
                      <w:szCs w:val="21"/>
                      <w:highlight w:val="none"/>
                      <w:u w:val="none"/>
                      <w:lang w:val="en-US" w:eastAsia="zh-CN"/>
                    </w:rPr>
                    <w:t xml:space="preserve">开采；建设单位拟在达到湖南省绿色矿山建设标准并经验收合格后再生产。 </w:t>
                  </w:r>
                </w:p>
                <w:p w14:paraId="0F26A1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3、本项目位于</w:t>
                  </w:r>
                  <w:r>
                    <w:rPr>
                      <w:rFonts w:hint="default" w:ascii="Times New Roman" w:hAnsi="Times New Roman" w:cs="Times New Roman"/>
                      <w:color w:val="auto"/>
                      <w:spacing w:val="11"/>
                      <w:position w:val="0"/>
                      <w:sz w:val="21"/>
                      <w:szCs w:val="21"/>
                      <w:highlight w:val="none"/>
                      <w:u w:val="none"/>
                      <w:lang w:val="en-US" w:eastAsia="zh-CN"/>
                    </w:rPr>
                    <w:t>永州市新田县龙泉街道潮水铺村文峰岭矿区</w:t>
                  </w:r>
                  <w:r>
                    <w:rPr>
                      <w:rFonts w:hint="default" w:ascii="Times New Roman" w:hAnsi="Times New Roman" w:eastAsia="宋体" w:cs="Times New Roman"/>
                      <w:color w:val="auto"/>
                      <w:spacing w:val="11"/>
                      <w:position w:val="0"/>
                      <w:sz w:val="21"/>
                      <w:szCs w:val="21"/>
                      <w:highlight w:val="none"/>
                      <w:u w:val="none"/>
                      <w:lang w:val="en-US" w:eastAsia="zh-CN"/>
                    </w:rPr>
                    <w:t>，不属于市州中心城区周边和交通区位较好地区，选址不涉及自然保护地、生态保护红线、分散式饮用水水源地、千人以上饮用水水源地、文物保护单位等。</w:t>
                  </w:r>
                </w:p>
              </w:tc>
              <w:tc>
                <w:tcPr>
                  <w:tcW w:w="595" w:type="pct"/>
                  <w:tcBorders>
                    <w:tl2br w:val="nil"/>
                    <w:tr2bl w:val="nil"/>
                  </w:tcBorders>
                  <w:noWrap w:val="0"/>
                  <w:vAlign w:val="center"/>
                </w:tcPr>
                <w:p w14:paraId="578D16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lang w:val="en-US" w:eastAsia="zh-CN"/>
                    </w:rPr>
                  </w:pPr>
                  <w:r>
                    <w:rPr>
                      <w:rFonts w:hint="default" w:ascii="Times New Roman" w:hAnsi="Times New Roman" w:cs="Times New Roman"/>
                      <w:color w:val="auto"/>
                      <w:spacing w:val="11"/>
                      <w:position w:val="0"/>
                      <w:sz w:val="21"/>
                      <w:szCs w:val="21"/>
                      <w:highlight w:val="none"/>
                      <w:u w:val="none"/>
                      <w:lang w:val="en-US" w:eastAsia="zh-CN"/>
                    </w:rPr>
                    <w:t>符合</w:t>
                  </w:r>
                </w:p>
              </w:tc>
            </w:tr>
            <w:tr w14:paraId="6B819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5" w:type="pct"/>
                  <w:tcBorders>
                    <w:tl2br w:val="nil"/>
                    <w:tr2bl w:val="nil"/>
                  </w:tcBorders>
                  <w:noWrap w:val="0"/>
                  <w:vAlign w:val="center"/>
                </w:tcPr>
                <w:p w14:paraId="1EBA5B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污染物排放管控： </w:t>
                  </w:r>
                </w:p>
                <w:p w14:paraId="36672E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1.污染防治：矿石开采过程中岩石采剥、钻孔、爆破、锯切、装卸等作业场所应采取喷雾、洒水等措施，产生的废水经收集沉淀后回用或达标排放。粗碎等工艺采取密闭或湿法工艺降低粉尘无组织排放。采用先进的爆破方式，选取低噪设备，通过减震、隔声、消声、吸声等措施，减缓噪声对周边居民带来的不利影响。加强固废综合利用，矿山资源综合利用率不低于95%。污水处理达标率达到100%；固体废物妥善处置率达到100%。 </w:t>
                  </w:r>
                </w:p>
                <w:p w14:paraId="40AAE1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2.生态保护与恢复：开采过程严格限制作业范围，尽可能减少对原有地表植被和土壤的破坏；矿区周边设置截排水措施，减少水土流失；规范设置排土场，表土进行保存用于开采后复垦；制定矿山生态修复方案并严格落实，对已完成开采或形成终了边坡的开采区域实施边开采边修复，恢复土地原有功能；采取覆土、复绿、边坡整治等措施实施历史遗留矿山生态环境修复治理。新建和生产矿山损毁土地复垦率应达到100%（全面复垦），地质环境治理恢复率应达到100%（全面治理）。 </w:t>
                  </w:r>
                </w:p>
                <w:p w14:paraId="0EF149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3.建立常态化生态、噪声、大气、水环境等监测体系，根据区域生态环境质量变化情况，及时优化矿山建设和运营管理方案，完善相应生态环境保护措施。</w:t>
                  </w:r>
                </w:p>
              </w:tc>
              <w:tc>
                <w:tcPr>
                  <w:tcW w:w="1958" w:type="pct"/>
                  <w:tcBorders>
                    <w:tl2br w:val="nil"/>
                    <w:tr2bl w:val="nil"/>
                  </w:tcBorders>
                  <w:noWrap w:val="0"/>
                  <w:vAlign w:val="center"/>
                </w:tcPr>
                <w:p w14:paraId="11167F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1、项目矿石开采过程中岩石采剥、爆破、装卸等拟采取喷雾、洒水等措施；项目无废水外排，</w:t>
                  </w:r>
                  <w:r>
                    <w:rPr>
                      <w:rFonts w:hint="default" w:ascii="Times New Roman" w:hAnsi="Times New Roman" w:cs="Times New Roman"/>
                      <w:color w:val="auto"/>
                      <w:spacing w:val="11"/>
                      <w:position w:val="0"/>
                      <w:sz w:val="21"/>
                      <w:szCs w:val="21"/>
                      <w:highlight w:val="none"/>
                      <w:u w:val="none"/>
                      <w:lang w:val="en-US" w:eastAsia="zh-CN"/>
                    </w:rPr>
                    <w:t>碎石加工过程中采取洒水抑尘</w:t>
                  </w:r>
                  <w:r>
                    <w:rPr>
                      <w:rFonts w:hint="eastAsia" w:cs="Times New Roman"/>
                      <w:color w:val="auto"/>
                      <w:spacing w:val="11"/>
                      <w:position w:val="0"/>
                      <w:sz w:val="21"/>
                      <w:szCs w:val="21"/>
                      <w:highlight w:val="none"/>
                      <w:u w:val="none"/>
                      <w:lang w:val="en-US" w:eastAsia="zh-CN"/>
                    </w:rPr>
                    <w:t>、</w:t>
                  </w:r>
                  <w:r>
                    <w:rPr>
                      <w:rFonts w:hint="default" w:ascii="Times New Roman" w:hAnsi="Times New Roman" w:cs="Times New Roman"/>
                      <w:color w:val="auto"/>
                      <w:spacing w:val="11"/>
                      <w:position w:val="0"/>
                      <w:sz w:val="21"/>
                      <w:szCs w:val="21"/>
                      <w:highlight w:val="none"/>
                      <w:u w:val="none"/>
                      <w:lang w:val="en-US" w:eastAsia="zh-CN"/>
                    </w:rPr>
                    <w:t>布袋除尘等措施</w:t>
                  </w:r>
                  <w:r>
                    <w:rPr>
                      <w:rFonts w:hint="default" w:ascii="Times New Roman" w:hAnsi="Times New Roman" w:eastAsia="宋体" w:cs="Times New Roman"/>
                      <w:color w:val="auto"/>
                      <w:spacing w:val="11"/>
                      <w:position w:val="0"/>
                      <w:sz w:val="21"/>
                      <w:szCs w:val="21"/>
                      <w:highlight w:val="none"/>
                      <w:u w:val="none"/>
                      <w:lang w:val="en-US" w:eastAsia="zh-CN"/>
                    </w:rPr>
                    <w:t xml:space="preserve">降低粉尘无组织排放。采用先进的中深孔爆破，选用低噪设备，通过减震、隔声、消声、吸声等措施。项目设计开采回采率98%，固体废物均能妥善处置。 </w:t>
                  </w:r>
                </w:p>
                <w:p w14:paraId="33C9C7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yellow"/>
                      <w:u w:val="none"/>
                    </w:rPr>
                  </w:pPr>
                  <w:r>
                    <w:rPr>
                      <w:rFonts w:hint="default" w:ascii="Times New Roman" w:hAnsi="Times New Roman" w:eastAsia="宋体" w:cs="Times New Roman"/>
                      <w:color w:val="auto"/>
                      <w:spacing w:val="11"/>
                      <w:position w:val="0"/>
                      <w:sz w:val="21"/>
                      <w:szCs w:val="21"/>
                      <w:highlight w:val="none"/>
                      <w:u w:val="none"/>
                      <w:lang w:val="en-US" w:eastAsia="zh-CN"/>
                    </w:rPr>
                    <w:t xml:space="preserve">2、生态保护与恢复：开采过程严格限制作业范围，尽可能减少对原有地表植被和土壤的破坏；矿区周边设置截排水措施，减少水土流失；规范设置排土场，表土进行保存用于开采后复垦，制定矿山生态修复方案并严格落实，对已完成开采或形成终了边坡的开采区域实施边开采边修复，恢复土地原有功能，对矿山损毁土地进行全面复垦，地质环境治理恢复率拟达到100%。 </w:t>
                  </w:r>
                </w:p>
                <w:p w14:paraId="3C3A19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3、建立常态化生态、噪声、大气、水环境等监测体系，根据区域生态环境质量变化情况，及时优化矿山建设和运营管理方案，完善相应生态环境保护措施。</w:t>
                  </w:r>
                </w:p>
              </w:tc>
              <w:tc>
                <w:tcPr>
                  <w:tcW w:w="595" w:type="pct"/>
                  <w:tcBorders>
                    <w:tl2br w:val="nil"/>
                    <w:tr2bl w:val="nil"/>
                  </w:tcBorders>
                  <w:noWrap w:val="0"/>
                  <w:vAlign w:val="center"/>
                </w:tcPr>
                <w:p w14:paraId="10E401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符合</w:t>
                  </w:r>
                </w:p>
              </w:tc>
            </w:tr>
            <w:tr w14:paraId="0CD67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5" w:type="pct"/>
                  <w:tcBorders>
                    <w:tl2br w:val="nil"/>
                    <w:tr2bl w:val="nil"/>
                  </w:tcBorders>
                  <w:noWrap w:val="0"/>
                  <w:vAlign w:val="center"/>
                </w:tcPr>
                <w:p w14:paraId="2A03EA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风险防控：落实环境风险防范的主体责任，强化环境风险防范体系建设；制定突发环境事件应急预案，严格执行应急报告制度；采场和堆场应设置完善的排洪和排水设施，做好削坡卸荷、压脚护坡，预防滑坡、坍塌、泥石流地质环境灾害引发的次生生态环境风险。</w:t>
                  </w:r>
                </w:p>
              </w:tc>
              <w:tc>
                <w:tcPr>
                  <w:tcW w:w="1958" w:type="pct"/>
                  <w:tcBorders>
                    <w:tl2br w:val="nil"/>
                    <w:tr2bl w:val="nil"/>
                  </w:tcBorders>
                  <w:noWrap w:val="0"/>
                  <w:vAlign w:val="center"/>
                </w:tcPr>
                <w:p w14:paraId="347C8A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建设单位将强化环境风险防范体系建设，拟突发环境事件应急预案，严格执行应急报告制度；采场设置了完善的排洪和排水设施，做好削坡卸荷、压脚护坡，预防滑坡、坍塌、泥石流地质环境灾害引发的次生生态环境风险。</w:t>
                  </w:r>
                </w:p>
              </w:tc>
              <w:tc>
                <w:tcPr>
                  <w:tcW w:w="595" w:type="pct"/>
                  <w:tcBorders>
                    <w:tl2br w:val="nil"/>
                    <w:tr2bl w:val="nil"/>
                  </w:tcBorders>
                  <w:noWrap w:val="0"/>
                  <w:vAlign w:val="center"/>
                </w:tcPr>
                <w:p w14:paraId="71D672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符合</w:t>
                  </w:r>
                </w:p>
              </w:tc>
            </w:tr>
            <w:tr w14:paraId="23C36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5" w:type="pct"/>
                  <w:tcBorders>
                    <w:tl2br w:val="nil"/>
                    <w:tr2bl w:val="nil"/>
                  </w:tcBorders>
                  <w:noWrap w:val="0"/>
                  <w:vAlign w:val="center"/>
                </w:tcPr>
                <w:p w14:paraId="0F443B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资源开发利用要求：严格按照开采规模要求、开采范围进行开采，不得超量开采、不得越界开采。矿山开采回采率不低于92%，表土利用率不低于95%。</w:t>
                  </w:r>
                </w:p>
              </w:tc>
              <w:tc>
                <w:tcPr>
                  <w:tcW w:w="1958" w:type="pct"/>
                  <w:tcBorders>
                    <w:tl2br w:val="nil"/>
                    <w:tr2bl w:val="nil"/>
                  </w:tcBorders>
                  <w:noWrap w:val="0"/>
                  <w:vAlign w:val="center"/>
                </w:tcPr>
                <w:p w14:paraId="358741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项目将严格按照开采规模要求、开采范围进行开采，不超量开采、越界开采。设计开采回采率98%，表土利用率不低于95%。</w:t>
                  </w:r>
                </w:p>
              </w:tc>
              <w:tc>
                <w:tcPr>
                  <w:tcW w:w="595" w:type="pct"/>
                  <w:tcBorders>
                    <w:tl2br w:val="nil"/>
                    <w:tr2bl w:val="nil"/>
                  </w:tcBorders>
                  <w:noWrap w:val="0"/>
                  <w:vAlign w:val="center"/>
                </w:tcPr>
                <w:p w14:paraId="6EE4C0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符合</w:t>
                  </w:r>
                </w:p>
              </w:tc>
            </w:tr>
          </w:tbl>
          <w:p w14:paraId="2BC8E383">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ind w:firstLine="526" w:firstLineChars="200"/>
              <w:textAlignment w:val="auto"/>
              <w:rPr>
                <w:rFonts w:hint="default" w:ascii="Times New Roman" w:hAnsi="Times New Roman" w:eastAsia="宋体" w:cs="Times New Roman"/>
                <w:b/>
                <w:bCs/>
                <w:color w:val="000000"/>
                <w:spacing w:val="11"/>
                <w:position w:val="0"/>
                <w:sz w:val="24"/>
                <w:u w:val="single" w:color="auto"/>
              </w:rPr>
            </w:pPr>
            <w:r>
              <w:rPr>
                <w:rFonts w:hint="eastAsia" w:cs="Times New Roman"/>
                <w:b/>
                <w:bCs/>
                <w:color w:val="000000"/>
                <w:spacing w:val="11"/>
                <w:kern w:val="2"/>
                <w:position w:val="0"/>
                <w:sz w:val="24"/>
                <w:szCs w:val="24"/>
                <w:u w:val="single" w:color="auto"/>
                <w:lang w:val="en-US" w:eastAsia="zh-CN" w:bidi="ar-SA"/>
              </w:rPr>
              <w:t>3</w:t>
            </w:r>
            <w:r>
              <w:rPr>
                <w:rFonts w:hint="default" w:ascii="Times New Roman" w:hAnsi="Times New Roman" w:eastAsia="宋体" w:cs="Times New Roman"/>
                <w:b/>
                <w:bCs/>
                <w:color w:val="000000"/>
                <w:spacing w:val="11"/>
                <w:kern w:val="2"/>
                <w:position w:val="0"/>
                <w:sz w:val="24"/>
                <w:szCs w:val="24"/>
                <w:u w:val="single" w:color="auto"/>
                <w:lang w:val="en-US" w:eastAsia="zh-CN" w:bidi="ar-SA"/>
              </w:rPr>
              <w:t>、</w:t>
            </w:r>
            <w:r>
              <w:rPr>
                <w:rFonts w:hint="default" w:ascii="Times New Roman" w:hAnsi="Times New Roman" w:eastAsia="宋体" w:cs="Times New Roman"/>
                <w:b/>
                <w:bCs/>
                <w:color w:val="000000"/>
                <w:spacing w:val="11"/>
                <w:kern w:val="0"/>
                <w:position w:val="0"/>
                <w:sz w:val="24"/>
                <w:u w:val="single" w:color="auto"/>
              </w:rPr>
              <w:t>与</w:t>
            </w:r>
            <w:r>
              <w:rPr>
                <w:rFonts w:hint="default" w:ascii="Times New Roman" w:hAnsi="Times New Roman" w:eastAsia="宋体" w:cs="Times New Roman"/>
                <w:b/>
                <w:bCs/>
                <w:color w:val="000000"/>
                <w:spacing w:val="11"/>
                <w:position w:val="0"/>
                <w:sz w:val="24"/>
                <w:u w:val="single" w:color="auto"/>
              </w:rPr>
              <w:t>《湖南省普通建筑材料用砂石土矿专项规划（2021~2025年）》符合性分析</w:t>
            </w:r>
          </w:p>
          <w:p w14:paraId="7F019E5A">
            <w:pPr>
              <w:adjustRightInd w:val="0"/>
              <w:snapToGrid w:val="0"/>
              <w:spacing w:line="360" w:lineRule="auto"/>
              <w:ind w:firstLine="524" w:firstLineChars="200"/>
              <w:jc w:val="both"/>
              <w:outlineLvl w:val="1"/>
              <w:rPr>
                <w:rFonts w:hint="default" w:ascii="Times New Roman" w:hAnsi="Times New Roman" w:eastAsia="宋体" w:cs="Times New Roman"/>
                <w:color w:val="000000"/>
                <w:spacing w:val="11"/>
                <w:position w:val="0"/>
                <w:sz w:val="24"/>
                <w:u w:val="single" w:color="auto"/>
                <w:lang w:val="en-US" w:eastAsia="zh-CN"/>
              </w:rPr>
            </w:pPr>
            <w:bookmarkStart w:id="20" w:name="_Toc23617"/>
            <w:r>
              <w:rPr>
                <w:rFonts w:hint="default" w:ascii="Times New Roman" w:hAnsi="Times New Roman" w:eastAsia="宋体" w:cs="Times New Roman"/>
                <w:color w:val="000000"/>
                <w:spacing w:val="11"/>
                <w:position w:val="0"/>
                <w:sz w:val="24"/>
                <w:u w:val="single" w:color="auto"/>
                <w:lang w:val="en-US" w:eastAsia="zh-CN"/>
              </w:rPr>
              <w:t>依据《湖南省普通建筑材料用砂石土矿专项规划（2021-2025年）》，相符性分析如下表所示。</w:t>
            </w:r>
            <w:bookmarkEnd w:id="20"/>
          </w:p>
          <w:p w14:paraId="6BD22680">
            <w:pPr>
              <w:widowControl/>
              <w:jc w:val="center"/>
              <w:rPr>
                <w:rFonts w:hint="default" w:ascii="Times New Roman" w:hAnsi="Times New Roman" w:eastAsia="宋体" w:cs="Times New Roman"/>
                <w:b/>
                <w:bCs/>
                <w:color w:val="000000"/>
                <w:spacing w:val="11"/>
                <w:kern w:val="0"/>
                <w:position w:val="0"/>
                <w:szCs w:val="21"/>
                <w:u w:val="single" w:color="auto"/>
              </w:rPr>
            </w:pPr>
            <w:r>
              <w:rPr>
                <w:rFonts w:hint="default" w:ascii="Times New Roman" w:hAnsi="Times New Roman" w:eastAsia="宋体" w:cs="Times New Roman"/>
                <w:b/>
                <w:bCs/>
                <w:color w:val="000000"/>
                <w:spacing w:val="11"/>
                <w:kern w:val="0"/>
                <w:position w:val="0"/>
                <w:szCs w:val="21"/>
                <w:u w:val="single" w:color="auto"/>
              </w:rPr>
              <w:t xml:space="preserve">表1-2 </w:t>
            </w:r>
            <w:r>
              <w:rPr>
                <w:rFonts w:hint="default" w:ascii="Times New Roman" w:hAnsi="Times New Roman" w:eastAsia="宋体" w:cs="Times New Roman"/>
                <w:b/>
                <w:bCs/>
                <w:color w:val="000000"/>
                <w:spacing w:val="11"/>
                <w:kern w:val="0"/>
                <w:position w:val="0"/>
                <w:szCs w:val="21"/>
                <w:u w:val="single" w:color="auto"/>
                <w:lang w:val="en-US" w:eastAsia="zh-CN"/>
              </w:rPr>
              <w:t>与《湖南省普通建筑材料用砂石土矿专项规划（2021~2025年）》的相符性分析一览表</w:t>
            </w:r>
          </w:p>
          <w:tbl>
            <w:tblPr>
              <w:tblStyle w:val="3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69"/>
              <w:gridCol w:w="2970"/>
              <w:gridCol w:w="841"/>
            </w:tblGrid>
            <w:tr w14:paraId="65060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189" w:type="pct"/>
                  <w:tcBorders>
                    <w:tl2br w:val="nil"/>
                    <w:tr2bl w:val="nil"/>
                  </w:tcBorders>
                  <w:noWrap w:val="0"/>
                  <w:vAlign w:val="center"/>
                </w:tcPr>
                <w:p w14:paraId="192341D0">
                  <w:pPr>
                    <w:widowControl/>
                    <w:adjustRightInd w:val="0"/>
                    <w:snapToGrid w:val="0"/>
                    <w:jc w:val="center"/>
                    <w:rPr>
                      <w:rFonts w:hint="default" w:ascii="Times New Roman" w:hAnsi="Times New Roman" w:eastAsia="宋体" w:cs="Times New Roman"/>
                      <w:b/>
                      <w:bCs/>
                      <w:color w:val="000000"/>
                      <w:spacing w:val="11"/>
                      <w:kern w:val="0"/>
                      <w:position w:val="0"/>
                      <w:szCs w:val="21"/>
                      <w:u w:val="single" w:color="auto"/>
                    </w:rPr>
                  </w:pPr>
                  <w:r>
                    <w:rPr>
                      <w:rFonts w:hint="default" w:ascii="Times New Roman" w:hAnsi="Times New Roman" w:eastAsia="宋体" w:cs="Times New Roman"/>
                      <w:color w:val="000000"/>
                      <w:spacing w:val="11"/>
                      <w:position w:val="0"/>
                      <w:szCs w:val="21"/>
                      <w:u w:val="single" w:color="auto"/>
                    </w:rPr>
                    <w:t>《</w:t>
                  </w:r>
                  <w:r>
                    <w:rPr>
                      <w:rFonts w:hint="default" w:ascii="Times New Roman" w:hAnsi="Times New Roman" w:eastAsia="宋体" w:cs="Times New Roman"/>
                      <w:bCs/>
                      <w:color w:val="000000"/>
                      <w:spacing w:val="11"/>
                      <w:position w:val="0"/>
                      <w:szCs w:val="21"/>
                      <w:u w:val="single" w:color="auto"/>
                    </w:rPr>
                    <w:t>湖南省普通建筑材料用砂石土矿专项规划（2021~2025年）</w:t>
                  </w:r>
                  <w:r>
                    <w:rPr>
                      <w:rFonts w:hint="default" w:ascii="Times New Roman" w:hAnsi="Times New Roman" w:eastAsia="宋体" w:cs="Times New Roman"/>
                      <w:color w:val="000000"/>
                      <w:spacing w:val="11"/>
                      <w:position w:val="0"/>
                      <w:szCs w:val="21"/>
                      <w:u w:val="single" w:color="auto"/>
                    </w:rPr>
                    <w:t>》相关内容</w:t>
                  </w:r>
                </w:p>
              </w:tc>
              <w:tc>
                <w:tcPr>
                  <w:tcW w:w="2190" w:type="pct"/>
                  <w:tcBorders>
                    <w:tl2br w:val="nil"/>
                    <w:tr2bl w:val="nil"/>
                  </w:tcBorders>
                  <w:noWrap w:val="0"/>
                  <w:vAlign w:val="center"/>
                </w:tcPr>
                <w:p w14:paraId="76D43A42">
                  <w:pPr>
                    <w:widowControl/>
                    <w:adjustRightInd w:val="0"/>
                    <w:snapToGrid w:val="0"/>
                    <w:jc w:val="center"/>
                    <w:rPr>
                      <w:rFonts w:hint="default" w:ascii="Times New Roman" w:hAnsi="Times New Roman" w:eastAsia="宋体" w:cs="Times New Roman"/>
                      <w:color w:val="000000"/>
                      <w:spacing w:val="11"/>
                      <w:kern w:val="0"/>
                      <w:position w:val="0"/>
                      <w:szCs w:val="21"/>
                      <w:u w:val="single" w:color="auto"/>
                    </w:rPr>
                  </w:pPr>
                  <w:r>
                    <w:rPr>
                      <w:rFonts w:hint="default" w:ascii="Times New Roman" w:hAnsi="Times New Roman" w:eastAsia="宋体" w:cs="Times New Roman"/>
                      <w:color w:val="000000"/>
                      <w:spacing w:val="11"/>
                      <w:kern w:val="0"/>
                      <w:position w:val="0"/>
                      <w:szCs w:val="21"/>
                      <w:u w:val="single" w:color="auto"/>
                      <w:lang w:val="en-US" w:eastAsia="zh-CN"/>
                    </w:rPr>
                    <w:t>项目情况</w:t>
                  </w:r>
                </w:p>
              </w:tc>
              <w:tc>
                <w:tcPr>
                  <w:tcW w:w="620" w:type="pct"/>
                  <w:tcBorders>
                    <w:tl2br w:val="nil"/>
                    <w:tr2bl w:val="nil"/>
                  </w:tcBorders>
                  <w:noWrap w:val="0"/>
                  <w:vAlign w:val="center"/>
                </w:tcPr>
                <w:p w14:paraId="24D5B863">
                  <w:pPr>
                    <w:widowControl/>
                    <w:adjustRightInd w:val="0"/>
                    <w:snapToGrid w:val="0"/>
                    <w:jc w:val="center"/>
                    <w:rPr>
                      <w:rFonts w:hint="default" w:ascii="Times New Roman" w:hAnsi="Times New Roman" w:eastAsia="宋体" w:cs="Times New Roman"/>
                      <w:color w:val="000000"/>
                      <w:spacing w:val="11"/>
                      <w:kern w:val="0"/>
                      <w:position w:val="0"/>
                      <w:szCs w:val="21"/>
                      <w:u w:val="single" w:color="auto"/>
                    </w:rPr>
                  </w:pPr>
                  <w:r>
                    <w:rPr>
                      <w:rFonts w:hint="default" w:ascii="Times New Roman" w:hAnsi="Times New Roman" w:eastAsia="宋体" w:cs="Times New Roman"/>
                      <w:color w:val="000000"/>
                      <w:spacing w:val="11"/>
                      <w:kern w:val="0"/>
                      <w:position w:val="0"/>
                      <w:szCs w:val="21"/>
                      <w:u w:val="single" w:color="auto"/>
                      <w:lang w:val="en-US" w:eastAsia="zh-CN"/>
                    </w:rPr>
                    <w:t>是否相符</w:t>
                  </w:r>
                </w:p>
              </w:tc>
            </w:tr>
            <w:tr w14:paraId="18544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189" w:type="pct"/>
                  <w:tcBorders>
                    <w:tl2br w:val="nil"/>
                    <w:tr2bl w:val="nil"/>
                  </w:tcBorders>
                  <w:noWrap w:val="0"/>
                  <w:vAlign w:val="center"/>
                </w:tcPr>
                <w:p w14:paraId="6E37ED7E">
                  <w:pPr>
                    <w:adjustRightInd w:val="0"/>
                    <w:snapToGrid w:val="0"/>
                    <w:rPr>
                      <w:rFonts w:hint="default" w:ascii="Times New Roman" w:hAnsi="Times New Roman" w:eastAsia="宋体" w:cs="Times New Roman"/>
                      <w:color w:val="000000"/>
                      <w:spacing w:val="11"/>
                      <w:kern w:val="0"/>
                      <w:position w:val="0"/>
                      <w:szCs w:val="21"/>
                      <w:u w:val="single" w:color="auto"/>
                    </w:rPr>
                  </w:pPr>
                  <w:r>
                    <w:rPr>
                      <w:rFonts w:hint="default" w:ascii="Times New Roman" w:hAnsi="Times New Roman" w:eastAsia="宋体" w:cs="Times New Roman"/>
                      <w:color w:val="000000"/>
                      <w:spacing w:val="11"/>
                      <w:position w:val="0"/>
                      <w:szCs w:val="21"/>
                      <w:u w:val="single" w:color="auto"/>
                    </w:rPr>
                    <w:t>规划期内全省大中型矿山（生产规模≥100万吨/年）比例达到30%以上，生产矿山全部达到湖南省绿色矿山标准，完成历史遗留2000公顷矿山的生态环境修复治理。规划设定单个矿山原则上不低于30万吨/年的开采规模。</w:t>
                  </w:r>
                </w:p>
              </w:tc>
              <w:tc>
                <w:tcPr>
                  <w:tcW w:w="2190" w:type="pct"/>
                  <w:tcBorders>
                    <w:tl2br w:val="nil"/>
                    <w:tr2bl w:val="nil"/>
                  </w:tcBorders>
                  <w:noWrap w:val="0"/>
                  <w:vAlign w:val="center"/>
                </w:tcPr>
                <w:p w14:paraId="4A4BE40D">
                  <w:pPr>
                    <w:widowControl/>
                    <w:adjustRightInd w:val="0"/>
                    <w:snapToGrid w:val="0"/>
                    <w:rPr>
                      <w:rFonts w:hint="default" w:ascii="Times New Roman" w:hAnsi="Times New Roman" w:eastAsia="宋体" w:cs="Times New Roman"/>
                      <w:spacing w:val="11"/>
                      <w:kern w:val="0"/>
                      <w:position w:val="0"/>
                      <w:szCs w:val="21"/>
                      <w:u w:val="single" w:color="auto"/>
                    </w:rPr>
                  </w:pPr>
                  <w:r>
                    <w:rPr>
                      <w:rFonts w:hint="default" w:ascii="Times New Roman" w:hAnsi="Times New Roman" w:eastAsia="宋体" w:cs="Times New Roman"/>
                      <w:spacing w:val="11"/>
                      <w:position w:val="0"/>
                      <w:szCs w:val="21"/>
                      <w:u w:val="single" w:color="auto"/>
                    </w:rPr>
                    <w:t>项目已于202</w:t>
                  </w:r>
                  <w:r>
                    <w:rPr>
                      <w:rFonts w:hint="eastAsia" w:cs="Times New Roman"/>
                      <w:spacing w:val="11"/>
                      <w:position w:val="0"/>
                      <w:szCs w:val="21"/>
                      <w:u w:val="single" w:color="auto"/>
                      <w:lang w:val="en-US" w:eastAsia="zh-CN"/>
                    </w:rPr>
                    <w:t>4</w:t>
                  </w:r>
                  <w:r>
                    <w:rPr>
                      <w:rFonts w:hint="default" w:ascii="Times New Roman" w:hAnsi="Times New Roman" w:eastAsia="宋体" w:cs="Times New Roman"/>
                      <w:spacing w:val="11"/>
                      <w:position w:val="0"/>
                      <w:szCs w:val="21"/>
                      <w:u w:val="single" w:color="auto"/>
                    </w:rPr>
                    <w:t>年</w:t>
                  </w:r>
                  <w:r>
                    <w:rPr>
                      <w:rFonts w:hint="default" w:ascii="Times New Roman" w:hAnsi="Times New Roman" w:eastAsia="宋体" w:cs="Times New Roman"/>
                      <w:spacing w:val="11"/>
                      <w:position w:val="0"/>
                      <w:szCs w:val="21"/>
                      <w:u w:val="single" w:color="auto"/>
                      <w:lang w:val="en-US" w:eastAsia="zh-CN"/>
                    </w:rPr>
                    <w:t>1</w:t>
                  </w:r>
                  <w:r>
                    <w:rPr>
                      <w:rFonts w:hint="eastAsia" w:cs="Times New Roman"/>
                      <w:spacing w:val="11"/>
                      <w:position w:val="0"/>
                      <w:szCs w:val="21"/>
                      <w:u w:val="single" w:color="auto"/>
                      <w:lang w:val="en-US" w:eastAsia="zh-CN"/>
                    </w:rPr>
                    <w:t>2</w:t>
                  </w:r>
                  <w:r>
                    <w:rPr>
                      <w:rFonts w:hint="default" w:ascii="Times New Roman" w:hAnsi="Times New Roman" w:eastAsia="宋体" w:cs="Times New Roman"/>
                      <w:spacing w:val="11"/>
                      <w:position w:val="0"/>
                      <w:szCs w:val="21"/>
                      <w:u w:val="single" w:color="auto"/>
                    </w:rPr>
                    <w:t>月1</w:t>
                  </w:r>
                  <w:r>
                    <w:rPr>
                      <w:rFonts w:hint="eastAsia" w:cs="Times New Roman"/>
                      <w:spacing w:val="11"/>
                      <w:position w:val="0"/>
                      <w:szCs w:val="21"/>
                      <w:u w:val="single" w:color="auto"/>
                      <w:lang w:val="en-US" w:eastAsia="zh-CN"/>
                    </w:rPr>
                    <w:t>2</w:t>
                  </w:r>
                  <w:r>
                    <w:rPr>
                      <w:rFonts w:hint="default" w:ascii="Times New Roman" w:hAnsi="Times New Roman" w:eastAsia="宋体" w:cs="Times New Roman"/>
                      <w:spacing w:val="11"/>
                      <w:position w:val="0"/>
                      <w:szCs w:val="21"/>
                      <w:u w:val="single" w:color="auto"/>
                    </w:rPr>
                    <w:t>日取得永州市自然资源和规划局发放的采矿许可证。</w:t>
                  </w:r>
                  <w:r>
                    <w:rPr>
                      <w:rFonts w:hint="default" w:ascii="Times New Roman" w:hAnsi="Times New Roman" w:eastAsia="宋体" w:cs="Times New Roman"/>
                      <w:spacing w:val="11"/>
                      <w:kern w:val="0"/>
                      <w:position w:val="0"/>
                      <w:szCs w:val="21"/>
                      <w:u w:val="single" w:color="auto"/>
                    </w:rPr>
                    <w:t>本项目采矿许可证中许可的开采规模为</w:t>
                  </w:r>
                  <w:r>
                    <w:rPr>
                      <w:rFonts w:hint="default" w:ascii="Times New Roman" w:hAnsi="Times New Roman" w:eastAsia="宋体" w:cs="Times New Roman"/>
                      <w:spacing w:val="11"/>
                      <w:kern w:val="0"/>
                      <w:position w:val="0"/>
                      <w:szCs w:val="21"/>
                      <w:u w:val="single" w:color="auto"/>
                      <w:lang w:val="en-US" w:eastAsia="zh-CN"/>
                    </w:rPr>
                    <w:t>6</w:t>
                  </w:r>
                  <w:r>
                    <w:rPr>
                      <w:rFonts w:hint="default" w:ascii="Times New Roman" w:hAnsi="Times New Roman" w:eastAsia="宋体" w:cs="Times New Roman"/>
                      <w:spacing w:val="11"/>
                      <w:kern w:val="0"/>
                      <w:position w:val="0"/>
                      <w:szCs w:val="21"/>
                      <w:u w:val="single" w:color="auto"/>
                    </w:rPr>
                    <w:t>0万吨/年，满足</w:t>
                  </w:r>
                  <w:r>
                    <w:rPr>
                      <w:rFonts w:hint="default" w:ascii="Times New Roman" w:hAnsi="Times New Roman" w:eastAsia="宋体" w:cs="Times New Roman"/>
                      <w:spacing w:val="11"/>
                      <w:position w:val="0"/>
                      <w:szCs w:val="21"/>
                      <w:u w:val="single" w:color="auto"/>
                    </w:rPr>
                    <w:t>《</w:t>
                  </w:r>
                  <w:r>
                    <w:rPr>
                      <w:rFonts w:hint="default" w:ascii="Times New Roman" w:hAnsi="Times New Roman" w:eastAsia="宋体" w:cs="Times New Roman"/>
                      <w:bCs/>
                      <w:spacing w:val="11"/>
                      <w:position w:val="0"/>
                      <w:szCs w:val="21"/>
                      <w:u w:val="single" w:color="auto"/>
                    </w:rPr>
                    <w:t>湖南省普通建筑材料用砂石土矿专项规划（2021~2025年）</w:t>
                  </w:r>
                  <w:r>
                    <w:rPr>
                      <w:rFonts w:hint="default" w:ascii="Times New Roman" w:hAnsi="Times New Roman" w:eastAsia="宋体" w:cs="Times New Roman"/>
                      <w:spacing w:val="11"/>
                      <w:position w:val="0"/>
                      <w:szCs w:val="21"/>
                      <w:u w:val="single" w:color="auto"/>
                    </w:rPr>
                    <w:t>》中单个矿山不低于30万吨/年的要求；</w:t>
                  </w:r>
                  <w:r>
                    <w:rPr>
                      <w:rFonts w:hint="default" w:ascii="Times New Roman" w:hAnsi="Times New Roman" w:eastAsia="宋体" w:cs="Times New Roman"/>
                      <w:spacing w:val="11"/>
                      <w:kern w:val="0"/>
                      <w:position w:val="0"/>
                      <w:szCs w:val="21"/>
                      <w:u w:val="single" w:color="auto"/>
                    </w:rPr>
                    <w:t>开采方案按照湖南省绿色矿山标准设计。</w:t>
                  </w:r>
                </w:p>
              </w:tc>
              <w:tc>
                <w:tcPr>
                  <w:tcW w:w="620" w:type="pct"/>
                  <w:tcBorders>
                    <w:tl2br w:val="nil"/>
                    <w:tr2bl w:val="nil"/>
                  </w:tcBorders>
                  <w:noWrap w:val="0"/>
                  <w:vAlign w:val="center"/>
                </w:tcPr>
                <w:p w14:paraId="4CF69315">
                  <w:pPr>
                    <w:widowControl/>
                    <w:adjustRightInd w:val="0"/>
                    <w:snapToGrid w:val="0"/>
                    <w:jc w:val="center"/>
                    <w:rPr>
                      <w:rFonts w:hint="default" w:ascii="Times New Roman" w:hAnsi="Times New Roman" w:eastAsia="宋体" w:cs="Times New Roman"/>
                      <w:spacing w:val="11"/>
                      <w:kern w:val="0"/>
                      <w:position w:val="0"/>
                      <w:szCs w:val="21"/>
                      <w:u w:val="single" w:color="auto"/>
                    </w:rPr>
                  </w:pPr>
                  <w:r>
                    <w:rPr>
                      <w:rFonts w:hint="default" w:ascii="Times New Roman" w:hAnsi="Times New Roman" w:eastAsia="宋体" w:cs="Times New Roman"/>
                      <w:spacing w:val="11"/>
                      <w:kern w:val="0"/>
                      <w:position w:val="0"/>
                      <w:szCs w:val="21"/>
                      <w:u w:val="single" w:color="auto"/>
                    </w:rPr>
                    <w:t>符合</w:t>
                  </w:r>
                </w:p>
              </w:tc>
            </w:tr>
            <w:tr w14:paraId="6E419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189" w:type="pct"/>
                  <w:tcBorders>
                    <w:tl2br w:val="nil"/>
                    <w:tr2bl w:val="nil"/>
                  </w:tcBorders>
                  <w:noWrap w:val="0"/>
                  <w:vAlign w:val="center"/>
                </w:tcPr>
                <w:p w14:paraId="75A5D13C">
                  <w:pPr>
                    <w:adjustRightInd w:val="0"/>
                    <w:snapToGrid w:val="0"/>
                    <w:rPr>
                      <w:rFonts w:hint="default" w:ascii="Times New Roman" w:hAnsi="Times New Roman" w:eastAsia="宋体" w:cs="Times New Roman"/>
                      <w:color w:val="000000"/>
                      <w:spacing w:val="11"/>
                      <w:position w:val="0"/>
                      <w:szCs w:val="21"/>
                      <w:u w:val="single" w:color="auto"/>
                    </w:rPr>
                  </w:pPr>
                  <w:r>
                    <w:rPr>
                      <w:rFonts w:hint="default" w:ascii="Times New Roman" w:hAnsi="Times New Roman" w:eastAsia="宋体" w:cs="Times New Roman"/>
                      <w:color w:val="000000"/>
                      <w:spacing w:val="11"/>
                      <w:position w:val="0"/>
                      <w:szCs w:val="21"/>
                      <w:u w:val="single" w:color="auto"/>
                    </w:rPr>
                    <w:t>坚持生态优先、绿色发展，以生态环境质量改善为目标，统筹协调生态环境保护和矿山资源开发的关系。严格控制矿山开发规模与强度，节约集约利用土地等资源，合理安排矿山开发建设时序，根据区域资源禀赋和地方经济发展需求，在规划提出的单个矿山开采规模原则上不低于30万吨/年基础上，长沙市、湘潭市全域，株洲市市辖区、岳阳市（汨罗市、湘阴县、岳阳县）及其他市州市级中心城区开发边界毗邻的乡镇（含街道）新设矿山开采规模应不低于100万吨/年。规划实施阶段，株洲市、衡阳市适当提高大中型矿山比例。到2025年，生产矿山全部达到湖南省绿色矿山标准。</w:t>
                  </w:r>
                </w:p>
              </w:tc>
              <w:tc>
                <w:tcPr>
                  <w:tcW w:w="2190" w:type="pct"/>
                  <w:tcBorders>
                    <w:tl2br w:val="nil"/>
                    <w:tr2bl w:val="nil"/>
                  </w:tcBorders>
                  <w:noWrap w:val="0"/>
                  <w:vAlign w:val="center"/>
                </w:tcPr>
                <w:p w14:paraId="749A2F3D">
                  <w:pPr>
                    <w:widowControl/>
                    <w:adjustRightInd w:val="0"/>
                    <w:snapToGrid w:val="0"/>
                    <w:rPr>
                      <w:rFonts w:hint="default" w:ascii="Times New Roman" w:hAnsi="Times New Roman" w:eastAsia="宋体" w:cs="Times New Roman"/>
                      <w:color w:val="000000"/>
                      <w:spacing w:val="11"/>
                      <w:kern w:val="0"/>
                      <w:position w:val="0"/>
                      <w:szCs w:val="21"/>
                      <w:u w:val="single" w:color="auto"/>
                    </w:rPr>
                  </w:pPr>
                  <w:r>
                    <w:rPr>
                      <w:rFonts w:hint="default" w:ascii="Times New Roman" w:hAnsi="Times New Roman" w:eastAsia="宋体" w:cs="Times New Roman"/>
                      <w:color w:val="000000"/>
                      <w:spacing w:val="11"/>
                      <w:kern w:val="0"/>
                      <w:position w:val="0"/>
                      <w:szCs w:val="21"/>
                      <w:u w:val="single" w:color="auto"/>
                    </w:rPr>
                    <w:t>本项目开采规模为</w:t>
                  </w:r>
                  <w:r>
                    <w:rPr>
                      <w:rFonts w:hint="default" w:ascii="Times New Roman" w:hAnsi="Times New Roman" w:eastAsia="宋体" w:cs="Times New Roman"/>
                      <w:color w:val="000000"/>
                      <w:spacing w:val="11"/>
                      <w:kern w:val="0"/>
                      <w:position w:val="0"/>
                      <w:szCs w:val="21"/>
                      <w:u w:val="single" w:color="auto"/>
                      <w:lang w:val="en-US" w:eastAsia="zh-CN"/>
                    </w:rPr>
                    <w:t>6</w:t>
                  </w:r>
                  <w:r>
                    <w:rPr>
                      <w:rFonts w:hint="default" w:ascii="Times New Roman" w:hAnsi="Times New Roman" w:eastAsia="宋体" w:cs="Times New Roman"/>
                      <w:color w:val="000000"/>
                      <w:spacing w:val="11"/>
                      <w:kern w:val="0"/>
                      <w:position w:val="0"/>
                      <w:szCs w:val="21"/>
                      <w:u w:val="single" w:color="auto"/>
                    </w:rPr>
                    <w:t>0万吨/年，按照湖南省绿色矿山标准实施开采作业。</w:t>
                  </w:r>
                </w:p>
              </w:tc>
              <w:tc>
                <w:tcPr>
                  <w:tcW w:w="620" w:type="pct"/>
                  <w:tcBorders>
                    <w:tl2br w:val="nil"/>
                    <w:tr2bl w:val="nil"/>
                  </w:tcBorders>
                  <w:noWrap w:val="0"/>
                  <w:vAlign w:val="center"/>
                </w:tcPr>
                <w:p w14:paraId="66653BF9">
                  <w:pPr>
                    <w:widowControl/>
                    <w:adjustRightInd w:val="0"/>
                    <w:snapToGrid w:val="0"/>
                    <w:jc w:val="center"/>
                    <w:rPr>
                      <w:rFonts w:hint="default" w:ascii="Times New Roman" w:hAnsi="Times New Roman" w:eastAsia="宋体" w:cs="Times New Roman"/>
                      <w:color w:val="000000"/>
                      <w:spacing w:val="11"/>
                      <w:kern w:val="0"/>
                      <w:position w:val="0"/>
                      <w:szCs w:val="21"/>
                      <w:u w:val="single" w:color="auto"/>
                    </w:rPr>
                  </w:pPr>
                  <w:r>
                    <w:rPr>
                      <w:rFonts w:hint="default" w:ascii="Times New Roman" w:hAnsi="Times New Roman" w:eastAsia="宋体" w:cs="Times New Roman"/>
                      <w:color w:val="000000"/>
                      <w:spacing w:val="11"/>
                      <w:kern w:val="0"/>
                      <w:position w:val="0"/>
                      <w:szCs w:val="21"/>
                      <w:u w:val="single" w:color="auto"/>
                    </w:rPr>
                    <w:t>符合</w:t>
                  </w:r>
                </w:p>
              </w:tc>
            </w:tr>
            <w:tr w14:paraId="673B96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189" w:type="pct"/>
                  <w:tcBorders>
                    <w:tl2br w:val="nil"/>
                    <w:tr2bl w:val="nil"/>
                  </w:tcBorders>
                  <w:noWrap w:val="0"/>
                  <w:vAlign w:val="center"/>
                </w:tcPr>
                <w:p w14:paraId="36F6C279">
                  <w:pPr>
                    <w:adjustRightInd w:val="0"/>
                    <w:snapToGrid w:val="0"/>
                    <w:rPr>
                      <w:rFonts w:hint="default" w:ascii="Times New Roman" w:hAnsi="Times New Roman" w:eastAsia="宋体" w:cs="Times New Roman"/>
                      <w:color w:val="000000"/>
                      <w:spacing w:val="11"/>
                      <w:position w:val="0"/>
                      <w:szCs w:val="21"/>
                      <w:u w:val="single" w:color="auto"/>
                    </w:rPr>
                  </w:pPr>
                  <w:r>
                    <w:rPr>
                      <w:rFonts w:hint="default" w:ascii="Times New Roman" w:hAnsi="Times New Roman" w:eastAsia="宋体" w:cs="Times New Roman"/>
                      <w:color w:val="000000"/>
                      <w:spacing w:val="11"/>
                      <w:position w:val="0"/>
                      <w:szCs w:val="21"/>
                      <w:u w:val="single" w:color="auto"/>
                    </w:rPr>
                    <w:t>严守生态保护红线，优化规划布局。将生态保护红线、环境敏感区作为保护和维护全省生态安全的底线，依法依规实施强制性保护。《报告书》根据1272个开采规划区块所涉及生态环境敏感程度和可调整条件，调出区块47个，规划开采区块调整为1225个，其中有条件开采区块733个，符合条件开采区块492个。规划实施过程中应严格落实报告书提出的调整要求，调出区块不得投放矿权，有条件开采区块应满足条件后方可投放矿权。《规划》中各区块在设置矿权时，应与自然保护地、风景名胜区、生态保护红线等环境敏感区边界预留不小于50米的缓冲距离。</w:t>
                  </w:r>
                </w:p>
              </w:tc>
              <w:tc>
                <w:tcPr>
                  <w:tcW w:w="2190" w:type="pct"/>
                  <w:tcBorders>
                    <w:tl2br w:val="nil"/>
                    <w:tr2bl w:val="nil"/>
                  </w:tcBorders>
                  <w:noWrap w:val="0"/>
                  <w:vAlign w:val="center"/>
                </w:tcPr>
                <w:p w14:paraId="5E762B82">
                  <w:pPr>
                    <w:widowControl/>
                    <w:adjustRightInd w:val="0"/>
                    <w:snapToGrid w:val="0"/>
                    <w:rPr>
                      <w:rFonts w:hint="default" w:ascii="Times New Roman" w:hAnsi="Times New Roman" w:eastAsia="宋体" w:cs="Times New Roman"/>
                      <w:color w:val="000000"/>
                      <w:spacing w:val="11"/>
                      <w:kern w:val="0"/>
                      <w:position w:val="0"/>
                      <w:szCs w:val="21"/>
                      <w:u w:val="single" w:color="auto"/>
                    </w:rPr>
                  </w:pPr>
                  <w:r>
                    <w:rPr>
                      <w:rFonts w:hint="default" w:ascii="Times New Roman" w:hAnsi="Times New Roman" w:eastAsia="宋体" w:cs="Times New Roman"/>
                      <w:color w:val="000000"/>
                      <w:spacing w:val="11"/>
                      <w:kern w:val="0"/>
                      <w:position w:val="0"/>
                      <w:szCs w:val="21"/>
                      <w:u w:val="single" w:color="auto"/>
                    </w:rPr>
                    <w:t>本项目不涉及生态保护红线、环境敏感区，属于</w:t>
                  </w:r>
                  <w:r>
                    <w:rPr>
                      <w:rFonts w:hint="default" w:ascii="Times New Roman" w:hAnsi="Times New Roman" w:eastAsia="宋体" w:cs="Times New Roman"/>
                      <w:color w:val="000000"/>
                      <w:spacing w:val="11"/>
                      <w:position w:val="0"/>
                      <w:szCs w:val="21"/>
                      <w:u w:val="single" w:color="auto"/>
                    </w:rPr>
                    <w:t>《</w:t>
                  </w:r>
                  <w:r>
                    <w:rPr>
                      <w:rFonts w:hint="default" w:ascii="Times New Roman" w:hAnsi="Times New Roman" w:eastAsia="宋体" w:cs="Times New Roman"/>
                      <w:bCs/>
                      <w:color w:val="000000"/>
                      <w:spacing w:val="11"/>
                      <w:position w:val="0"/>
                      <w:szCs w:val="21"/>
                      <w:u w:val="single" w:color="auto"/>
                    </w:rPr>
                    <w:t>湖南省普通建筑材料用砂石土矿专项规划（2021~2025年）</w:t>
                  </w:r>
                  <w:r>
                    <w:rPr>
                      <w:rFonts w:hint="default" w:ascii="Times New Roman" w:hAnsi="Times New Roman" w:eastAsia="宋体" w:cs="Times New Roman"/>
                      <w:color w:val="000000"/>
                      <w:spacing w:val="11"/>
                      <w:position w:val="0"/>
                      <w:szCs w:val="21"/>
                      <w:u w:val="single" w:color="auto"/>
                    </w:rPr>
                    <w:t>》所述的1272个开采规划区块内，</w:t>
                  </w:r>
                  <w:r>
                    <w:rPr>
                      <w:rFonts w:hint="default" w:ascii="Times New Roman" w:hAnsi="Times New Roman" w:eastAsia="宋体" w:cs="Times New Roman"/>
                      <w:color w:val="000000"/>
                      <w:spacing w:val="11"/>
                      <w:position w:val="0"/>
                      <w:szCs w:val="21"/>
                      <w:u w:val="single" w:color="auto"/>
                      <w:lang w:eastAsia="zh-CN"/>
                    </w:rPr>
                    <w:t>并</w:t>
                  </w:r>
                  <w:r>
                    <w:rPr>
                      <w:rFonts w:hint="default" w:ascii="Times New Roman" w:hAnsi="Times New Roman" w:eastAsia="宋体" w:cs="Times New Roman"/>
                      <w:spacing w:val="11"/>
                      <w:position w:val="0"/>
                      <w:szCs w:val="21"/>
                      <w:u w:val="single" w:color="auto"/>
                    </w:rPr>
                    <w:t>已取得采矿许可证。</w:t>
                  </w:r>
                </w:p>
              </w:tc>
              <w:tc>
                <w:tcPr>
                  <w:tcW w:w="620" w:type="pct"/>
                  <w:tcBorders>
                    <w:tl2br w:val="nil"/>
                    <w:tr2bl w:val="nil"/>
                  </w:tcBorders>
                  <w:noWrap w:val="0"/>
                  <w:vAlign w:val="center"/>
                </w:tcPr>
                <w:p w14:paraId="262B2DD9">
                  <w:pPr>
                    <w:widowControl/>
                    <w:adjustRightInd w:val="0"/>
                    <w:snapToGrid w:val="0"/>
                    <w:jc w:val="center"/>
                    <w:rPr>
                      <w:rFonts w:hint="default" w:ascii="Times New Roman" w:hAnsi="Times New Roman" w:eastAsia="宋体" w:cs="Times New Roman"/>
                      <w:color w:val="000000"/>
                      <w:spacing w:val="11"/>
                      <w:kern w:val="0"/>
                      <w:position w:val="0"/>
                      <w:szCs w:val="21"/>
                      <w:u w:val="single" w:color="auto"/>
                    </w:rPr>
                  </w:pPr>
                  <w:r>
                    <w:rPr>
                      <w:rFonts w:hint="default" w:ascii="Times New Roman" w:hAnsi="Times New Roman" w:eastAsia="宋体" w:cs="Times New Roman"/>
                      <w:color w:val="000000"/>
                      <w:spacing w:val="11"/>
                      <w:kern w:val="0"/>
                      <w:position w:val="0"/>
                      <w:szCs w:val="21"/>
                      <w:u w:val="single" w:color="auto"/>
                    </w:rPr>
                    <w:t>符合</w:t>
                  </w:r>
                </w:p>
              </w:tc>
            </w:tr>
            <w:tr w14:paraId="3DFE0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189" w:type="pct"/>
                  <w:tcBorders>
                    <w:tl2br w:val="nil"/>
                    <w:tr2bl w:val="nil"/>
                  </w:tcBorders>
                  <w:noWrap w:val="0"/>
                  <w:vAlign w:val="center"/>
                </w:tcPr>
                <w:p w14:paraId="7BB7D89C">
                  <w:pPr>
                    <w:adjustRightInd w:val="0"/>
                    <w:snapToGrid w:val="0"/>
                    <w:rPr>
                      <w:rFonts w:hint="default" w:ascii="Times New Roman" w:hAnsi="Times New Roman" w:eastAsia="宋体" w:cs="Times New Roman"/>
                      <w:color w:val="000000"/>
                      <w:spacing w:val="11"/>
                      <w:position w:val="0"/>
                      <w:szCs w:val="21"/>
                      <w:highlight w:val="none"/>
                      <w:u w:val="single" w:color="auto"/>
                    </w:rPr>
                  </w:pPr>
                  <w:r>
                    <w:rPr>
                      <w:rFonts w:hint="default" w:ascii="Times New Roman" w:hAnsi="Times New Roman" w:eastAsia="宋体" w:cs="Times New Roman"/>
                      <w:color w:val="000000"/>
                      <w:spacing w:val="11"/>
                      <w:position w:val="0"/>
                      <w:szCs w:val="21"/>
                      <w:highlight w:val="none"/>
                      <w:u w:val="single" w:color="auto"/>
                    </w:rPr>
                    <w:t>强化并落实污染防治措施。矿石开采过程中岩石采剥、钻孔、爆破、锯切、装卸等作业场所应采取喷雾、洒水等措施，产生的废水经收集沉淀后回用或达标排放。粗碎等工艺采取密闭或湿法工艺降低粉尘无组织排放。采用先进的爆破方式，选取低噪声设备，通过减震、隔声、消声、吸声等措施，减缓噪声对周边居民带来的不利影响。加强固废综合利用，矿山资源综合利用率不低于95%。</w:t>
                  </w:r>
                </w:p>
              </w:tc>
              <w:tc>
                <w:tcPr>
                  <w:tcW w:w="2190" w:type="pct"/>
                  <w:tcBorders>
                    <w:tl2br w:val="nil"/>
                    <w:tr2bl w:val="nil"/>
                  </w:tcBorders>
                  <w:noWrap w:val="0"/>
                  <w:vAlign w:val="center"/>
                </w:tcPr>
                <w:p w14:paraId="43082C07">
                  <w:pPr>
                    <w:widowControl/>
                    <w:adjustRightInd w:val="0"/>
                    <w:snapToGrid w:val="0"/>
                    <w:rPr>
                      <w:rFonts w:hint="default" w:ascii="Times New Roman" w:hAnsi="Times New Roman" w:eastAsia="宋体" w:cs="Times New Roman"/>
                      <w:color w:val="000000"/>
                      <w:spacing w:val="11"/>
                      <w:kern w:val="0"/>
                      <w:position w:val="0"/>
                      <w:szCs w:val="21"/>
                      <w:highlight w:val="none"/>
                      <w:u w:val="single" w:color="auto"/>
                    </w:rPr>
                  </w:pPr>
                  <w:r>
                    <w:rPr>
                      <w:rFonts w:hint="default" w:ascii="Times New Roman" w:hAnsi="Times New Roman" w:eastAsia="宋体" w:cs="Times New Roman"/>
                      <w:color w:val="000000"/>
                      <w:spacing w:val="11"/>
                      <w:kern w:val="0"/>
                      <w:position w:val="0"/>
                      <w:szCs w:val="21"/>
                      <w:highlight w:val="none"/>
                      <w:u w:val="single" w:color="auto"/>
                    </w:rPr>
                    <w:t>本项目岩石剥离、钻孔、爆破、液压破碎锤打破、装卸等采取洒水降尘措施；</w:t>
                  </w:r>
                  <w:r>
                    <w:rPr>
                      <w:rFonts w:hint="default" w:ascii="Times New Roman" w:hAnsi="Times New Roman" w:eastAsia="宋体" w:cs="Times New Roman"/>
                      <w:color w:val="000000"/>
                      <w:spacing w:val="11"/>
                      <w:position w:val="0"/>
                      <w:szCs w:val="21"/>
                      <w:highlight w:val="none"/>
                      <w:u w:val="single" w:color="auto"/>
                    </w:rPr>
                    <w:t>洗车废水沉淀后循环使用，不外排；初期雨水经导流沟收集再沉淀处理后回用于生产或降尘；</w:t>
                  </w:r>
                  <w:r>
                    <w:rPr>
                      <w:rFonts w:hint="eastAsia" w:cs="Times New Roman"/>
                      <w:color w:val="000000"/>
                      <w:spacing w:val="11"/>
                      <w:position w:val="0"/>
                      <w:szCs w:val="21"/>
                      <w:highlight w:val="none"/>
                      <w:u w:val="single" w:color="auto"/>
                      <w:lang w:val="en-US" w:eastAsia="zh-CN"/>
                    </w:rPr>
                    <w:t>洗砂废水经泥水分离脱水系统处理后进入沉淀池，回用于生产，不外排；生活污水经化粪池处理后用于矿区内绿化用水</w:t>
                  </w:r>
                  <w:r>
                    <w:rPr>
                      <w:rFonts w:hint="default" w:ascii="Times New Roman" w:hAnsi="Times New Roman" w:eastAsia="宋体" w:cs="Times New Roman"/>
                      <w:color w:val="000000"/>
                      <w:spacing w:val="11"/>
                      <w:position w:val="0"/>
                      <w:szCs w:val="21"/>
                      <w:highlight w:val="none"/>
                      <w:u w:val="single" w:color="auto"/>
                    </w:rPr>
                    <w:t>。</w:t>
                  </w:r>
                  <w:r>
                    <w:rPr>
                      <w:rFonts w:hint="default" w:ascii="Times New Roman" w:hAnsi="Times New Roman" w:eastAsia="宋体" w:cs="Times New Roman"/>
                      <w:color w:val="000000"/>
                      <w:spacing w:val="11"/>
                      <w:kern w:val="0"/>
                      <w:position w:val="0"/>
                      <w:szCs w:val="21"/>
                      <w:highlight w:val="none"/>
                      <w:u w:val="single" w:color="auto"/>
                    </w:rPr>
                    <w:t>爆破</w:t>
                  </w:r>
                  <w:r>
                    <w:rPr>
                      <w:rFonts w:hint="default" w:ascii="Times New Roman" w:hAnsi="Times New Roman" w:eastAsia="宋体" w:cs="Times New Roman"/>
                      <w:color w:val="000000"/>
                      <w:spacing w:val="11"/>
                      <w:position w:val="0"/>
                      <w:szCs w:val="21"/>
                      <w:highlight w:val="none"/>
                      <w:u w:val="single" w:color="auto"/>
                    </w:rPr>
                    <w:t>实施</w:t>
                  </w:r>
                  <w:r>
                    <w:rPr>
                      <w:rFonts w:hint="default" w:ascii="Times New Roman" w:hAnsi="Times New Roman" w:eastAsia="宋体" w:cs="Times New Roman"/>
                      <w:spacing w:val="11"/>
                      <w:position w:val="0"/>
                      <w:szCs w:val="21"/>
                      <w:highlight w:val="none"/>
                      <w:u w:val="single" w:color="auto"/>
                    </w:rPr>
                    <w:t>深孔</w:t>
                  </w:r>
                  <w:r>
                    <w:rPr>
                      <w:rFonts w:hint="default" w:ascii="Times New Roman" w:hAnsi="Times New Roman" w:eastAsia="宋体" w:cs="Times New Roman"/>
                      <w:color w:val="000000"/>
                      <w:spacing w:val="11"/>
                      <w:position w:val="0"/>
                      <w:szCs w:val="21"/>
                      <w:highlight w:val="none"/>
                      <w:u w:val="single" w:color="auto"/>
                    </w:rPr>
                    <w:t>微差爆破</w:t>
                  </w:r>
                  <w:r>
                    <w:rPr>
                      <w:rFonts w:hint="default" w:ascii="Times New Roman" w:hAnsi="Times New Roman" w:eastAsia="宋体" w:cs="Times New Roman"/>
                      <w:color w:val="000000"/>
                      <w:spacing w:val="11"/>
                      <w:kern w:val="0"/>
                      <w:position w:val="0"/>
                      <w:szCs w:val="21"/>
                      <w:highlight w:val="none"/>
                      <w:u w:val="single" w:color="auto"/>
                    </w:rPr>
                    <w:t>；选用低噪声设备，通过消声、距离衰减降噪；</w:t>
                  </w:r>
                  <w:r>
                    <w:rPr>
                      <w:rFonts w:hint="default" w:ascii="Times New Roman" w:hAnsi="Times New Roman" w:eastAsia="宋体" w:cs="Times New Roman"/>
                      <w:color w:val="000000"/>
                      <w:spacing w:val="11"/>
                      <w:position w:val="0"/>
                      <w:szCs w:val="21"/>
                      <w:highlight w:val="none"/>
                      <w:u w:val="single" w:color="auto"/>
                    </w:rPr>
                    <w:t>固废妥善处置；采矿回采率为98%。</w:t>
                  </w:r>
                </w:p>
              </w:tc>
              <w:tc>
                <w:tcPr>
                  <w:tcW w:w="620" w:type="pct"/>
                  <w:tcBorders>
                    <w:tl2br w:val="nil"/>
                    <w:tr2bl w:val="nil"/>
                  </w:tcBorders>
                  <w:noWrap w:val="0"/>
                  <w:vAlign w:val="center"/>
                </w:tcPr>
                <w:p w14:paraId="327FC19A">
                  <w:pPr>
                    <w:widowControl/>
                    <w:adjustRightInd w:val="0"/>
                    <w:snapToGrid w:val="0"/>
                    <w:jc w:val="center"/>
                    <w:rPr>
                      <w:rFonts w:hint="default" w:ascii="Times New Roman" w:hAnsi="Times New Roman" w:eastAsia="宋体" w:cs="Times New Roman"/>
                      <w:color w:val="000000"/>
                      <w:spacing w:val="11"/>
                      <w:kern w:val="0"/>
                      <w:position w:val="0"/>
                      <w:szCs w:val="21"/>
                      <w:u w:val="single" w:color="auto"/>
                    </w:rPr>
                  </w:pPr>
                  <w:r>
                    <w:rPr>
                      <w:rFonts w:hint="default" w:ascii="Times New Roman" w:hAnsi="Times New Roman" w:eastAsia="宋体" w:cs="Times New Roman"/>
                      <w:color w:val="000000"/>
                      <w:spacing w:val="11"/>
                      <w:kern w:val="0"/>
                      <w:position w:val="0"/>
                      <w:szCs w:val="21"/>
                      <w:u w:val="single" w:color="auto"/>
                    </w:rPr>
                    <w:t>符合</w:t>
                  </w:r>
                </w:p>
              </w:tc>
            </w:tr>
            <w:tr w14:paraId="06C2F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189" w:type="pct"/>
                  <w:tcBorders>
                    <w:tl2br w:val="nil"/>
                    <w:tr2bl w:val="nil"/>
                  </w:tcBorders>
                  <w:noWrap w:val="0"/>
                  <w:vAlign w:val="center"/>
                </w:tcPr>
                <w:p w14:paraId="14263E4D">
                  <w:pPr>
                    <w:adjustRightInd w:val="0"/>
                    <w:snapToGrid w:val="0"/>
                    <w:rPr>
                      <w:rFonts w:hint="default" w:ascii="Times New Roman" w:hAnsi="Times New Roman" w:eastAsia="宋体" w:cs="Times New Roman"/>
                      <w:color w:val="000000"/>
                      <w:spacing w:val="11"/>
                      <w:position w:val="0"/>
                      <w:szCs w:val="21"/>
                      <w:u w:val="single" w:color="auto"/>
                    </w:rPr>
                  </w:pPr>
                  <w:r>
                    <w:rPr>
                      <w:rFonts w:hint="default" w:ascii="Times New Roman" w:hAnsi="Times New Roman" w:eastAsia="宋体" w:cs="Times New Roman"/>
                      <w:color w:val="000000"/>
                      <w:spacing w:val="11"/>
                      <w:position w:val="0"/>
                      <w:szCs w:val="21"/>
                      <w:u w:val="single" w:color="auto"/>
                    </w:rPr>
                    <w:t>加强生态保护和修复。开采过程严格限制作业范围，尽可能减少对原有地表植被和土壤的破坏；矿区周边设置截排水措施，减少水土流失；规范设置排土场，表土进行保存用于开采后复垦；制定矿山生态修复方案并严格落实，对已完成开采或形成终了边坡的开采区域实施边开采边修复，恢复土地原有功能；采取覆土、复绿、边坡整治等措施实施历史遗留矿山生态环境修复治理。</w:t>
                  </w:r>
                </w:p>
              </w:tc>
              <w:tc>
                <w:tcPr>
                  <w:tcW w:w="2190" w:type="pct"/>
                  <w:tcBorders>
                    <w:tl2br w:val="nil"/>
                    <w:tr2bl w:val="nil"/>
                  </w:tcBorders>
                  <w:noWrap w:val="0"/>
                  <w:vAlign w:val="center"/>
                </w:tcPr>
                <w:p w14:paraId="3320073F">
                  <w:pPr>
                    <w:widowControl/>
                    <w:adjustRightInd w:val="0"/>
                    <w:snapToGrid w:val="0"/>
                    <w:rPr>
                      <w:rFonts w:hint="default" w:ascii="Times New Roman" w:hAnsi="Times New Roman" w:eastAsia="宋体" w:cs="Times New Roman"/>
                      <w:color w:val="000000"/>
                      <w:spacing w:val="11"/>
                      <w:kern w:val="0"/>
                      <w:position w:val="0"/>
                      <w:szCs w:val="21"/>
                      <w:u w:val="single" w:color="auto"/>
                      <w:lang w:eastAsia="zh-CN"/>
                    </w:rPr>
                  </w:pPr>
                  <w:r>
                    <w:rPr>
                      <w:rFonts w:hint="default" w:ascii="Times New Roman" w:hAnsi="Times New Roman" w:eastAsia="宋体" w:cs="Times New Roman"/>
                      <w:color w:val="000000"/>
                      <w:spacing w:val="11"/>
                      <w:kern w:val="0"/>
                      <w:position w:val="0"/>
                      <w:szCs w:val="21"/>
                      <w:u w:val="single" w:color="auto"/>
                    </w:rPr>
                    <w:t>本项目</w:t>
                  </w:r>
                  <w:r>
                    <w:rPr>
                      <w:rFonts w:hint="default" w:ascii="Times New Roman" w:hAnsi="Times New Roman" w:eastAsia="宋体" w:cs="Times New Roman"/>
                      <w:color w:val="000000"/>
                      <w:spacing w:val="11"/>
                      <w:kern w:val="0"/>
                      <w:position w:val="0"/>
                      <w:szCs w:val="21"/>
                      <w:highlight w:val="none"/>
                      <w:u w:val="single" w:color="auto"/>
                    </w:rPr>
                    <w:t>分</w:t>
                  </w:r>
                  <w:r>
                    <w:rPr>
                      <w:rFonts w:hint="default" w:ascii="Times New Roman" w:hAnsi="Times New Roman" w:eastAsia="宋体" w:cs="Times New Roman"/>
                      <w:color w:val="000000"/>
                      <w:spacing w:val="11"/>
                      <w:kern w:val="0"/>
                      <w:position w:val="0"/>
                      <w:szCs w:val="21"/>
                      <w:highlight w:val="none"/>
                      <w:u w:val="single" w:color="auto"/>
                      <w:lang w:eastAsia="zh-CN"/>
                    </w:rPr>
                    <w:t>层</w:t>
                  </w:r>
                  <w:r>
                    <w:rPr>
                      <w:rFonts w:hint="default" w:ascii="Times New Roman" w:hAnsi="Times New Roman" w:eastAsia="宋体" w:cs="Times New Roman"/>
                      <w:color w:val="000000"/>
                      <w:spacing w:val="11"/>
                      <w:kern w:val="0"/>
                      <w:position w:val="0"/>
                      <w:szCs w:val="21"/>
                      <w:highlight w:val="none"/>
                      <w:u w:val="single" w:color="auto"/>
                    </w:rPr>
                    <w:t>台阶开采，边开采边恢复，剥离</w:t>
                  </w:r>
                  <w:r>
                    <w:rPr>
                      <w:rFonts w:hint="eastAsia" w:cs="Times New Roman"/>
                      <w:color w:val="000000"/>
                      <w:spacing w:val="11"/>
                      <w:kern w:val="0"/>
                      <w:position w:val="0"/>
                      <w:szCs w:val="21"/>
                      <w:highlight w:val="none"/>
                      <w:u w:val="single" w:color="auto"/>
                      <w:lang w:val="en-US" w:eastAsia="zh-CN"/>
                    </w:rPr>
                    <w:t>物</w:t>
                  </w:r>
                  <w:r>
                    <w:rPr>
                      <w:rFonts w:hint="default" w:ascii="Times New Roman" w:hAnsi="Times New Roman" w:eastAsia="宋体" w:cs="Times New Roman"/>
                      <w:color w:val="000000"/>
                      <w:spacing w:val="11"/>
                      <w:kern w:val="0"/>
                      <w:position w:val="0"/>
                      <w:szCs w:val="21"/>
                      <w:highlight w:val="none"/>
                      <w:u w:val="single" w:color="auto"/>
                    </w:rPr>
                    <w:t>堆放至排土场并妥善保存用于开采后复垦，矿区</w:t>
                  </w:r>
                  <w:r>
                    <w:rPr>
                      <w:rFonts w:hint="eastAsia" w:cs="Times New Roman"/>
                      <w:color w:val="000000"/>
                      <w:spacing w:val="11"/>
                      <w:kern w:val="0"/>
                      <w:position w:val="0"/>
                      <w:szCs w:val="21"/>
                      <w:u w:val="single" w:color="auto"/>
                      <w:lang w:eastAsia="zh-CN"/>
                    </w:rPr>
                    <w:t>、</w:t>
                  </w:r>
                  <w:r>
                    <w:rPr>
                      <w:rFonts w:hint="eastAsia" w:cs="Times New Roman"/>
                      <w:color w:val="000000"/>
                      <w:spacing w:val="11"/>
                      <w:kern w:val="0"/>
                      <w:position w:val="0"/>
                      <w:szCs w:val="21"/>
                      <w:u w:val="single" w:color="auto"/>
                      <w:lang w:val="en-US" w:eastAsia="zh-CN"/>
                    </w:rPr>
                    <w:t>工业广场</w:t>
                  </w:r>
                  <w:r>
                    <w:rPr>
                      <w:rFonts w:hint="default" w:ascii="Times New Roman" w:hAnsi="Times New Roman" w:eastAsia="宋体" w:cs="Times New Roman"/>
                      <w:color w:val="000000"/>
                      <w:spacing w:val="11"/>
                      <w:kern w:val="0"/>
                      <w:position w:val="0"/>
                      <w:szCs w:val="21"/>
                      <w:u w:val="single" w:color="auto"/>
                    </w:rPr>
                    <w:t>、排土场周边设截洪沟、沉淀池；制定了生态恢复方案，</w:t>
                  </w:r>
                  <w:r>
                    <w:rPr>
                      <w:rFonts w:hint="default" w:ascii="Times New Roman" w:hAnsi="Times New Roman" w:eastAsia="宋体" w:cs="Times New Roman"/>
                      <w:color w:val="000000"/>
                      <w:spacing w:val="11"/>
                      <w:kern w:val="0"/>
                      <w:position w:val="0"/>
                      <w:szCs w:val="21"/>
                      <w:highlight w:val="none"/>
                      <w:u w:val="single" w:color="auto"/>
                    </w:rPr>
                    <w:t>矿区复垦为</w:t>
                  </w:r>
                  <w:r>
                    <w:rPr>
                      <w:rFonts w:hint="eastAsia" w:cs="Times New Roman"/>
                      <w:color w:val="000000"/>
                      <w:spacing w:val="11"/>
                      <w:kern w:val="0"/>
                      <w:position w:val="0"/>
                      <w:szCs w:val="21"/>
                      <w:highlight w:val="none"/>
                      <w:u w:val="single" w:color="auto"/>
                      <w:lang w:val="en-US" w:eastAsia="zh-CN"/>
                    </w:rPr>
                    <w:t>旱地、</w:t>
                  </w:r>
                  <w:r>
                    <w:rPr>
                      <w:rFonts w:hint="default" w:ascii="Times New Roman" w:hAnsi="Times New Roman" w:eastAsia="宋体" w:cs="Times New Roman"/>
                      <w:color w:val="000000"/>
                      <w:spacing w:val="11"/>
                      <w:kern w:val="0"/>
                      <w:position w:val="0"/>
                      <w:szCs w:val="21"/>
                      <w:highlight w:val="none"/>
                      <w:u w:val="single" w:color="auto"/>
                    </w:rPr>
                    <w:t>林地；</w:t>
                  </w:r>
                  <w:r>
                    <w:rPr>
                      <w:rFonts w:hint="default" w:ascii="Times New Roman" w:hAnsi="Times New Roman" w:eastAsia="宋体" w:cs="Times New Roman"/>
                      <w:spacing w:val="11"/>
                      <w:position w:val="0"/>
                      <w:sz w:val="21"/>
                      <w:szCs w:val="21"/>
                      <w:highlight w:val="none"/>
                      <w:u w:val="single" w:color="auto"/>
                    </w:rPr>
                    <w:t>本项目目前于202</w:t>
                  </w:r>
                  <w:r>
                    <w:rPr>
                      <w:rFonts w:hint="default" w:ascii="Times New Roman" w:hAnsi="Times New Roman" w:cs="Times New Roman"/>
                      <w:spacing w:val="11"/>
                      <w:position w:val="0"/>
                      <w:sz w:val="21"/>
                      <w:szCs w:val="21"/>
                      <w:highlight w:val="none"/>
                      <w:u w:val="single" w:color="auto"/>
                      <w:lang w:val="en-US" w:eastAsia="zh-CN"/>
                    </w:rPr>
                    <w:t>3</w:t>
                  </w:r>
                  <w:r>
                    <w:rPr>
                      <w:rFonts w:hint="default" w:ascii="Times New Roman" w:hAnsi="Times New Roman" w:eastAsia="宋体" w:cs="Times New Roman"/>
                      <w:spacing w:val="11"/>
                      <w:position w:val="0"/>
                      <w:sz w:val="21"/>
                      <w:szCs w:val="21"/>
                      <w:highlight w:val="none"/>
                      <w:u w:val="single" w:color="auto"/>
                    </w:rPr>
                    <w:t>年12年完成了生态修复方案编制工作，本次环评要求矿山在后续的开采过程中严格按照生态修复方案中的要求进行，确保减少对生态环</w:t>
                  </w:r>
                  <w:r>
                    <w:rPr>
                      <w:rFonts w:hint="default" w:ascii="Times New Roman" w:hAnsi="Times New Roman" w:eastAsia="宋体" w:cs="Times New Roman"/>
                      <w:spacing w:val="11"/>
                      <w:position w:val="0"/>
                      <w:sz w:val="21"/>
                      <w:szCs w:val="21"/>
                      <w:u w:val="single" w:color="auto"/>
                    </w:rPr>
                    <w:t>境造成的影响</w:t>
                  </w:r>
                  <w:r>
                    <w:rPr>
                      <w:rFonts w:hint="default" w:ascii="Times New Roman" w:hAnsi="Times New Roman" w:cs="Times New Roman"/>
                      <w:spacing w:val="11"/>
                      <w:position w:val="0"/>
                      <w:sz w:val="21"/>
                      <w:szCs w:val="21"/>
                      <w:u w:val="single" w:color="auto"/>
                      <w:lang w:eastAsia="zh-CN"/>
                    </w:rPr>
                    <w:t>。</w:t>
                  </w:r>
                </w:p>
              </w:tc>
              <w:tc>
                <w:tcPr>
                  <w:tcW w:w="620" w:type="pct"/>
                  <w:tcBorders>
                    <w:tl2br w:val="nil"/>
                    <w:tr2bl w:val="nil"/>
                  </w:tcBorders>
                  <w:noWrap w:val="0"/>
                  <w:vAlign w:val="center"/>
                </w:tcPr>
                <w:p w14:paraId="24B6A46F">
                  <w:pPr>
                    <w:widowControl/>
                    <w:adjustRightInd w:val="0"/>
                    <w:snapToGrid w:val="0"/>
                    <w:jc w:val="center"/>
                    <w:rPr>
                      <w:rFonts w:hint="default" w:ascii="Times New Roman" w:hAnsi="Times New Roman" w:eastAsia="宋体" w:cs="Times New Roman"/>
                      <w:color w:val="000000"/>
                      <w:spacing w:val="11"/>
                      <w:kern w:val="0"/>
                      <w:position w:val="0"/>
                      <w:szCs w:val="21"/>
                      <w:u w:val="single" w:color="auto"/>
                    </w:rPr>
                  </w:pPr>
                  <w:r>
                    <w:rPr>
                      <w:rFonts w:hint="default" w:ascii="Times New Roman" w:hAnsi="Times New Roman" w:eastAsia="宋体" w:cs="Times New Roman"/>
                      <w:color w:val="000000"/>
                      <w:spacing w:val="11"/>
                      <w:kern w:val="0"/>
                      <w:position w:val="0"/>
                      <w:szCs w:val="21"/>
                      <w:u w:val="single" w:color="auto"/>
                    </w:rPr>
                    <w:t>符合</w:t>
                  </w:r>
                </w:p>
              </w:tc>
            </w:tr>
            <w:tr w14:paraId="3DCB1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189" w:type="pct"/>
                  <w:tcBorders>
                    <w:tl2br w:val="nil"/>
                    <w:tr2bl w:val="nil"/>
                  </w:tcBorders>
                  <w:noWrap w:val="0"/>
                  <w:vAlign w:val="center"/>
                </w:tcPr>
                <w:p w14:paraId="110E56E9">
                  <w:pPr>
                    <w:adjustRightInd w:val="0"/>
                    <w:snapToGrid w:val="0"/>
                    <w:rPr>
                      <w:rFonts w:hint="default" w:ascii="Times New Roman" w:hAnsi="Times New Roman" w:eastAsia="宋体" w:cs="Times New Roman"/>
                      <w:color w:val="000000"/>
                      <w:spacing w:val="11"/>
                      <w:position w:val="0"/>
                      <w:szCs w:val="21"/>
                      <w:u w:val="single" w:color="auto"/>
                    </w:rPr>
                  </w:pPr>
                  <w:r>
                    <w:rPr>
                      <w:rFonts w:hint="default" w:ascii="Times New Roman" w:hAnsi="Times New Roman" w:eastAsia="宋体" w:cs="Times New Roman"/>
                      <w:color w:val="000000"/>
                      <w:spacing w:val="11"/>
                      <w:position w:val="0"/>
                      <w:szCs w:val="21"/>
                      <w:u w:val="single" w:color="auto"/>
                    </w:rPr>
                    <w:t>加强环境风险防范。落实矿山开采环境风险防范的主体责任，强化环境风险防范体系建设；制定突发环境风险事件应急预案，严格执行应急报告制度；采场和堆场应设置完善的排洪和排水设施，做好削坡卸荷、压脚护坡，预防滑坡、坍塌、泥石流等地质环境灾害引发的次生生态环境风险。</w:t>
                  </w:r>
                </w:p>
              </w:tc>
              <w:tc>
                <w:tcPr>
                  <w:tcW w:w="2190" w:type="pct"/>
                  <w:tcBorders>
                    <w:tl2br w:val="nil"/>
                    <w:tr2bl w:val="nil"/>
                  </w:tcBorders>
                  <w:noWrap w:val="0"/>
                  <w:vAlign w:val="center"/>
                </w:tcPr>
                <w:p w14:paraId="74A0F5B0">
                  <w:pPr>
                    <w:widowControl/>
                    <w:adjustRightInd w:val="0"/>
                    <w:snapToGrid w:val="0"/>
                    <w:rPr>
                      <w:rFonts w:hint="default" w:ascii="Times New Roman" w:hAnsi="Times New Roman" w:eastAsia="宋体" w:cs="Times New Roman"/>
                      <w:color w:val="000000"/>
                      <w:spacing w:val="11"/>
                      <w:kern w:val="0"/>
                      <w:position w:val="0"/>
                      <w:szCs w:val="21"/>
                      <w:u w:val="single" w:color="auto"/>
                    </w:rPr>
                  </w:pPr>
                  <w:r>
                    <w:rPr>
                      <w:rFonts w:hint="default" w:ascii="Times New Roman" w:hAnsi="Times New Roman" w:eastAsia="宋体" w:cs="Times New Roman"/>
                      <w:color w:val="000000"/>
                      <w:spacing w:val="11"/>
                      <w:kern w:val="0"/>
                      <w:position w:val="0"/>
                      <w:szCs w:val="21"/>
                      <w:u w:val="single" w:color="auto"/>
                    </w:rPr>
                    <w:t>本项目运营后制定</w:t>
                  </w:r>
                  <w:r>
                    <w:rPr>
                      <w:rFonts w:hint="default" w:ascii="Times New Roman" w:hAnsi="Times New Roman" w:eastAsia="宋体" w:cs="Times New Roman"/>
                      <w:color w:val="000000"/>
                      <w:spacing w:val="11"/>
                      <w:position w:val="0"/>
                      <w:szCs w:val="21"/>
                      <w:u w:val="single" w:color="auto"/>
                    </w:rPr>
                    <w:t>突发环境风险事件应急预案，严格执行应急报告制度；</w:t>
                  </w:r>
                  <w:r>
                    <w:rPr>
                      <w:rFonts w:hint="default" w:ascii="Times New Roman" w:hAnsi="Times New Roman" w:eastAsia="宋体" w:cs="Times New Roman"/>
                      <w:color w:val="000000"/>
                      <w:spacing w:val="11"/>
                      <w:position w:val="0"/>
                      <w:u w:val="single" w:color="auto"/>
                    </w:rPr>
                    <w:t>按照相关规范矿山安全平台宽度不小于4m、清扫平台不小于8m。因此本方案取安全平台宽度4m，清扫平台宽度8m；</w:t>
                  </w:r>
                  <w:r>
                    <w:rPr>
                      <w:rFonts w:hint="default" w:ascii="Times New Roman" w:hAnsi="Times New Roman" w:eastAsia="宋体" w:cs="Times New Roman"/>
                      <w:color w:val="000000"/>
                      <w:spacing w:val="11"/>
                      <w:position w:val="0"/>
                      <w:szCs w:val="21"/>
                      <w:u w:val="single" w:color="auto"/>
                    </w:rPr>
                    <w:t>采场周边设置完善的截洪沟，预防滑坡、坍塌、泥石流等地质环境灾害引发的次生生态环境风险。</w:t>
                  </w:r>
                </w:p>
              </w:tc>
              <w:tc>
                <w:tcPr>
                  <w:tcW w:w="620" w:type="pct"/>
                  <w:tcBorders>
                    <w:tl2br w:val="nil"/>
                    <w:tr2bl w:val="nil"/>
                  </w:tcBorders>
                  <w:noWrap w:val="0"/>
                  <w:vAlign w:val="center"/>
                </w:tcPr>
                <w:p w14:paraId="7906F5D2">
                  <w:pPr>
                    <w:widowControl/>
                    <w:adjustRightInd w:val="0"/>
                    <w:snapToGrid w:val="0"/>
                    <w:jc w:val="center"/>
                    <w:rPr>
                      <w:rFonts w:hint="default" w:ascii="Times New Roman" w:hAnsi="Times New Roman" w:eastAsia="宋体" w:cs="Times New Roman"/>
                      <w:color w:val="000000"/>
                      <w:spacing w:val="11"/>
                      <w:kern w:val="0"/>
                      <w:position w:val="0"/>
                      <w:szCs w:val="21"/>
                      <w:u w:val="single" w:color="auto"/>
                    </w:rPr>
                  </w:pPr>
                  <w:r>
                    <w:rPr>
                      <w:rFonts w:hint="default" w:ascii="Times New Roman" w:hAnsi="Times New Roman" w:eastAsia="宋体" w:cs="Times New Roman"/>
                      <w:color w:val="000000"/>
                      <w:spacing w:val="11"/>
                      <w:kern w:val="0"/>
                      <w:position w:val="0"/>
                      <w:szCs w:val="21"/>
                      <w:u w:val="single" w:color="auto"/>
                    </w:rPr>
                    <w:t>符合</w:t>
                  </w:r>
                </w:p>
              </w:tc>
            </w:tr>
            <w:tr w14:paraId="16E47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189" w:type="pct"/>
                  <w:tcBorders>
                    <w:tl2br w:val="nil"/>
                    <w:tr2bl w:val="nil"/>
                  </w:tcBorders>
                  <w:noWrap w:val="0"/>
                  <w:vAlign w:val="center"/>
                </w:tcPr>
                <w:p w14:paraId="1954B218">
                  <w:pPr>
                    <w:adjustRightInd w:val="0"/>
                    <w:snapToGrid w:val="0"/>
                    <w:rPr>
                      <w:rFonts w:hint="default" w:ascii="Times New Roman" w:hAnsi="Times New Roman" w:eastAsia="宋体" w:cs="Times New Roman"/>
                      <w:color w:val="000000"/>
                      <w:spacing w:val="11"/>
                      <w:position w:val="0"/>
                      <w:szCs w:val="21"/>
                      <w:u w:val="single" w:color="auto"/>
                    </w:rPr>
                  </w:pPr>
                  <w:r>
                    <w:rPr>
                      <w:rFonts w:hint="default" w:ascii="Times New Roman" w:hAnsi="Times New Roman" w:eastAsia="宋体" w:cs="Times New Roman"/>
                      <w:color w:val="000000"/>
                      <w:spacing w:val="11"/>
                      <w:position w:val="0"/>
                      <w:szCs w:val="21"/>
                      <w:u w:val="single" w:color="auto"/>
                    </w:rPr>
                    <w:t>建立健全生态环境长期监测体系。建立常态化生态、噪声、大气、水环境等监测体系，根据区域生态环境质量变化情况，及时优化矿山建设和运营管理方案，完善相应生态环境保护措施。</w:t>
                  </w:r>
                </w:p>
              </w:tc>
              <w:tc>
                <w:tcPr>
                  <w:tcW w:w="2190" w:type="pct"/>
                  <w:tcBorders>
                    <w:tl2br w:val="nil"/>
                    <w:tr2bl w:val="nil"/>
                  </w:tcBorders>
                  <w:noWrap w:val="0"/>
                  <w:vAlign w:val="center"/>
                </w:tcPr>
                <w:p w14:paraId="0603F4CB">
                  <w:pPr>
                    <w:widowControl/>
                    <w:adjustRightInd w:val="0"/>
                    <w:snapToGrid w:val="0"/>
                    <w:rPr>
                      <w:rFonts w:hint="default" w:ascii="Times New Roman" w:hAnsi="Times New Roman" w:eastAsia="宋体" w:cs="Times New Roman"/>
                      <w:color w:val="000000"/>
                      <w:spacing w:val="11"/>
                      <w:kern w:val="0"/>
                      <w:position w:val="0"/>
                      <w:szCs w:val="21"/>
                      <w:u w:val="single" w:color="auto"/>
                    </w:rPr>
                  </w:pPr>
                  <w:r>
                    <w:rPr>
                      <w:rFonts w:hint="default" w:ascii="Times New Roman" w:hAnsi="Times New Roman" w:eastAsia="宋体" w:cs="Times New Roman"/>
                      <w:color w:val="000000"/>
                      <w:spacing w:val="11"/>
                      <w:kern w:val="0"/>
                      <w:position w:val="0"/>
                      <w:szCs w:val="21"/>
                      <w:u w:val="single" w:color="auto"/>
                    </w:rPr>
                    <w:t>本项目采取生态环境保护措施，损毁植被在矿区退役后复垦为</w:t>
                  </w:r>
                  <w:r>
                    <w:rPr>
                      <w:rFonts w:hint="eastAsia" w:cs="Times New Roman"/>
                      <w:color w:val="000000"/>
                      <w:spacing w:val="11"/>
                      <w:kern w:val="0"/>
                      <w:position w:val="0"/>
                      <w:szCs w:val="21"/>
                      <w:u w:val="single" w:color="auto"/>
                      <w:lang w:val="en-US" w:eastAsia="zh-CN"/>
                    </w:rPr>
                    <w:t>旱地、</w:t>
                  </w:r>
                  <w:r>
                    <w:rPr>
                      <w:rFonts w:hint="default" w:ascii="Times New Roman" w:hAnsi="Times New Roman" w:eastAsia="宋体" w:cs="Times New Roman"/>
                      <w:color w:val="000000"/>
                      <w:spacing w:val="11"/>
                      <w:kern w:val="0"/>
                      <w:position w:val="0"/>
                      <w:szCs w:val="21"/>
                      <w:u w:val="single" w:color="auto"/>
                    </w:rPr>
                    <w:t>林地，恢复其原有功能，并开展生态监测。</w:t>
                  </w:r>
                </w:p>
              </w:tc>
              <w:tc>
                <w:tcPr>
                  <w:tcW w:w="620" w:type="pct"/>
                  <w:tcBorders>
                    <w:tl2br w:val="nil"/>
                    <w:tr2bl w:val="nil"/>
                  </w:tcBorders>
                  <w:noWrap w:val="0"/>
                  <w:vAlign w:val="center"/>
                </w:tcPr>
                <w:p w14:paraId="0747B71D">
                  <w:pPr>
                    <w:widowControl/>
                    <w:adjustRightInd w:val="0"/>
                    <w:snapToGrid w:val="0"/>
                    <w:jc w:val="center"/>
                    <w:rPr>
                      <w:rFonts w:hint="default" w:ascii="Times New Roman" w:hAnsi="Times New Roman" w:eastAsia="宋体" w:cs="Times New Roman"/>
                      <w:color w:val="000000"/>
                      <w:spacing w:val="11"/>
                      <w:kern w:val="0"/>
                      <w:position w:val="0"/>
                      <w:szCs w:val="21"/>
                      <w:u w:val="single" w:color="auto"/>
                    </w:rPr>
                  </w:pPr>
                  <w:r>
                    <w:rPr>
                      <w:rFonts w:hint="default" w:ascii="Times New Roman" w:hAnsi="Times New Roman" w:eastAsia="宋体" w:cs="Times New Roman"/>
                      <w:color w:val="000000"/>
                      <w:spacing w:val="11"/>
                      <w:kern w:val="0"/>
                      <w:position w:val="0"/>
                      <w:szCs w:val="21"/>
                      <w:u w:val="single" w:color="auto"/>
                    </w:rPr>
                    <w:t>符合</w:t>
                  </w:r>
                </w:p>
              </w:tc>
            </w:tr>
          </w:tbl>
          <w:p w14:paraId="48BC5A5B">
            <w:pPr>
              <w:keepNext w:val="0"/>
              <w:keepLines w:val="0"/>
              <w:pageBreakBefore w:val="0"/>
              <w:widowControl w:val="0"/>
              <w:tabs>
                <w:tab w:val="left" w:pos="360"/>
              </w:tabs>
              <w:kinsoku/>
              <w:wordWrap/>
              <w:overflowPunct/>
              <w:topLinePunct w:val="0"/>
              <w:autoSpaceDE/>
              <w:autoSpaceDN/>
              <w:bidi w:val="0"/>
              <w:adjustRightInd w:val="0"/>
              <w:snapToGrid w:val="0"/>
              <w:spacing w:before="157" w:beforeLines="50" w:line="360" w:lineRule="auto"/>
              <w:ind w:firstLine="526" w:firstLineChars="200"/>
              <w:textAlignment w:val="auto"/>
              <w:rPr>
                <w:rFonts w:hint="default" w:ascii="Times New Roman" w:hAnsi="Times New Roman" w:eastAsia="宋体" w:cs="Times New Roman"/>
                <w:b/>
                <w:bCs/>
                <w:color w:val="000000"/>
                <w:spacing w:val="11"/>
                <w:position w:val="0"/>
                <w:sz w:val="24"/>
                <w:szCs w:val="24"/>
                <w:u w:val="single" w:color="auto"/>
                <w:lang w:val="en-US" w:eastAsia="zh-CN"/>
              </w:rPr>
            </w:pPr>
            <w:r>
              <w:rPr>
                <w:rFonts w:hint="eastAsia" w:cs="Times New Roman"/>
                <w:b/>
                <w:bCs/>
                <w:color w:val="000000"/>
                <w:spacing w:val="11"/>
                <w:position w:val="0"/>
                <w:sz w:val="24"/>
                <w:szCs w:val="24"/>
                <w:u w:val="single" w:color="auto"/>
                <w:lang w:val="en-US" w:eastAsia="zh-CN"/>
              </w:rPr>
              <w:t>4</w:t>
            </w:r>
            <w:r>
              <w:rPr>
                <w:rFonts w:hint="default" w:ascii="Times New Roman" w:hAnsi="Times New Roman" w:eastAsia="宋体" w:cs="Times New Roman"/>
                <w:b/>
                <w:bCs/>
                <w:color w:val="000000"/>
                <w:spacing w:val="11"/>
                <w:position w:val="0"/>
                <w:sz w:val="24"/>
                <w:szCs w:val="24"/>
                <w:u w:val="single" w:color="auto"/>
                <w:lang w:val="en-US" w:eastAsia="zh-CN"/>
              </w:rPr>
              <w:t>、与《永州市矿产资源总体规划（2021-2025年）》符合性分析</w:t>
            </w:r>
          </w:p>
          <w:p w14:paraId="75B8DE8E">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矿区位于经湖南省人民政府批准的《永州市矿产资源总体规划（2021~2025年）》的限制开采区、禁止开采区以外区域。与《永州市矿产资源总体规划（2021~2025年）》相符。</w:t>
            </w:r>
          </w:p>
          <w:p w14:paraId="24D2F1C2">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拟设采矿权范围未涉及《新田县矿产资源总体规划（2016-2020年）》所设置的限制勘查区/开采区。</w:t>
            </w:r>
          </w:p>
          <w:p w14:paraId="25126C04">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526" w:firstLineChars="200"/>
              <w:textAlignment w:val="auto"/>
              <w:rPr>
                <w:rFonts w:hint="default" w:ascii="Times New Roman" w:hAnsi="Times New Roman" w:eastAsia="宋体" w:cs="Times New Roman"/>
                <w:b/>
                <w:bCs/>
                <w:color w:val="000000"/>
                <w:spacing w:val="11"/>
                <w:position w:val="0"/>
                <w:sz w:val="24"/>
                <w:szCs w:val="24"/>
                <w:u w:val="single" w:color="auto"/>
                <w:lang w:val="en-US" w:eastAsia="zh-CN"/>
              </w:rPr>
            </w:pPr>
            <w:r>
              <w:rPr>
                <w:rFonts w:hint="eastAsia" w:cs="Times New Roman"/>
                <w:b/>
                <w:bCs/>
                <w:color w:val="000000"/>
                <w:spacing w:val="11"/>
                <w:position w:val="0"/>
                <w:sz w:val="24"/>
                <w:szCs w:val="24"/>
                <w:u w:val="single" w:color="auto"/>
                <w:lang w:val="en-US" w:eastAsia="zh-CN"/>
              </w:rPr>
              <w:t>5</w:t>
            </w:r>
            <w:r>
              <w:rPr>
                <w:rFonts w:hint="default" w:ascii="Times New Roman" w:hAnsi="Times New Roman" w:eastAsia="宋体" w:cs="Times New Roman"/>
                <w:b/>
                <w:bCs/>
                <w:color w:val="000000"/>
                <w:spacing w:val="11"/>
                <w:position w:val="0"/>
                <w:sz w:val="24"/>
                <w:szCs w:val="24"/>
                <w:u w:val="single" w:color="auto"/>
                <w:lang w:val="en-US" w:eastAsia="zh-CN"/>
              </w:rPr>
              <w:t>、与《新田县普通建筑材料用砂石土矿开采专项规划》符合性分析</w:t>
            </w:r>
          </w:p>
          <w:p w14:paraId="63D264AB">
            <w:pPr>
              <w:keepNext w:val="0"/>
              <w:keepLines w:val="0"/>
              <w:pageBreakBefore w:val="0"/>
              <w:widowControl w:val="0"/>
              <w:kinsoku/>
              <w:wordWrap/>
              <w:overflowPunct/>
              <w:topLinePunct w:val="0"/>
              <w:autoSpaceDE w:val="0"/>
              <w:autoSpaceDN w:val="0"/>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kern w:val="0"/>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该区块位于《新田县普通建筑材料用砂石土矿开采专项规划》（2019-2025年）所设置的“</w:t>
            </w:r>
            <w:r>
              <w:rPr>
                <w:rFonts w:hint="eastAsia" w:cs="Times New Roman"/>
                <w:color w:val="000000"/>
                <w:spacing w:val="11"/>
                <w:position w:val="0"/>
                <w:sz w:val="24"/>
                <w:szCs w:val="24"/>
                <w:u w:val="single" w:color="auto"/>
                <w:lang w:val="en-US" w:eastAsia="zh-CN"/>
              </w:rPr>
              <w:t>湖南省新田县文锋岭矿区建筑石料用灰岩矿</w:t>
            </w:r>
            <w:r>
              <w:rPr>
                <w:rFonts w:hint="default" w:ascii="Times New Roman" w:hAnsi="Times New Roman" w:eastAsia="宋体" w:cs="Times New Roman"/>
                <w:color w:val="000000"/>
                <w:spacing w:val="11"/>
                <w:position w:val="0"/>
                <w:sz w:val="24"/>
                <w:szCs w:val="24"/>
                <w:u w:val="single" w:color="auto"/>
                <w:lang w:val="en-US" w:eastAsia="zh-CN"/>
              </w:rPr>
              <w:t>”规划开采区块内（设置类型为已设采矿权调整，规划开采区块编号：CQ00</w:t>
            </w:r>
            <w:r>
              <w:rPr>
                <w:rFonts w:hint="eastAsia" w:cs="Times New Roman"/>
                <w:color w:val="000000"/>
                <w:spacing w:val="11"/>
                <w:position w:val="0"/>
                <w:sz w:val="24"/>
                <w:szCs w:val="24"/>
                <w:u w:val="single" w:color="auto"/>
                <w:lang w:val="en-US" w:eastAsia="zh-CN"/>
              </w:rPr>
              <w:t>4</w:t>
            </w:r>
            <w:r>
              <w:rPr>
                <w:rFonts w:hint="default" w:ascii="Times New Roman" w:hAnsi="Times New Roman" w:eastAsia="宋体" w:cs="Times New Roman"/>
                <w:color w:val="000000"/>
                <w:spacing w:val="11"/>
                <w:position w:val="0"/>
                <w:sz w:val="24"/>
                <w:szCs w:val="24"/>
                <w:u w:val="single" w:color="auto"/>
                <w:lang w:val="en-US" w:eastAsia="zh-CN"/>
              </w:rPr>
              <w:t>）。具体与《新田县普通建筑材料用砂石土矿开采专项规划》符合性分析详见下表。</w:t>
            </w:r>
          </w:p>
          <w:p w14:paraId="08BF0640">
            <w:pPr>
              <w:widowControl/>
              <w:jc w:val="center"/>
              <w:rPr>
                <w:rFonts w:hint="default" w:ascii="Times New Roman" w:hAnsi="Times New Roman" w:eastAsia="宋体" w:cs="Times New Roman"/>
                <w:spacing w:val="11"/>
                <w:position w:val="0"/>
                <w:u w:val="single" w:color="auto"/>
              </w:rPr>
            </w:pPr>
            <w:r>
              <w:rPr>
                <w:rFonts w:hint="default" w:ascii="Times New Roman" w:hAnsi="Times New Roman" w:eastAsia="宋体" w:cs="Times New Roman"/>
                <w:b/>
                <w:bCs/>
                <w:spacing w:val="11"/>
                <w:kern w:val="0"/>
                <w:position w:val="0"/>
                <w:szCs w:val="21"/>
                <w:u w:val="single" w:color="auto"/>
              </w:rPr>
              <w:t xml:space="preserve">表1-3 </w:t>
            </w:r>
            <w:r>
              <w:rPr>
                <w:rFonts w:hint="default" w:ascii="Times New Roman" w:hAnsi="Times New Roman" w:eastAsia="宋体" w:cs="Times New Roman"/>
                <w:b/>
                <w:bCs/>
                <w:spacing w:val="11"/>
                <w:kern w:val="0"/>
                <w:position w:val="0"/>
                <w:szCs w:val="21"/>
                <w:u w:val="single" w:color="auto"/>
                <w:lang w:val="en-US" w:eastAsia="zh-CN"/>
              </w:rPr>
              <w:t>与《新田县普通建筑材料用砂石土矿开采专项规划》（2019-2025年）的相符性分析一览表</w:t>
            </w:r>
          </w:p>
          <w:tbl>
            <w:tblPr>
              <w:tblStyle w:val="3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92"/>
              <w:gridCol w:w="2516"/>
              <w:gridCol w:w="872"/>
            </w:tblGrid>
            <w:tr w14:paraId="118D2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0" w:type="pct"/>
                  <w:tcBorders>
                    <w:tl2br w:val="nil"/>
                    <w:tr2bl w:val="nil"/>
                  </w:tcBorders>
                  <w:noWrap w:val="0"/>
                  <w:vAlign w:val="center"/>
                </w:tcPr>
                <w:p w14:paraId="5E6B5D9C">
                  <w:pPr>
                    <w:widowControl/>
                    <w:adjustRightInd w:val="0"/>
                    <w:snapToGrid w:val="0"/>
                    <w:jc w:val="center"/>
                    <w:rPr>
                      <w:rFonts w:hint="default" w:ascii="Times New Roman" w:hAnsi="Times New Roman" w:cs="Times New Roman"/>
                      <w:b/>
                      <w:bCs/>
                      <w:spacing w:val="11"/>
                      <w:kern w:val="0"/>
                      <w:position w:val="0"/>
                      <w:szCs w:val="21"/>
                      <w:u w:val="single" w:color="auto"/>
                    </w:rPr>
                  </w:pPr>
                  <w:r>
                    <w:rPr>
                      <w:rFonts w:hint="default" w:ascii="Times New Roman" w:hAnsi="Times New Roman" w:cs="Times New Roman"/>
                      <w:spacing w:val="11"/>
                      <w:position w:val="0"/>
                      <w:szCs w:val="21"/>
                      <w:u w:val="single" w:color="auto"/>
                    </w:rPr>
                    <w:t>《</w:t>
                  </w:r>
                  <w:r>
                    <w:rPr>
                      <w:rFonts w:hint="default" w:ascii="Times New Roman" w:hAnsi="Times New Roman" w:cs="Times New Roman"/>
                      <w:spacing w:val="11"/>
                      <w:position w:val="0"/>
                      <w:szCs w:val="21"/>
                      <w:u w:val="single" w:color="auto"/>
                      <w:lang w:eastAsia="zh-CN"/>
                    </w:rPr>
                    <w:t>新田县</w:t>
                  </w:r>
                  <w:r>
                    <w:rPr>
                      <w:rFonts w:hint="default" w:ascii="Times New Roman" w:hAnsi="Times New Roman" w:cs="Times New Roman"/>
                      <w:bCs/>
                      <w:spacing w:val="11"/>
                      <w:position w:val="0"/>
                      <w:szCs w:val="21"/>
                      <w:u w:val="single" w:color="auto"/>
                    </w:rPr>
                    <w:t>普通建筑材料用砂石土矿专项规划（2021~2025年）</w:t>
                  </w:r>
                  <w:r>
                    <w:rPr>
                      <w:rFonts w:hint="default" w:ascii="Times New Roman" w:hAnsi="Times New Roman" w:cs="Times New Roman"/>
                      <w:spacing w:val="11"/>
                      <w:position w:val="0"/>
                      <w:szCs w:val="21"/>
                      <w:u w:val="single" w:color="auto"/>
                    </w:rPr>
                    <w:t>》相关内容</w:t>
                  </w:r>
                </w:p>
              </w:tc>
              <w:tc>
                <w:tcPr>
                  <w:tcW w:w="1855" w:type="pct"/>
                  <w:tcBorders>
                    <w:tl2br w:val="nil"/>
                    <w:tr2bl w:val="nil"/>
                  </w:tcBorders>
                  <w:shd w:val="clear" w:color="auto" w:fill="auto"/>
                  <w:noWrap w:val="0"/>
                  <w:vAlign w:val="center"/>
                </w:tcPr>
                <w:p w14:paraId="3FD809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single" w:color="auto"/>
                      <w:lang w:val="en-US" w:eastAsia="zh-CN" w:bidi="ar-SA"/>
                    </w:rPr>
                  </w:pPr>
                  <w:r>
                    <w:rPr>
                      <w:rFonts w:hint="default" w:ascii="Times New Roman" w:hAnsi="Times New Roman" w:eastAsia="宋体" w:cs="Times New Roman"/>
                      <w:color w:val="auto"/>
                      <w:spacing w:val="11"/>
                      <w:position w:val="0"/>
                      <w:sz w:val="21"/>
                      <w:szCs w:val="21"/>
                      <w:u w:val="single" w:color="auto"/>
                      <w:lang w:val="en-US" w:eastAsia="zh-CN"/>
                    </w:rPr>
                    <w:t>项目情况</w:t>
                  </w:r>
                </w:p>
              </w:tc>
              <w:tc>
                <w:tcPr>
                  <w:tcW w:w="643" w:type="pct"/>
                  <w:tcBorders>
                    <w:tl2br w:val="nil"/>
                    <w:tr2bl w:val="nil"/>
                  </w:tcBorders>
                  <w:shd w:val="clear" w:color="auto" w:fill="auto"/>
                  <w:noWrap w:val="0"/>
                  <w:vAlign w:val="center"/>
                </w:tcPr>
                <w:p w14:paraId="05CF4D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single" w:color="auto"/>
                      <w:lang w:val="en-US" w:eastAsia="zh-CN" w:bidi="ar-SA"/>
                    </w:rPr>
                  </w:pPr>
                  <w:r>
                    <w:rPr>
                      <w:rFonts w:hint="default" w:ascii="Times New Roman" w:hAnsi="Times New Roman" w:eastAsia="宋体" w:cs="Times New Roman"/>
                      <w:color w:val="auto"/>
                      <w:spacing w:val="11"/>
                      <w:position w:val="0"/>
                      <w:sz w:val="21"/>
                      <w:szCs w:val="21"/>
                      <w:u w:val="single" w:color="auto"/>
                      <w:lang w:val="en-US" w:eastAsia="zh-CN"/>
                    </w:rPr>
                    <w:t>是否相符</w:t>
                  </w:r>
                </w:p>
              </w:tc>
            </w:tr>
            <w:tr w14:paraId="25D988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500" w:type="pct"/>
                  <w:tcBorders>
                    <w:tl2br w:val="nil"/>
                    <w:tr2bl w:val="nil"/>
                  </w:tcBorders>
                  <w:noWrap w:val="0"/>
                  <w:vAlign w:val="center"/>
                </w:tcPr>
                <w:p w14:paraId="08AF7A5C">
                  <w:pPr>
                    <w:adjustRightInd w:val="0"/>
                    <w:snapToGrid w:val="0"/>
                    <w:rPr>
                      <w:rFonts w:hint="default" w:ascii="Times New Roman" w:hAnsi="Times New Roman" w:cs="Times New Roman"/>
                      <w:color w:val="0000FF"/>
                      <w:spacing w:val="11"/>
                      <w:kern w:val="0"/>
                      <w:position w:val="0"/>
                      <w:szCs w:val="21"/>
                      <w:u w:val="single" w:color="auto"/>
                    </w:rPr>
                  </w:pPr>
                  <w:r>
                    <w:rPr>
                      <w:rFonts w:hint="default" w:ascii="Times New Roman" w:hAnsi="Times New Roman" w:cs="Times New Roman"/>
                      <w:spacing w:val="11"/>
                      <w:position w:val="0"/>
                      <w:u w:val="single" w:color="auto"/>
                    </w:rPr>
                    <w:t>将</w:t>
                  </w:r>
                  <w:r>
                    <w:rPr>
                      <w:rFonts w:hint="default" w:ascii="Times New Roman" w:hAnsi="Times New Roman" w:cs="Times New Roman"/>
                      <w:spacing w:val="11"/>
                      <w:position w:val="0"/>
                      <w:u w:val="single" w:color="auto"/>
                      <w:lang w:eastAsia="zh-CN"/>
                    </w:rPr>
                    <w:t>新田</w:t>
                  </w:r>
                  <w:r>
                    <w:rPr>
                      <w:rFonts w:hint="default" w:ascii="Times New Roman" w:hAnsi="Times New Roman" w:cs="Times New Roman"/>
                      <w:spacing w:val="11"/>
                      <w:position w:val="0"/>
                      <w:u w:val="single" w:color="auto"/>
                    </w:rPr>
                    <w:t>县风景名胜区、国家森林公园、湿地公园、水利风景区、重要水产种质保护区、饮用水源地保护区、城镇建成区及规划区、高铁线路两侧1000m范围等划定为普</w:t>
                  </w:r>
                  <w:r>
                    <w:rPr>
                      <w:rFonts w:hint="default" w:ascii="Times New Roman" w:hAnsi="Times New Roman" w:cs="Times New Roman"/>
                      <w:color w:val="auto"/>
                      <w:spacing w:val="11"/>
                      <w:position w:val="0"/>
                      <w:u w:val="single" w:color="auto"/>
                    </w:rPr>
                    <w:t>通建筑材料用砂石土矿禁止开采区</w:t>
                  </w:r>
                  <w:r>
                    <w:rPr>
                      <w:rFonts w:hint="default" w:ascii="Times New Roman" w:hAnsi="Times New Roman" w:cs="Times New Roman"/>
                      <w:color w:val="auto"/>
                      <w:spacing w:val="11"/>
                      <w:position w:val="0"/>
                      <w:szCs w:val="21"/>
                      <w:u w:val="single" w:color="auto"/>
                    </w:rPr>
                    <w:t>。</w:t>
                  </w:r>
                </w:p>
              </w:tc>
              <w:tc>
                <w:tcPr>
                  <w:tcW w:w="1855" w:type="pct"/>
                  <w:tcBorders>
                    <w:tl2br w:val="nil"/>
                    <w:tr2bl w:val="nil"/>
                  </w:tcBorders>
                  <w:noWrap w:val="0"/>
                  <w:vAlign w:val="center"/>
                </w:tcPr>
                <w:p w14:paraId="73C8C07B">
                  <w:pPr>
                    <w:widowControl/>
                    <w:adjustRightInd w:val="0"/>
                    <w:snapToGrid w:val="0"/>
                    <w:rPr>
                      <w:rFonts w:hint="default" w:ascii="Times New Roman" w:hAnsi="Times New Roman" w:cs="Times New Roman"/>
                      <w:spacing w:val="11"/>
                      <w:kern w:val="0"/>
                      <w:position w:val="0"/>
                      <w:szCs w:val="21"/>
                      <w:u w:val="single" w:color="auto"/>
                    </w:rPr>
                  </w:pPr>
                  <w:r>
                    <w:rPr>
                      <w:rFonts w:hint="default" w:ascii="Times New Roman" w:hAnsi="Times New Roman" w:cs="Times New Roman"/>
                      <w:spacing w:val="11"/>
                      <w:kern w:val="0"/>
                      <w:position w:val="0"/>
                      <w:szCs w:val="21"/>
                      <w:u w:val="single" w:color="auto"/>
                    </w:rPr>
                    <w:t>本项目位于湖南省永州市新田县龙泉街道</w:t>
                  </w:r>
                  <w:r>
                    <w:rPr>
                      <w:rFonts w:hint="default" w:ascii="Times New Roman" w:hAnsi="Times New Roman" w:cs="Times New Roman"/>
                      <w:spacing w:val="11"/>
                      <w:kern w:val="0"/>
                      <w:position w:val="0"/>
                      <w:szCs w:val="21"/>
                      <w:u w:val="single" w:color="auto"/>
                      <w:lang w:val="en-US" w:eastAsia="zh-CN"/>
                    </w:rPr>
                    <w:t>潮水铺村文峰岭矿区</w:t>
                  </w:r>
                  <w:r>
                    <w:rPr>
                      <w:rFonts w:hint="default" w:ascii="Times New Roman" w:hAnsi="Times New Roman" w:cs="Times New Roman"/>
                      <w:spacing w:val="11"/>
                      <w:position w:val="0"/>
                      <w:szCs w:val="21"/>
                      <w:u w:val="single" w:color="auto"/>
                    </w:rPr>
                    <w:t>，</w:t>
                  </w:r>
                  <w:r>
                    <w:rPr>
                      <w:rFonts w:hint="eastAsia" w:cs="Times New Roman"/>
                      <w:spacing w:val="11"/>
                      <w:position w:val="0"/>
                      <w:szCs w:val="21"/>
                      <w:u w:val="single" w:color="auto"/>
                      <w:lang w:val="en-US" w:eastAsia="zh-CN"/>
                    </w:rPr>
                    <w:t>矿区范围</w:t>
                  </w:r>
                  <w:r>
                    <w:rPr>
                      <w:rFonts w:hint="default" w:ascii="Times New Roman" w:hAnsi="Times New Roman" w:cs="Times New Roman"/>
                      <w:spacing w:val="11"/>
                      <w:position w:val="0"/>
                      <w:u w:val="single" w:color="auto"/>
                    </w:rPr>
                    <w:t>不涉及风景名胜区、国家森林公园、湿地公园、水利风景区、重要水产种质保护区、饮用水源地保护区、城镇建成区及规划区、周边1000m内无高铁线路</w:t>
                  </w:r>
                  <w:r>
                    <w:rPr>
                      <w:rFonts w:hint="default" w:ascii="Times New Roman" w:hAnsi="Times New Roman" w:cs="Times New Roman"/>
                      <w:spacing w:val="11"/>
                      <w:kern w:val="0"/>
                      <w:position w:val="0"/>
                      <w:szCs w:val="21"/>
                      <w:u w:val="single" w:color="auto"/>
                    </w:rPr>
                    <w:t>。</w:t>
                  </w:r>
                </w:p>
              </w:tc>
              <w:tc>
                <w:tcPr>
                  <w:tcW w:w="643" w:type="pct"/>
                  <w:tcBorders>
                    <w:tl2br w:val="nil"/>
                    <w:tr2bl w:val="nil"/>
                  </w:tcBorders>
                  <w:noWrap w:val="0"/>
                  <w:vAlign w:val="center"/>
                </w:tcPr>
                <w:p w14:paraId="43A5872A">
                  <w:pPr>
                    <w:widowControl/>
                    <w:adjustRightInd w:val="0"/>
                    <w:snapToGrid w:val="0"/>
                    <w:jc w:val="center"/>
                    <w:rPr>
                      <w:rFonts w:hint="default" w:ascii="Times New Roman" w:hAnsi="Times New Roman" w:cs="Times New Roman"/>
                      <w:spacing w:val="11"/>
                      <w:kern w:val="0"/>
                      <w:position w:val="0"/>
                      <w:szCs w:val="21"/>
                      <w:u w:val="single" w:color="auto"/>
                    </w:rPr>
                  </w:pPr>
                  <w:r>
                    <w:rPr>
                      <w:rFonts w:hint="default" w:ascii="Times New Roman" w:hAnsi="Times New Roman" w:cs="Times New Roman"/>
                      <w:spacing w:val="11"/>
                      <w:kern w:val="0"/>
                      <w:position w:val="0"/>
                      <w:szCs w:val="21"/>
                      <w:u w:val="single" w:color="auto"/>
                    </w:rPr>
                    <w:t>符合</w:t>
                  </w:r>
                </w:p>
              </w:tc>
            </w:tr>
            <w:tr w14:paraId="0A98B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500" w:type="pct"/>
                  <w:tcBorders>
                    <w:tl2br w:val="nil"/>
                    <w:tr2bl w:val="nil"/>
                  </w:tcBorders>
                  <w:noWrap w:val="0"/>
                  <w:vAlign w:val="center"/>
                </w:tcPr>
                <w:p w14:paraId="2F43A678">
                  <w:pPr>
                    <w:adjustRightInd w:val="0"/>
                    <w:snapToGrid w:val="0"/>
                    <w:rPr>
                      <w:rFonts w:hint="default" w:ascii="Times New Roman" w:hAnsi="Times New Roman" w:cs="Times New Roman"/>
                      <w:color w:val="0000FF"/>
                      <w:spacing w:val="11"/>
                      <w:position w:val="0"/>
                      <w:szCs w:val="21"/>
                      <w:u w:val="single" w:color="auto"/>
                    </w:rPr>
                  </w:pPr>
                  <w:r>
                    <w:rPr>
                      <w:rFonts w:hint="default" w:ascii="Times New Roman" w:hAnsi="Times New Roman" w:cs="Times New Roman"/>
                      <w:spacing w:val="11"/>
                      <w:position w:val="0"/>
                      <w:u w:val="single" w:color="auto"/>
                    </w:rPr>
                    <w:t>本规划未设置县域砂石土矿限制开采区</w:t>
                  </w:r>
                  <w:r>
                    <w:rPr>
                      <w:rFonts w:hint="default" w:ascii="Times New Roman" w:hAnsi="Times New Roman" w:cs="Times New Roman"/>
                      <w:spacing w:val="11"/>
                      <w:position w:val="0"/>
                      <w:szCs w:val="21"/>
                      <w:u w:val="single" w:color="auto"/>
                    </w:rPr>
                    <w:t>。</w:t>
                  </w:r>
                </w:p>
              </w:tc>
              <w:tc>
                <w:tcPr>
                  <w:tcW w:w="1855" w:type="pct"/>
                  <w:tcBorders>
                    <w:tl2br w:val="nil"/>
                    <w:tr2bl w:val="nil"/>
                  </w:tcBorders>
                  <w:noWrap w:val="0"/>
                  <w:vAlign w:val="center"/>
                </w:tcPr>
                <w:p w14:paraId="76DD598F">
                  <w:pPr>
                    <w:widowControl/>
                    <w:adjustRightInd w:val="0"/>
                    <w:snapToGrid w:val="0"/>
                    <w:rPr>
                      <w:rFonts w:hint="default" w:ascii="Times New Roman" w:hAnsi="Times New Roman" w:cs="Times New Roman"/>
                      <w:spacing w:val="11"/>
                      <w:kern w:val="0"/>
                      <w:position w:val="0"/>
                      <w:szCs w:val="21"/>
                      <w:u w:val="single" w:color="auto"/>
                    </w:rPr>
                  </w:pPr>
                  <w:r>
                    <w:rPr>
                      <w:rFonts w:hint="default" w:ascii="Times New Roman" w:hAnsi="Times New Roman" w:cs="Times New Roman"/>
                      <w:spacing w:val="11"/>
                      <w:kern w:val="0"/>
                      <w:position w:val="0"/>
                      <w:szCs w:val="21"/>
                      <w:u w:val="single" w:color="auto"/>
                    </w:rPr>
                    <w:t>项目不</w:t>
                  </w:r>
                  <w:r>
                    <w:rPr>
                      <w:rFonts w:hint="default" w:ascii="Times New Roman" w:hAnsi="Times New Roman" w:cs="Times New Roman"/>
                      <w:spacing w:val="11"/>
                      <w:position w:val="0"/>
                      <w:szCs w:val="21"/>
                      <w:u w:val="single" w:color="auto"/>
                    </w:rPr>
                    <w:t>涉及限制开采区</w:t>
                  </w:r>
                  <w:r>
                    <w:rPr>
                      <w:rFonts w:hint="default" w:ascii="Times New Roman" w:hAnsi="Times New Roman" w:cs="Times New Roman"/>
                      <w:spacing w:val="11"/>
                      <w:kern w:val="0"/>
                      <w:position w:val="0"/>
                      <w:szCs w:val="21"/>
                      <w:u w:val="single" w:color="auto"/>
                    </w:rPr>
                    <w:t>。</w:t>
                  </w:r>
                </w:p>
              </w:tc>
              <w:tc>
                <w:tcPr>
                  <w:tcW w:w="643" w:type="pct"/>
                  <w:tcBorders>
                    <w:tl2br w:val="nil"/>
                    <w:tr2bl w:val="nil"/>
                  </w:tcBorders>
                  <w:noWrap w:val="0"/>
                  <w:vAlign w:val="center"/>
                </w:tcPr>
                <w:p w14:paraId="63B4886C">
                  <w:pPr>
                    <w:widowControl/>
                    <w:adjustRightInd w:val="0"/>
                    <w:snapToGrid w:val="0"/>
                    <w:jc w:val="center"/>
                    <w:rPr>
                      <w:rFonts w:hint="default" w:ascii="Times New Roman" w:hAnsi="Times New Roman" w:cs="Times New Roman"/>
                      <w:spacing w:val="11"/>
                      <w:kern w:val="0"/>
                      <w:position w:val="0"/>
                      <w:szCs w:val="21"/>
                      <w:u w:val="single" w:color="auto"/>
                    </w:rPr>
                  </w:pPr>
                  <w:r>
                    <w:rPr>
                      <w:rFonts w:hint="default" w:ascii="Times New Roman" w:hAnsi="Times New Roman" w:cs="Times New Roman"/>
                      <w:spacing w:val="11"/>
                      <w:kern w:val="0"/>
                      <w:position w:val="0"/>
                      <w:szCs w:val="21"/>
                      <w:u w:val="single" w:color="auto"/>
                    </w:rPr>
                    <w:t>符合</w:t>
                  </w:r>
                </w:p>
              </w:tc>
            </w:tr>
            <w:tr w14:paraId="1D728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500" w:type="pct"/>
                  <w:tcBorders>
                    <w:tl2br w:val="nil"/>
                    <w:tr2bl w:val="nil"/>
                  </w:tcBorders>
                  <w:noWrap w:val="0"/>
                  <w:vAlign w:val="center"/>
                </w:tcPr>
                <w:p w14:paraId="4898833B">
                  <w:pPr>
                    <w:adjustRightInd w:val="0"/>
                    <w:snapToGrid w:val="0"/>
                    <w:rPr>
                      <w:rFonts w:hint="default" w:ascii="Times New Roman" w:hAnsi="Times New Roman" w:cs="Times New Roman"/>
                      <w:color w:val="0000FF"/>
                      <w:spacing w:val="11"/>
                      <w:position w:val="0"/>
                      <w:szCs w:val="21"/>
                      <w:u w:val="single" w:color="auto"/>
                    </w:rPr>
                  </w:pPr>
                  <w:r>
                    <w:rPr>
                      <w:rFonts w:hint="default" w:ascii="Times New Roman" w:hAnsi="Times New Roman" w:cs="Times New Roman"/>
                      <w:spacing w:val="11"/>
                      <w:position w:val="0"/>
                      <w:u w:val="single" w:color="auto"/>
                    </w:rPr>
                    <w:t>综合考虑资源分布、产业布局、新型城镇化发展、基础设施建设规划、环保、林业等因素，在资源条件允许、环境影响小、区位较隐蔽的地段设置砂石土矿允许开采区18个，其中15个允许开采区内设置了16个采矿权，有3个允许开采区作为规划预留未设置采矿权</w:t>
                  </w:r>
                  <w:r>
                    <w:rPr>
                      <w:rFonts w:hint="default" w:ascii="Times New Roman" w:hAnsi="Times New Roman" w:cs="Times New Roman"/>
                      <w:spacing w:val="11"/>
                      <w:position w:val="0"/>
                      <w:szCs w:val="21"/>
                      <w:u w:val="single" w:color="auto"/>
                    </w:rPr>
                    <w:t>。</w:t>
                  </w:r>
                </w:p>
              </w:tc>
              <w:tc>
                <w:tcPr>
                  <w:tcW w:w="1855" w:type="pct"/>
                  <w:tcBorders>
                    <w:tl2br w:val="nil"/>
                    <w:tr2bl w:val="nil"/>
                  </w:tcBorders>
                  <w:noWrap w:val="0"/>
                  <w:vAlign w:val="center"/>
                </w:tcPr>
                <w:p w14:paraId="1FE7B947">
                  <w:pPr>
                    <w:pStyle w:val="16"/>
                    <w:jc w:val="both"/>
                    <w:rPr>
                      <w:rFonts w:hint="default" w:ascii="Times New Roman" w:hAnsi="Times New Roman" w:cs="Times New Roman"/>
                      <w:spacing w:val="11"/>
                      <w:position w:val="0"/>
                      <w:szCs w:val="21"/>
                      <w:u w:val="single" w:color="auto"/>
                    </w:rPr>
                  </w:pPr>
                  <w:r>
                    <w:rPr>
                      <w:rFonts w:hint="default" w:ascii="Times New Roman" w:hAnsi="Times New Roman" w:cs="Times New Roman"/>
                      <w:spacing w:val="11"/>
                      <w:position w:val="0"/>
                      <w:sz w:val="21"/>
                      <w:szCs w:val="21"/>
                      <w:u w:val="single" w:color="auto"/>
                    </w:rPr>
                    <w:t>本项目在《</w:t>
                  </w:r>
                  <w:r>
                    <w:rPr>
                      <w:rFonts w:hint="default" w:ascii="Times New Roman" w:hAnsi="Times New Roman" w:cs="Times New Roman"/>
                      <w:bCs/>
                      <w:spacing w:val="11"/>
                      <w:position w:val="0"/>
                      <w:sz w:val="21"/>
                      <w:szCs w:val="21"/>
                      <w:u w:val="single" w:color="auto"/>
                      <w:lang w:eastAsia="zh-CN"/>
                    </w:rPr>
                    <w:t>新田</w:t>
                  </w:r>
                  <w:r>
                    <w:rPr>
                      <w:rFonts w:hint="default" w:ascii="Times New Roman" w:hAnsi="Times New Roman" w:cs="Times New Roman"/>
                      <w:bCs/>
                      <w:spacing w:val="11"/>
                      <w:position w:val="0"/>
                      <w:sz w:val="21"/>
                      <w:szCs w:val="21"/>
                      <w:u w:val="single" w:color="auto"/>
                    </w:rPr>
                    <w:t>县普通建筑材料用砂石土矿专项规划（2021~2025年）</w:t>
                  </w:r>
                  <w:r>
                    <w:rPr>
                      <w:rFonts w:hint="default" w:ascii="Times New Roman" w:hAnsi="Times New Roman" w:cs="Times New Roman"/>
                      <w:spacing w:val="11"/>
                      <w:position w:val="0"/>
                      <w:sz w:val="21"/>
                      <w:szCs w:val="21"/>
                      <w:u w:val="single" w:color="auto"/>
                    </w:rPr>
                    <w:t>》所述的砂石土矿允许开采区内</w:t>
                  </w:r>
                  <w:r>
                    <w:rPr>
                      <w:rFonts w:hint="default" w:ascii="Times New Roman" w:hAnsi="Times New Roman" w:cs="Times New Roman"/>
                      <w:spacing w:val="11"/>
                      <w:position w:val="0"/>
                      <w:u w:val="single" w:color="auto"/>
                    </w:rPr>
                    <w:t>，</w:t>
                  </w:r>
                  <w:r>
                    <w:rPr>
                      <w:rFonts w:hint="default" w:ascii="Times New Roman" w:hAnsi="Times New Roman" w:cs="Times New Roman"/>
                      <w:spacing w:val="11"/>
                      <w:position w:val="0"/>
                      <w:sz w:val="21"/>
                      <w:szCs w:val="21"/>
                      <w:u w:val="single" w:color="auto"/>
                    </w:rPr>
                    <w:t>已取得永州市自然资源和规划局颁发的采矿许可证。</w:t>
                  </w:r>
                </w:p>
              </w:tc>
              <w:tc>
                <w:tcPr>
                  <w:tcW w:w="643" w:type="pct"/>
                  <w:tcBorders>
                    <w:tl2br w:val="nil"/>
                    <w:tr2bl w:val="nil"/>
                  </w:tcBorders>
                  <w:noWrap w:val="0"/>
                  <w:vAlign w:val="center"/>
                </w:tcPr>
                <w:p w14:paraId="6558A94C">
                  <w:pPr>
                    <w:widowControl/>
                    <w:adjustRightInd w:val="0"/>
                    <w:snapToGrid w:val="0"/>
                    <w:jc w:val="center"/>
                    <w:rPr>
                      <w:rFonts w:hint="default" w:ascii="Times New Roman" w:hAnsi="Times New Roman" w:cs="Times New Roman"/>
                      <w:spacing w:val="11"/>
                      <w:kern w:val="0"/>
                      <w:position w:val="0"/>
                      <w:szCs w:val="21"/>
                      <w:u w:val="single" w:color="auto"/>
                    </w:rPr>
                  </w:pPr>
                  <w:r>
                    <w:rPr>
                      <w:rFonts w:hint="default" w:ascii="Times New Roman" w:hAnsi="Times New Roman" w:cs="Times New Roman"/>
                      <w:spacing w:val="11"/>
                      <w:kern w:val="0"/>
                      <w:position w:val="0"/>
                      <w:szCs w:val="21"/>
                      <w:u w:val="single" w:color="auto"/>
                    </w:rPr>
                    <w:t>符合</w:t>
                  </w:r>
                </w:p>
              </w:tc>
            </w:tr>
            <w:tr w14:paraId="39AF47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500" w:type="pct"/>
                  <w:tcBorders>
                    <w:tl2br w:val="nil"/>
                    <w:tr2bl w:val="nil"/>
                  </w:tcBorders>
                  <w:noWrap w:val="0"/>
                  <w:vAlign w:val="center"/>
                </w:tcPr>
                <w:p w14:paraId="62BC4F15">
                  <w:pPr>
                    <w:adjustRightInd w:val="0"/>
                    <w:snapToGrid w:val="0"/>
                    <w:rPr>
                      <w:rFonts w:hint="default" w:ascii="Times New Roman" w:hAnsi="Times New Roman" w:cs="Times New Roman"/>
                      <w:spacing w:val="11"/>
                      <w:position w:val="0"/>
                      <w:u w:val="single" w:color="auto"/>
                    </w:rPr>
                  </w:pPr>
                  <w:r>
                    <w:rPr>
                      <w:rFonts w:hint="default" w:ascii="Times New Roman" w:hAnsi="Times New Roman" w:cs="Times New Roman"/>
                      <w:spacing w:val="11"/>
                      <w:position w:val="0"/>
                      <w:u w:val="single" w:color="auto"/>
                    </w:rPr>
                    <w:t>主体资格要求：①应当具有企业法人资格，与主管部门签订招拍挂公开出让合同；②矿区范围应符合矿产资源总体规划，矿区面积不低于0.1km</w:t>
                  </w:r>
                  <w:r>
                    <w:rPr>
                      <w:rFonts w:hint="default" w:ascii="Times New Roman" w:hAnsi="Times New Roman" w:cs="Times New Roman"/>
                      <w:spacing w:val="11"/>
                      <w:position w:val="0"/>
                      <w:u w:val="single" w:color="auto"/>
                      <w:vertAlign w:val="superscript"/>
                    </w:rPr>
                    <w:t>2</w:t>
                  </w:r>
                  <w:r>
                    <w:rPr>
                      <w:rFonts w:hint="default" w:ascii="Times New Roman" w:hAnsi="Times New Roman" w:cs="Times New Roman"/>
                      <w:spacing w:val="11"/>
                      <w:position w:val="0"/>
                      <w:u w:val="single" w:color="auto"/>
                    </w:rPr>
                    <w:t>；③矿山规模不得低于最低生产建设规模，资金应满足矿山生产建设、采矿权价款及使用费、矿山地质环境治理基金及相关税费要求；④取得省级（大中型矿）或市级（小型）发证部门评审通过的矿山资源储量报告、资源开发利用方案、矿山地质环境综合防治方案、水土保持方案、环境影响评价报告、安全预评价报告，以及采矿许可证、环保排污许可证、安全生产许可证等相关审批文件或证照；⑤矿山企业应按规定配有地质、采矿、测量等高中级专业技术职称人员及经职业技能培训的从业人员。</w:t>
                  </w:r>
                </w:p>
              </w:tc>
              <w:tc>
                <w:tcPr>
                  <w:tcW w:w="1855" w:type="pct"/>
                  <w:tcBorders>
                    <w:tl2br w:val="nil"/>
                    <w:tr2bl w:val="nil"/>
                  </w:tcBorders>
                  <w:noWrap w:val="0"/>
                  <w:vAlign w:val="center"/>
                </w:tcPr>
                <w:p w14:paraId="0C7FAB6D">
                  <w:pPr>
                    <w:widowControl/>
                    <w:adjustRightInd w:val="0"/>
                    <w:snapToGrid w:val="0"/>
                    <w:rPr>
                      <w:rFonts w:hint="default" w:ascii="Times New Roman" w:hAnsi="Times New Roman" w:cs="Times New Roman"/>
                      <w:spacing w:val="11"/>
                      <w:kern w:val="0"/>
                      <w:position w:val="0"/>
                      <w:szCs w:val="21"/>
                      <w:u w:val="single" w:color="auto"/>
                    </w:rPr>
                  </w:pPr>
                  <w:r>
                    <w:rPr>
                      <w:rFonts w:hint="default" w:ascii="Times New Roman" w:hAnsi="Times New Roman" w:cs="Times New Roman"/>
                      <w:spacing w:val="11"/>
                      <w:position w:val="0"/>
                      <w:u w:val="single" w:color="auto"/>
                    </w:rPr>
                    <w:t>项目已于202</w:t>
                  </w:r>
                  <w:r>
                    <w:rPr>
                      <w:rFonts w:hint="eastAsia" w:cs="Times New Roman"/>
                      <w:spacing w:val="11"/>
                      <w:position w:val="0"/>
                      <w:u w:val="single" w:color="auto"/>
                      <w:lang w:val="en-US" w:eastAsia="zh-CN"/>
                    </w:rPr>
                    <w:t>4</w:t>
                  </w:r>
                  <w:r>
                    <w:rPr>
                      <w:rFonts w:hint="default" w:ascii="Times New Roman" w:hAnsi="Times New Roman" w:cs="Times New Roman"/>
                      <w:spacing w:val="11"/>
                      <w:position w:val="0"/>
                      <w:u w:val="single" w:color="auto"/>
                    </w:rPr>
                    <w:t>年</w:t>
                  </w:r>
                  <w:r>
                    <w:rPr>
                      <w:rFonts w:hint="default" w:ascii="Times New Roman" w:hAnsi="Times New Roman" w:cs="Times New Roman"/>
                      <w:spacing w:val="11"/>
                      <w:position w:val="0"/>
                      <w:u w:val="single" w:color="auto"/>
                      <w:lang w:val="en-US" w:eastAsia="zh-CN"/>
                    </w:rPr>
                    <w:t>1</w:t>
                  </w:r>
                  <w:r>
                    <w:rPr>
                      <w:rFonts w:hint="eastAsia" w:cs="Times New Roman"/>
                      <w:spacing w:val="11"/>
                      <w:position w:val="0"/>
                      <w:u w:val="single" w:color="auto"/>
                      <w:lang w:val="en-US" w:eastAsia="zh-CN"/>
                    </w:rPr>
                    <w:t>2</w:t>
                  </w:r>
                  <w:r>
                    <w:rPr>
                      <w:rFonts w:hint="default" w:ascii="Times New Roman" w:hAnsi="Times New Roman" w:cs="Times New Roman"/>
                      <w:spacing w:val="11"/>
                      <w:position w:val="0"/>
                      <w:u w:val="single" w:color="auto"/>
                    </w:rPr>
                    <w:t>月1</w:t>
                  </w:r>
                  <w:r>
                    <w:rPr>
                      <w:rFonts w:hint="eastAsia" w:cs="Times New Roman"/>
                      <w:spacing w:val="11"/>
                      <w:position w:val="0"/>
                      <w:u w:val="single" w:color="auto"/>
                      <w:lang w:val="en-US" w:eastAsia="zh-CN"/>
                    </w:rPr>
                    <w:t>2</w:t>
                  </w:r>
                  <w:r>
                    <w:rPr>
                      <w:rFonts w:hint="default" w:ascii="Times New Roman" w:hAnsi="Times New Roman" w:cs="Times New Roman"/>
                      <w:spacing w:val="11"/>
                      <w:position w:val="0"/>
                      <w:u w:val="single" w:color="auto"/>
                    </w:rPr>
                    <w:t>日取得永州市自然资源和规划局发放的采矿许可证。本项目采矿许可证中许可的开采规模为60万吨/年，满足《湖南省普通建筑材料用砂石土矿专项规划（2021~2025年）》中单个矿山不低于30万吨/年的要求；开采方案按照湖南省绿色矿山标准设计；建设单位编制了资源开发利用、生态修复方案，并配备专业技术人员进行安全开采。</w:t>
                  </w:r>
                </w:p>
              </w:tc>
              <w:tc>
                <w:tcPr>
                  <w:tcW w:w="643" w:type="pct"/>
                  <w:tcBorders>
                    <w:tl2br w:val="nil"/>
                    <w:tr2bl w:val="nil"/>
                  </w:tcBorders>
                  <w:noWrap w:val="0"/>
                  <w:vAlign w:val="center"/>
                </w:tcPr>
                <w:p w14:paraId="42590DC7">
                  <w:pPr>
                    <w:widowControl/>
                    <w:adjustRightInd w:val="0"/>
                    <w:snapToGrid w:val="0"/>
                    <w:jc w:val="center"/>
                    <w:rPr>
                      <w:rFonts w:hint="default" w:ascii="Times New Roman" w:hAnsi="Times New Roman" w:cs="Times New Roman"/>
                      <w:spacing w:val="11"/>
                      <w:kern w:val="0"/>
                      <w:position w:val="0"/>
                      <w:szCs w:val="21"/>
                      <w:u w:val="single" w:color="auto"/>
                    </w:rPr>
                  </w:pPr>
                  <w:r>
                    <w:rPr>
                      <w:rFonts w:hint="default" w:ascii="Times New Roman" w:hAnsi="Times New Roman" w:cs="Times New Roman"/>
                      <w:spacing w:val="11"/>
                      <w:kern w:val="0"/>
                      <w:position w:val="0"/>
                      <w:szCs w:val="21"/>
                      <w:u w:val="single" w:color="auto"/>
                    </w:rPr>
                    <w:t>符合</w:t>
                  </w:r>
                </w:p>
              </w:tc>
            </w:tr>
            <w:tr w14:paraId="72D93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500" w:type="pct"/>
                  <w:tcBorders>
                    <w:tl2br w:val="nil"/>
                    <w:tr2bl w:val="nil"/>
                  </w:tcBorders>
                  <w:noWrap w:val="0"/>
                  <w:vAlign w:val="center"/>
                </w:tcPr>
                <w:p w14:paraId="5A72826B">
                  <w:pPr>
                    <w:adjustRightInd w:val="0"/>
                    <w:snapToGrid w:val="0"/>
                    <w:rPr>
                      <w:rFonts w:hint="default" w:ascii="Times New Roman" w:hAnsi="Times New Roman" w:cs="Times New Roman"/>
                      <w:color w:val="0000FF"/>
                      <w:spacing w:val="11"/>
                      <w:position w:val="0"/>
                      <w:szCs w:val="21"/>
                      <w:u w:val="single" w:color="auto"/>
                    </w:rPr>
                  </w:pPr>
                  <w:r>
                    <w:rPr>
                      <w:rFonts w:hint="default" w:ascii="Times New Roman" w:hAnsi="Times New Roman" w:cs="Times New Roman"/>
                      <w:spacing w:val="11"/>
                      <w:position w:val="0"/>
                      <w:u w:val="single" w:color="auto"/>
                    </w:rPr>
                    <w:t>资源储量要求：①新设矿山保有资源储量不得低于300万吨，最低生产规模不得低于30万吨/年；②保留矿山保有资源储量100万吨以上，最低生产规模不低于10万吨/年，并限期整改达到30万吨/年以上。</w:t>
                  </w:r>
                </w:p>
              </w:tc>
              <w:tc>
                <w:tcPr>
                  <w:tcW w:w="1855" w:type="pct"/>
                  <w:tcBorders>
                    <w:tl2br w:val="nil"/>
                    <w:tr2bl w:val="nil"/>
                  </w:tcBorders>
                  <w:noWrap w:val="0"/>
                  <w:vAlign w:val="center"/>
                </w:tcPr>
                <w:p w14:paraId="12640A5E">
                  <w:pPr>
                    <w:widowControl/>
                    <w:adjustRightInd w:val="0"/>
                    <w:snapToGrid w:val="0"/>
                    <w:rPr>
                      <w:rFonts w:hint="default" w:ascii="Times New Roman" w:hAnsi="Times New Roman" w:cs="Times New Roman"/>
                      <w:spacing w:val="11"/>
                      <w:kern w:val="0"/>
                      <w:position w:val="0"/>
                      <w:szCs w:val="21"/>
                      <w:u w:val="single" w:color="auto"/>
                    </w:rPr>
                  </w:pPr>
                  <w:r>
                    <w:rPr>
                      <w:rFonts w:hint="default" w:ascii="Times New Roman" w:hAnsi="Times New Roman" w:cs="Times New Roman"/>
                      <w:spacing w:val="11"/>
                      <w:kern w:val="0"/>
                      <w:position w:val="0"/>
                      <w:szCs w:val="21"/>
                      <w:u w:val="single" w:color="auto"/>
                    </w:rPr>
                    <w:t>本项目为新设矿山，2022年</w:t>
                  </w:r>
                  <w:r>
                    <w:rPr>
                      <w:rFonts w:hint="default" w:ascii="Times New Roman" w:hAnsi="Times New Roman" w:cs="Times New Roman"/>
                      <w:spacing w:val="11"/>
                      <w:kern w:val="0"/>
                      <w:position w:val="0"/>
                      <w:szCs w:val="21"/>
                      <w:u w:val="single" w:color="auto"/>
                      <w:lang w:val="en-US" w:eastAsia="zh-CN"/>
                    </w:rPr>
                    <w:t>11</w:t>
                  </w:r>
                  <w:r>
                    <w:rPr>
                      <w:rFonts w:hint="default" w:ascii="Times New Roman" w:hAnsi="Times New Roman" w:cs="Times New Roman"/>
                      <w:spacing w:val="11"/>
                      <w:kern w:val="0"/>
                      <w:position w:val="0"/>
                      <w:szCs w:val="21"/>
                      <w:u w:val="single" w:color="auto"/>
                    </w:rPr>
                    <w:t>月2</w:t>
                  </w:r>
                  <w:r>
                    <w:rPr>
                      <w:rFonts w:hint="eastAsia" w:cs="Times New Roman"/>
                      <w:spacing w:val="11"/>
                      <w:kern w:val="0"/>
                      <w:position w:val="0"/>
                      <w:szCs w:val="21"/>
                      <w:u w:val="single" w:color="auto"/>
                      <w:lang w:val="en-US" w:eastAsia="zh-CN"/>
                    </w:rPr>
                    <w:t>1</w:t>
                  </w:r>
                  <w:r>
                    <w:rPr>
                      <w:rFonts w:hint="default" w:ascii="Times New Roman" w:hAnsi="Times New Roman" w:cs="Times New Roman"/>
                      <w:spacing w:val="11"/>
                      <w:kern w:val="0"/>
                      <w:position w:val="0"/>
                      <w:szCs w:val="21"/>
                      <w:u w:val="single" w:color="auto"/>
                    </w:rPr>
                    <w:t>日经永州市自然资源和规划局评审通过了《</w:t>
                  </w:r>
                  <w:r>
                    <w:rPr>
                      <w:rFonts w:hint="default" w:ascii="Times New Roman" w:hAnsi="Times New Roman" w:cs="Times New Roman"/>
                      <w:spacing w:val="11"/>
                      <w:kern w:val="0"/>
                      <w:position w:val="0"/>
                      <w:szCs w:val="21"/>
                      <w:u w:val="single" w:color="auto"/>
                      <w:lang w:val="en-US" w:eastAsia="zh-CN"/>
                    </w:rPr>
                    <w:t>湖南省新田县文锋岭矿区建筑石料用灰岩矿采矿权申请范围核查报告</w:t>
                  </w:r>
                  <w:r>
                    <w:rPr>
                      <w:rFonts w:hint="default" w:ascii="Times New Roman" w:hAnsi="Times New Roman" w:cs="Times New Roman"/>
                      <w:spacing w:val="11"/>
                      <w:kern w:val="0"/>
                      <w:position w:val="0"/>
                      <w:szCs w:val="21"/>
                      <w:u w:val="single" w:color="auto"/>
                    </w:rPr>
                    <w:t>》，矿产资源储量评审备案证明（永自然资储备字[202</w:t>
                  </w:r>
                  <w:r>
                    <w:rPr>
                      <w:rFonts w:hint="eastAsia" w:cs="Times New Roman"/>
                      <w:spacing w:val="11"/>
                      <w:kern w:val="0"/>
                      <w:position w:val="0"/>
                      <w:szCs w:val="21"/>
                      <w:u w:val="single" w:color="auto"/>
                      <w:lang w:val="en-US" w:eastAsia="zh-CN"/>
                    </w:rPr>
                    <w:t>2</w:t>
                  </w:r>
                  <w:r>
                    <w:rPr>
                      <w:rFonts w:hint="default" w:ascii="Times New Roman" w:hAnsi="Times New Roman" w:cs="Times New Roman"/>
                      <w:spacing w:val="11"/>
                      <w:kern w:val="0"/>
                      <w:position w:val="0"/>
                      <w:szCs w:val="21"/>
                      <w:u w:val="single" w:color="auto"/>
                    </w:rPr>
                    <w:t>]00</w:t>
                  </w:r>
                  <w:r>
                    <w:rPr>
                      <w:rFonts w:hint="eastAsia" w:cs="Times New Roman"/>
                      <w:spacing w:val="11"/>
                      <w:kern w:val="0"/>
                      <w:position w:val="0"/>
                      <w:szCs w:val="21"/>
                      <w:u w:val="single" w:color="auto"/>
                      <w:lang w:val="en-US" w:eastAsia="zh-CN"/>
                    </w:rPr>
                    <w:t>4</w:t>
                  </w:r>
                  <w:r>
                    <w:rPr>
                      <w:rFonts w:hint="default" w:ascii="Times New Roman" w:hAnsi="Times New Roman" w:cs="Times New Roman"/>
                      <w:spacing w:val="11"/>
                      <w:kern w:val="0"/>
                      <w:position w:val="0"/>
                      <w:szCs w:val="21"/>
                      <w:u w:val="single" w:color="auto"/>
                    </w:rPr>
                    <w:t>号），矿山范围内建筑石料用灰岩矿控制资源量</w:t>
                  </w:r>
                  <w:r>
                    <w:rPr>
                      <w:rFonts w:hint="eastAsia" w:cs="Times New Roman"/>
                      <w:spacing w:val="11"/>
                      <w:kern w:val="0"/>
                      <w:position w:val="0"/>
                      <w:szCs w:val="21"/>
                      <w:u w:val="single" w:color="auto"/>
                      <w:lang w:val="en-US" w:eastAsia="zh-CN"/>
                    </w:rPr>
                    <w:t>442</w:t>
                  </w:r>
                  <w:r>
                    <w:rPr>
                      <w:rFonts w:hint="default" w:ascii="Times New Roman" w:hAnsi="Times New Roman" w:cs="Times New Roman"/>
                      <w:spacing w:val="11"/>
                      <w:kern w:val="0"/>
                      <w:position w:val="0"/>
                      <w:szCs w:val="21"/>
                      <w:u w:val="single" w:color="auto"/>
                    </w:rPr>
                    <w:t>万</w:t>
                  </w:r>
                  <w:r>
                    <w:rPr>
                      <w:rFonts w:hint="eastAsia" w:cs="Times New Roman"/>
                      <w:spacing w:val="11"/>
                      <w:kern w:val="0"/>
                      <w:position w:val="0"/>
                      <w:szCs w:val="21"/>
                      <w:u w:val="single" w:color="auto"/>
                      <w:lang w:val="en-US" w:eastAsia="zh-CN"/>
                    </w:rPr>
                    <w:t>吨</w:t>
                  </w:r>
                  <w:r>
                    <w:rPr>
                      <w:rFonts w:hint="default" w:ascii="Times New Roman" w:hAnsi="Times New Roman" w:cs="Times New Roman"/>
                      <w:spacing w:val="11"/>
                      <w:kern w:val="0"/>
                      <w:position w:val="0"/>
                      <w:szCs w:val="21"/>
                      <w:u w:val="single" w:color="auto"/>
                    </w:rPr>
                    <w:t>（</w:t>
                  </w:r>
                  <w:r>
                    <w:rPr>
                      <w:rFonts w:hint="eastAsia" w:cs="Times New Roman"/>
                      <w:spacing w:val="11"/>
                      <w:kern w:val="0"/>
                      <w:position w:val="0"/>
                      <w:szCs w:val="21"/>
                      <w:u w:val="single" w:color="auto"/>
                      <w:lang w:val="en-US" w:eastAsia="zh-CN"/>
                    </w:rPr>
                    <w:t>162.51</w:t>
                  </w:r>
                  <w:r>
                    <w:rPr>
                      <w:rFonts w:hint="default" w:ascii="Times New Roman" w:hAnsi="Times New Roman" w:cs="Times New Roman"/>
                      <w:spacing w:val="11"/>
                      <w:kern w:val="0"/>
                      <w:position w:val="0"/>
                      <w:szCs w:val="21"/>
                      <w:u w:val="single" w:color="auto"/>
                    </w:rPr>
                    <w:t>万m</w:t>
                  </w:r>
                  <w:r>
                    <w:rPr>
                      <w:rFonts w:hint="default" w:ascii="Times New Roman" w:hAnsi="Times New Roman" w:cs="Times New Roman"/>
                      <w:spacing w:val="11"/>
                      <w:kern w:val="0"/>
                      <w:position w:val="0"/>
                      <w:szCs w:val="21"/>
                      <w:u w:val="single" w:color="auto"/>
                      <w:vertAlign w:val="superscript"/>
                    </w:rPr>
                    <w:t>3</w:t>
                  </w:r>
                  <w:r>
                    <w:rPr>
                      <w:rFonts w:hint="default" w:ascii="Times New Roman" w:hAnsi="Times New Roman" w:cs="Times New Roman"/>
                      <w:spacing w:val="11"/>
                      <w:kern w:val="0"/>
                      <w:position w:val="0"/>
                      <w:szCs w:val="21"/>
                      <w:u w:val="single" w:color="auto"/>
                    </w:rPr>
                    <w:t>），矿区剥离量</w:t>
                  </w:r>
                  <w:r>
                    <w:rPr>
                      <w:rFonts w:hint="default" w:ascii="Times New Roman" w:hAnsi="Times New Roman" w:cs="Times New Roman"/>
                      <w:spacing w:val="11"/>
                      <w:kern w:val="0"/>
                      <w:position w:val="0"/>
                      <w:szCs w:val="21"/>
                      <w:u w:val="single" w:color="auto"/>
                      <w:lang w:val="en-US" w:eastAsia="zh-CN"/>
                    </w:rPr>
                    <w:t>13.2</w:t>
                  </w:r>
                  <w:r>
                    <w:rPr>
                      <w:rFonts w:hint="default" w:ascii="Times New Roman" w:hAnsi="Times New Roman" w:cs="Times New Roman"/>
                      <w:spacing w:val="11"/>
                      <w:kern w:val="0"/>
                      <w:position w:val="0"/>
                      <w:szCs w:val="21"/>
                      <w:u w:val="single" w:color="auto"/>
                    </w:rPr>
                    <w:t>万m</w:t>
                  </w:r>
                  <w:r>
                    <w:rPr>
                      <w:rFonts w:hint="default" w:ascii="Times New Roman" w:hAnsi="Times New Roman" w:cs="Times New Roman"/>
                      <w:spacing w:val="11"/>
                      <w:kern w:val="0"/>
                      <w:position w:val="0"/>
                      <w:szCs w:val="21"/>
                      <w:u w:val="single" w:color="auto"/>
                      <w:vertAlign w:val="superscript"/>
                    </w:rPr>
                    <w:t>3</w:t>
                  </w:r>
                  <w:r>
                    <w:rPr>
                      <w:rFonts w:hint="default" w:ascii="Times New Roman" w:hAnsi="Times New Roman" w:cs="Times New Roman"/>
                      <w:spacing w:val="11"/>
                      <w:kern w:val="0"/>
                      <w:position w:val="0"/>
                      <w:szCs w:val="21"/>
                      <w:u w:val="single" w:color="auto"/>
                    </w:rPr>
                    <w:t>，剥采比为0.</w:t>
                  </w:r>
                  <w:r>
                    <w:rPr>
                      <w:rFonts w:hint="eastAsia" w:cs="Times New Roman"/>
                      <w:spacing w:val="11"/>
                      <w:kern w:val="0"/>
                      <w:position w:val="0"/>
                      <w:szCs w:val="21"/>
                      <w:u w:val="single" w:color="auto"/>
                      <w:lang w:val="en-US" w:eastAsia="zh-CN"/>
                    </w:rPr>
                    <w:t>0172</w:t>
                  </w:r>
                  <w:r>
                    <w:rPr>
                      <w:rFonts w:hint="default" w:ascii="Times New Roman" w:hAnsi="Times New Roman" w:cs="Times New Roman"/>
                      <w:spacing w:val="11"/>
                      <w:kern w:val="0"/>
                      <w:position w:val="0"/>
                      <w:szCs w:val="21"/>
                      <w:u w:val="single" w:color="auto"/>
                    </w:rPr>
                    <w:t>︰1</w:t>
                  </w:r>
                  <w:r>
                    <w:rPr>
                      <w:rFonts w:hint="eastAsia" w:cs="Times New Roman"/>
                      <w:spacing w:val="11"/>
                      <w:kern w:val="0"/>
                      <w:position w:val="0"/>
                      <w:szCs w:val="21"/>
                      <w:u w:val="single" w:color="auto"/>
                      <w:lang w:eastAsia="zh-CN"/>
                    </w:rPr>
                    <w:t>（</w:t>
                  </w:r>
                  <w:r>
                    <w:rPr>
                      <w:rFonts w:hint="default" w:ascii="Times New Roman" w:hAnsi="Times New Roman" w:cs="Times New Roman"/>
                      <w:spacing w:val="11"/>
                      <w:kern w:val="0"/>
                      <w:position w:val="0"/>
                      <w:szCs w:val="21"/>
                      <w:u w:val="single" w:color="auto"/>
                    </w:rPr>
                    <w:t>m</w:t>
                  </w:r>
                  <w:r>
                    <w:rPr>
                      <w:rFonts w:hint="default" w:ascii="Times New Roman" w:hAnsi="Times New Roman" w:cs="Times New Roman"/>
                      <w:spacing w:val="11"/>
                      <w:kern w:val="0"/>
                      <w:position w:val="0"/>
                      <w:szCs w:val="21"/>
                      <w:u w:val="single" w:color="auto"/>
                      <w:vertAlign w:val="superscript"/>
                    </w:rPr>
                    <w:t>3</w:t>
                  </w:r>
                  <w:r>
                    <w:rPr>
                      <w:rFonts w:hint="default" w:ascii="Times New Roman" w:hAnsi="Times New Roman" w:cs="Times New Roman"/>
                      <w:spacing w:val="11"/>
                      <w:kern w:val="0"/>
                      <w:position w:val="0"/>
                      <w:szCs w:val="21"/>
                      <w:u w:val="single" w:color="auto"/>
                    </w:rPr>
                    <w:t>：m</w:t>
                  </w:r>
                  <w:r>
                    <w:rPr>
                      <w:rFonts w:hint="default" w:ascii="Times New Roman" w:hAnsi="Times New Roman" w:cs="Times New Roman"/>
                      <w:spacing w:val="11"/>
                      <w:kern w:val="0"/>
                      <w:position w:val="0"/>
                      <w:szCs w:val="21"/>
                      <w:u w:val="single" w:color="auto"/>
                      <w:vertAlign w:val="superscript"/>
                    </w:rPr>
                    <w:t>3</w:t>
                  </w:r>
                  <w:r>
                    <w:rPr>
                      <w:rFonts w:hint="eastAsia" w:cs="Times New Roman"/>
                      <w:spacing w:val="11"/>
                      <w:kern w:val="0"/>
                      <w:position w:val="0"/>
                      <w:szCs w:val="21"/>
                      <w:u w:val="single" w:color="auto"/>
                      <w:lang w:eastAsia="zh-CN"/>
                    </w:rPr>
                    <w:t>）</w:t>
                  </w:r>
                  <w:r>
                    <w:rPr>
                      <w:rFonts w:hint="default" w:ascii="Times New Roman" w:hAnsi="Times New Roman" w:cs="Times New Roman"/>
                      <w:spacing w:val="11"/>
                      <w:kern w:val="0"/>
                      <w:position w:val="0"/>
                      <w:szCs w:val="21"/>
                      <w:u w:val="single" w:color="auto"/>
                    </w:rPr>
                    <w:t>。年开采规模为</w:t>
                  </w:r>
                  <w:r>
                    <w:rPr>
                      <w:rFonts w:hint="default" w:ascii="Times New Roman" w:hAnsi="Times New Roman" w:cs="Times New Roman"/>
                      <w:spacing w:val="11"/>
                      <w:kern w:val="0"/>
                      <w:position w:val="0"/>
                      <w:szCs w:val="21"/>
                      <w:u w:val="single" w:color="auto"/>
                      <w:lang w:val="en-US" w:eastAsia="zh-CN"/>
                    </w:rPr>
                    <w:t>6</w:t>
                  </w:r>
                  <w:r>
                    <w:rPr>
                      <w:rFonts w:hint="default" w:ascii="Times New Roman" w:hAnsi="Times New Roman" w:cs="Times New Roman"/>
                      <w:spacing w:val="11"/>
                      <w:kern w:val="0"/>
                      <w:position w:val="0"/>
                      <w:szCs w:val="21"/>
                      <w:u w:val="single" w:color="auto"/>
                    </w:rPr>
                    <w:t>0万吨。</w:t>
                  </w:r>
                </w:p>
              </w:tc>
              <w:tc>
                <w:tcPr>
                  <w:tcW w:w="643" w:type="pct"/>
                  <w:tcBorders>
                    <w:tl2br w:val="nil"/>
                    <w:tr2bl w:val="nil"/>
                  </w:tcBorders>
                  <w:noWrap w:val="0"/>
                  <w:vAlign w:val="center"/>
                </w:tcPr>
                <w:p w14:paraId="7C1BFF33">
                  <w:pPr>
                    <w:widowControl/>
                    <w:adjustRightInd w:val="0"/>
                    <w:snapToGrid w:val="0"/>
                    <w:jc w:val="center"/>
                    <w:rPr>
                      <w:rFonts w:hint="default" w:ascii="Times New Roman" w:hAnsi="Times New Roman" w:cs="Times New Roman"/>
                      <w:spacing w:val="11"/>
                      <w:kern w:val="0"/>
                      <w:position w:val="0"/>
                      <w:szCs w:val="21"/>
                      <w:u w:val="single" w:color="auto"/>
                    </w:rPr>
                  </w:pPr>
                  <w:r>
                    <w:rPr>
                      <w:rFonts w:hint="default" w:ascii="Times New Roman" w:hAnsi="Times New Roman" w:cs="Times New Roman"/>
                      <w:spacing w:val="11"/>
                      <w:kern w:val="0"/>
                      <w:position w:val="0"/>
                      <w:szCs w:val="21"/>
                      <w:u w:val="single" w:color="auto"/>
                    </w:rPr>
                    <w:t>符合</w:t>
                  </w:r>
                </w:p>
              </w:tc>
            </w:tr>
            <w:tr w14:paraId="570AFF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500" w:type="pct"/>
                  <w:tcBorders>
                    <w:tl2br w:val="nil"/>
                    <w:tr2bl w:val="nil"/>
                  </w:tcBorders>
                  <w:noWrap w:val="0"/>
                  <w:vAlign w:val="center"/>
                </w:tcPr>
                <w:p w14:paraId="524E00F1">
                  <w:pPr>
                    <w:adjustRightInd w:val="0"/>
                    <w:snapToGrid w:val="0"/>
                    <w:rPr>
                      <w:rFonts w:hint="default" w:ascii="Times New Roman" w:hAnsi="Times New Roman" w:cs="Times New Roman"/>
                      <w:spacing w:val="11"/>
                      <w:position w:val="0"/>
                      <w:u w:val="single" w:color="auto"/>
                    </w:rPr>
                  </w:pPr>
                  <w:r>
                    <w:rPr>
                      <w:rFonts w:hint="default" w:ascii="Times New Roman" w:hAnsi="Times New Roman" w:cs="Times New Roman"/>
                      <w:spacing w:val="11"/>
                      <w:position w:val="0"/>
                      <w:u w:val="single" w:color="auto"/>
                    </w:rPr>
                    <w:t>采矿工艺：①采用的生产技术应当符合相关技术标准、规范、规程的要求，拟建设的矿山工业设施应避让地质环境脆弱区和地质灾害危险区；②露天开采，实行自上而下台阶式开采，开采台阶高度小于15m，最低可采标高不低于矿区附近的最低地面标高；③选择合理的开采顺序、开采方法和选矿工艺，提高矿产资源利用率，开采回采率应达到主管部门核定的指标。</w:t>
                  </w:r>
                </w:p>
              </w:tc>
              <w:tc>
                <w:tcPr>
                  <w:tcW w:w="1855" w:type="pct"/>
                  <w:tcBorders>
                    <w:tl2br w:val="nil"/>
                    <w:tr2bl w:val="nil"/>
                  </w:tcBorders>
                  <w:noWrap w:val="0"/>
                  <w:vAlign w:val="center"/>
                </w:tcPr>
                <w:p w14:paraId="73F8231F">
                  <w:pPr>
                    <w:widowControl/>
                    <w:adjustRightInd w:val="0"/>
                    <w:snapToGrid w:val="0"/>
                    <w:rPr>
                      <w:rFonts w:hint="default" w:ascii="Times New Roman" w:hAnsi="Times New Roman" w:eastAsia="新宋体" w:cs="Times New Roman"/>
                      <w:spacing w:val="11"/>
                      <w:position w:val="0"/>
                      <w:szCs w:val="21"/>
                      <w:u w:val="single" w:color="auto"/>
                      <w:shd w:val="clear" w:color="auto" w:fill="FFFFFF"/>
                    </w:rPr>
                  </w:pPr>
                  <w:r>
                    <w:rPr>
                      <w:rFonts w:hint="default" w:ascii="Times New Roman" w:hAnsi="Times New Roman" w:cs="Times New Roman"/>
                      <w:spacing w:val="11"/>
                      <w:position w:val="0"/>
                      <w:u w:val="single" w:color="auto"/>
                    </w:rPr>
                    <w:t>根据《湖南省地壳稳定性分区图》</w:t>
                  </w:r>
                  <w:r>
                    <w:rPr>
                      <w:rFonts w:hint="default" w:ascii="Times New Roman" w:hAnsi="Times New Roman" w:cs="Times New Roman"/>
                      <w:spacing w:val="11"/>
                      <w:position w:val="0"/>
                      <w:szCs w:val="21"/>
                      <w:u w:val="single" w:color="auto"/>
                    </w:rPr>
                    <w:t>本项目</w:t>
                  </w:r>
                  <w:r>
                    <w:rPr>
                      <w:rFonts w:hint="default" w:ascii="Times New Roman" w:hAnsi="Times New Roman" w:cs="Times New Roman"/>
                      <w:spacing w:val="11"/>
                      <w:position w:val="0"/>
                      <w:u w:val="single" w:color="auto"/>
                    </w:rPr>
                    <w:t>为湘西南较稳定－稳定区；</w:t>
                  </w:r>
                  <w:r>
                    <w:rPr>
                      <w:rFonts w:hint="default" w:ascii="Times New Roman" w:hAnsi="Times New Roman" w:eastAsia="新宋体" w:cs="Times New Roman"/>
                      <w:spacing w:val="11"/>
                      <w:position w:val="0"/>
                      <w:szCs w:val="21"/>
                      <w:u w:val="single" w:color="auto"/>
                      <w:shd w:val="clear" w:color="auto" w:fill="FFFFFF"/>
                    </w:rPr>
                    <w:t>矿山开采选</w:t>
                  </w:r>
                  <w:r>
                    <w:rPr>
                      <w:rFonts w:hint="default" w:ascii="Times New Roman" w:hAnsi="Times New Roman" w:eastAsia="新宋体" w:cs="Times New Roman"/>
                      <w:spacing w:val="11"/>
                      <w:position w:val="0"/>
                      <w:szCs w:val="21"/>
                      <w:highlight w:val="none"/>
                      <w:u w:val="single" w:color="auto"/>
                      <w:shd w:val="clear" w:color="auto" w:fill="FFFFFF"/>
                    </w:rPr>
                    <w:t>用湿式凿岩工艺，</w:t>
                  </w:r>
                  <w:r>
                    <w:rPr>
                      <w:rFonts w:hint="default" w:ascii="Times New Roman" w:hAnsi="Times New Roman" w:cs="Times New Roman"/>
                      <w:spacing w:val="11"/>
                      <w:kern w:val="0"/>
                      <w:position w:val="0"/>
                      <w:szCs w:val="21"/>
                      <w:highlight w:val="none"/>
                      <w:u w:val="single" w:color="auto"/>
                    </w:rPr>
                    <w:t>限</w:t>
                  </w:r>
                  <w:r>
                    <w:rPr>
                      <w:rFonts w:hint="default" w:ascii="Times New Roman" w:hAnsi="Times New Roman" w:cs="Times New Roman"/>
                      <w:spacing w:val="11"/>
                      <w:kern w:val="0"/>
                      <w:position w:val="0"/>
                      <w:szCs w:val="21"/>
                      <w:u w:val="single" w:color="auto"/>
                    </w:rPr>
                    <w:t>制开采作业范围，</w:t>
                  </w:r>
                  <w:r>
                    <w:rPr>
                      <w:rFonts w:hint="default" w:ascii="Times New Roman" w:hAnsi="Times New Roman" w:eastAsia="新宋体" w:cs="Times New Roman"/>
                      <w:spacing w:val="11"/>
                      <w:position w:val="0"/>
                      <w:szCs w:val="21"/>
                      <w:u w:val="single" w:color="auto"/>
                      <w:shd w:val="clear" w:color="auto" w:fill="FFFFFF"/>
                    </w:rPr>
                    <w:t>实行自上而下分水平台阶式开采，</w:t>
                  </w:r>
                  <w:r>
                    <w:rPr>
                      <w:rFonts w:hint="default" w:ascii="Times New Roman" w:hAnsi="Times New Roman" w:eastAsia="新宋体" w:cs="Times New Roman"/>
                      <w:spacing w:val="11"/>
                      <w:position w:val="0"/>
                      <w:szCs w:val="21"/>
                      <w:u w:val="single" w:color="auto"/>
                      <w:shd w:val="clear" w:color="auto" w:fill="FFFFFF"/>
                      <w:lang w:val="en-US" w:eastAsia="zh-CN"/>
                    </w:rPr>
                    <w:t>矿区周边最低侵蚀基准面标高约为+290m，拟设采矿权开采标高为+387～+335m，最低开</w:t>
                  </w:r>
                </w:p>
                <w:p w14:paraId="6DAFB504">
                  <w:pPr>
                    <w:widowControl/>
                    <w:adjustRightInd w:val="0"/>
                    <w:snapToGrid w:val="0"/>
                    <w:rPr>
                      <w:rFonts w:hint="default" w:ascii="Times New Roman" w:hAnsi="Times New Roman" w:cs="Times New Roman"/>
                      <w:spacing w:val="11"/>
                      <w:kern w:val="0"/>
                      <w:position w:val="0"/>
                      <w:szCs w:val="21"/>
                      <w:u w:val="single" w:color="auto"/>
                    </w:rPr>
                  </w:pPr>
                  <w:r>
                    <w:rPr>
                      <w:rFonts w:hint="default" w:ascii="Times New Roman" w:hAnsi="Times New Roman" w:eastAsia="新宋体" w:cs="Times New Roman"/>
                      <w:spacing w:val="11"/>
                      <w:position w:val="0"/>
                      <w:szCs w:val="21"/>
                      <w:u w:val="single" w:color="auto"/>
                      <w:shd w:val="clear" w:color="auto" w:fill="FFFFFF"/>
                      <w:lang w:val="en-US" w:eastAsia="zh-CN"/>
                    </w:rPr>
                    <w:t>采标高位于当地最低侵蚀基准面之上</w:t>
                  </w:r>
                  <w:r>
                    <w:rPr>
                      <w:rFonts w:hint="default" w:ascii="Times New Roman" w:hAnsi="Times New Roman" w:cs="Times New Roman"/>
                      <w:spacing w:val="11"/>
                      <w:position w:val="0"/>
                      <w:u w:val="single" w:color="auto"/>
                    </w:rPr>
                    <w:t>；项目不涉及选矿，开采回采率98%。</w:t>
                  </w:r>
                </w:p>
              </w:tc>
              <w:tc>
                <w:tcPr>
                  <w:tcW w:w="643" w:type="pct"/>
                  <w:tcBorders>
                    <w:tl2br w:val="nil"/>
                    <w:tr2bl w:val="nil"/>
                  </w:tcBorders>
                  <w:noWrap w:val="0"/>
                  <w:vAlign w:val="center"/>
                </w:tcPr>
                <w:p w14:paraId="2BCABB5D">
                  <w:pPr>
                    <w:widowControl/>
                    <w:adjustRightInd w:val="0"/>
                    <w:snapToGrid w:val="0"/>
                    <w:jc w:val="center"/>
                    <w:rPr>
                      <w:rFonts w:hint="default" w:ascii="Times New Roman" w:hAnsi="Times New Roman" w:cs="Times New Roman"/>
                      <w:spacing w:val="11"/>
                      <w:kern w:val="0"/>
                      <w:position w:val="0"/>
                      <w:szCs w:val="21"/>
                      <w:u w:val="single" w:color="auto"/>
                    </w:rPr>
                  </w:pPr>
                  <w:r>
                    <w:rPr>
                      <w:rFonts w:hint="default" w:ascii="Times New Roman" w:hAnsi="Times New Roman" w:cs="Times New Roman"/>
                      <w:spacing w:val="11"/>
                      <w:kern w:val="0"/>
                      <w:position w:val="0"/>
                      <w:szCs w:val="21"/>
                      <w:u w:val="single" w:color="auto"/>
                    </w:rPr>
                    <w:t>符合</w:t>
                  </w:r>
                </w:p>
              </w:tc>
            </w:tr>
            <w:tr w14:paraId="1211D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500" w:type="pct"/>
                  <w:tcBorders>
                    <w:tl2br w:val="nil"/>
                    <w:tr2bl w:val="nil"/>
                  </w:tcBorders>
                  <w:noWrap w:val="0"/>
                  <w:vAlign w:val="center"/>
                </w:tcPr>
                <w:p w14:paraId="1C8491F4">
                  <w:pPr>
                    <w:adjustRightInd w:val="0"/>
                    <w:snapToGrid w:val="0"/>
                    <w:rPr>
                      <w:rFonts w:hint="default" w:ascii="Times New Roman" w:hAnsi="Times New Roman" w:eastAsia="宋体" w:cs="Times New Roman"/>
                      <w:spacing w:val="11"/>
                      <w:position w:val="0"/>
                      <w:u w:val="single" w:color="auto"/>
                      <w:lang w:eastAsia="zh-CN"/>
                    </w:rPr>
                  </w:pPr>
                  <w:r>
                    <w:rPr>
                      <w:rFonts w:hint="default" w:ascii="Times New Roman" w:hAnsi="Times New Roman" w:cs="Times New Roman"/>
                      <w:spacing w:val="11"/>
                      <w:position w:val="0"/>
                      <w:u w:val="single" w:color="auto"/>
                    </w:rPr>
                    <w:t>环境保护要求：①建立矿山地质环境恢复基金，坚持边开采、边治理、边恢复；②对剥离表土或筛分后渣土，用于环境治理、土地复垦复绿</w:t>
                  </w:r>
                  <w:r>
                    <w:rPr>
                      <w:rFonts w:hint="default" w:ascii="Times New Roman" w:hAnsi="Times New Roman" w:cs="Times New Roman"/>
                      <w:spacing w:val="11"/>
                      <w:position w:val="0"/>
                      <w:u w:val="single" w:color="auto"/>
                      <w:lang w:eastAsia="zh-CN"/>
                    </w:rPr>
                    <w:t>。</w:t>
                  </w:r>
                </w:p>
              </w:tc>
              <w:tc>
                <w:tcPr>
                  <w:tcW w:w="1855" w:type="pct"/>
                  <w:tcBorders>
                    <w:tl2br w:val="nil"/>
                    <w:tr2bl w:val="nil"/>
                  </w:tcBorders>
                  <w:noWrap w:val="0"/>
                  <w:vAlign w:val="center"/>
                </w:tcPr>
                <w:p w14:paraId="6F6380A2">
                  <w:pPr>
                    <w:widowControl/>
                    <w:adjustRightInd w:val="0"/>
                    <w:snapToGrid w:val="0"/>
                    <w:rPr>
                      <w:rFonts w:hint="default" w:ascii="Times New Roman" w:hAnsi="Times New Roman" w:cs="Times New Roman"/>
                      <w:spacing w:val="11"/>
                      <w:position w:val="0"/>
                      <w:u w:val="single" w:color="auto"/>
                    </w:rPr>
                  </w:pPr>
                  <w:r>
                    <w:rPr>
                      <w:rFonts w:hint="default" w:ascii="Times New Roman" w:hAnsi="Times New Roman" w:cs="Times New Roman"/>
                      <w:spacing w:val="11"/>
                      <w:position w:val="0"/>
                      <w:u w:val="single" w:color="auto"/>
                    </w:rPr>
                    <w:t>本项目按照</w:t>
                  </w:r>
                  <w:r>
                    <w:rPr>
                      <w:rFonts w:hint="default" w:ascii="Times New Roman" w:hAnsi="Times New Roman" w:cs="Times New Roman"/>
                      <w:spacing w:val="11"/>
                      <w:position w:val="0"/>
                      <w:szCs w:val="21"/>
                      <w:u w:val="single" w:color="auto"/>
                    </w:rPr>
                    <w:t>《</w:t>
                  </w:r>
                  <w:r>
                    <w:rPr>
                      <w:rFonts w:hint="default" w:ascii="Times New Roman" w:hAnsi="Times New Roman" w:cs="Times New Roman"/>
                      <w:spacing w:val="11"/>
                      <w:position w:val="0"/>
                      <w:szCs w:val="21"/>
                      <w:u w:val="single" w:color="auto"/>
                      <w:shd w:val="clear" w:color="auto" w:fill="FFFFFF"/>
                    </w:rPr>
                    <w:t>湖南省水泥行业绿色矿山标准（试行）</w:t>
                  </w:r>
                  <w:r>
                    <w:rPr>
                      <w:rFonts w:hint="default" w:ascii="Times New Roman" w:hAnsi="Times New Roman" w:cs="Times New Roman"/>
                      <w:spacing w:val="11"/>
                      <w:position w:val="0"/>
                      <w:szCs w:val="21"/>
                      <w:u w:val="single" w:color="auto"/>
                    </w:rPr>
                    <w:t>》、《矿山生态环境保护与污染防治技术政策》、</w:t>
                  </w:r>
                  <w:r>
                    <w:rPr>
                      <w:rFonts w:hint="default" w:ascii="Times New Roman" w:hAnsi="Times New Roman" w:cs="Times New Roman"/>
                      <w:spacing w:val="11"/>
                      <w:kern w:val="0"/>
                      <w:position w:val="0"/>
                      <w:szCs w:val="21"/>
                      <w:u w:val="single" w:color="auto"/>
                    </w:rPr>
                    <w:t>《矿山生态环境保护与污染防治技术政策》、《矿山生态环境保护与恢复治理技术规范（试行）》相关要求进行开采，剥离表土用于后期土地复垦。</w:t>
                  </w:r>
                </w:p>
              </w:tc>
              <w:tc>
                <w:tcPr>
                  <w:tcW w:w="643" w:type="pct"/>
                  <w:tcBorders>
                    <w:tl2br w:val="nil"/>
                    <w:tr2bl w:val="nil"/>
                  </w:tcBorders>
                  <w:noWrap w:val="0"/>
                  <w:vAlign w:val="center"/>
                </w:tcPr>
                <w:p w14:paraId="5611CA4C">
                  <w:pPr>
                    <w:widowControl/>
                    <w:adjustRightInd w:val="0"/>
                    <w:snapToGrid w:val="0"/>
                    <w:jc w:val="center"/>
                    <w:rPr>
                      <w:rFonts w:hint="default" w:ascii="Times New Roman" w:hAnsi="Times New Roman" w:cs="Times New Roman"/>
                      <w:spacing w:val="11"/>
                      <w:kern w:val="0"/>
                      <w:position w:val="0"/>
                      <w:szCs w:val="21"/>
                      <w:u w:val="single" w:color="auto"/>
                    </w:rPr>
                  </w:pPr>
                  <w:r>
                    <w:rPr>
                      <w:rFonts w:hint="default" w:ascii="Times New Roman" w:hAnsi="Times New Roman" w:cs="Times New Roman"/>
                      <w:spacing w:val="11"/>
                      <w:kern w:val="0"/>
                      <w:position w:val="0"/>
                      <w:szCs w:val="21"/>
                      <w:u w:val="single" w:color="auto"/>
                    </w:rPr>
                    <w:t>符合</w:t>
                  </w:r>
                </w:p>
              </w:tc>
            </w:tr>
            <w:tr w14:paraId="5F85E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500" w:type="pct"/>
                  <w:tcBorders>
                    <w:tl2br w:val="nil"/>
                    <w:tr2bl w:val="nil"/>
                  </w:tcBorders>
                  <w:noWrap w:val="0"/>
                  <w:vAlign w:val="center"/>
                </w:tcPr>
                <w:p w14:paraId="0FC3842F">
                  <w:pPr>
                    <w:adjustRightInd w:val="0"/>
                    <w:snapToGrid w:val="0"/>
                    <w:rPr>
                      <w:rFonts w:hint="default" w:ascii="Times New Roman" w:hAnsi="Times New Roman" w:eastAsia="宋体" w:cs="Times New Roman"/>
                      <w:spacing w:val="11"/>
                      <w:position w:val="0"/>
                      <w:u w:val="single" w:color="auto"/>
                    </w:rPr>
                  </w:pPr>
                  <w:r>
                    <w:rPr>
                      <w:rFonts w:hint="default" w:ascii="Times New Roman" w:hAnsi="Times New Roman" w:eastAsia="宋体" w:cs="Times New Roman"/>
                      <w:spacing w:val="11"/>
                      <w:position w:val="0"/>
                      <w:u w:val="single" w:color="auto"/>
                    </w:rPr>
                    <w:t>安全生产要求：①开采边界与公路（高速、国道、省道）、高压线、居民点、地面重要构筑物及其他采矿权的爆破安全距离不小于300m，铁路沿线两侧不少于1000m；②证照齐全有效，安全生产管理机构健全，配备有专职安全生产管理人员，安全生产责任制及安全管理到位；③对从业人员进行安全生产教育和培训，合格后方能上岗作业；④建立监测监控系统，实现生产、安全、环境、地质灾害等监测监控子系统的集中管控，保障安全生产。</w:t>
                  </w:r>
                </w:p>
              </w:tc>
              <w:tc>
                <w:tcPr>
                  <w:tcW w:w="1855" w:type="pct"/>
                  <w:tcBorders>
                    <w:tl2br w:val="nil"/>
                    <w:tr2bl w:val="nil"/>
                  </w:tcBorders>
                  <w:noWrap w:val="0"/>
                  <w:vAlign w:val="center"/>
                </w:tcPr>
                <w:p w14:paraId="22690073">
                  <w:pPr>
                    <w:widowControl/>
                    <w:adjustRightInd w:val="0"/>
                    <w:snapToGrid w:val="0"/>
                    <w:rPr>
                      <w:rFonts w:hint="default" w:ascii="Times New Roman" w:hAnsi="Times New Roman" w:eastAsia="宋体" w:cs="Times New Roman"/>
                      <w:spacing w:val="11"/>
                      <w:position w:val="0"/>
                      <w:u w:val="single" w:color="auto"/>
                    </w:rPr>
                  </w:pPr>
                  <w:r>
                    <w:rPr>
                      <w:rFonts w:hint="default" w:ascii="Times New Roman" w:hAnsi="Times New Roman" w:eastAsia="宋体" w:cs="Times New Roman"/>
                      <w:spacing w:val="11"/>
                      <w:position w:val="0"/>
                      <w:u w:val="single" w:color="auto"/>
                    </w:rPr>
                    <w:t>矿区爆破区300m范围内无公路（高速、国道、省道）、高压线、居民点（拆迁后无居民）、地面重要构筑物及其他采矿权、铁路</w:t>
                  </w:r>
                  <w:r>
                    <w:rPr>
                      <w:rFonts w:hint="default" w:ascii="Times New Roman" w:hAnsi="Times New Roman" w:eastAsia="宋体" w:cs="Times New Roman"/>
                      <w:color w:val="000000"/>
                      <w:spacing w:val="11"/>
                      <w:position w:val="0"/>
                      <w:u w:val="single" w:color="auto"/>
                    </w:rPr>
                    <w:t>；</w:t>
                  </w:r>
                  <w:r>
                    <w:rPr>
                      <w:rFonts w:hint="default" w:ascii="Times New Roman" w:hAnsi="Times New Roman" w:eastAsia="宋体" w:cs="Times New Roman"/>
                      <w:spacing w:val="11"/>
                      <w:position w:val="0"/>
                      <w:u w:val="single" w:color="auto"/>
                    </w:rPr>
                    <w:t>公司配备安全生产管理人员，爆破委托专业有资质爆破公司进行爆破；从业人员进行安全生产教育和培训，合格后方能上岗作业；施工期、运营期、退役期安排安全生产管理人员进行全程监控。</w:t>
                  </w:r>
                </w:p>
              </w:tc>
              <w:tc>
                <w:tcPr>
                  <w:tcW w:w="643" w:type="pct"/>
                  <w:tcBorders>
                    <w:tl2br w:val="nil"/>
                    <w:tr2bl w:val="nil"/>
                  </w:tcBorders>
                  <w:noWrap w:val="0"/>
                  <w:vAlign w:val="center"/>
                </w:tcPr>
                <w:p w14:paraId="470206CA">
                  <w:pPr>
                    <w:widowControl/>
                    <w:adjustRightInd w:val="0"/>
                    <w:snapToGrid w:val="0"/>
                    <w:jc w:val="center"/>
                    <w:rPr>
                      <w:rFonts w:hint="default" w:ascii="Times New Roman" w:hAnsi="Times New Roman" w:cs="Times New Roman"/>
                      <w:spacing w:val="11"/>
                      <w:kern w:val="0"/>
                      <w:position w:val="0"/>
                      <w:szCs w:val="21"/>
                      <w:u w:val="single" w:color="auto"/>
                    </w:rPr>
                  </w:pPr>
                  <w:r>
                    <w:rPr>
                      <w:rFonts w:hint="default" w:ascii="Times New Roman" w:hAnsi="Times New Roman" w:cs="Times New Roman"/>
                      <w:spacing w:val="11"/>
                      <w:kern w:val="0"/>
                      <w:position w:val="0"/>
                      <w:szCs w:val="21"/>
                      <w:u w:val="single" w:color="auto"/>
                    </w:rPr>
                    <w:t>符合</w:t>
                  </w:r>
                </w:p>
              </w:tc>
            </w:tr>
          </w:tbl>
          <w:p w14:paraId="63C5EB31">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textAlignment w:val="auto"/>
              <w:rPr>
                <w:rFonts w:hint="default" w:ascii="Times New Roman" w:hAnsi="Times New Roman" w:eastAsia="宋体" w:cs="Times New Roman"/>
                <w:color w:val="auto"/>
                <w:spacing w:val="11"/>
                <w:kern w:val="0"/>
                <w:position w:val="0"/>
                <w:sz w:val="24"/>
                <w:szCs w:val="24"/>
              </w:rPr>
            </w:pPr>
          </w:p>
        </w:tc>
      </w:tr>
      <w:tr w14:paraId="560EE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31" w:hRule="atLeast"/>
          <w:jc w:val="center"/>
        </w:trPr>
        <w:tc>
          <w:tcPr>
            <w:tcW w:w="2226" w:type="dxa"/>
            <w:tcBorders>
              <w:tl2br w:val="nil"/>
              <w:tr2bl w:val="nil"/>
            </w:tcBorders>
            <w:shd w:val="clear" w:color="auto" w:fill="auto"/>
            <w:noWrap w:val="0"/>
            <w:tcMar>
              <w:top w:w="16" w:type="dxa"/>
              <w:left w:w="16" w:type="dxa"/>
              <w:right w:w="16" w:type="dxa"/>
            </w:tcMar>
            <w:vAlign w:val="center"/>
          </w:tcPr>
          <w:p w14:paraId="352AB65A">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spacing w:val="11"/>
                <w:kern w:val="0"/>
                <w:position w:val="0"/>
                <w:sz w:val="24"/>
                <w:szCs w:val="24"/>
                <w:u w:val="none" w:color="auto"/>
                <w:lang w:val="en-US" w:eastAsia="zh-CN" w:bidi="ar-SA"/>
              </w:rPr>
            </w:pPr>
            <w:r>
              <w:rPr>
                <w:rFonts w:hint="default" w:ascii="Times New Roman" w:hAnsi="Times New Roman" w:eastAsia="宋体" w:cs="Times New Roman"/>
                <w:color w:val="000000"/>
                <w:spacing w:val="11"/>
                <w:kern w:val="0"/>
                <w:position w:val="0"/>
                <w:sz w:val="24"/>
                <w:szCs w:val="24"/>
                <w:u w:val="none" w:color="auto"/>
              </w:rPr>
              <w:t>其他符合性分析</w:t>
            </w:r>
          </w:p>
        </w:tc>
        <w:tc>
          <w:tcPr>
            <w:tcW w:w="6813" w:type="dxa"/>
            <w:gridSpan w:val="3"/>
            <w:tcBorders>
              <w:tl2br w:val="nil"/>
              <w:tr2bl w:val="nil"/>
            </w:tcBorders>
            <w:shd w:val="clear" w:color="auto" w:fill="auto"/>
            <w:noWrap w:val="0"/>
            <w:tcMar>
              <w:top w:w="16" w:type="dxa"/>
              <w:left w:w="16" w:type="dxa"/>
              <w:right w:w="16" w:type="dxa"/>
            </w:tcMar>
            <w:vAlign w:val="center"/>
          </w:tcPr>
          <w:p w14:paraId="386DCE65">
            <w:pPr>
              <w:pStyle w:val="26"/>
              <w:keepNext w:val="0"/>
              <w:keepLines w:val="0"/>
              <w:pageBreakBefore w:val="0"/>
              <w:widowControl w:val="0"/>
              <w:tabs>
                <w:tab w:val="center" w:pos="3313"/>
              </w:tabs>
              <w:kinsoku/>
              <w:wordWrap/>
              <w:overflowPunct/>
              <w:topLinePunct w:val="0"/>
              <w:autoSpaceDE/>
              <w:autoSpaceDN/>
              <w:bidi w:val="0"/>
              <w:adjustRightInd w:val="0"/>
              <w:snapToGrid w:val="0"/>
              <w:spacing w:before="157" w:beforeLines="50" w:line="360" w:lineRule="auto"/>
              <w:ind w:firstLine="526" w:firstLineChars="200"/>
              <w:textAlignment w:val="auto"/>
              <w:rPr>
                <w:rFonts w:hint="default" w:ascii="Times New Roman" w:hAnsi="Times New Roman" w:eastAsia="宋体" w:cs="Times New Roman"/>
                <w:color w:val="000000"/>
                <w:spacing w:val="11"/>
                <w:position w:val="0"/>
                <w:sz w:val="24"/>
                <w:szCs w:val="24"/>
                <w:u w:val="none" w:color="auto"/>
                <w:lang w:eastAsia="zh-CN"/>
              </w:rPr>
            </w:pPr>
            <w:bookmarkStart w:id="21" w:name="_Toc12729"/>
            <w:r>
              <w:rPr>
                <w:rFonts w:hint="default" w:ascii="Times New Roman" w:hAnsi="Times New Roman" w:eastAsia="宋体" w:cs="Times New Roman"/>
                <w:color w:val="000000"/>
                <w:spacing w:val="11"/>
                <w:position w:val="0"/>
                <w:sz w:val="24"/>
                <w:szCs w:val="24"/>
                <w:u w:val="none" w:color="auto"/>
                <w:lang w:val="en-US" w:eastAsia="zh-CN"/>
              </w:rPr>
              <w:t>1、</w:t>
            </w:r>
            <w:r>
              <w:rPr>
                <w:rFonts w:hint="default" w:ascii="Times New Roman" w:hAnsi="Times New Roman" w:eastAsia="宋体" w:cs="Times New Roman"/>
                <w:color w:val="000000"/>
                <w:spacing w:val="11"/>
                <w:position w:val="0"/>
                <w:sz w:val="24"/>
                <w:szCs w:val="24"/>
                <w:u w:val="none" w:color="auto"/>
              </w:rPr>
              <w:t>与产业政策</w:t>
            </w:r>
            <w:r>
              <w:rPr>
                <w:rFonts w:hint="default" w:ascii="Times New Roman" w:hAnsi="Times New Roman" w:eastAsia="宋体" w:cs="Times New Roman"/>
                <w:color w:val="000000"/>
                <w:spacing w:val="11"/>
                <w:position w:val="0"/>
                <w:sz w:val="24"/>
                <w:szCs w:val="24"/>
                <w:u w:val="none" w:color="auto"/>
                <w:lang w:val="en-US" w:eastAsia="zh-CN"/>
              </w:rPr>
              <w:t>相符</w:t>
            </w:r>
            <w:r>
              <w:rPr>
                <w:rFonts w:hint="default" w:ascii="Times New Roman" w:hAnsi="Times New Roman" w:eastAsia="宋体" w:cs="Times New Roman"/>
                <w:color w:val="000000"/>
                <w:spacing w:val="11"/>
                <w:position w:val="0"/>
                <w:sz w:val="24"/>
                <w:szCs w:val="24"/>
                <w:u w:val="none" w:color="auto"/>
              </w:rPr>
              <w:t>性分析</w:t>
            </w:r>
            <w:bookmarkEnd w:id="21"/>
            <w:r>
              <w:rPr>
                <w:rFonts w:hint="default" w:ascii="Times New Roman" w:hAnsi="Times New Roman" w:eastAsia="宋体" w:cs="Times New Roman"/>
                <w:color w:val="000000"/>
                <w:spacing w:val="11"/>
                <w:position w:val="0"/>
                <w:sz w:val="24"/>
                <w:szCs w:val="24"/>
                <w:u w:val="none" w:color="auto"/>
                <w:lang w:eastAsia="zh-CN"/>
              </w:rPr>
              <w:tab/>
            </w:r>
          </w:p>
          <w:p w14:paraId="2D35FE70">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lang w:val="en-US" w:eastAsia="zh-CN"/>
              </w:rPr>
              <w:t>本项目为建筑石料用灰岩开采项目，根据《产业结构调整指导目录》（2024年本）以及本项目工程设计资料可知</w:t>
            </w:r>
            <w:r>
              <w:rPr>
                <w:rFonts w:hint="default" w:ascii="Times New Roman" w:hAnsi="Times New Roman" w:eastAsia="宋体" w:cs="Times New Roman"/>
                <w:color w:val="000000"/>
                <w:spacing w:val="11"/>
                <w:position w:val="0"/>
                <w:sz w:val="24"/>
                <w:szCs w:val="24"/>
                <w:u w:val="none" w:color="auto"/>
              </w:rPr>
              <w:t>，</w:t>
            </w:r>
            <w:r>
              <w:rPr>
                <w:rFonts w:hint="default" w:ascii="Times New Roman" w:hAnsi="Times New Roman" w:eastAsia="宋体" w:cs="Times New Roman"/>
                <w:color w:val="000000"/>
                <w:spacing w:val="11"/>
                <w:position w:val="0"/>
                <w:sz w:val="24"/>
                <w:szCs w:val="24"/>
                <w:u w:val="none" w:color="auto"/>
                <w:lang w:eastAsia="zh-CN"/>
              </w:rPr>
              <w:t>该</w:t>
            </w:r>
            <w:r>
              <w:rPr>
                <w:rFonts w:hint="default" w:ascii="Times New Roman" w:hAnsi="Times New Roman" w:eastAsia="宋体" w:cs="Times New Roman"/>
                <w:color w:val="000000"/>
                <w:spacing w:val="11"/>
                <w:position w:val="0"/>
                <w:sz w:val="24"/>
                <w:szCs w:val="24"/>
                <w:u w:val="none" w:color="auto"/>
              </w:rPr>
              <w:t>项目采用露天开采，采用公路</w:t>
            </w:r>
            <w:r>
              <w:rPr>
                <w:rFonts w:hint="eastAsia" w:cs="Times New Roman"/>
                <w:color w:val="000000"/>
                <w:spacing w:val="11"/>
                <w:position w:val="0"/>
                <w:sz w:val="24"/>
                <w:szCs w:val="24"/>
                <w:u w:val="none" w:color="auto"/>
                <w:lang w:val="en-US" w:eastAsia="zh-CN"/>
              </w:rPr>
              <w:t>-</w:t>
            </w:r>
            <w:r>
              <w:rPr>
                <w:rFonts w:hint="default" w:ascii="Times New Roman" w:hAnsi="Times New Roman" w:eastAsia="宋体" w:cs="Times New Roman"/>
                <w:color w:val="000000"/>
                <w:spacing w:val="11"/>
                <w:position w:val="0"/>
                <w:sz w:val="24"/>
                <w:szCs w:val="24"/>
                <w:u w:val="none" w:color="auto"/>
              </w:rPr>
              <w:t>汽车运输开拓方式，深孔微差爆破、台阶式开采工艺，不涉及落后、淘汰工艺。矿山开采使用潜孔钻机、液压挖掘机和液压锤，爆破作业委托有资质的爆破公司承担</w:t>
            </w:r>
            <w:r>
              <w:rPr>
                <w:rFonts w:hint="default" w:ascii="Times New Roman" w:hAnsi="Times New Roman" w:cs="Times New Roman"/>
                <w:color w:val="000000"/>
                <w:spacing w:val="11"/>
                <w:position w:val="0"/>
                <w:sz w:val="24"/>
                <w:szCs w:val="24"/>
                <w:u w:val="none" w:color="auto"/>
                <w:lang w:eastAsia="zh-CN"/>
              </w:rPr>
              <w:t>。</w:t>
            </w:r>
            <w:r>
              <w:rPr>
                <w:rFonts w:hint="default" w:ascii="Times New Roman" w:hAnsi="Times New Roman" w:eastAsia="宋体" w:cs="Times New Roman"/>
                <w:color w:val="000000"/>
                <w:spacing w:val="11"/>
                <w:position w:val="0"/>
                <w:sz w:val="24"/>
                <w:szCs w:val="24"/>
                <w:u w:val="none" w:color="auto"/>
                <w:lang w:val="en-US" w:eastAsia="zh-CN"/>
              </w:rPr>
              <w:t>本项目已在新田县发展和改革局备案（新发改备案[2025]6号），项目代码为2501-431128-04-01-663806，备案证明详见附件</w:t>
            </w:r>
            <w:r>
              <w:rPr>
                <w:rFonts w:hint="default" w:ascii="Times New Roman" w:hAnsi="Times New Roman" w:eastAsia="宋体" w:cs="Times New Roman"/>
                <w:color w:val="000000"/>
                <w:spacing w:val="11"/>
                <w:position w:val="0"/>
                <w:sz w:val="24"/>
                <w:szCs w:val="24"/>
                <w:u w:val="none" w:color="auto"/>
              </w:rPr>
              <w:t>。</w:t>
            </w:r>
            <w:r>
              <w:rPr>
                <w:rFonts w:hint="default" w:ascii="Times New Roman" w:hAnsi="Times New Roman" w:eastAsia="宋体" w:cs="Times New Roman"/>
                <w:color w:val="000000"/>
                <w:spacing w:val="11"/>
                <w:position w:val="0"/>
                <w:sz w:val="24"/>
                <w:szCs w:val="24"/>
                <w:u w:val="none" w:color="auto"/>
                <w:lang w:val="en-US" w:eastAsia="zh-CN"/>
              </w:rPr>
              <w:t>故项目建设</w:t>
            </w:r>
            <w:r>
              <w:rPr>
                <w:rFonts w:hint="default" w:ascii="Times New Roman" w:hAnsi="Times New Roman" w:eastAsia="宋体" w:cs="Times New Roman"/>
                <w:color w:val="000000"/>
                <w:spacing w:val="11"/>
                <w:position w:val="0"/>
                <w:sz w:val="24"/>
                <w:szCs w:val="24"/>
                <w:u w:val="none" w:color="auto"/>
              </w:rPr>
              <w:t>符合国家及地方产业政策要求。</w:t>
            </w:r>
          </w:p>
          <w:p w14:paraId="4C3A2923">
            <w:pPr>
              <w:keepNext w:val="0"/>
              <w:keepLines w:val="0"/>
              <w:pageBreakBefore w:val="0"/>
              <w:widowControl w:val="0"/>
              <w:kinsoku/>
              <w:wordWrap/>
              <w:overflowPunct/>
              <w:topLinePunct w:val="0"/>
              <w:bidi w:val="0"/>
              <w:adjustRightInd w:val="0"/>
              <w:snapToGrid w:val="0"/>
              <w:spacing w:line="360" w:lineRule="auto"/>
              <w:ind w:firstLine="526" w:firstLineChars="200"/>
              <w:textAlignment w:val="auto"/>
              <w:rPr>
                <w:rFonts w:hint="default" w:ascii="Times New Roman" w:hAnsi="Times New Roman" w:cs="Times New Roman"/>
                <w:b/>
                <w:bCs/>
                <w:color w:val="000000"/>
                <w:spacing w:val="11"/>
                <w:kern w:val="0"/>
                <w:position w:val="0"/>
                <w:sz w:val="24"/>
                <w:u w:val="none" w:color="auto"/>
              </w:rPr>
            </w:pPr>
            <w:r>
              <w:rPr>
                <w:rFonts w:hint="default" w:ascii="Times New Roman" w:hAnsi="Times New Roman" w:eastAsia="宋体" w:cs="Times New Roman"/>
                <w:b/>
                <w:bCs/>
                <w:color w:val="000000"/>
                <w:spacing w:val="11"/>
                <w:position w:val="0"/>
                <w:sz w:val="24"/>
                <w:szCs w:val="24"/>
                <w:u w:val="none" w:color="auto"/>
                <w:lang w:val="en-US" w:eastAsia="zh-CN"/>
              </w:rPr>
              <w:t>2、</w:t>
            </w:r>
            <w:r>
              <w:rPr>
                <w:rFonts w:hint="default" w:ascii="Times New Roman" w:hAnsi="Times New Roman" w:cs="Times New Roman"/>
                <w:b/>
                <w:bCs/>
                <w:color w:val="000000"/>
                <w:spacing w:val="11"/>
                <w:kern w:val="0"/>
                <w:position w:val="0"/>
                <w:sz w:val="24"/>
                <w:u w:val="none" w:color="auto"/>
              </w:rPr>
              <w:t>《湖南省砂石行业绿色矿山标准》相符性分析</w:t>
            </w:r>
          </w:p>
          <w:p w14:paraId="3290BA8F">
            <w:pPr>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cs="Times New Roman"/>
                <w:color w:val="000000"/>
                <w:spacing w:val="11"/>
                <w:kern w:val="0"/>
                <w:position w:val="0"/>
                <w:sz w:val="24"/>
                <w:u w:val="none" w:color="auto"/>
              </w:rPr>
            </w:pPr>
            <w:r>
              <w:rPr>
                <w:rFonts w:hint="default" w:ascii="Times New Roman" w:hAnsi="Times New Roman" w:cs="Times New Roman"/>
                <w:color w:val="000000"/>
                <w:spacing w:val="11"/>
                <w:kern w:val="0"/>
                <w:position w:val="0"/>
                <w:sz w:val="24"/>
                <w:u w:val="none" w:color="auto"/>
              </w:rPr>
              <w:t>根据</w:t>
            </w:r>
            <w:r>
              <w:rPr>
                <w:rFonts w:hint="default" w:ascii="Times New Roman" w:hAnsi="Times New Roman" w:cs="Times New Roman"/>
                <w:bCs/>
                <w:color w:val="000000"/>
                <w:spacing w:val="11"/>
                <w:position w:val="0"/>
                <w:sz w:val="24"/>
                <w:u w:val="none" w:color="auto"/>
              </w:rPr>
              <w:t>《</w:t>
            </w:r>
            <w:r>
              <w:rPr>
                <w:rFonts w:hint="default" w:ascii="Times New Roman" w:hAnsi="Times New Roman" w:cs="Times New Roman"/>
                <w:color w:val="000000"/>
                <w:spacing w:val="11"/>
                <w:kern w:val="0"/>
                <w:position w:val="0"/>
                <w:sz w:val="24"/>
                <w:u w:val="none" w:color="auto"/>
              </w:rPr>
              <w:t>湖南省普通建筑材料用砂石土矿专项规划（2021~2025年）》及其规划环评和审查意见的要求新设矿山必须达到湖南省绿色矿山建设标准并经验收合格后方可生产。本项目与《湖南省砂石行业绿色矿山标准》的相符性见下表。</w:t>
            </w:r>
          </w:p>
          <w:p w14:paraId="72E7DF3A">
            <w:pPr>
              <w:keepNext w:val="0"/>
              <w:keepLines w:val="0"/>
              <w:pageBreakBefore w:val="0"/>
              <w:widowControl w:val="0"/>
              <w:kinsoku/>
              <w:wordWrap/>
              <w:overflowPunct/>
              <w:topLinePunct w:val="0"/>
              <w:bidi w:val="0"/>
              <w:adjustRightInd w:val="0"/>
              <w:snapToGrid w:val="0"/>
              <w:spacing w:line="240" w:lineRule="auto"/>
              <w:ind w:firstLine="466" w:firstLineChars="200"/>
              <w:jc w:val="center"/>
              <w:textAlignment w:val="auto"/>
              <w:rPr>
                <w:rFonts w:hint="default" w:ascii="Times New Roman" w:hAnsi="Times New Roman" w:cs="Times New Roman"/>
                <w:b/>
                <w:bCs/>
                <w:color w:val="000000"/>
                <w:spacing w:val="11"/>
                <w:kern w:val="0"/>
                <w:position w:val="0"/>
                <w:szCs w:val="21"/>
                <w:u w:val="none" w:color="auto"/>
              </w:rPr>
            </w:pPr>
          </w:p>
          <w:p w14:paraId="4C35911D">
            <w:pPr>
              <w:keepNext w:val="0"/>
              <w:keepLines w:val="0"/>
              <w:pageBreakBefore w:val="0"/>
              <w:widowControl w:val="0"/>
              <w:kinsoku/>
              <w:wordWrap/>
              <w:overflowPunct/>
              <w:topLinePunct w:val="0"/>
              <w:bidi w:val="0"/>
              <w:adjustRightInd w:val="0"/>
              <w:snapToGrid w:val="0"/>
              <w:spacing w:line="240" w:lineRule="auto"/>
              <w:ind w:firstLine="466" w:firstLineChars="200"/>
              <w:jc w:val="center"/>
              <w:textAlignment w:val="auto"/>
              <w:rPr>
                <w:rFonts w:hint="default" w:ascii="Times New Roman" w:hAnsi="Times New Roman" w:cs="Times New Roman"/>
                <w:b/>
                <w:bCs/>
                <w:color w:val="000000"/>
                <w:spacing w:val="11"/>
                <w:kern w:val="0"/>
                <w:position w:val="0"/>
                <w:szCs w:val="21"/>
                <w:u w:val="none" w:color="auto"/>
              </w:rPr>
            </w:pPr>
          </w:p>
          <w:p w14:paraId="56D7152A">
            <w:pPr>
              <w:keepNext w:val="0"/>
              <w:keepLines w:val="0"/>
              <w:pageBreakBefore w:val="0"/>
              <w:widowControl w:val="0"/>
              <w:kinsoku/>
              <w:wordWrap/>
              <w:overflowPunct/>
              <w:topLinePunct w:val="0"/>
              <w:bidi w:val="0"/>
              <w:adjustRightInd w:val="0"/>
              <w:snapToGrid w:val="0"/>
              <w:spacing w:line="240" w:lineRule="auto"/>
              <w:ind w:firstLine="466" w:firstLineChars="200"/>
              <w:jc w:val="center"/>
              <w:textAlignment w:val="auto"/>
              <w:rPr>
                <w:rFonts w:hint="default" w:ascii="Times New Roman" w:hAnsi="Times New Roman" w:cs="Times New Roman"/>
                <w:b/>
                <w:bCs/>
                <w:color w:val="000000"/>
                <w:spacing w:val="11"/>
                <w:kern w:val="0"/>
                <w:position w:val="0"/>
                <w:szCs w:val="21"/>
                <w:u w:val="none" w:color="auto"/>
              </w:rPr>
            </w:pPr>
            <w:r>
              <w:rPr>
                <w:rFonts w:hint="default" w:ascii="Times New Roman" w:hAnsi="Times New Roman" w:cs="Times New Roman"/>
                <w:b/>
                <w:bCs/>
                <w:color w:val="000000"/>
                <w:spacing w:val="11"/>
                <w:kern w:val="0"/>
                <w:position w:val="0"/>
                <w:szCs w:val="21"/>
                <w:u w:val="none" w:color="auto"/>
              </w:rPr>
              <w:t>表1-</w:t>
            </w:r>
            <w:r>
              <w:rPr>
                <w:rFonts w:hint="default" w:ascii="Times New Roman" w:hAnsi="Times New Roman" w:cs="Times New Roman"/>
                <w:b/>
                <w:bCs/>
                <w:color w:val="000000"/>
                <w:spacing w:val="11"/>
                <w:kern w:val="0"/>
                <w:position w:val="0"/>
                <w:szCs w:val="21"/>
                <w:u w:val="none" w:color="auto"/>
                <w:lang w:val="en-US" w:eastAsia="zh-CN"/>
              </w:rPr>
              <w:t>4</w:t>
            </w:r>
            <w:r>
              <w:rPr>
                <w:rFonts w:hint="default" w:ascii="Times New Roman" w:hAnsi="Times New Roman" w:cs="Times New Roman"/>
                <w:b/>
                <w:bCs/>
                <w:color w:val="000000"/>
                <w:spacing w:val="11"/>
                <w:kern w:val="0"/>
                <w:position w:val="0"/>
                <w:szCs w:val="21"/>
                <w:u w:val="none" w:color="auto"/>
              </w:rPr>
              <w:t xml:space="preserve">  本项目与《湖南省砂石行业绿色矿山标准》对照表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43"/>
              <w:gridCol w:w="2953"/>
              <w:gridCol w:w="682"/>
            </w:tblGrid>
            <w:tr w14:paraId="6532B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318" w:type="pct"/>
                  <w:tcBorders>
                    <w:tl2br w:val="nil"/>
                    <w:tr2bl w:val="nil"/>
                  </w:tcBorders>
                  <w:noWrap w:val="0"/>
                  <w:vAlign w:val="center"/>
                </w:tcPr>
                <w:p w14:paraId="0FA954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pacing w:val="11"/>
                      <w:kern w:val="0"/>
                      <w:position w:val="0"/>
                      <w:szCs w:val="21"/>
                      <w:u w:val="none" w:color="auto"/>
                    </w:rPr>
                  </w:pPr>
                  <w:r>
                    <w:rPr>
                      <w:rFonts w:hint="default" w:ascii="Times New Roman" w:hAnsi="Times New Roman" w:cs="Times New Roman"/>
                      <w:bCs/>
                      <w:color w:val="000000"/>
                      <w:spacing w:val="11"/>
                      <w:kern w:val="0"/>
                      <w:position w:val="0"/>
                      <w:szCs w:val="21"/>
                      <w:u w:val="none" w:color="auto"/>
                    </w:rPr>
                    <w:t>绿色矿山建设要求</w:t>
                  </w:r>
                </w:p>
              </w:tc>
              <w:tc>
                <w:tcPr>
                  <w:tcW w:w="2178" w:type="pct"/>
                  <w:tcBorders>
                    <w:tl2br w:val="nil"/>
                    <w:tr2bl w:val="nil"/>
                  </w:tcBorders>
                  <w:noWrap w:val="0"/>
                  <w:vAlign w:val="center"/>
                </w:tcPr>
                <w:p w14:paraId="188044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pacing w:val="11"/>
                      <w:kern w:val="0"/>
                      <w:position w:val="0"/>
                      <w:szCs w:val="21"/>
                      <w:u w:val="none" w:color="auto"/>
                    </w:rPr>
                  </w:pPr>
                  <w:r>
                    <w:rPr>
                      <w:rFonts w:hint="default" w:ascii="Times New Roman" w:hAnsi="Times New Roman" w:cs="Times New Roman"/>
                      <w:bCs/>
                      <w:color w:val="000000"/>
                      <w:spacing w:val="11"/>
                      <w:kern w:val="0"/>
                      <w:position w:val="0"/>
                      <w:szCs w:val="21"/>
                      <w:u w:val="none" w:color="auto"/>
                    </w:rPr>
                    <w:t>本项目的实际情况</w:t>
                  </w:r>
                </w:p>
              </w:tc>
              <w:tc>
                <w:tcPr>
                  <w:tcW w:w="503" w:type="pct"/>
                  <w:tcBorders>
                    <w:tl2br w:val="nil"/>
                    <w:tr2bl w:val="nil"/>
                  </w:tcBorders>
                  <w:noWrap w:val="0"/>
                  <w:vAlign w:val="center"/>
                </w:tcPr>
                <w:p w14:paraId="7B90C3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spacing w:val="11"/>
                      <w:kern w:val="0"/>
                      <w:position w:val="0"/>
                      <w:szCs w:val="21"/>
                      <w:u w:val="none" w:color="auto"/>
                    </w:rPr>
                  </w:pPr>
                  <w:r>
                    <w:rPr>
                      <w:rFonts w:hint="default" w:ascii="Times New Roman" w:hAnsi="Times New Roman" w:cs="Times New Roman"/>
                      <w:bCs/>
                      <w:color w:val="000000"/>
                      <w:spacing w:val="11"/>
                      <w:kern w:val="0"/>
                      <w:position w:val="0"/>
                      <w:szCs w:val="21"/>
                      <w:u w:val="none" w:color="auto"/>
                    </w:rPr>
                    <w:t>是否符合</w:t>
                  </w:r>
                </w:p>
              </w:tc>
            </w:tr>
            <w:tr w14:paraId="1883A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318" w:type="pct"/>
                  <w:tcBorders>
                    <w:tl2br w:val="nil"/>
                    <w:tr2bl w:val="nil"/>
                  </w:tcBorders>
                  <w:noWrap w:val="0"/>
                  <w:vAlign w:val="center"/>
                </w:tcPr>
                <w:p w14:paraId="4C96CE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Cs/>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一、</w:t>
                  </w:r>
                  <w:r>
                    <w:rPr>
                      <w:rFonts w:hint="default" w:ascii="Times New Roman" w:hAnsi="Times New Roman" w:cs="Times New Roman"/>
                      <w:bCs/>
                      <w:color w:val="000000"/>
                      <w:spacing w:val="11"/>
                      <w:kern w:val="0"/>
                      <w:position w:val="0"/>
                      <w:szCs w:val="21"/>
                      <w:u w:val="none" w:color="auto"/>
                    </w:rPr>
                    <w:t>矿区环境与生态修复相关要求</w:t>
                  </w:r>
                </w:p>
                <w:p w14:paraId="1A887F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1、矿区功能分区布局合理，矿区按开采区、生产区、管理区、生活区和生态区等功能分区。</w:t>
                  </w:r>
                </w:p>
                <w:p w14:paraId="121DCF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 xml:space="preserve">2、矿区地面道路、给排水、供电、卫生、环保等配套设施齐全；在生产区设置操作提示牌、说明牌、线路示意图牌等标牌，在需警示安全的区域应设置安全标志。 </w:t>
                  </w:r>
                </w:p>
                <w:p w14:paraId="59AE9D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3、矿区绿化应与周边自然环境和景观相协调，绿化植物搭配合理。矿区工业场地、办公生活区、永久边坡及台段、排土场（含临时)进行复垦及绿化，矿区专用道路两侧因地制宜设置隔离绿化带。可绿化区绿化覆盖率达到100%。</w:t>
                  </w:r>
                </w:p>
              </w:tc>
              <w:tc>
                <w:tcPr>
                  <w:tcW w:w="2178" w:type="pct"/>
                  <w:tcBorders>
                    <w:tl2br w:val="nil"/>
                    <w:tr2bl w:val="nil"/>
                  </w:tcBorders>
                  <w:noWrap w:val="0"/>
                  <w:vAlign w:val="center"/>
                </w:tcPr>
                <w:p w14:paraId="12CBB6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bCs/>
                      <w:color w:val="000000"/>
                      <w:spacing w:val="11"/>
                      <w:kern w:val="0"/>
                      <w:position w:val="0"/>
                      <w:szCs w:val="21"/>
                      <w:u w:val="none" w:color="auto"/>
                    </w:rPr>
                    <w:t>1、项目设置了开采区</w:t>
                  </w:r>
                  <w:r>
                    <w:rPr>
                      <w:rFonts w:hint="eastAsia" w:cs="Times New Roman"/>
                      <w:bCs/>
                      <w:color w:val="000000"/>
                      <w:spacing w:val="11"/>
                      <w:kern w:val="0"/>
                      <w:position w:val="0"/>
                      <w:szCs w:val="21"/>
                      <w:u w:val="none" w:color="auto"/>
                      <w:lang w:eastAsia="zh-CN"/>
                    </w:rPr>
                    <w:t>、</w:t>
                  </w:r>
                  <w:r>
                    <w:rPr>
                      <w:rFonts w:hint="eastAsia" w:cs="Times New Roman"/>
                      <w:bCs/>
                      <w:color w:val="000000"/>
                      <w:spacing w:val="11"/>
                      <w:kern w:val="0"/>
                      <w:position w:val="0"/>
                      <w:szCs w:val="21"/>
                      <w:u w:val="none" w:color="auto"/>
                      <w:lang w:val="en-US" w:eastAsia="zh-CN"/>
                    </w:rPr>
                    <w:t>加工区</w:t>
                  </w:r>
                  <w:r>
                    <w:rPr>
                      <w:rFonts w:hint="default" w:ascii="Times New Roman" w:hAnsi="Times New Roman" w:cs="Times New Roman"/>
                      <w:bCs/>
                      <w:color w:val="000000"/>
                      <w:spacing w:val="11"/>
                      <w:kern w:val="0"/>
                      <w:position w:val="0"/>
                      <w:szCs w:val="21"/>
                      <w:u w:val="none" w:color="auto"/>
                    </w:rPr>
                    <w:t>、生活区、办公区，项目平面布局统筹考虑了资源、环境、运输等因素合理布局。</w:t>
                  </w:r>
                </w:p>
                <w:p w14:paraId="7AC1D1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2、本项目矿区地面道路、给排水、供电、卫生、环保等配套设施</w:t>
                  </w:r>
                  <w:r>
                    <w:rPr>
                      <w:rFonts w:hint="eastAsia" w:cs="Times New Roman"/>
                      <w:color w:val="000000"/>
                      <w:spacing w:val="11"/>
                      <w:kern w:val="0"/>
                      <w:position w:val="0"/>
                      <w:szCs w:val="21"/>
                      <w:u w:val="none" w:color="auto"/>
                      <w:lang w:val="en-US" w:eastAsia="zh-CN"/>
                    </w:rPr>
                    <w:t>拟配套</w:t>
                  </w:r>
                  <w:r>
                    <w:rPr>
                      <w:rFonts w:hint="default" w:ascii="Times New Roman" w:hAnsi="Times New Roman" w:cs="Times New Roman"/>
                      <w:color w:val="000000"/>
                      <w:spacing w:val="11"/>
                      <w:kern w:val="0"/>
                      <w:position w:val="0"/>
                      <w:szCs w:val="21"/>
                      <w:u w:val="none" w:color="auto"/>
                    </w:rPr>
                    <w:t>齐全；拟在生产区设置操作提示牌、说明牌、线路示意图牌等标牌，在需警示安全的区域应设置安全标志。</w:t>
                  </w:r>
                </w:p>
                <w:p w14:paraId="0D790E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3、矿区复绿尽量采用本土植物种植绿化，做到与周边自然环境和景观相协调。采矿结束后对矿区进行复垦及绿化，道路两侧因地制宜设置隔离绿化带，可绿化区绿化覆盖率达到100%。</w:t>
                  </w:r>
                </w:p>
              </w:tc>
              <w:tc>
                <w:tcPr>
                  <w:tcW w:w="503" w:type="pct"/>
                  <w:tcBorders>
                    <w:tl2br w:val="nil"/>
                    <w:tr2bl w:val="nil"/>
                  </w:tcBorders>
                  <w:noWrap w:val="0"/>
                  <w:vAlign w:val="center"/>
                </w:tcPr>
                <w:p w14:paraId="4AD46F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符合</w:t>
                  </w:r>
                </w:p>
              </w:tc>
            </w:tr>
            <w:tr w14:paraId="73670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318" w:type="pct"/>
                  <w:tcBorders>
                    <w:tl2br w:val="nil"/>
                    <w:tr2bl w:val="nil"/>
                  </w:tcBorders>
                  <w:noWrap w:val="0"/>
                  <w:vAlign w:val="center"/>
                </w:tcPr>
                <w:p w14:paraId="115B63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二、资源开采相关要求</w:t>
                  </w:r>
                </w:p>
                <w:p w14:paraId="5ACA07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1、露天矿山应采用自上而下水平分层开采法，贯彻“采剥并举，剥离先行”的方针，矿石回采率应达到90%以上。</w:t>
                  </w:r>
                </w:p>
                <w:p w14:paraId="5207D0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2、根据《爆破安全规程》</w:t>
                  </w:r>
                  <w:r>
                    <w:rPr>
                      <w:rFonts w:hint="default" w:ascii="Times New Roman" w:hAnsi="Times New Roman" w:cs="Times New Roman"/>
                      <w:color w:val="000000"/>
                      <w:spacing w:val="11"/>
                      <w:kern w:val="0"/>
                      <w:position w:val="0"/>
                      <w:szCs w:val="21"/>
                      <w:u w:val="none" w:color="auto"/>
                      <w:lang w:eastAsia="zh-CN"/>
                    </w:rPr>
                    <w:t>（</w:t>
                  </w:r>
                  <w:r>
                    <w:rPr>
                      <w:rFonts w:hint="default" w:ascii="Times New Roman" w:hAnsi="Times New Roman" w:cs="Times New Roman"/>
                      <w:color w:val="000000"/>
                      <w:spacing w:val="11"/>
                      <w:kern w:val="0"/>
                      <w:position w:val="0"/>
                      <w:szCs w:val="21"/>
                      <w:u w:val="none" w:color="auto"/>
                    </w:rPr>
                    <w:t>GB6722</w:t>
                  </w:r>
                  <w:r>
                    <w:rPr>
                      <w:rFonts w:hint="default" w:ascii="Times New Roman" w:hAnsi="Times New Roman" w:cs="Times New Roman"/>
                      <w:color w:val="000000"/>
                      <w:spacing w:val="11"/>
                      <w:kern w:val="0"/>
                      <w:position w:val="0"/>
                      <w:szCs w:val="21"/>
                      <w:u w:val="none" w:color="auto"/>
                      <w:lang w:eastAsia="zh-CN"/>
                    </w:rPr>
                    <w:t>）</w:t>
                  </w:r>
                  <w:r>
                    <w:rPr>
                      <w:rFonts w:hint="default" w:ascii="Times New Roman" w:hAnsi="Times New Roman" w:cs="Times New Roman"/>
                      <w:color w:val="000000"/>
                      <w:spacing w:val="11"/>
                      <w:kern w:val="0"/>
                      <w:position w:val="0"/>
                      <w:szCs w:val="21"/>
                      <w:u w:val="none" w:color="auto"/>
                    </w:rPr>
                    <w:t>编制爆破方案，应采用深孔微差爆破技术；终了边坡应采用预裂爆破、光面爆破等控制爆破技术手段，降低爆破危害，为后续边坡复绿创造条件。</w:t>
                  </w:r>
                </w:p>
              </w:tc>
              <w:tc>
                <w:tcPr>
                  <w:tcW w:w="2178" w:type="pct"/>
                  <w:tcBorders>
                    <w:tl2br w:val="nil"/>
                    <w:tr2bl w:val="nil"/>
                  </w:tcBorders>
                  <w:noWrap w:val="0"/>
                  <w:vAlign w:val="center"/>
                </w:tcPr>
                <w:p w14:paraId="07BA42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1、本项目矿区露天矿山采用自上而下水平分层开采法，贯</w:t>
                  </w:r>
                  <w:r>
                    <w:rPr>
                      <w:rFonts w:hint="eastAsia" w:ascii="宋体" w:hAnsi="宋体" w:eastAsia="宋体" w:cs="宋体"/>
                      <w:color w:val="000000"/>
                      <w:spacing w:val="11"/>
                      <w:kern w:val="0"/>
                      <w:position w:val="0"/>
                      <w:szCs w:val="21"/>
                      <w:u w:val="none" w:color="auto"/>
                    </w:rPr>
                    <w:t>彻“采剥并举，剥离先行”的方</w:t>
                  </w:r>
                  <w:r>
                    <w:rPr>
                      <w:rFonts w:hint="default" w:ascii="Times New Roman" w:hAnsi="Times New Roman" w:cs="Times New Roman"/>
                      <w:color w:val="000000"/>
                      <w:spacing w:val="11"/>
                      <w:kern w:val="0"/>
                      <w:position w:val="0"/>
                      <w:szCs w:val="21"/>
                      <w:u w:val="none" w:color="auto"/>
                    </w:rPr>
                    <w:t>针，矿石回采率达到98%。</w:t>
                  </w:r>
                </w:p>
                <w:p w14:paraId="7FA202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2、本矿山委托专业爆破公司编制爆破作业方案，深孔微差爆破技术进行爆破作业</w:t>
                  </w:r>
                  <w:r>
                    <w:rPr>
                      <w:rFonts w:hint="default" w:ascii="Times New Roman" w:hAnsi="Times New Roman" w:cs="Times New Roman"/>
                      <w:iCs/>
                      <w:color w:val="000000"/>
                      <w:spacing w:val="11"/>
                      <w:kern w:val="0"/>
                      <w:position w:val="0"/>
                      <w:szCs w:val="21"/>
                      <w:u w:val="none" w:color="auto"/>
                    </w:rPr>
                    <w:t>。</w:t>
                  </w:r>
                </w:p>
              </w:tc>
              <w:tc>
                <w:tcPr>
                  <w:tcW w:w="503" w:type="pct"/>
                  <w:tcBorders>
                    <w:tl2br w:val="nil"/>
                    <w:tr2bl w:val="nil"/>
                  </w:tcBorders>
                  <w:noWrap w:val="0"/>
                  <w:vAlign w:val="center"/>
                </w:tcPr>
                <w:p w14:paraId="14DCA5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符合</w:t>
                  </w:r>
                </w:p>
              </w:tc>
            </w:tr>
            <w:tr w14:paraId="01CD91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318" w:type="pct"/>
                  <w:tcBorders>
                    <w:tl2br w:val="nil"/>
                    <w:tr2bl w:val="nil"/>
                  </w:tcBorders>
                  <w:noWrap w:val="0"/>
                  <w:vAlign w:val="top"/>
                </w:tcPr>
                <w:p w14:paraId="137F0E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三、绿色生产</w:t>
                  </w:r>
                </w:p>
                <w:p w14:paraId="514BEB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1、根据自然资源主管部门颁发的采矿许可证规定的生产规模进行矿山开采，以及目标市场容量需求确定生产线规模、产品类型。正常生产时，人均功效不低于100t/d或2.5万t/a。</w:t>
                  </w:r>
                </w:p>
                <w:p w14:paraId="07E040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2、干法生产应配备高效除尘设备，并保持与生产设备同步运行。湿法生产应配置泥粉和水分离、废水处理和循环使用系统。</w:t>
                  </w:r>
                </w:p>
                <w:p w14:paraId="227909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3、砂石骨料成品堆场(库）应地面硬化和封闭，分类或分仓储存。</w:t>
                  </w:r>
                </w:p>
                <w:p w14:paraId="56C7AD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4、矿山道路设计符合《厂矿道路设计规范》(GBJ 22)的有关规定，主要运矿道路应采用硬化路面。车辆驶离矿区前应冲洗，做到车辆不带泥上路、途中物料不撒落。</w:t>
                  </w:r>
                </w:p>
              </w:tc>
              <w:tc>
                <w:tcPr>
                  <w:tcW w:w="2178" w:type="pct"/>
                  <w:tcBorders>
                    <w:tl2br w:val="nil"/>
                    <w:tr2bl w:val="nil"/>
                  </w:tcBorders>
                  <w:noWrap w:val="0"/>
                  <w:vAlign w:val="center"/>
                </w:tcPr>
                <w:p w14:paraId="0091A6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highlight w:val="none"/>
                      <w:u w:val="none" w:color="auto"/>
                    </w:rPr>
                  </w:pPr>
                  <w:r>
                    <w:rPr>
                      <w:rFonts w:hint="default" w:ascii="Times New Roman" w:hAnsi="Times New Roman" w:cs="Times New Roman"/>
                      <w:color w:val="000000"/>
                      <w:spacing w:val="11"/>
                      <w:kern w:val="0"/>
                      <w:position w:val="0"/>
                      <w:szCs w:val="21"/>
                      <w:u w:val="none" w:color="auto"/>
                    </w:rPr>
                    <w:t>1、本项目已取得采矿权证，采矿生产规模</w:t>
                  </w:r>
                  <w:r>
                    <w:rPr>
                      <w:rFonts w:hint="default" w:ascii="Times New Roman" w:hAnsi="Times New Roman" w:cs="Times New Roman"/>
                      <w:color w:val="000000"/>
                      <w:spacing w:val="11"/>
                      <w:kern w:val="0"/>
                      <w:position w:val="0"/>
                      <w:szCs w:val="21"/>
                      <w:u w:val="none" w:color="auto"/>
                      <w:lang w:val="en-US" w:eastAsia="zh-CN"/>
                    </w:rPr>
                    <w:t>6</w:t>
                  </w:r>
                  <w:r>
                    <w:rPr>
                      <w:rFonts w:hint="default" w:ascii="Times New Roman" w:hAnsi="Times New Roman" w:cs="Times New Roman"/>
                      <w:color w:val="000000"/>
                      <w:spacing w:val="11"/>
                      <w:kern w:val="0"/>
                      <w:position w:val="0"/>
                      <w:szCs w:val="21"/>
                      <w:u w:val="none" w:color="auto"/>
                    </w:rPr>
                    <w:t>0万吨/年，正常生产时，人均功效不低于100t/d或2.5</w:t>
                  </w:r>
                  <w:r>
                    <w:rPr>
                      <w:rFonts w:hint="default" w:ascii="Times New Roman" w:hAnsi="Times New Roman" w:cs="Times New Roman"/>
                      <w:color w:val="000000"/>
                      <w:spacing w:val="11"/>
                      <w:kern w:val="0"/>
                      <w:position w:val="0"/>
                      <w:szCs w:val="21"/>
                      <w:highlight w:val="none"/>
                      <w:u w:val="none" w:color="auto"/>
                    </w:rPr>
                    <w:t>万t/a。</w:t>
                  </w:r>
                </w:p>
                <w:p w14:paraId="4E5957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highlight w:val="none"/>
                      <w:u w:val="none" w:color="auto"/>
                    </w:rPr>
                    <w:t>2、本项目矿山道路按照《厂矿道路设计规范》(GBJ 22)的有关规定的要求进行设计建设，</w:t>
                  </w:r>
                  <w:r>
                    <w:rPr>
                      <w:rFonts w:hint="default" w:ascii="Times New Roman" w:hAnsi="Times New Roman" w:cs="Times New Roman"/>
                      <w:color w:val="000000"/>
                      <w:spacing w:val="11"/>
                      <w:kern w:val="0"/>
                      <w:position w:val="0"/>
                      <w:szCs w:val="21"/>
                      <w:highlight w:val="none"/>
                      <w:u w:val="none" w:color="auto"/>
                      <w:lang w:val="en-US" w:eastAsia="zh-CN"/>
                    </w:rPr>
                    <w:t>主要运矿道路采用硬化路面。车辆驶离矿区前冲洗，做到车辆不带泥上路、途中物料不撒落。</w:t>
                  </w:r>
                </w:p>
              </w:tc>
              <w:tc>
                <w:tcPr>
                  <w:tcW w:w="503" w:type="pct"/>
                  <w:tcBorders>
                    <w:tl2br w:val="nil"/>
                    <w:tr2bl w:val="nil"/>
                  </w:tcBorders>
                  <w:noWrap w:val="0"/>
                  <w:vAlign w:val="center"/>
                </w:tcPr>
                <w:p w14:paraId="6BD224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符合</w:t>
                  </w:r>
                </w:p>
              </w:tc>
            </w:tr>
            <w:tr w14:paraId="44384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318" w:type="pct"/>
                  <w:tcBorders>
                    <w:tl2br w:val="nil"/>
                    <w:tr2bl w:val="nil"/>
                  </w:tcBorders>
                  <w:noWrap w:val="0"/>
                  <w:vAlign w:val="center"/>
                </w:tcPr>
                <w:p w14:paraId="25A300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资源综合利用</w:t>
                  </w:r>
                </w:p>
                <w:p w14:paraId="5C8A9E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1、对剥离表土或筛分后的渣土，用于环境治理、土地复垦和复绿。干法生产中石粉收集后应充分合理利用。泥用硅质原料等。湿法生产中的沉淀泥浆经脱水干化后形成的泥粉或泥饼，可用于新型墙体材料、土地复垦和土壤改良等。剥离表土(风化层）后，砂石矿山资源综合利用率不低于95%。固体废弃物妥善处置率达到100%</w:t>
                  </w:r>
                  <w:r>
                    <w:rPr>
                      <w:rFonts w:hint="eastAsia" w:cs="Times New Roman"/>
                      <w:color w:val="000000"/>
                      <w:spacing w:val="11"/>
                      <w:kern w:val="0"/>
                      <w:position w:val="0"/>
                      <w:szCs w:val="21"/>
                      <w:u w:val="none" w:color="auto"/>
                      <w:lang w:eastAsia="zh-CN"/>
                    </w:rPr>
                    <w:t>，</w:t>
                  </w:r>
                  <w:r>
                    <w:rPr>
                      <w:rFonts w:hint="default" w:ascii="Times New Roman" w:hAnsi="Times New Roman" w:cs="Times New Roman"/>
                      <w:color w:val="000000"/>
                      <w:spacing w:val="11"/>
                      <w:kern w:val="0"/>
                      <w:position w:val="0"/>
                      <w:szCs w:val="21"/>
                      <w:u w:val="none" w:color="auto"/>
                    </w:rPr>
                    <w:t>满足环保、安全、监测等相关要求。</w:t>
                  </w:r>
                </w:p>
                <w:p w14:paraId="02DC6A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2、矿山应对采矿场、排土场的防洪排水进行整体规划，建设截洪沟、沉砂池等设施，符合水土保持方案要求。对收集的地表径流水和矿坑排水，经处理后用于厂区绿化和厂区生产。</w:t>
                  </w:r>
                </w:p>
                <w:p w14:paraId="3905AF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3、厂区配备完善的生产废水处理系统，经过固液分离处理的清水应100%循环利用。</w:t>
                  </w:r>
                </w:p>
              </w:tc>
              <w:tc>
                <w:tcPr>
                  <w:tcW w:w="2178" w:type="pct"/>
                  <w:tcBorders>
                    <w:tl2br w:val="nil"/>
                    <w:tr2bl w:val="nil"/>
                  </w:tcBorders>
                  <w:noWrap w:val="0"/>
                  <w:vAlign w:val="center"/>
                </w:tcPr>
                <w:p w14:paraId="440FC3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color w:val="000000"/>
                      <w:spacing w:val="11"/>
                      <w:kern w:val="0"/>
                      <w:position w:val="0"/>
                      <w:szCs w:val="21"/>
                      <w:highlight w:val="none"/>
                      <w:u w:val="none" w:color="auto"/>
                      <w:lang w:eastAsia="zh-CN"/>
                    </w:rPr>
                  </w:pPr>
                  <w:r>
                    <w:rPr>
                      <w:rFonts w:hint="default" w:ascii="Times New Roman" w:hAnsi="Times New Roman" w:cs="Times New Roman"/>
                      <w:color w:val="000000"/>
                      <w:spacing w:val="11"/>
                      <w:kern w:val="0"/>
                      <w:position w:val="0"/>
                      <w:szCs w:val="21"/>
                      <w:highlight w:val="none"/>
                      <w:u w:val="none" w:color="auto"/>
                    </w:rPr>
                    <w:t>1、项目设置排土场，剥离</w:t>
                  </w:r>
                  <w:r>
                    <w:rPr>
                      <w:rFonts w:hint="eastAsia" w:cs="Times New Roman"/>
                      <w:color w:val="000000"/>
                      <w:spacing w:val="11"/>
                      <w:kern w:val="0"/>
                      <w:position w:val="0"/>
                      <w:szCs w:val="21"/>
                      <w:highlight w:val="none"/>
                      <w:u w:val="none" w:color="auto"/>
                      <w:lang w:val="en-US" w:eastAsia="zh-CN"/>
                    </w:rPr>
                    <w:t>物</w:t>
                  </w:r>
                  <w:r>
                    <w:rPr>
                      <w:rFonts w:hint="default" w:ascii="Times New Roman" w:hAnsi="Times New Roman" w:cs="Times New Roman"/>
                      <w:color w:val="000000"/>
                      <w:spacing w:val="11"/>
                      <w:kern w:val="0"/>
                      <w:position w:val="0"/>
                      <w:szCs w:val="21"/>
                      <w:highlight w:val="none"/>
                      <w:u w:val="none" w:color="auto"/>
                    </w:rPr>
                    <w:t>堆存于排土场，后期用于矿区环境治理、土地复垦和复绿。剥离表土中不能复绿的废石废土部分用于</w:t>
                  </w:r>
                  <w:r>
                    <w:rPr>
                      <w:rFonts w:hint="default" w:ascii="Times New Roman" w:hAnsi="Times New Roman" w:cs="Times New Roman"/>
                      <w:color w:val="000000"/>
                      <w:spacing w:val="11"/>
                      <w:kern w:val="0"/>
                      <w:position w:val="0"/>
                      <w:szCs w:val="21"/>
                      <w:highlight w:val="none"/>
                      <w:u w:val="none" w:color="auto"/>
                      <w:lang w:val="en-US" w:eastAsia="zh-CN"/>
                    </w:rPr>
                    <w:t>采坑回填材料</w:t>
                  </w:r>
                  <w:r>
                    <w:rPr>
                      <w:rFonts w:hint="default" w:ascii="Times New Roman" w:hAnsi="Times New Roman" w:cs="Times New Roman"/>
                      <w:color w:val="000000"/>
                      <w:spacing w:val="11"/>
                      <w:kern w:val="0"/>
                      <w:position w:val="0"/>
                      <w:szCs w:val="21"/>
                      <w:highlight w:val="none"/>
                      <w:u w:val="none" w:color="auto"/>
                    </w:rPr>
                    <w:t>，表土均用于矿区环境治理、土地复垦和复绿</w:t>
                  </w:r>
                  <w:r>
                    <w:rPr>
                      <w:rFonts w:hint="eastAsia" w:cs="Times New Roman"/>
                      <w:color w:val="000000"/>
                      <w:spacing w:val="11"/>
                      <w:kern w:val="0"/>
                      <w:position w:val="0"/>
                      <w:szCs w:val="21"/>
                      <w:highlight w:val="none"/>
                      <w:u w:val="none" w:color="auto"/>
                      <w:lang w:eastAsia="zh-CN"/>
                    </w:rPr>
                    <w:t>，沉淀池沉渣定期清理</w:t>
                  </w:r>
                  <w:r>
                    <w:rPr>
                      <w:rFonts w:hint="eastAsia" w:cs="Times New Roman"/>
                      <w:color w:val="000000"/>
                      <w:spacing w:val="11"/>
                      <w:kern w:val="0"/>
                      <w:position w:val="0"/>
                      <w:szCs w:val="21"/>
                      <w:highlight w:val="none"/>
                      <w:u w:val="none" w:color="auto"/>
                      <w:lang w:val="en-US" w:eastAsia="zh-CN"/>
                    </w:rPr>
                    <w:t>自然风干</w:t>
                  </w:r>
                  <w:r>
                    <w:rPr>
                      <w:rFonts w:hint="eastAsia" w:cs="Times New Roman"/>
                      <w:color w:val="000000"/>
                      <w:spacing w:val="11"/>
                      <w:kern w:val="0"/>
                      <w:position w:val="0"/>
                      <w:szCs w:val="21"/>
                      <w:highlight w:val="none"/>
                      <w:u w:val="none" w:color="auto"/>
                      <w:lang w:eastAsia="zh-CN"/>
                    </w:rPr>
                    <w:t>后运至排土场</w:t>
                  </w:r>
                  <w:r>
                    <w:rPr>
                      <w:rFonts w:hint="eastAsia" w:cs="Times New Roman"/>
                      <w:color w:val="000000"/>
                      <w:spacing w:val="11"/>
                      <w:kern w:val="0"/>
                      <w:position w:val="0"/>
                      <w:szCs w:val="21"/>
                      <w:highlight w:val="none"/>
                      <w:u w:val="none" w:color="auto"/>
                      <w:lang w:val="en-US" w:eastAsia="zh-CN"/>
                    </w:rPr>
                    <w:t>堆存</w:t>
                  </w:r>
                  <w:r>
                    <w:rPr>
                      <w:rFonts w:hint="eastAsia" w:cs="Times New Roman"/>
                      <w:color w:val="000000"/>
                      <w:spacing w:val="11"/>
                      <w:kern w:val="0"/>
                      <w:position w:val="0"/>
                      <w:szCs w:val="21"/>
                      <w:highlight w:val="none"/>
                      <w:u w:val="none" w:color="auto"/>
                      <w:lang w:eastAsia="zh-CN"/>
                    </w:rPr>
                    <w:t>。</w:t>
                  </w:r>
                </w:p>
                <w:p w14:paraId="0110E0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highlight w:val="none"/>
                      <w:u w:val="none" w:color="auto"/>
                    </w:rPr>
                  </w:pPr>
                  <w:r>
                    <w:rPr>
                      <w:rFonts w:hint="default" w:ascii="Times New Roman" w:hAnsi="Times New Roman" w:cs="Times New Roman"/>
                      <w:color w:val="000000"/>
                      <w:spacing w:val="11"/>
                      <w:kern w:val="0"/>
                      <w:position w:val="0"/>
                      <w:szCs w:val="21"/>
                      <w:highlight w:val="none"/>
                      <w:u w:val="none" w:color="auto"/>
                    </w:rPr>
                    <w:t>，利用率可达100%，各类固体废弃物均能妥善处置，处置率可达到100%。</w:t>
                  </w:r>
                </w:p>
                <w:p w14:paraId="2DCDEE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highlight w:val="none"/>
                      <w:u w:val="none" w:color="auto"/>
                    </w:rPr>
                  </w:pPr>
                  <w:r>
                    <w:rPr>
                      <w:rFonts w:hint="default" w:ascii="Times New Roman" w:hAnsi="Times New Roman" w:cs="Times New Roman"/>
                      <w:color w:val="000000"/>
                      <w:spacing w:val="11"/>
                      <w:kern w:val="0"/>
                      <w:position w:val="0"/>
                      <w:szCs w:val="21"/>
                      <w:highlight w:val="none"/>
                      <w:u w:val="none" w:color="auto"/>
                    </w:rPr>
                    <w:t>2、本项目编制了资源开发利用方案，对采矿场、排土场的防洪排水进行整体规划，在采矿场及排土场周边规划建设截洪沟、沉淀池等设施，符合水土保持方案要求。对收集的地表径流水和矿坑排水，经处理沉淀池处理后用于厂区降尘。</w:t>
                  </w:r>
                </w:p>
                <w:p w14:paraId="74C711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highlight w:val="none"/>
                      <w:u w:val="none" w:color="auto"/>
                    </w:rPr>
                    <w:t>3、洗车废水设置沉淀池处理循环使用。</w:t>
                  </w:r>
                </w:p>
              </w:tc>
              <w:tc>
                <w:tcPr>
                  <w:tcW w:w="503" w:type="pct"/>
                  <w:tcBorders>
                    <w:tl2br w:val="nil"/>
                    <w:tr2bl w:val="nil"/>
                  </w:tcBorders>
                  <w:noWrap w:val="0"/>
                  <w:vAlign w:val="center"/>
                </w:tcPr>
                <w:p w14:paraId="08546F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符合</w:t>
                  </w:r>
                </w:p>
              </w:tc>
            </w:tr>
            <w:tr w14:paraId="71B4C6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318" w:type="pct"/>
                  <w:tcBorders>
                    <w:tl2br w:val="nil"/>
                    <w:tr2bl w:val="nil"/>
                  </w:tcBorders>
                  <w:noWrap w:val="0"/>
                  <w:vAlign w:val="center"/>
                </w:tcPr>
                <w:p w14:paraId="03FF5A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减排降污</w:t>
                  </w:r>
                </w:p>
                <w:p w14:paraId="0A5C78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1、矿区的生活污水单独收集，经无害化处理后达标排放或委托有资质单位外运处理。生产中产生的废油要集中收集，设置独立的场所存放，并交有资质单位处理。</w:t>
                  </w:r>
                </w:p>
                <w:p w14:paraId="291746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2、矿区配置洒水车、高压喷雾车等设备，对无组织排放粉尘进行固尘、抑尘、降尘。</w:t>
                  </w:r>
                </w:p>
                <w:p w14:paraId="73BE79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根据产尘点的粉尘浓度和特性，在穿孔凿岩机、装载机、破碎机、筛分机、整形机、制砂机、输送机等设备连续产生粉尘部位安装相应的高效节能除尘装置。生产加工车间的产尘点要封闭，有利于形成负压除尘；皮带运输系统廊道应选用封闭方式，防止粉尘逸散。设立局部废气收集系统和集中净化处理装置，减少废气排放。存在尾气排放的设备装置，其废气排放标准符合《大气污染物综合排放标准》(GB 16297)。</w:t>
                  </w:r>
                </w:p>
                <w:p w14:paraId="6F40FE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3、合理设计工艺布置，控制噪声传播。选用低噪声生产设备；对高噪强振的设备，应采取消声、减振措施；矿山主要采掘、运输设备应设置密闭驾驶室；工业企业厂界噪声排放限值符合《工业企业厂界环境噪声排放标准》(GB 12348)的要求，若矿区位于未划分声环境功能区的区域，当厂界外有噪声敏感建筑物时，可参照《声环境质量标准》(GB 3096)的规定确定厂界外区域的声环境质量要求，并执行相应的厂界环境噪声排放限值。</w:t>
                  </w:r>
                </w:p>
                <w:p w14:paraId="4FFDA8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4、建立粉尘、噪声监测网络与评价制度，编制监测控制方案，并针对监测控制对象定期组织第三方监测和自我监测。</w:t>
                  </w:r>
                </w:p>
              </w:tc>
              <w:tc>
                <w:tcPr>
                  <w:tcW w:w="2178" w:type="pct"/>
                  <w:tcBorders>
                    <w:tl2br w:val="nil"/>
                    <w:tr2bl w:val="nil"/>
                  </w:tcBorders>
                  <w:noWrap w:val="0"/>
                  <w:vAlign w:val="top"/>
                </w:tcPr>
                <w:p w14:paraId="0E3755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highlight w:val="none"/>
                      <w:u w:val="none" w:color="auto"/>
                    </w:rPr>
                  </w:pPr>
                  <w:r>
                    <w:rPr>
                      <w:rFonts w:hint="default" w:ascii="Times New Roman" w:hAnsi="Times New Roman" w:cs="Times New Roman"/>
                      <w:color w:val="000000"/>
                      <w:spacing w:val="11"/>
                      <w:kern w:val="0"/>
                      <w:position w:val="0"/>
                      <w:szCs w:val="21"/>
                      <w:highlight w:val="none"/>
                      <w:u w:val="none" w:color="auto"/>
                    </w:rPr>
                    <w:t>1、项目员工生活污水单独设置化粪池收集后用</w:t>
                  </w:r>
                  <w:r>
                    <w:rPr>
                      <w:rFonts w:hint="eastAsia" w:cs="Times New Roman"/>
                      <w:color w:val="000000"/>
                      <w:spacing w:val="11"/>
                      <w:kern w:val="0"/>
                      <w:position w:val="0"/>
                      <w:szCs w:val="21"/>
                      <w:highlight w:val="none"/>
                      <w:u w:val="none" w:color="auto"/>
                      <w:lang w:val="en-US" w:eastAsia="zh-CN"/>
                    </w:rPr>
                    <w:t>于厂内绿化用水</w:t>
                  </w:r>
                  <w:r>
                    <w:rPr>
                      <w:rFonts w:hint="default" w:ascii="Times New Roman" w:hAnsi="Times New Roman" w:cs="Times New Roman"/>
                      <w:color w:val="000000"/>
                      <w:spacing w:val="11"/>
                      <w:kern w:val="0"/>
                      <w:position w:val="0"/>
                      <w:szCs w:val="21"/>
                      <w:highlight w:val="none"/>
                      <w:u w:val="none" w:color="auto"/>
                    </w:rPr>
                    <w:t>；生产中产生的废润滑油集中收集于废油桶内，设置独立的危险废物暂存间，危险废物暂存间防渗、防雨、防流失，定期并交有资质单位处理。</w:t>
                  </w:r>
                </w:p>
                <w:p w14:paraId="04A41A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spacing w:val="11"/>
                      <w:kern w:val="0"/>
                      <w:position w:val="0"/>
                      <w:szCs w:val="21"/>
                      <w:highlight w:val="none"/>
                      <w:u w:val="none" w:color="auto"/>
                      <w:lang w:val="en-US" w:eastAsia="zh-CN"/>
                    </w:rPr>
                  </w:pPr>
                  <w:r>
                    <w:rPr>
                      <w:rFonts w:hint="default" w:ascii="Times New Roman" w:hAnsi="Times New Roman" w:cs="Times New Roman"/>
                      <w:color w:val="000000"/>
                      <w:spacing w:val="11"/>
                      <w:kern w:val="0"/>
                      <w:position w:val="0"/>
                      <w:szCs w:val="21"/>
                      <w:highlight w:val="none"/>
                      <w:u w:val="none" w:color="auto"/>
                    </w:rPr>
                    <w:t>2、厂区配置了洒水车、高压喷雾机等设备，根据产尘点的粉尘浓度和特性，矿区潜孔钻机</w:t>
                  </w:r>
                  <w:r>
                    <w:rPr>
                      <w:rFonts w:hint="eastAsia" w:cs="Times New Roman"/>
                      <w:color w:val="000000"/>
                      <w:spacing w:val="11"/>
                      <w:kern w:val="0"/>
                      <w:position w:val="0"/>
                      <w:szCs w:val="21"/>
                      <w:highlight w:val="none"/>
                      <w:u w:val="none" w:color="auto"/>
                      <w:lang w:val="en-US" w:eastAsia="zh-CN"/>
                    </w:rPr>
                    <w:t>自带收尘设备</w:t>
                  </w:r>
                  <w:r>
                    <w:rPr>
                      <w:rFonts w:hint="default" w:ascii="Times New Roman" w:hAnsi="Times New Roman" w:cs="Times New Roman"/>
                      <w:color w:val="000000"/>
                      <w:spacing w:val="11"/>
                      <w:kern w:val="0"/>
                      <w:position w:val="0"/>
                      <w:szCs w:val="21"/>
                      <w:highlight w:val="none"/>
                      <w:u w:val="none" w:color="auto"/>
                      <w:lang w:val="en-US" w:eastAsia="zh-CN"/>
                    </w:rPr>
                    <w:t>。</w:t>
                  </w:r>
                </w:p>
                <w:p w14:paraId="0EB9FE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highlight w:val="none"/>
                      <w:u w:val="none" w:color="auto"/>
                    </w:rPr>
                    <w:t>3、合理布局，对高</w:t>
                  </w:r>
                  <w:r>
                    <w:rPr>
                      <w:rFonts w:hint="default" w:ascii="Times New Roman" w:hAnsi="Times New Roman" w:cs="Times New Roman"/>
                      <w:color w:val="000000"/>
                      <w:spacing w:val="11"/>
                      <w:kern w:val="0"/>
                      <w:position w:val="0"/>
                      <w:szCs w:val="21"/>
                      <w:u w:val="none" w:color="auto"/>
                    </w:rPr>
                    <w:t xml:space="preserve">噪强振的设备采取消声、减振措施；矿山购置的采掘、运输设备均采用低噪声设备；确保厂界噪声排放限值符合《工业企业厂界环境噪声排放标准》(GB 12348)的要求。 </w:t>
                  </w:r>
                </w:p>
                <w:p w14:paraId="35F274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4、制定监测计划，安排专人负责环境保护工作，定期委托有资质的监测公司开展自行监测。</w:t>
                  </w:r>
                </w:p>
                <w:p w14:paraId="158906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spacing w:val="11"/>
                      <w:kern w:val="0"/>
                      <w:position w:val="0"/>
                      <w:szCs w:val="21"/>
                      <w:u w:val="none" w:color="auto"/>
                    </w:rPr>
                  </w:pPr>
                </w:p>
              </w:tc>
              <w:tc>
                <w:tcPr>
                  <w:tcW w:w="503" w:type="pct"/>
                  <w:tcBorders>
                    <w:tl2br w:val="nil"/>
                    <w:tr2bl w:val="nil"/>
                  </w:tcBorders>
                  <w:noWrap w:val="0"/>
                  <w:vAlign w:val="center"/>
                </w:tcPr>
                <w:p w14:paraId="0B613A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符合</w:t>
                  </w:r>
                </w:p>
              </w:tc>
            </w:tr>
          </w:tbl>
          <w:p w14:paraId="64B253C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6" w:firstLineChars="200"/>
              <w:textAlignment w:val="auto"/>
              <w:rPr>
                <w:rFonts w:hint="eastAsia" w:ascii="Times New Roman" w:hAnsi="Times New Roman" w:cs="Times New Roman"/>
                <w:b/>
                <w:color w:val="000000"/>
                <w:spacing w:val="11"/>
                <w:position w:val="0"/>
                <w:sz w:val="24"/>
                <w:szCs w:val="24"/>
                <w:u w:val="none" w:color="auto"/>
                <w:lang w:val="en-US" w:eastAsia="zh-CN" w:bidi="ar"/>
              </w:rPr>
            </w:pPr>
            <w:r>
              <w:rPr>
                <w:rFonts w:hint="eastAsia" w:ascii="Times New Roman" w:hAnsi="Times New Roman" w:cs="Times New Roman"/>
                <w:b/>
                <w:color w:val="000000"/>
                <w:spacing w:val="11"/>
                <w:position w:val="0"/>
                <w:sz w:val="24"/>
                <w:szCs w:val="24"/>
                <w:u w:val="none" w:color="auto"/>
                <w:lang w:val="en-US" w:eastAsia="zh-CN" w:bidi="ar"/>
              </w:rPr>
              <w:t>3、与《机制砂石骨料工厂设计规范》（GB51186-2016）</w:t>
            </w:r>
            <w:r>
              <w:rPr>
                <w:rFonts w:hint="eastAsia" w:cs="Times New Roman"/>
                <w:b/>
                <w:color w:val="000000"/>
                <w:spacing w:val="11"/>
                <w:position w:val="0"/>
                <w:sz w:val="24"/>
                <w:szCs w:val="24"/>
                <w:u w:val="none" w:color="auto"/>
                <w:lang w:val="en-US" w:eastAsia="zh-CN" w:bidi="ar"/>
              </w:rPr>
              <w:t>的</w:t>
            </w:r>
            <w:r>
              <w:rPr>
                <w:rFonts w:hint="eastAsia" w:ascii="Times New Roman" w:hAnsi="Times New Roman" w:cs="Times New Roman"/>
                <w:b/>
                <w:color w:val="000000"/>
                <w:spacing w:val="11"/>
                <w:position w:val="0"/>
                <w:sz w:val="24"/>
                <w:szCs w:val="24"/>
                <w:u w:val="none" w:color="auto"/>
                <w:lang w:val="en-US" w:eastAsia="zh-CN" w:bidi="ar"/>
              </w:rPr>
              <w:t>符合性分析</w:t>
            </w:r>
          </w:p>
          <w:p w14:paraId="3EAAF2A4">
            <w:pPr>
              <w:keepNext w:val="0"/>
              <w:keepLines w:val="0"/>
              <w:pageBreakBefore w:val="0"/>
              <w:widowControl w:val="0"/>
              <w:kinsoku/>
              <w:wordWrap/>
              <w:overflowPunct w:val="0"/>
              <w:topLinePunct w:val="0"/>
              <w:autoSpaceDE w:val="0"/>
              <w:autoSpaceDN w:val="0"/>
              <w:bidi w:val="0"/>
              <w:adjustRightInd w:val="0"/>
              <w:snapToGrid w:val="0"/>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本项目与《机制砂石骨料工厂设计规范》（GB51186-2016）符合性分析见下表：</w:t>
            </w:r>
          </w:p>
          <w:p w14:paraId="32ED3D22">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t>表1-5 与《机制砂石骨料工厂设计规范》相符性分析一览表</w:t>
            </w:r>
          </w:p>
          <w:tbl>
            <w:tblPr>
              <w:tblStyle w:val="61"/>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98"/>
              <w:gridCol w:w="2990"/>
              <w:gridCol w:w="2605"/>
              <w:gridCol w:w="584"/>
            </w:tblGrid>
            <w:tr w14:paraId="1DA765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441" w:type="pct"/>
                  <w:tcBorders>
                    <w:tl2br w:val="nil"/>
                    <w:tr2bl w:val="nil"/>
                  </w:tcBorders>
                  <w:vAlign w:val="center"/>
                </w:tcPr>
                <w:p w14:paraId="73854989">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eastAsia" w:cs="Times New Roman"/>
                      <w:color w:val="auto"/>
                      <w:spacing w:val="11"/>
                      <w:kern w:val="0"/>
                      <w:position w:val="0"/>
                      <w:sz w:val="21"/>
                      <w:szCs w:val="21"/>
                      <w:highlight w:val="none"/>
                      <w:u w:val="none" w:color="auto"/>
                      <w:lang w:val="en-US" w:eastAsia="zh-CN"/>
                    </w:rPr>
                    <w:t>序号</w:t>
                  </w:r>
                </w:p>
              </w:tc>
              <w:tc>
                <w:tcPr>
                  <w:tcW w:w="2205" w:type="pct"/>
                  <w:tcBorders>
                    <w:tl2br w:val="nil"/>
                    <w:tr2bl w:val="nil"/>
                  </w:tcBorders>
                  <w:vAlign w:val="center"/>
                </w:tcPr>
                <w:p w14:paraId="147B809C">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机制砂石骨料工厂设计规范</w:t>
                  </w:r>
                </w:p>
              </w:tc>
              <w:tc>
                <w:tcPr>
                  <w:tcW w:w="1921" w:type="pct"/>
                  <w:tcBorders>
                    <w:tl2br w:val="nil"/>
                    <w:tr2bl w:val="nil"/>
                  </w:tcBorders>
                  <w:vAlign w:val="center"/>
                </w:tcPr>
                <w:p w14:paraId="3FA20124">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本项目情况</w:t>
                  </w:r>
                </w:p>
              </w:tc>
              <w:tc>
                <w:tcPr>
                  <w:tcW w:w="430" w:type="pct"/>
                  <w:tcBorders>
                    <w:tl2br w:val="nil"/>
                    <w:tr2bl w:val="nil"/>
                  </w:tcBorders>
                  <w:vAlign w:val="center"/>
                </w:tcPr>
                <w:p w14:paraId="01A9C41F">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符合性</w:t>
                  </w:r>
                </w:p>
              </w:tc>
            </w:tr>
            <w:tr w14:paraId="67D345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41" w:type="pct"/>
                  <w:tcBorders>
                    <w:tl2br w:val="nil"/>
                    <w:tr2bl w:val="nil"/>
                  </w:tcBorders>
                  <w:shd w:val="clear" w:color="auto" w:fill="auto"/>
                  <w:vAlign w:val="center"/>
                </w:tcPr>
                <w:p w14:paraId="50FBFE67">
                  <w:pPr>
                    <w:pStyle w:val="17"/>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eastAsia" w:eastAsia="宋体"/>
                      <w:sz w:val="21"/>
                      <w:szCs w:val="21"/>
                      <w:lang w:val="en-US" w:eastAsia="zh-CN"/>
                    </w:rPr>
                  </w:pPr>
                  <w:r>
                    <w:rPr>
                      <w:rFonts w:hint="eastAsia"/>
                      <w:sz w:val="21"/>
                      <w:szCs w:val="21"/>
                      <w:lang w:val="en-US" w:eastAsia="zh-CN"/>
                    </w:rPr>
                    <w:t>1</w:t>
                  </w:r>
                </w:p>
              </w:tc>
              <w:tc>
                <w:tcPr>
                  <w:tcW w:w="2205" w:type="pct"/>
                  <w:tcBorders>
                    <w:tl2br w:val="nil"/>
                    <w:tr2bl w:val="nil"/>
                  </w:tcBorders>
                  <w:shd w:val="clear" w:color="auto" w:fill="auto"/>
                  <w:vAlign w:val="center"/>
                </w:tcPr>
                <w:p w14:paraId="4BDFF89D">
                  <w:pPr>
                    <w:pStyle w:val="17"/>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kern w:val="0"/>
                      <w:sz w:val="21"/>
                      <w:szCs w:val="21"/>
                      <w:lang w:val="en-US" w:eastAsia="zh-CN" w:bidi="ar-SA"/>
                    </w:rPr>
                  </w:pPr>
                  <w:r>
                    <w:rPr>
                      <w:sz w:val="21"/>
                      <w:szCs w:val="21"/>
                    </w:rPr>
                    <w:t>工厂设计应贯彻清洁生产指导思想，并采用国内外防治污染的先进技术与成熟的实践经验</w:t>
                  </w:r>
                </w:p>
              </w:tc>
              <w:tc>
                <w:tcPr>
                  <w:tcW w:w="1921" w:type="pct"/>
                  <w:tcBorders>
                    <w:tl2br w:val="nil"/>
                    <w:tr2bl w:val="nil"/>
                  </w:tcBorders>
                  <w:shd w:val="clear" w:color="auto" w:fill="auto"/>
                  <w:vAlign w:val="center"/>
                </w:tcPr>
                <w:p w14:paraId="2B7B0657">
                  <w:pPr>
                    <w:pStyle w:val="17"/>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spacing w:val="8"/>
                      <w:sz w:val="21"/>
                      <w:szCs w:val="21"/>
                    </w:rPr>
                    <w:t>项目废水全部回用，并采用</w:t>
                  </w:r>
                  <w:r>
                    <w:rPr>
                      <w:sz w:val="21"/>
                      <w:szCs w:val="21"/>
                    </w:rPr>
                    <w:t>国内成熟的</w:t>
                  </w:r>
                  <w:r>
                    <w:rPr>
                      <w:rFonts w:hint="eastAsia"/>
                      <w:sz w:val="21"/>
                      <w:szCs w:val="21"/>
                    </w:rPr>
                    <w:t>污染防治措施</w:t>
                  </w:r>
                </w:p>
              </w:tc>
              <w:tc>
                <w:tcPr>
                  <w:tcW w:w="430" w:type="pct"/>
                  <w:tcBorders>
                    <w:tl2br w:val="nil"/>
                    <w:tr2bl w:val="nil"/>
                  </w:tcBorders>
                  <w:vAlign w:val="center"/>
                </w:tcPr>
                <w:p w14:paraId="0BB224C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spacing w:val="11"/>
                      <w:kern w:val="0"/>
                      <w:position w:val="0"/>
                      <w:szCs w:val="26"/>
                      <w:u w:val="none" w:color="auto"/>
                    </w:rPr>
                    <w:t>符合</w:t>
                  </w:r>
                </w:p>
              </w:tc>
            </w:tr>
            <w:tr w14:paraId="33D3ED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41" w:type="pct"/>
                  <w:tcBorders>
                    <w:tl2br w:val="nil"/>
                    <w:tr2bl w:val="nil"/>
                  </w:tcBorders>
                  <w:shd w:val="clear" w:color="auto" w:fill="auto"/>
                  <w:vAlign w:val="center"/>
                </w:tcPr>
                <w:p w14:paraId="3568F883">
                  <w:pPr>
                    <w:pStyle w:val="17"/>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eastAsia" w:eastAsia="宋体"/>
                      <w:sz w:val="21"/>
                      <w:szCs w:val="21"/>
                      <w:lang w:val="en-US" w:eastAsia="zh-CN"/>
                    </w:rPr>
                  </w:pPr>
                  <w:r>
                    <w:rPr>
                      <w:rFonts w:hint="eastAsia"/>
                      <w:sz w:val="21"/>
                      <w:szCs w:val="21"/>
                      <w:lang w:val="en-US" w:eastAsia="zh-CN"/>
                    </w:rPr>
                    <w:t>2</w:t>
                  </w:r>
                </w:p>
              </w:tc>
              <w:tc>
                <w:tcPr>
                  <w:tcW w:w="2205" w:type="pct"/>
                  <w:tcBorders>
                    <w:tl2br w:val="nil"/>
                    <w:tr2bl w:val="nil"/>
                  </w:tcBorders>
                  <w:shd w:val="clear" w:color="auto" w:fill="auto"/>
                  <w:vAlign w:val="center"/>
                </w:tcPr>
                <w:p w14:paraId="50A4E2A6">
                  <w:pPr>
                    <w:pStyle w:val="17"/>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kern w:val="0"/>
                      <w:sz w:val="21"/>
                      <w:szCs w:val="21"/>
                      <w:lang w:val="en-US" w:eastAsia="zh-CN" w:bidi="ar-SA"/>
                    </w:rPr>
                  </w:pPr>
                  <w:r>
                    <w:rPr>
                      <w:sz w:val="21"/>
                      <w:szCs w:val="21"/>
                    </w:rPr>
                    <w:t>机制砂石骨料生产线必须配有收尘系统</w:t>
                  </w:r>
                </w:p>
              </w:tc>
              <w:tc>
                <w:tcPr>
                  <w:tcW w:w="1921" w:type="pct"/>
                  <w:tcBorders>
                    <w:tl2br w:val="nil"/>
                    <w:tr2bl w:val="nil"/>
                  </w:tcBorders>
                  <w:shd w:val="clear" w:color="auto" w:fill="auto"/>
                  <w:vAlign w:val="center"/>
                </w:tcPr>
                <w:p w14:paraId="0F621BCC">
                  <w:pPr>
                    <w:pStyle w:val="17"/>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kern w:val="0"/>
                      <w:sz w:val="21"/>
                      <w:szCs w:val="21"/>
                      <w:highlight w:val="none"/>
                      <w:lang w:val="en-US" w:eastAsia="zh-CN" w:bidi="ar-SA"/>
                    </w:rPr>
                  </w:pPr>
                  <w:r>
                    <w:rPr>
                      <w:sz w:val="21"/>
                      <w:szCs w:val="21"/>
                      <w:highlight w:val="none"/>
                    </w:rPr>
                    <w:t>项目配备有</w:t>
                  </w:r>
                  <w:r>
                    <w:rPr>
                      <w:rFonts w:hint="eastAsia"/>
                      <w:sz w:val="21"/>
                      <w:szCs w:val="21"/>
                      <w:highlight w:val="none"/>
                    </w:rPr>
                    <w:t>洒水抑尘设施及集气罩+布袋除尘收尘系统</w:t>
                  </w:r>
                </w:p>
              </w:tc>
              <w:tc>
                <w:tcPr>
                  <w:tcW w:w="430" w:type="pct"/>
                  <w:tcBorders>
                    <w:tl2br w:val="nil"/>
                    <w:tr2bl w:val="nil"/>
                  </w:tcBorders>
                  <w:vAlign w:val="center"/>
                </w:tcPr>
                <w:p w14:paraId="322ECEF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spacing w:val="11"/>
                      <w:kern w:val="0"/>
                      <w:position w:val="0"/>
                      <w:szCs w:val="26"/>
                      <w:u w:val="none" w:color="auto"/>
                    </w:rPr>
                    <w:t>符合</w:t>
                  </w:r>
                </w:p>
              </w:tc>
            </w:tr>
            <w:tr w14:paraId="754D7F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41" w:type="pct"/>
                  <w:tcBorders>
                    <w:tl2br w:val="nil"/>
                    <w:tr2bl w:val="nil"/>
                  </w:tcBorders>
                  <w:shd w:val="clear" w:color="auto" w:fill="auto"/>
                  <w:vAlign w:val="center"/>
                </w:tcPr>
                <w:p w14:paraId="16E39B2F">
                  <w:pPr>
                    <w:pStyle w:val="17"/>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eastAsia" w:eastAsia="宋体"/>
                      <w:sz w:val="21"/>
                      <w:szCs w:val="21"/>
                      <w:lang w:val="en-US" w:eastAsia="zh-CN"/>
                    </w:rPr>
                  </w:pPr>
                  <w:r>
                    <w:rPr>
                      <w:rFonts w:hint="eastAsia"/>
                      <w:sz w:val="21"/>
                      <w:szCs w:val="21"/>
                      <w:lang w:val="en-US" w:eastAsia="zh-CN"/>
                    </w:rPr>
                    <w:t>3</w:t>
                  </w:r>
                </w:p>
              </w:tc>
              <w:tc>
                <w:tcPr>
                  <w:tcW w:w="2205" w:type="pct"/>
                  <w:tcBorders>
                    <w:tl2br w:val="nil"/>
                    <w:tr2bl w:val="nil"/>
                  </w:tcBorders>
                  <w:shd w:val="clear" w:color="auto" w:fill="auto"/>
                  <w:vAlign w:val="center"/>
                </w:tcPr>
                <w:p w14:paraId="1F0B9FFB">
                  <w:pPr>
                    <w:pStyle w:val="17"/>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kern w:val="0"/>
                      <w:sz w:val="21"/>
                      <w:szCs w:val="21"/>
                      <w:lang w:val="en-US" w:eastAsia="zh-CN" w:bidi="ar-SA"/>
                    </w:rPr>
                  </w:pPr>
                  <w:r>
                    <w:rPr>
                      <w:sz w:val="21"/>
                      <w:szCs w:val="21"/>
                    </w:rPr>
                    <w:t>工厂设计应采用先进环保的生产工艺及设备</w:t>
                  </w:r>
                </w:p>
              </w:tc>
              <w:tc>
                <w:tcPr>
                  <w:tcW w:w="1921" w:type="pct"/>
                  <w:tcBorders>
                    <w:tl2br w:val="nil"/>
                    <w:tr2bl w:val="nil"/>
                  </w:tcBorders>
                  <w:shd w:val="clear" w:color="auto" w:fill="auto"/>
                  <w:vAlign w:val="center"/>
                </w:tcPr>
                <w:p w14:paraId="7BB8C25B">
                  <w:pPr>
                    <w:pStyle w:val="17"/>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sz w:val="21"/>
                      <w:szCs w:val="21"/>
                    </w:rPr>
                    <w:t>项目</w:t>
                  </w:r>
                  <w:r>
                    <w:rPr>
                      <w:sz w:val="21"/>
                      <w:szCs w:val="21"/>
                    </w:rPr>
                    <w:t>采用</w:t>
                  </w:r>
                  <w:r>
                    <w:rPr>
                      <w:rFonts w:hint="eastAsia"/>
                      <w:sz w:val="21"/>
                      <w:szCs w:val="21"/>
                    </w:rPr>
                    <w:t>了</w:t>
                  </w:r>
                  <w:r>
                    <w:rPr>
                      <w:sz w:val="21"/>
                      <w:szCs w:val="21"/>
                    </w:rPr>
                    <w:t>先进环保的生产工艺及设备</w:t>
                  </w:r>
                </w:p>
              </w:tc>
              <w:tc>
                <w:tcPr>
                  <w:tcW w:w="430" w:type="pct"/>
                  <w:tcBorders>
                    <w:tl2br w:val="nil"/>
                    <w:tr2bl w:val="nil"/>
                  </w:tcBorders>
                  <w:vAlign w:val="center"/>
                </w:tcPr>
                <w:p w14:paraId="3335014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spacing w:val="11"/>
                      <w:kern w:val="0"/>
                      <w:position w:val="0"/>
                      <w:szCs w:val="26"/>
                      <w:u w:val="none" w:color="auto"/>
                    </w:rPr>
                    <w:t>符合</w:t>
                  </w:r>
                </w:p>
              </w:tc>
            </w:tr>
            <w:tr w14:paraId="4A976C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41" w:type="pct"/>
                  <w:tcBorders>
                    <w:tl2br w:val="nil"/>
                    <w:tr2bl w:val="nil"/>
                  </w:tcBorders>
                  <w:shd w:val="clear" w:color="auto" w:fill="auto"/>
                  <w:vAlign w:val="center"/>
                </w:tcPr>
                <w:p w14:paraId="46CD7616">
                  <w:pPr>
                    <w:pStyle w:val="17"/>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eastAsia" w:eastAsia="宋体"/>
                      <w:sz w:val="21"/>
                      <w:szCs w:val="21"/>
                      <w:lang w:val="en-US" w:eastAsia="zh-CN"/>
                    </w:rPr>
                  </w:pPr>
                  <w:r>
                    <w:rPr>
                      <w:rFonts w:hint="eastAsia"/>
                      <w:sz w:val="21"/>
                      <w:szCs w:val="21"/>
                      <w:lang w:val="en-US" w:eastAsia="zh-CN"/>
                    </w:rPr>
                    <w:t>4</w:t>
                  </w:r>
                </w:p>
              </w:tc>
              <w:tc>
                <w:tcPr>
                  <w:tcW w:w="2205" w:type="pct"/>
                  <w:tcBorders>
                    <w:tl2br w:val="nil"/>
                    <w:tr2bl w:val="nil"/>
                  </w:tcBorders>
                  <w:shd w:val="clear" w:color="auto" w:fill="auto"/>
                  <w:vAlign w:val="center"/>
                </w:tcPr>
                <w:p w14:paraId="125837D3">
                  <w:pPr>
                    <w:pStyle w:val="17"/>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kern w:val="0"/>
                      <w:sz w:val="21"/>
                      <w:szCs w:val="21"/>
                      <w:lang w:val="en-US" w:eastAsia="zh-CN" w:bidi="ar-SA"/>
                    </w:rPr>
                  </w:pPr>
                  <w:r>
                    <w:rPr>
                      <w:sz w:val="21"/>
                      <w:szCs w:val="21"/>
                    </w:rPr>
                    <w:t>粉尘污染防治应符合下列规定：1、机制砂石骨料应对破碎、筛分及输送等生产环节采取封闭措施；2、机制砂石骨料工厂应对破碎、筛分及输送转运站等扬尘点设置收尘装置，粉尘排放浓度应符合现行国家标准《大气污染物综合排放标准》GB16297的有关规定，并应满足厂区所在地区的环保要求；3、对于无组织排放的扬尘场所，应采取喷雾、洒水、封闭等防尘措施。</w:t>
                  </w:r>
                </w:p>
              </w:tc>
              <w:tc>
                <w:tcPr>
                  <w:tcW w:w="1921" w:type="pct"/>
                  <w:tcBorders>
                    <w:tl2br w:val="nil"/>
                    <w:tr2bl w:val="nil"/>
                  </w:tcBorders>
                  <w:shd w:val="clear" w:color="auto" w:fill="auto"/>
                  <w:vAlign w:val="center"/>
                </w:tcPr>
                <w:p w14:paraId="34AF51FE">
                  <w:pPr>
                    <w:pStyle w:val="17"/>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kern w:val="0"/>
                      <w:sz w:val="21"/>
                      <w:szCs w:val="21"/>
                      <w:highlight w:val="none"/>
                      <w:lang w:val="en-US" w:eastAsia="zh-CN" w:bidi="ar-SA"/>
                    </w:rPr>
                  </w:pPr>
                  <w:r>
                    <w:rPr>
                      <w:sz w:val="21"/>
                      <w:szCs w:val="21"/>
                      <w:highlight w:val="none"/>
                    </w:rPr>
                    <w:t>1、</w:t>
                  </w:r>
                  <w:r>
                    <w:rPr>
                      <w:rFonts w:hint="eastAsia"/>
                      <w:sz w:val="21"/>
                      <w:szCs w:val="21"/>
                      <w:highlight w:val="none"/>
                    </w:rPr>
                    <w:t>项目全部生产环节均位于密闭</w:t>
                  </w:r>
                  <w:r>
                    <w:rPr>
                      <w:rFonts w:hint="eastAsia"/>
                      <w:sz w:val="21"/>
                      <w:szCs w:val="21"/>
                      <w:highlight w:val="none"/>
                      <w:lang w:val="en-US" w:eastAsia="zh-CN"/>
                    </w:rPr>
                    <w:t>彩钢瓦钢架棚厂房</w:t>
                  </w:r>
                  <w:r>
                    <w:rPr>
                      <w:rFonts w:hint="eastAsia"/>
                      <w:sz w:val="21"/>
                      <w:szCs w:val="21"/>
                      <w:highlight w:val="none"/>
                    </w:rPr>
                    <w:t>内</w:t>
                  </w:r>
                  <w:r>
                    <w:rPr>
                      <w:sz w:val="21"/>
                      <w:szCs w:val="21"/>
                      <w:highlight w:val="none"/>
                    </w:rPr>
                    <w:t>；2、项目配备有</w:t>
                  </w:r>
                  <w:r>
                    <w:rPr>
                      <w:rFonts w:hint="eastAsia"/>
                      <w:sz w:val="21"/>
                      <w:szCs w:val="21"/>
                      <w:highlight w:val="none"/>
                    </w:rPr>
                    <w:t>洒水抑尘设施及集气罩+布袋除尘收尘系统</w:t>
                  </w:r>
                  <w:r>
                    <w:rPr>
                      <w:sz w:val="21"/>
                      <w:szCs w:val="21"/>
                      <w:highlight w:val="none"/>
                    </w:rPr>
                    <w:t>，粉尘排放浓度符合现行国家标准《大气污染物综合排放标准》GB16297的有关规定，并应满足厂区所在地区的环保要求；3、项目配备有</w:t>
                  </w:r>
                  <w:r>
                    <w:rPr>
                      <w:rFonts w:hint="eastAsia"/>
                      <w:sz w:val="21"/>
                      <w:szCs w:val="21"/>
                      <w:highlight w:val="none"/>
                    </w:rPr>
                    <w:t>洒水抑尘设施，全部生产环节均位于密闭</w:t>
                  </w:r>
                  <w:r>
                    <w:rPr>
                      <w:rFonts w:hint="eastAsia"/>
                      <w:sz w:val="21"/>
                      <w:szCs w:val="21"/>
                      <w:highlight w:val="none"/>
                      <w:lang w:val="en-US" w:eastAsia="zh-CN"/>
                    </w:rPr>
                    <w:t>彩钢瓦钢架棚厂房</w:t>
                  </w:r>
                  <w:r>
                    <w:rPr>
                      <w:rFonts w:hint="eastAsia"/>
                      <w:sz w:val="21"/>
                      <w:szCs w:val="21"/>
                      <w:highlight w:val="none"/>
                    </w:rPr>
                    <w:t>内</w:t>
                  </w:r>
                  <w:r>
                    <w:rPr>
                      <w:sz w:val="21"/>
                      <w:szCs w:val="21"/>
                      <w:highlight w:val="none"/>
                    </w:rPr>
                    <w:t>。</w:t>
                  </w:r>
                </w:p>
              </w:tc>
              <w:tc>
                <w:tcPr>
                  <w:tcW w:w="430" w:type="pct"/>
                  <w:tcBorders>
                    <w:tl2br w:val="nil"/>
                    <w:tr2bl w:val="nil"/>
                  </w:tcBorders>
                  <w:vAlign w:val="center"/>
                </w:tcPr>
                <w:p w14:paraId="1DA1B0C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spacing w:val="11"/>
                      <w:kern w:val="0"/>
                      <w:position w:val="0"/>
                      <w:szCs w:val="26"/>
                      <w:u w:val="none" w:color="auto"/>
                    </w:rPr>
                    <w:t>符合</w:t>
                  </w:r>
                </w:p>
              </w:tc>
            </w:tr>
            <w:tr w14:paraId="073CDC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41" w:type="pct"/>
                  <w:tcBorders>
                    <w:tl2br w:val="nil"/>
                    <w:tr2bl w:val="nil"/>
                  </w:tcBorders>
                  <w:shd w:val="clear" w:color="auto" w:fill="auto"/>
                  <w:vAlign w:val="center"/>
                </w:tcPr>
                <w:p w14:paraId="24F82F7B">
                  <w:pPr>
                    <w:pStyle w:val="17"/>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eastAsia" w:eastAsia="宋体"/>
                      <w:sz w:val="21"/>
                      <w:szCs w:val="21"/>
                      <w:lang w:val="en-US" w:eastAsia="zh-CN"/>
                    </w:rPr>
                  </w:pPr>
                  <w:r>
                    <w:rPr>
                      <w:rFonts w:hint="eastAsia"/>
                      <w:sz w:val="21"/>
                      <w:szCs w:val="21"/>
                      <w:lang w:val="en-US" w:eastAsia="zh-CN"/>
                    </w:rPr>
                    <w:t>5</w:t>
                  </w:r>
                </w:p>
              </w:tc>
              <w:tc>
                <w:tcPr>
                  <w:tcW w:w="2205" w:type="pct"/>
                  <w:tcBorders>
                    <w:tl2br w:val="nil"/>
                    <w:tr2bl w:val="nil"/>
                  </w:tcBorders>
                  <w:shd w:val="clear" w:color="auto" w:fill="auto"/>
                  <w:vAlign w:val="center"/>
                </w:tcPr>
                <w:p w14:paraId="6D802442">
                  <w:pPr>
                    <w:pStyle w:val="17"/>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kern w:val="0"/>
                      <w:sz w:val="21"/>
                      <w:szCs w:val="21"/>
                      <w:highlight w:val="none"/>
                      <w:lang w:val="en-US" w:eastAsia="zh-CN" w:bidi="ar-SA"/>
                    </w:rPr>
                  </w:pPr>
                  <w:r>
                    <w:rPr>
                      <w:sz w:val="21"/>
                      <w:szCs w:val="21"/>
                      <w:highlight w:val="none"/>
                    </w:rPr>
                    <w:t>固体废弃物污染防治应符合下列规定：1、收尘设备收下的粉尘经处理后应运到固定地点堆放，并应采取防止二次污染的措施；2、脱泥和洗矿等排出的各种废渣应集中处置，不得排入自然水体或任意抛弃；3、固体废弃物宜综合利用。</w:t>
                  </w:r>
                </w:p>
              </w:tc>
              <w:tc>
                <w:tcPr>
                  <w:tcW w:w="1921" w:type="pct"/>
                  <w:tcBorders>
                    <w:tl2br w:val="nil"/>
                    <w:tr2bl w:val="nil"/>
                  </w:tcBorders>
                  <w:shd w:val="clear" w:color="auto" w:fill="auto"/>
                  <w:vAlign w:val="center"/>
                </w:tcPr>
                <w:p w14:paraId="1ACA3F8E">
                  <w:pPr>
                    <w:pStyle w:val="17"/>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kern w:val="0"/>
                      <w:sz w:val="21"/>
                      <w:szCs w:val="21"/>
                      <w:highlight w:val="none"/>
                      <w:lang w:val="en-US" w:eastAsia="zh-CN" w:bidi="ar-SA"/>
                    </w:rPr>
                  </w:pPr>
                  <w:r>
                    <w:rPr>
                      <w:sz w:val="21"/>
                      <w:szCs w:val="21"/>
                      <w:highlight w:val="none"/>
                    </w:rPr>
                    <w:t>1、收尘设备收下的粉尘</w:t>
                  </w:r>
                  <w:r>
                    <w:rPr>
                      <w:rFonts w:hint="eastAsia"/>
                      <w:sz w:val="21"/>
                      <w:szCs w:val="21"/>
                      <w:highlight w:val="none"/>
                      <w:lang w:val="en-US" w:eastAsia="zh-CN"/>
                    </w:rPr>
                    <w:t>由建设单位收集后外售</w:t>
                  </w:r>
                  <w:r>
                    <w:rPr>
                      <w:sz w:val="21"/>
                      <w:szCs w:val="21"/>
                      <w:highlight w:val="none"/>
                    </w:rPr>
                    <w:t>；2、</w:t>
                  </w:r>
                  <w:r>
                    <w:rPr>
                      <w:rFonts w:hint="eastAsia"/>
                      <w:sz w:val="21"/>
                      <w:szCs w:val="21"/>
                      <w:highlight w:val="none"/>
                      <w:lang w:val="en-US" w:eastAsia="zh-CN"/>
                    </w:rPr>
                    <w:t>沉淀池污泥经自然干化后堆存于排土场内</w:t>
                  </w:r>
                  <w:r>
                    <w:rPr>
                      <w:sz w:val="21"/>
                      <w:szCs w:val="21"/>
                      <w:highlight w:val="none"/>
                    </w:rPr>
                    <w:t>；3、固体废弃物</w:t>
                  </w:r>
                  <w:r>
                    <w:rPr>
                      <w:rFonts w:hint="eastAsia"/>
                      <w:sz w:val="21"/>
                      <w:szCs w:val="21"/>
                      <w:highlight w:val="none"/>
                    </w:rPr>
                    <w:t>全部合理处置</w:t>
                  </w:r>
                  <w:r>
                    <w:rPr>
                      <w:sz w:val="21"/>
                      <w:szCs w:val="21"/>
                      <w:highlight w:val="none"/>
                    </w:rPr>
                    <w:t>。</w:t>
                  </w:r>
                </w:p>
              </w:tc>
              <w:tc>
                <w:tcPr>
                  <w:tcW w:w="430" w:type="pct"/>
                  <w:tcBorders>
                    <w:tl2br w:val="nil"/>
                    <w:tr2bl w:val="nil"/>
                  </w:tcBorders>
                  <w:vAlign w:val="center"/>
                </w:tcPr>
                <w:p w14:paraId="5907AEF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spacing w:val="11"/>
                      <w:kern w:val="0"/>
                      <w:position w:val="0"/>
                      <w:szCs w:val="26"/>
                      <w:u w:val="none" w:color="auto"/>
                    </w:rPr>
                    <w:t>符合</w:t>
                  </w:r>
                </w:p>
              </w:tc>
            </w:tr>
            <w:tr w14:paraId="305D31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41" w:type="pct"/>
                  <w:tcBorders>
                    <w:tl2br w:val="nil"/>
                    <w:tr2bl w:val="nil"/>
                  </w:tcBorders>
                  <w:shd w:val="clear" w:color="auto" w:fill="auto"/>
                  <w:vAlign w:val="center"/>
                </w:tcPr>
                <w:p w14:paraId="25821162">
                  <w:pPr>
                    <w:pStyle w:val="17"/>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eastAsia" w:eastAsia="宋体"/>
                      <w:sz w:val="21"/>
                      <w:szCs w:val="21"/>
                      <w:lang w:val="en-US" w:eastAsia="zh-CN"/>
                    </w:rPr>
                  </w:pPr>
                  <w:r>
                    <w:rPr>
                      <w:rFonts w:hint="eastAsia"/>
                      <w:sz w:val="21"/>
                      <w:szCs w:val="21"/>
                      <w:lang w:val="en-US" w:eastAsia="zh-CN"/>
                    </w:rPr>
                    <w:t>6</w:t>
                  </w:r>
                </w:p>
              </w:tc>
              <w:tc>
                <w:tcPr>
                  <w:tcW w:w="2205" w:type="pct"/>
                  <w:tcBorders>
                    <w:tl2br w:val="nil"/>
                    <w:tr2bl w:val="nil"/>
                  </w:tcBorders>
                  <w:shd w:val="clear" w:color="auto" w:fill="auto"/>
                  <w:vAlign w:val="center"/>
                </w:tcPr>
                <w:p w14:paraId="4193213D">
                  <w:pPr>
                    <w:pStyle w:val="17"/>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kern w:val="0"/>
                      <w:sz w:val="21"/>
                      <w:szCs w:val="21"/>
                      <w:highlight w:val="none"/>
                      <w:lang w:val="en-US" w:eastAsia="zh-CN" w:bidi="ar-SA"/>
                    </w:rPr>
                  </w:pPr>
                  <w:r>
                    <w:rPr>
                      <w:sz w:val="21"/>
                      <w:szCs w:val="21"/>
                      <w:highlight w:val="none"/>
                    </w:rPr>
                    <w:t>废水污染防治应符合下列规定：1、生产排水、雨水和生活污水，应清污分流；2、设备冷却用水应采用循环水冷却系统；3、污水排放标准应符合现行国家标准《污水综合排放标准》GB8978的有关规定；4、检验化验室排出的含酸、碱废水应集中收集，经中和处理后达标排放；5、生产废水应经自然沉淀或机械脱水，固液分离后的清水应回用于生产系统。</w:t>
                  </w:r>
                </w:p>
              </w:tc>
              <w:tc>
                <w:tcPr>
                  <w:tcW w:w="1921" w:type="pct"/>
                  <w:tcBorders>
                    <w:tl2br w:val="nil"/>
                    <w:tr2bl w:val="nil"/>
                  </w:tcBorders>
                  <w:shd w:val="clear" w:color="auto" w:fill="auto"/>
                  <w:vAlign w:val="center"/>
                </w:tcPr>
                <w:p w14:paraId="7088E603">
                  <w:pPr>
                    <w:pStyle w:val="17"/>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kern w:val="0"/>
                      <w:sz w:val="21"/>
                      <w:szCs w:val="21"/>
                      <w:highlight w:val="none"/>
                      <w:lang w:val="en-US" w:eastAsia="zh-CN" w:bidi="ar-SA"/>
                    </w:rPr>
                  </w:pPr>
                  <w:r>
                    <w:rPr>
                      <w:sz w:val="21"/>
                      <w:szCs w:val="21"/>
                      <w:highlight w:val="none"/>
                    </w:rPr>
                    <w:t>1、</w:t>
                  </w:r>
                  <w:r>
                    <w:rPr>
                      <w:rFonts w:hint="eastAsia"/>
                      <w:sz w:val="21"/>
                      <w:szCs w:val="21"/>
                      <w:highlight w:val="none"/>
                      <w:lang w:val="en-US" w:eastAsia="zh-CN"/>
                    </w:rPr>
                    <w:t>项目区内实行</w:t>
                  </w:r>
                  <w:r>
                    <w:rPr>
                      <w:rFonts w:hint="eastAsia"/>
                      <w:sz w:val="21"/>
                      <w:szCs w:val="21"/>
                      <w:highlight w:val="none"/>
                    </w:rPr>
                    <w:t>雨污分流</w:t>
                  </w:r>
                  <w:r>
                    <w:rPr>
                      <w:sz w:val="21"/>
                      <w:szCs w:val="21"/>
                      <w:highlight w:val="none"/>
                    </w:rPr>
                    <w:t>；2、设备冷却用水采用循环水冷却系统；3、</w:t>
                  </w:r>
                  <w:r>
                    <w:rPr>
                      <w:rFonts w:hint="eastAsia"/>
                      <w:sz w:val="21"/>
                      <w:szCs w:val="21"/>
                      <w:highlight w:val="none"/>
                    </w:rPr>
                    <w:t>项目无废水排放</w:t>
                  </w:r>
                  <w:r>
                    <w:rPr>
                      <w:sz w:val="21"/>
                      <w:szCs w:val="21"/>
                      <w:highlight w:val="none"/>
                    </w:rPr>
                    <w:t>；4、</w:t>
                  </w:r>
                  <w:r>
                    <w:rPr>
                      <w:rFonts w:hint="eastAsia"/>
                      <w:sz w:val="21"/>
                      <w:szCs w:val="21"/>
                      <w:highlight w:val="none"/>
                    </w:rPr>
                    <w:t>不涉及</w:t>
                  </w:r>
                  <w:r>
                    <w:rPr>
                      <w:sz w:val="21"/>
                      <w:szCs w:val="21"/>
                      <w:highlight w:val="none"/>
                    </w:rPr>
                    <w:t>检验化验室；5、</w:t>
                  </w:r>
                  <w:r>
                    <w:rPr>
                      <w:rFonts w:hint="eastAsia"/>
                      <w:sz w:val="21"/>
                      <w:szCs w:val="21"/>
                      <w:highlight w:val="none"/>
                    </w:rPr>
                    <w:t>项目废水全部回用，无废水外排</w:t>
                  </w:r>
                  <w:r>
                    <w:rPr>
                      <w:sz w:val="21"/>
                      <w:szCs w:val="21"/>
                      <w:highlight w:val="none"/>
                    </w:rPr>
                    <w:t>。</w:t>
                  </w:r>
                </w:p>
              </w:tc>
              <w:tc>
                <w:tcPr>
                  <w:tcW w:w="430" w:type="pct"/>
                  <w:tcBorders>
                    <w:tl2br w:val="nil"/>
                    <w:tr2bl w:val="nil"/>
                  </w:tcBorders>
                  <w:vAlign w:val="center"/>
                </w:tcPr>
                <w:p w14:paraId="4FCC98A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spacing w:val="11"/>
                      <w:kern w:val="0"/>
                      <w:position w:val="0"/>
                      <w:szCs w:val="26"/>
                      <w:u w:val="none" w:color="auto"/>
                    </w:rPr>
                    <w:t>符合</w:t>
                  </w:r>
                </w:p>
              </w:tc>
            </w:tr>
            <w:tr w14:paraId="6B158A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41" w:type="pct"/>
                  <w:shd w:val="clear" w:color="auto" w:fill="auto"/>
                  <w:vAlign w:val="center"/>
                </w:tcPr>
                <w:p w14:paraId="60E6EB43">
                  <w:pPr>
                    <w:pStyle w:val="17"/>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eastAsia" w:eastAsia="宋体"/>
                      <w:sz w:val="21"/>
                      <w:szCs w:val="21"/>
                      <w:lang w:val="en-US" w:eastAsia="zh-CN"/>
                    </w:rPr>
                  </w:pPr>
                  <w:r>
                    <w:rPr>
                      <w:rFonts w:hint="eastAsia"/>
                      <w:sz w:val="21"/>
                      <w:szCs w:val="21"/>
                      <w:lang w:val="en-US" w:eastAsia="zh-CN"/>
                    </w:rPr>
                    <w:t>7</w:t>
                  </w:r>
                </w:p>
              </w:tc>
              <w:tc>
                <w:tcPr>
                  <w:tcW w:w="2205" w:type="pct"/>
                  <w:shd w:val="clear" w:color="auto" w:fill="auto"/>
                  <w:vAlign w:val="center"/>
                </w:tcPr>
                <w:p w14:paraId="66BE6A92">
                  <w:pPr>
                    <w:pStyle w:val="17"/>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kern w:val="0"/>
                      <w:sz w:val="21"/>
                      <w:szCs w:val="21"/>
                      <w:lang w:val="en-US" w:eastAsia="zh-CN" w:bidi="ar-SA"/>
                    </w:rPr>
                  </w:pPr>
                  <w:r>
                    <w:rPr>
                      <w:sz w:val="21"/>
                      <w:szCs w:val="21"/>
                    </w:rPr>
                    <w:t>噪声污染防治应符合下列规定：1、厂内各类地点噪声限值应符合国家标准《工业企业噪声控制设计规范》GB/T50087的有关规定；2、工厂厂界噪声限值应符合现行国家标准《工业企业厂界环境噪声标准》GB12348的有关规定；3、设备选型时应选用低噪声生产设备，工艺布置应采取控制噪声传播的措施；4、高噪强振的设备，应采取消声、减振措施；5、高强噪声源车间，应采取隔声围护结构等措施。</w:t>
                  </w:r>
                </w:p>
              </w:tc>
              <w:tc>
                <w:tcPr>
                  <w:tcW w:w="1921" w:type="pct"/>
                  <w:shd w:val="clear" w:color="auto" w:fill="auto"/>
                  <w:vAlign w:val="center"/>
                </w:tcPr>
                <w:p w14:paraId="3E474915">
                  <w:pPr>
                    <w:pStyle w:val="17"/>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kern w:val="0"/>
                      <w:sz w:val="21"/>
                      <w:szCs w:val="21"/>
                      <w:lang w:val="en-US" w:eastAsia="zh-CN" w:bidi="ar-SA"/>
                    </w:rPr>
                  </w:pPr>
                  <w:r>
                    <w:rPr>
                      <w:sz w:val="21"/>
                      <w:szCs w:val="21"/>
                    </w:rPr>
                    <w:t>项目主要生产设备均远离居民点，并</w:t>
                  </w:r>
                  <w:r>
                    <w:rPr>
                      <w:rFonts w:hint="eastAsia"/>
                      <w:sz w:val="21"/>
                      <w:szCs w:val="21"/>
                    </w:rPr>
                    <w:t>位于密闭</w:t>
                  </w:r>
                  <w:r>
                    <w:rPr>
                      <w:rFonts w:hint="eastAsia"/>
                      <w:sz w:val="21"/>
                      <w:szCs w:val="21"/>
                      <w:lang w:val="en-US" w:eastAsia="zh-CN"/>
                    </w:rPr>
                    <w:t>彩钢瓦钢架棚厂房</w:t>
                  </w:r>
                  <w:r>
                    <w:rPr>
                      <w:rFonts w:hint="eastAsia"/>
                      <w:sz w:val="21"/>
                      <w:szCs w:val="21"/>
                    </w:rPr>
                    <w:t>内</w:t>
                  </w:r>
                  <w:r>
                    <w:rPr>
                      <w:sz w:val="21"/>
                      <w:szCs w:val="21"/>
                    </w:rPr>
                    <w:t>，对设备安装减震垫、消声器等措施。</w:t>
                  </w:r>
                </w:p>
              </w:tc>
              <w:tc>
                <w:tcPr>
                  <w:tcW w:w="430" w:type="pct"/>
                  <w:vAlign w:val="center"/>
                </w:tcPr>
                <w:p w14:paraId="109A59D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spacing w:val="11"/>
                      <w:kern w:val="0"/>
                      <w:position w:val="0"/>
                      <w:szCs w:val="26"/>
                      <w:u w:val="none" w:color="auto"/>
                    </w:rPr>
                    <w:t>符合</w:t>
                  </w:r>
                </w:p>
              </w:tc>
            </w:tr>
          </w:tbl>
          <w:p w14:paraId="64962B4D">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526" w:firstLineChars="200"/>
              <w:jc w:val="left"/>
              <w:textAlignment w:val="auto"/>
              <w:rPr>
                <w:rFonts w:hint="default" w:ascii="Times New Roman" w:hAnsi="Times New Roman" w:eastAsia="宋体" w:cs="Times New Roman"/>
                <w:b/>
                <w:bCs/>
                <w:spacing w:val="11"/>
                <w:kern w:val="0"/>
                <w:position w:val="0"/>
                <w:sz w:val="24"/>
                <w:szCs w:val="24"/>
                <w:u w:val="none" w:color="auto"/>
              </w:rPr>
            </w:pPr>
            <w:r>
              <w:rPr>
                <w:rFonts w:hint="eastAsia" w:ascii="Times New Roman" w:hAnsi="Times New Roman" w:cs="Times New Roman"/>
                <w:b/>
                <w:bCs/>
                <w:spacing w:val="11"/>
                <w:kern w:val="0"/>
                <w:position w:val="0"/>
                <w:sz w:val="24"/>
                <w:szCs w:val="24"/>
                <w:u w:val="none" w:color="auto"/>
                <w:lang w:val="en-US" w:eastAsia="zh-CN"/>
              </w:rPr>
              <w:t>4</w:t>
            </w:r>
            <w:r>
              <w:rPr>
                <w:rFonts w:hint="default" w:ascii="Times New Roman" w:hAnsi="Times New Roman" w:eastAsia="宋体" w:cs="Times New Roman"/>
                <w:b/>
                <w:bCs/>
                <w:spacing w:val="11"/>
                <w:kern w:val="0"/>
                <w:position w:val="0"/>
                <w:sz w:val="24"/>
                <w:szCs w:val="24"/>
                <w:u w:val="none" w:color="auto"/>
                <w:lang w:val="en-US" w:eastAsia="zh-CN"/>
              </w:rPr>
              <w:t>、</w:t>
            </w:r>
            <w:r>
              <w:rPr>
                <w:rFonts w:hint="default" w:ascii="Times New Roman" w:hAnsi="Times New Roman" w:eastAsia="宋体" w:cs="Times New Roman"/>
                <w:b/>
                <w:bCs/>
                <w:spacing w:val="11"/>
                <w:kern w:val="0"/>
                <w:position w:val="0"/>
                <w:sz w:val="24"/>
                <w:szCs w:val="24"/>
                <w:u w:val="none" w:color="auto"/>
              </w:rPr>
              <w:t>与《矿山生态环境保护与污染防治技术政策》的符合性分析</w:t>
            </w:r>
          </w:p>
          <w:p w14:paraId="29E81DC6">
            <w:pPr>
              <w:keepNext w:val="0"/>
              <w:keepLines w:val="0"/>
              <w:pageBreakBefore w:val="0"/>
              <w:widowControl w:val="0"/>
              <w:kinsoku/>
              <w:wordWrap/>
              <w:overflowPunct/>
              <w:topLinePunct w:val="0"/>
              <w:bidi w:val="0"/>
              <w:adjustRightInd w:val="0"/>
              <w:snapToGrid w:val="0"/>
              <w:spacing w:line="360" w:lineRule="auto"/>
              <w:ind w:firstLine="524" w:firstLineChars="200"/>
              <w:jc w:val="left"/>
              <w:textAlignment w:val="auto"/>
              <w:rPr>
                <w:rFonts w:hint="default" w:ascii="Times New Roman" w:hAnsi="Times New Roman" w:eastAsia="宋体" w:cs="Times New Roman"/>
                <w:spacing w:val="11"/>
                <w:kern w:val="0"/>
                <w:position w:val="0"/>
                <w:sz w:val="24"/>
                <w:szCs w:val="24"/>
                <w:u w:val="none" w:color="auto"/>
              </w:rPr>
            </w:pPr>
            <w:r>
              <w:rPr>
                <w:rFonts w:hint="default" w:ascii="Times New Roman" w:hAnsi="Times New Roman" w:eastAsia="宋体" w:cs="Times New Roman"/>
                <w:spacing w:val="11"/>
                <w:kern w:val="0"/>
                <w:position w:val="0"/>
                <w:sz w:val="24"/>
                <w:szCs w:val="24"/>
                <w:u w:val="none" w:color="auto"/>
              </w:rPr>
              <w:t>《矿山生态环境保护与污染防治技术政策》提出：“禁止在依法划定的自然保护区</w:t>
            </w:r>
            <w:r>
              <w:rPr>
                <w:rFonts w:hint="default" w:ascii="Times New Roman" w:hAnsi="Times New Roman" w:eastAsia="宋体" w:cs="Times New Roman"/>
                <w:spacing w:val="11"/>
                <w:kern w:val="0"/>
                <w:position w:val="0"/>
                <w:sz w:val="24"/>
                <w:szCs w:val="24"/>
                <w:u w:val="none" w:color="auto"/>
                <w:lang w:eastAsia="zh-CN"/>
              </w:rPr>
              <w:t>（</w:t>
            </w:r>
            <w:r>
              <w:rPr>
                <w:rFonts w:hint="default" w:ascii="Times New Roman" w:hAnsi="Times New Roman" w:eastAsia="宋体" w:cs="Times New Roman"/>
                <w:spacing w:val="11"/>
                <w:kern w:val="0"/>
                <w:position w:val="0"/>
                <w:sz w:val="24"/>
                <w:szCs w:val="24"/>
                <w:u w:val="none" w:color="auto"/>
              </w:rPr>
              <w:t>核心区、缓冲区</w:t>
            </w:r>
            <w:r>
              <w:rPr>
                <w:rFonts w:hint="default" w:ascii="Times New Roman" w:hAnsi="Times New Roman" w:eastAsia="宋体" w:cs="Times New Roman"/>
                <w:spacing w:val="11"/>
                <w:kern w:val="0"/>
                <w:position w:val="0"/>
                <w:sz w:val="24"/>
                <w:szCs w:val="24"/>
                <w:u w:val="none" w:color="auto"/>
                <w:lang w:eastAsia="zh-CN"/>
              </w:rPr>
              <w:t>）</w:t>
            </w:r>
            <w:r>
              <w:rPr>
                <w:rFonts w:hint="default" w:ascii="Times New Roman" w:hAnsi="Times New Roman" w:eastAsia="宋体" w:cs="Times New Roman"/>
                <w:spacing w:val="11"/>
                <w:kern w:val="0"/>
                <w:position w:val="0"/>
                <w:sz w:val="24"/>
                <w:szCs w:val="24"/>
                <w:u w:val="none" w:color="auto"/>
              </w:rPr>
              <w:t>、风景名胜区、森林公园、饮用水水源保护区、重要湖泊周边、文物古迹所在地、地质遗迹保护区、基本农田保护区等区域内采矿”、“推广应用充填采矿工艺技术，利用废石充填采空区”等。</w:t>
            </w:r>
          </w:p>
          <w:p w14:paraId="561DD789">
            <w:pPr>
              <w:keepNext w:val="0"/>
              <w:keepLines w:val="0"/>
              <w:pageBreakBefore w:val="0"/>
              <w:widowControl w:val="0"/>
              <w:kinsoku/>
              <w:wordWrap/>
              <w:overflowPunct/>
              <w:topLinePunct w:val="0"/>
              <w:bidi w:val="0"/>
              <w:adjustRightInd w:val="0"/>
              <w:snapToGrid w:val="0"/>
              <w:spacing w:line="360" w:lineRule="auto"/>
              <w:ind w:firstLine="524" w:firstLineChars="200"/>
              <w:jc w:val="left"/>
              <w:textAlignment w:val="auto"/>
              <w:rPr>
                <w:rFonts w:hint="default" w:ascii="Times New Roman" w:hAnsi="Times New Roman" w:eastAsia="宋体" w:cs="Times New Roman"/>
                <w:spacing w:val="11"/>
                <w:kern w:val="0"/>
                <w:position w:val="0"/>
                <w:sz w:val="24"/>
                <w:szCs w:val="24"/>
                <w:highlight w:val="yellow"/>
                <w:u w:val="none" w:color="auto"/>
              </w:rPr>
            </w:pPr>
            <w:r>
              <w:rPr>
                <w:rFonts w:hint="default" w:ascii="Times New Roman" w:hAnsi="Times New Roman" w:eastAsia="宋体" w:cs="Times New Roman"/>
                <w:spacing w:val="11"/>
                <w:kern w:val="0"/>
                <w:position w:val="0"/>
                <w:sz w:val="24"/>
                <w:szCs w:val="24"/>
                <w:u w:val="none" w:color="auto"/>
              </w:rPr>
              <w:t>本项目所在地不属于依法划定的自然保护区、风景名胜区和饮用水水源保护区，也</w:t>
            </w:r>
            <w:r>
              <w:rPr>
                <w:rFonts w:hint="default" w:ascii="Times New Roman" w:hAnsi="Times New Roman" w:eastAsia="宋体" w:cs="Times New Roman"/>
                <w:spacing w:val="11"/>
                <w:kern w:val="0"/>
                <w:position w:val="0"/>
                <w:sz w:val="24"/>
                <w:szCs w:val="24"/>
                <w:highlight w:val="none"/>
                <w:u w:val="none" w:color="auto"/>
              </w:rPr>
              <w:t>不属于地质灾害危险区等生态脆弱区；项目</w:t>
            </w:r>
            <w:r>
              <w:rPr>
                <w:rFonts w:hint="eastAsia" w:cs="Times New Roman"/>
                <w:spacing w:val="11"/>
                <w:kern w:val="0"/>
                <w:position w:val="0"/>
                <w:sz w:val="24"/>
                <w:szCs w:val="24"/>
                <w:highlight w:val="none"/>
                <w:u w:val="none" w:color="auto"/>
                <w:lang w:val="en-US" w:eastAsia="zh-CN"/>
              </w:rPr>
              <w:t>剥离物</w:t>
            </w:r>
            <w:r>
              <w:rPr>
                <w:rFonts w:hint="default" w:ascii="Times New Roman" w:hAnsi="Times New Roman" w:eastAsia="宋体" w:cs="Times New Roman"/>
                <w:spacing w:val="11"/>
                <w:kern w:val="0"/>
                <w:position w:val="0"/>
                <w:sz w:val="24"/>
                <w:szCs w:val="24"/>
                <w:highlight w:val="none"/>
                <w:u w:val="none" w:color="auto"/>
              </w:rPr>
              <w:t>运至排土场。</w:t>
            </w:r>
          </w:p>
          <w:p w14:paraId="7E09AE18">
            <w:pPr>
              <w:keepNext w:val="0"/>
              <w:keepLines w:val="0"/>
              <w:pageBreakBefore w:val="0"/>
              <w:widowControl w:val="0"/>
              <w:kinsoku/>
              <w:wordWrap/>
              <w:overflowPunct/>
              <w:topLinePunct w:val="0"/>
              <w:bidi w:val="0"/>
              <w:adjustRightInd w:val="0"/>
              <w:snapToGrid w:val="0"/>
              <w:spacing w:line="360" w:lineRule="auto"/>
              <w:ind w:firstLine="524" w:firstLineChars="200"/>
              <w:jc w:val="left"/>
              <w:textAlignment w:val="auto"/>
              <w:rPr>
                <w:rFonts w:hint="default" w:ascii="Times New Roman" w:hAnsi="Times New Roman" w:eastAsia="宋体" w:cs="Times New Roman"/>
                <w:spacing w:val="11"/>
                <w:kern w:val="0"/>
                <w:position w:val="0"/>
                <w:sz w:val="24"/>
                <w:szCs w:val="24"/>
                <w:u w:val="none" w:color="auto"/>
              </w:rPr>
            </w:pPr>
            <w:r>
              <w:rPr>
                <w:rFonts w:hint="default" w:ascii="Times New Roman" w:hAnsi="Times New Roman" w:eastAsia="宋体" w:cs="Times New Roman"/>
                <w:spacing w:val="11"/>
                <w:kern w:val="0"/>
                <w:position w:val="0"/>
                <w:sz w:val="24"/>
                <w:szCs w:val="24"/>
                <w:u w:val="none" w:color="auto"/>
              </w:rPr>
              <w:t>因此，本项目符合《矿山生态环境保护与污染防治技术政策》相关要求，其相关内容与本项目符合性分析</w:t>
            </w:r>
            <w:r>
              <w:rPr>
                <w:rFonts w:hint="default" w:ascii="Times New Roman" w:hAnsi="Times New Roman" w:eastAsia="宋体" w:cs="Times New Roman"/>
                <w:spacing w:val="11"/>
                <w:kern w:val="0"/>
                <w:position w:val="0"/>
                <w:sz w:val="24"/>
                <w:szCs w:val="24"/>
                <w:u w:val="none" w:color="auto"/>
                <w:lang w:val="en-US" w:eastAsia="zh-CN"/>
              </w:rPr>
              <w:t>详见下表</w:t>
            </w:r>
            <w:r>
              <w:rPr>
                <w:rFonts w:hint="default" w:ascii="Times New Roman" w:hAnsi="Times New Roman" w:eastAsia="宋体" w:cs="Times New Roman"/>
                <w:spacing w:val="11"/>
                <w:kern w:val="0"/>
                <w:position w:val="0"/>
                <w:sz w:val="24"/>
                <w:szCs w:val="24"/>
                <w:u w:val="none" w:color="auto"/>
              </w:rPr>
              <w:t>。</w:t>
            </w:r>
          </w:p>
          <w:p w14:paraId="3DE01D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pacing w:val="11"/>
                <w:kern w:val="0"/>
                <w:position w:val="0"/>
                <w:szCs w:val="21"/>
                <w:u w:val="none" w:color="auto"/>
              </w:rPr>
            </w:pPr>
            <w:r>
              <w:rPr>
                <w:rFonts w:hint="default" w:ascii="Times New Roman" w:hAnsi="Times New Roman" w:eastAsia="宋体" w:cs="Times New Roman"/>
                <w:b/>
                <w:bCs/>
                <w:spacing w:val="11"/>
                <w:kern w:val="0"/>
                <w:position w:val="0"/>
                <w:szCs w:val="21"/>
                <w:u w:val="none" w:color="auto"/>
              </w:rPr>
              <w:t>表1-</w:t>
            </w:r>
            <w:r>
              <w:rPr>
                <w:rFonts w:hint="default" w:ascii="Times New Roman" w:hAnsi="Times New Roman" w:eastAsia="宋体" w:cs="Times New Roman"/>
                <w:b/>
                <w:bCs/>
                <w:spacing w:val="11"/>
                <w:kern w:val="0"/>
                <w:position w:val="0"/>
                <w:szCs w:val="21"/>
                <w:u w:val="none" w:color="auto"/>
                <w:lang w:val="en-US" w:eastAsia="zh-CN"/>
              </w:rPr>
              <w:t xml:space="preserve">6 </w:t>
            </w:r>
            <w:r>
              <w:rPr>
                <w:rFonts w:hint="default" w:ascii="Times New Roman" w:hAnsi="Times New Roman" w:eastAsia="宋体" w:cs="Times New Roman"/>
                <w:b/>
                <w:bCs/>
                <w:spacing w:val="11"/>
                <w:kern w:val="0"/>
                <w:position w:val="0"/>
                <w:szCs w:val="21"/>
                <w:u w:val="none" w:color="auto"/>
              </w:rPr>
              <w:t>与《矿山生态环境保护与污染防治技术政策》符合性分析对照表</w:t>
            </w:r>
          </w:p>
          <w:tbl>
            <w:tblPr>
              <w:tblStyle w:val="32"/>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908"/>
              <w:gridCol w:w="2985"/>
              <w:gridCol w:w="887"/>
            </w:tblGrid>
            <w:tr w14:paraId="006AEC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14:paraId="3E6DDB3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lang w:val="en-US" w:eastAsia="zh-CN"/>
                    </w:rPr>
                    <w:t>相关内容</w:t>
                  </w:r>
                </w:p>
              </w:tc>
              <w:tc>
                <w:tcPr>
                  <w:tcW w:w="2201" w:type="pct"/>
                  <w:tcBorders>
                    <w:tl2br w:val="nil"/>
                    <w:tr2bl w:val="nil"/>
                  </w:tcBorders>
                  <w:shd w:val="clear" w:color="auto" w:fill="auto"/>
                  <w:noWrap w:val="0"/>
                  <w:tcMar>
                    <w:top w:w="0" w:type="dxa"/>
                    <w:left w:w="108" w:type="dxa"/>
                    <w:bottom w:w="0" w:type="dxa"/>
                    <w:right w:w="108" w:type="dxa"/>
                  </w:tcMar>
                  <w:vAlign w:val="center"/>
                </w:tcPr>
                <w:p w14:paraId="002A80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lang w:val="en-US" w:eastAsia="zh-CN" w:bidi="ar-SA"/>
                    </w:rPr>
                  </w:pPr>
                  <w:r>
                    <w:rPr>
                      <w:rFonts w:hint="default" w:ascii="Times New Roman" w:hAnsi="Times New Roman" w:eastAsia="宋体" w:cs="Times New Roman"/>
                      <w:color w:val="auto"/>
                      <w:spacing w:val="11"/>
                      <w:position w:val="0"/>
                      <w:sz w:val="21"/>
                      <w:szCs w:val="21"/>
                      <w:u w:val="none"/>
                      <w:lang w:val="en-US" w:eastAsia="zh-CN"/>
                    </w:rPr>
                    <w:t>项目情况</w:t>
                  </w:r>
                </w:p>
              </w:tc>
              <w:tc>
                <w:tcPr>
                  <w:tcW w:w="654" w:type="pct"/>
                  <w:tcBorders>
                    <w:tl2br w:val="nil"/>
                    <w:tr2bl w:val="nil"/>
                  </w:tcBorders>
                  <w:shd w:val="clear" w:color="auto" w:fill="auto"/>
                  <w:noWrap w:val="0"/>
                  <w:tcMar>
                    <w:top w:w="0" w:type="dxa"/>
                    <w:left w:w="108" w:type="dxa"/>
                    <w:bottom w:w="0" w:type="dxa"/>
                    <w:right w:w="108" w:type="dxa"/>
                  </w:tcMar>
                  <w:vAlign w:val="center"/>
                </w:tcPr>
                <w:p w14:paraId="71819C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lang w:val="en-US" w:eastAsia="zh-CN" w:bidi="ar-SA"/>
                    </w:rPr>
                  </w:pPr>
                  <w:r>
                    <w:rPr>
                      <w:rFonts w:hint="eastAsia" w:cs="Times New Roman"/>
                      <w:color w:val="auto"/>
                      <w:spacing w:val="11"/>
                      <w:position w:val="0"/>
                      <w:sz w:val="21"/>
                      <w:szCs w:val="21"/>
                      <w:u w:val="none"/>
                      <w:lang w:val="en-US" w:eastAsia="zh-CN"/>
                    </w:rPr>
                    <w:t>符合性</w:t>
                  </w:r>
                </w:p>
              </w:tc>
            </w:tr>
            <w:tr w14:paraId="27BE84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14:paraId="78DFB92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禁止在依法划定的自然保护区（核心区、缓冲区）、风景名胜区、森林公园、饮用水水源保护区、重要湖泊周边、文物古迹所在地、地质遗迹保护区、基本农田保护区等区域内采矿</w:t>
                  </w:r>
                </w:p>
              </w:tc>
              <w:tc>
                <w:tcPr>
                  <w:tcW w:w="2201" w:type="pct"/>
                  <w:tcBorders>
                    <w:tl2br w:val="nil"/>
                    <w:tr2bl w:val="nil"/>
                  </w:tcBorders>
                  <w:noWrap w:val="0"/>
                  <w:tcMar>
                    <w:top w:w="0" w:type="dxa"/>
                    <w:left w:w="108" w:type="dxa"/>
                    <w:bottom w:w="0" w:type="dxa"/>
                    <w:right w:w="108" w:type="dxa"/>
                  </w:tcMar>
                  <w:vAlign w:val="center"/>
                </w:tcPr>
                <w:p w14:paraId="7773380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本项目矿区占地范围不涉及自然保护区、风景名胜区、地质公园、森林公园、饮用水水源保护区、重要湖泊、文物古迹所在地、地质遗迹保护区、基本农田保护区等</w:t>
                  </w:r>
                </w:p>
              </w:tc>
              <w:tc>
                <w:tcPr>
                  <w:tcW w:w="654" w:type="pct"/>
                  <w:tcBorders>
                    <w:tl2br w:val="nil"/>
                    <w:tr2bl w:val="nil"/>
                  </w:tcBorders>
                  <w:noWrap w:val="0"/>
                  <w:tcMar>
                    <w:top w:w="0" w:type="dxa"/>
                    <w:left w:w="108" w:type="dxa"/>
                    <w:bottom w:w="0" w:type="dxa"/>
                    <w:right w:w="108" w:type="dxa"/>
                  </w:tcMar>
                  <w:vAlign w:val="center"/>
                </w:tcPr>
                <w:p w14:paraId="6B8B477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tc>
            </w:tr>
            <w:tr w14:paraId="0B5A2C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14:paraId="1CD9532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禁止在铁路、国道、省道两侧的直观可视范围内进行露天开采</w:t>
                  </w:r>
                </w:p>
              </w:tc>
              <w:tc>
                <w:tcPr>
                  <w:tcW w:w="2201" w:type="pct"/>
                  <w:tcBorders>
                    <w:tl2br w:val="nil"/>
                    <w:tr2bl w:val="nil"/>
                  </w:tcBorders>
                  <w:noWrap w:val="0"/>
                  <w:tcMar>
                    <w:top w:w="0" w:type="dxa"/>
                    <w:left w:w="108" w:type="dxa"/>
                    <w:bottom w:w="0" w:type="dxa"/>
                    <w:right w:w="108" w:type="dxa"/>
                  </w:tcMar>
                  <w:vAlign w:val="center"/>
                </w:tcPr>
                <w:p w14:paraId="03C2F40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矿区不在铁路、国道、省道两侧直观可视范围内</w:t>
                  </w:r>
                </w:p>
              </w:tc>
              <w:tc>
                <w:tcPr>
                  <w:tcW w:w="654" w:type="pct"/>
                  <w:tcBorders>
                    <w:tl2br w:val="nil"/>
                    <w:tr2bl w:val="nil"/>
                  </w:tcBorders>
                  <w:noWrap w:val="0"/>
                  <w:tcMar>
                    <w:top w:w="0" w:type="dxa"/>
                    <w:left w:w="108" w:type="dxa"/>
                    <w:bottom w:w="0" w:type="dxa"/>
                    <w:right w:w="108" w:type="dxa"/>
                  </w:tcMar>
                  <w:vAlign w:val="center"/>
                </w:tcPr>
                <w:p w14:paraId="75C906F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tc>
            </w:tr>
            <w:tr w14:paraId="18CC3B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2144" w:type="pct"/>
                  <w:tcBorders>
                    <w:tl2br w:val="nil"/>
                    <w:tr2bl w:val="nil"/>
                  </w:tcBorders>
                  <w:noWrap w:val="0"/>
                  <w:tcMar>
                    <w:top w:w="0" w:type="dxa"/>
                    <w:left w:w="108" w:type="dxa"/>
                    <w:bottom w:w="0" w:type="dxa"/>
                    <w:right w:w="108" w:type="dxa"/>
                  </w:tcMar>
                  <w:vAlign w:val="center"/>
                </w:tcPr>
                <w:p w14:paraId="7C8A214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禁止在地质灾害危险区开采矿产资源</w:t>
                  </w:r>
                </w:p>
              </w:tc>
              <w:tc>
                <w:tcPr>
                  <w:tcW w:w="2201" w:type="pct"/>
                  <w:tcBorders>
                    <w:tl2br w:val="nil"/>
                    <w:tr2bl w:val="nil"/>
                  </w:tcBorders>
                  <w:noWrap w:val="0"/>
                  <w:tcMar>
                    <w:top w:w="0" w:type="dxa"/>
                    <w:left w:w="108" w:type="dxa"/>
                    <w:bottom w:w="0" w:type="dxa"/>
                    <w:right w:w="108" w:type="dxa"/>
                  </w:tcMar>
                  <w:vAlign w:val="center"/>
                </w:tcPr>
                <w:p w14:paraId="081974C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本项目不属于地质灾害危险区</w:t>
                  </w:r>
                </w:p>
              </w:tc>
              <w:tc>
                <w:tcPr>
                  <w:tcW w:w="654" w:type="pct"/>
                  <w:tcBorders>
                    <w:tl2br w:val="nil"/>
                    <w:tr2bl w:val="nil"/>
                  </w:tcBorders>
                  <w:noWrap w:val="0"/>
                  <w:tcMar>
                    <w:top w:w="0" w:type="dxa"/>
                    <w:left w:w="108" w:type="dxa"/>
                    <w:bottom w:w="0" w:type="dxa"/>
                    <w:right w:w="108" w:type="dxa"/>
                  </w:tcMar>
                  <w:vAlign w:val="center"/>
                </w:tcPr>
                <w:p w14:paraId="19E30AE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tc>
            </w:tr>
            <w:tr w14:paraId="573114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14:paraId="0E92C86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禁止土法采、选冶金矿和土法冶炼汞、砷、铅、锌、焦、硫、钒等矿产资源开发活动</w:t>
                  </w:r>
                </w:p>
              </w:tc>
              <w:tc>
                <w:tcPr>
                  <w:tcW w:w="2201" w:type="pct"/>
                  <w:tcBorders>
                    <w:tl2br w:val="nil"/>
                    <w:tr2bl w:val="nil"/>
                  </w:tcBorders>
                  <w:noWrap w:val="0"/>
                  <w:tcMar>
                    <w:top w:w="0" w:type="dxa"/>
                    <w:left w:w="108" w:type="dxa"/>
                    <w:bottom w:w="0" w:type="dxa"/>
                    <w:right w:w="108" w:type="dxa"/>
                  </w:tcMar>
                  <w:vAlign w:val="center"/>
                </w:tcPr>
                <w:p w14:paraId="6D5AA79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本项目为建筑石料用灰岩矿开采，开采工艺成熟</w:t>
                  </w:r>
                </w:p>
              </w:tc>
              <w:tc>
                <w:tcPr>
                  <w:tcW w:w="654" w:type="pct"/>
                  <w:tcBorders>
                    <w:tl2br w:val="nil"/>
                    <w:tr2bl w:val="nil"/>
                  </w:tcBorders>
                  <w:noWrap w:val="0"/>
                  <w:tcMar>
                    <w:top w:w="0" w:type="dxa"/>
                    <w:left w:w="108" w:type="dxa"/>
                    <w:bottom w:w="0" w:type="dxa"/>
                    <w:right w:w="108" w:type="dxa"/>
                  </w:tcMar>
                  <w:vAlign w:val="center"/>
                </w:tcPr>
                <w:p w14:paraId="7CF114F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tc>
            </w:tr>
            <w:tr w14:paraId="7CD86D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14:paraId="76EA6E1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禁止新建对生态环境产生不可恢复利用的、产生破坏性影响的矿产资源开发项目</w:t>
                  </w:r>
                </w:p>
              </w:tc>
              <w:tc>
                <w:tcPr>
                  <w:tcW w:w="2201" w:type="pct"/>
                  <w:tcBorders>
                    <w:tl2br w:val="nil"/>
                    <w:tr2bl w:val="nil"/>
                  </w:tcBorders>
                  <w:noWrap w:val="0"/>
                  <w:tcMar>
                    <w:top w:w="0" w:type="dxa"/>
                    <w:left w:w="108" w:type="dxa"/>
                    <w:bottom w:w="0" w:type="dxa"/>
                    <w:right w:w="108" w:type="dxa"/>
                  </w:tcMar>
                  <w:vAlign w:val="center"/>
                </w:tcPr>
                <w:p w14:paraId="15A57A1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项目占地主要为林地及一般农田，植被为常见种，生态环境可恢复</w:t>
                  </w:r>
                </w:p>
              </w:tc>
              <w:tc>
                <w:tcPr>
                  <w:tcW w:w="654" w:type="pct"/>
                  <w:tcBorders>
                    <w:tl2br w:val="nil"/>
                    <w:tr2bl w:val="nil"/>
                  </w:tcBorders>
                  <w:noWrap w:val="0"/>
                  <w:tcMar>
                    <w:top w:w="0" w:type="dxa"/>
                    <w:left w:w="108" w:type="dxa"/>
                    <w:bottom w:w="0" w:type="dxa"/>
                    <w:right w:w="108" w:type="dxa"/>
                  </w:tcMar>
                  <w:vAlign w:val="center"/>
                </w:tcPr>
                <w:p w14:paraId="53E3344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tc>
            </w:tr>
            <w:tr w14:paraId="6B5CEE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14:paraId="54B0814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限制在生态功能保护区和自然保护区（过渡区）内开采矿产资源</w:t>
                  </w:r>
                </w:p>
              </w:tc>
              <w:tc>
                <w:tcPr>
                  <w:tcW w:w="2201" w:type="pct"/>
                  <w:tcBorders>
                    <w:tl2br w:val="nil"/>
                    <w:tr2bl w:val="nil"/>
                  </w:tcBorders>
                  <w:noWrap w:val="0"/>
                  <w:tcMar>
                    <w:top w:w="0" w:type="dxa"/>
                    <w:left w:w="108" w:type="dxa"/>
                    <w:bottom w:w="0" w:type="dxa"/>
                    <w:right w:w="108" w:type="dxa"/>
                  </w:tcMar>
                  <w:vAlign w:val="center"/>
                </w:tcPr>
                <w:p w14:paraId="1D0A073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本项目矿区占地范围不涉及生态功能保护区和自然保护区</w:t>
                  </w:r>
                </w:p>
              </w:tc>
              <w:tc>
                <w:tcPr>
                  <w:tcW w:w="654" w:type="pct"/>
                  <w:tcBorders>
                    <w:tl2br w:val="nil"/>
                    <w:tr2bl w:val="nil"/>
                  </w:tcBorders>
                  <w:noWrap w:val="0"/>
                  <w:tcMar>
                    <w:top w:w="0" w:type="dxa"/>
                    <w:left w:w="108" w:type="dxa"/>
                    <w:bottom w:w="0" w:type="dxa"/>
                    <w:right w:w="108" w:type="dxa"/>
                  </w:tcMar>
                  <w:vAlign w:val="center"/>
                </w:tcPr>
                <w:p w14:paraId="6C6BB16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p w14:paraId="3382639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p>
              </w:tc>
            </w:tr>
            <w:tr w14:paraId="77ECD2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14:paraId="55123E2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限制在地质灾害易发区、水土流失严重区域等生态脆弱区内开采矿产资源</w:t>
                  </w:r>
                </w:p>
              </w:tc>
              <w:tc>
                <w:tcPr>
                  <w:tcW w:w="2201" w:type="pct"/>
                  <w:tcBorders>
                    <w:tl2br w:val="nil"/>
                    <w:tr2bl w:val="nil"/>
                  </w:tcBorders>
                  <w:noWrap w:val="0"/>
                  <w:tcMar>
                    <w:top w:w="0" w:type="dxa"/>
                    <w:left w:w="108" w:type="dxa"/>
                    <w:bottom w:w="0" w:type="dxa"/>
                    <w:right w:w="108" w:type="dxa"/>
                  </w:tcMar>
                  <w:vAlign w:val="center"/>
                </w:tcPr>
                <w:p w14:paraId="556FD17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项目所在区域水土流失属于轻度及中度，且不属于地质灾害易发区。</w:t>
                  </w:r>
                </w:p>
              </w:tc>
              <w:tc>
                <w:tcPr>
                  <w:tcW w:w="654" w:type="pct"/>
                  <w:tcBorders>
                    <w:tl2br w:val="nil"/>
                    <w:tr2bl w:val="nil"/>
                  </w:tcBorders>
                  <w:noWrap w:val="0"/>
                  <w:tcMar>
                    <w:top w:w="0" w:type="dxa"/>
                    <w:left w:w="108" w:type="dxa"/>
                    <w:bottom w:w="0" w:type="dxa"/>
                    <w:right w:w="108" w:type="dxa"/>
                  </w:tcMar>
                  <w:vAlign w:val="center"/>
                </w:tcPr>
                <w:p w14:paraId="17C2435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tc>
            </w:tr>
            <w:tr w14:paraId="73B5EA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14:paraId="1F41E09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矿产资源开发应符合国家产业政策要求，选址、布局应符合所在地的区域发展规划</w:t>
                  </w:r>
                </w:p>
              </w:tc>
              <w:tc>
                <w:tcPr>
                  <w:tcW w:w="2201" w:type="pct"/>
                  <w:tcBorders>
                    <w:tl2br w:val="nil"/>
                    <w:tr2bl w:val="nil"/>
                  </w:tcBorders>
                  <w:noWrap w:val="0"/>
                  <w:tcMar>
                    <w:top w:w="0" w:type="dxa"/>
                    <w:left w:w="108" w:type="dxa"/>
                    <w:bottom w:w="0" w:type="dxa"/>
                    <w:right w:w="108" w:type="dxa"/>
                  </w:tcMar>
                  <w:vAlign w:val="center"/>
                </w:tcPr>
                <w:p w14:paraId="774CDEF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符合国家产业政策和区域规划要求</w:t>
                  </w:r>
                </w:p>
              </w:tc>
              <w:tc>
                <w:tcPr>
                  <w:tcW w:w="654" w:type="pct"/>
                  <w:tcBorders>
                    <w:tl2br w:val="nil"/>
                    <w:tr2bl w:val="nil"/>
                  </w:tcBorders>
                  <w:noWrap w:val="0"/>
                  <w:tcMar>
                    <w:top w:w="0" w:type="dxa"/>
                    <w:left w:w="108" w:type="dxa"/>
                    <w:bottom w:w="0" w:type="dxa"/>
                    <w:right w:w="108" w:type="dxa"/>
                  </w:tcMar>
                  <w:vAlign w:val="center"/>
                </w:tcPr>
                <w:p w14:paraId="1E20729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tc>
            </w:tr>
          </w:tbl>
          <w:p w14:paraId="7DF5FB6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jc w:val="left"/>
              <w:textAlignment w:val="auto"/>
              <w:rPr>
                <w:rFonts w:hint="default" w:ascii="Times New Roman" w:hAnsi="Times New Roman" w:eastAsia="宋体" w:cs="Times New Roman"/>
                <w:spacing w:val="11"/>
                <w:position w:val="0"/>
                <w:sz w:val="24"/>
                <w:szCs w:val="24"/>
                <w:u w:val="none" w:color="auto"/>
              </w:rPr>
            </w:pPr>
            <w:r>
              <w:rPr>
                <w:rFonts w:hint="default" w:ascii="Times New Roman" w:hAnsi="Times New Roman" w:eastAsia="宋体" w:cs="Times New Roman"/>
                <w:spacing w:val="11"/>
                <w:position w:val="0"/>
                <w:sz w:val="24"/>
                <w:szCs w:val="24"/>
                <w:u w:val="none" w:color="auto"/>
              </w:rPr>
              <w:t>同时，《矿山生态环境保护与污染防治技术政策》对矿山生态环境保护与污染防治提出了要求。本环评已按照《矿山生态环境保护与污染防治技术政策》的要求和其他相关规定以及项目周围环境敏感特征和当前技术经济条件，有针对性地提出合理可行的生态环境保护与污染防治措施，以达到实现矿产资源开发与生态环境保护协调发展，避免和减少矿区生态环境破坏和污染的目的。</w:t>
            </w:r>
          </w:p>
          <w:p w14:paraId="22F149CC">
            <w:pPr>
              <w:keepNext w:val="0"/>
              <w:keepLines w:val="0"/>
              <w:pageBreakBefore w:val="0"/>
              <w:widowControl w:val="0"/>
              <w:kinsoku/>
              <w:wordWrap/>
              <w:overflowPunct/>
              <w:topLinePunct w:val="0"/>
              <w:bidi w:val="0"/>
              <w:adjustRightInd w:val="0"/>
              <w:snapToGrid w:val="0"/>
              <w:spacing w:line="360" w:lineRule="auto"/>
              <w:ind w:firstLine="524" w:firstLineChars="200"/>
              <w:jc w:val="left"/>
              <w:textAlignment w:val="auto"/>
              <w:rPr>
                <w:rFonts w:hint="default" w:ascii="Times New Roman" w:hAnsi="Times New Roman" w:eastAsia="宋体" w:cs="Times New Roman"/>
                <w:spacing w:val="11"/>
                <w:position w:val="0"/>
                <w:sz w:val="24"/>
                <w:szCs w:val="24"/>
                <w:u w:val="none" w:color="auto"/>
              </w:rPr>
            </w:pPr>
            <w:r>
              <w:rPr>
                <w:rFonts w:hint="default" w:ascii="Times New Roman" w:hAnsi="Times New Roman" w:eastAsia="宋体" w:cs="Times New Roman"/>
                <w:spacing w:val="11"/>
                <w:position w:val="0"/>
                <w:sz w:val="24"/>
                <w:szCs w:val="24"/>
                <w:u w:val="none" w:color="auto"/>
              </w:rPr>
              <w:t>综上，本矿山的建设符合《矿山生态环境保护与污染防治技术政策》。</w:t>
            </w:r>
          </w:p>
          <w:p w14:paraId="4A87B672">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hint="default" w:ascii="Times New Roman" w:hAnsi="Times New Roman" w:eastAsia="宋体" w:cs="Times New Roman"/>
                <w:b/>
                <w:color w:val="000000"/>
                <w:spacing w:val="11"/>
                <w:position w:val="0"/>
                <w:sz w:val="24"/>
                <w:szCs w:val="24"/>
                <w:u w:val="none" w:color="auto"/>
                <w:lang w:eastAsia="zh-CN" w:bidi="ar"/>
              </w:rPr>
            </w:pPr>
            <w:r>
              <w:rPr>
                <w:rFonts w:hint="eastAsia" w:ascii="Times New Roman" w:hAnsi="Times New Roman" w:cs="Times New Roman"/>
                <w:b/>
                <w:color w:val="000000"/>
                <w:spacing w:val="11"/>
                <w:position w:val="0"/>
                <w:sz w:val="24"/>
                <w:szCs w:val="24"/>
                <w:u w:val="none" w:color="auto"/>
                <w:lang w:val="en-US" w:eastAsia="zh-CN" w:bidi="ar"/>
              </w:rPr>
              <w:t>5</w:t>
            </w:r>
            <w:r>
              <w:rPr>
                <w:rFonts w:hint="default" w:ascii="Times New Roman" w:hAnsi="Times New Roman" w:eastAsia="宋体" w:cs="Times New Roman"/>
                <w:b/>
                <w:color w:val="000000"/>
                <w:spacing w:val="11"/>
                <w:position w:val="0"/>
                <w:sz w:val="24"/>
                <w:szCs w:val="24"/>
                <w:u w:val="none" w:color="auto"/>
                <w:lang w:val="en-US" w:eastAsia="zh-CN" w:bidi="ar"/>
              </w:rPr>
              <w:t>、与生态环境分区管控符合性分析</w:t>
            </w:r>
          </w:p>
          <w:p w14:paraId="473EE33C">
            <w:pPr>
              <w:keepNext w:val="0"/>
              <w:keepLines w:val="0"/>
              <w:pageBreakBefore w:val="0"/>
              <w:widowControl w:val="0"/>
              <w:kinsoku/>
              <w:wordWrap/>
              <w:overflowPunct w:val="0"/>
              <w:topLinePunct w:val="0"/>
              <w:autoSpaceDE w:val="0"/>
              <w:autoSpaceDN w:val="0"/>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生态环境部发布的《关于以改善环境质量为核心加强环境影响评价管理的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14:paraId="0DED27A1">
            <w:pPr>
              <w:keepNext w:val="0"/>
              <w:keepLines w:val="0"/>
              <w:pageBreakBefore w:val="0"/>
              <w:widowControl w:val="0"/>
              <w:kinsoku/>
              <w:wordWrap/>
              <w:overflowPunct w:val="0"/>
              <w:topLinePunct w:val="0"/>
              <w:autoSpaceDE w:val="0"/>
              <w:autoSpaceDN w:val="0"/>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（1）生态红线</w:t>
            </w:r>
          </w:p>
          <w:p w14:paraId="7A403712">
            <w:pPr>
              <w:keepNext w:val="0"/>
              <w:keepLines w:val="0"/>
              <w:pageBreakBefore w:val="0"/>
              <w:widowControl w:val="0"/>
              <w:kinsoku/>
              <w:wordWrap/>
              <w:overflowPunct w:val="0"/>
              <w:topLinePunct w:val="0"/>
              <w:autoSpaceDE w:val="0"/>
              <w:autoSpaceDN w:val="0"/>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项目位于永州市新田县龙泉街道潮水铺村文峰岭矿区，根据新田县人民政府发布的《新田县国土空间总体规划》（2021-2035年），本项目不在生态保护红线区域内。因此，项目符合生态保护红线划定的规定。</w:t>
            </w:r>
          </w:p>
          <w:p w14:paraId="2D49A50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（2）环境质量底线</w:t>
            </w:r>
          </w:p>
          <w:p w14:paraId="2DC41EA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选址区域为环境空气功能区二类区，执行二级标准。根据环境空气质量现状的监测数据，项目选址区域环境空气质量能够满足《环境空气质量标准》（GB3095-2012）二级标准要求，空气质量好，尚有容量进行项目建设。项目主要气型污染物为TSP，采取相应治理措施后可达标排放，不会对区域环境空气质量产生明显影响。</w:t>
            </w:r>
          </w:p>
          <w:p w14:paraId="76CA5E99">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根据周边地表水的环境质量现状监测数据可知，项目区域地表水水质较好，均可达到相应水环境质量要求。项目生产废水不外排，对区域水环境质量影响小。</w:t>
            </w:r>
          </w:p>
          <w:p w14:paraId="6DCFF09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项目运营产生的噪声源强不大，合理降噪处理后可达标排放，不会改变项目所在区域的声环境功能，因此项目建设声环境质量是符合要求的。</w:t>
            </w:r>
          </w:p>
          <w:p w14:paraId="531C9E3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综上，评价项目建设符合环境质量底线要求的。</w:t>
            </w:r>
          </w:p>
          <w:p w14:paraId="7434DF9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（3）资源利用上线</w:t>
            </w:r>
          </w:p>
          <w:p w14:paraId="12DEC24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yellow"/>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使用资源主要为水、电等，本项目施工期生活、施工用水取自市政自来水管网，用水量较当地供水量所占比例较小；项目施工期用电量不会超过区域用电负荷。项目建成运行后通过内部管理、设备选择、原辅材料的选用和管理、废物回收利用、污染治理等多方面采取可行的防治措施，以“节能、降耗、减污”为目标，有效地控制污染，项目的水、电等资源不会突破区域的资源利用上线。</w:t>
            </w:r>
          </w:p>
          <w:p w14:paraId="718098D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因此，项目资源利用满足要求。</w:t>
            </w:r>
          </w:p>
          <w:p w14:paraId="0DEB98B9">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（4）环境准入清单</w:t>
            </w:r>
          </w:p>
          <w:p w14:paraId="5A49A0B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生态环境准入清单是基于生态保护红线、环境质量底线和资源利用上线，以清单方式列出的禁止、限制等差别化环境准入条件和要求。</w:t>
            </w:r>
          </w:p>
          <w:p w14:paraId="2304937B">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本项目位于永州市新田县龙泉街道潮水铺村文峰岭矿区，根据《永州市环境管控单元（省级以上产业园区除外）生态环境准入清单》（2023版），本项目所在地龙泉街道的管控单元分类为一般管控单元（见附图</w:t>
            </w:r>
            <w:r>
              <w:rPr>
                <w:rFonts w:hint="default" w:ascii="Times New Roman" w:hAnsi="Times New Roman" w:cs="Times New Roman"/>
                <w:caps w:val="0"/>
                <w:smallCaps w:val="0"/>
                <w:color w:val="auto"/>
                <w:spacing w:val="11"/>
                <w:position w:val="0"/>
                <w:sz w:val="24"/>
                <w:szCs w:val="24"/>
                <w:highlight w:val="none"/>
                <w:u w:val="none" w:color="auto"/>
                <w:lang w:val="en-US" w:eastAsia="zh-CN"/>
              </w:rPr>
              <w:t>7</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），环境管控单元编码为：ZH43112830001。本项目与其相符性分析详见下表：</w:t>
            </w:r>
          </w:p>
          <w:p w14:paraId="6F5C6505">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pPr>
          </w:p>
          <w:p w14:paraId="30DE2462">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pPr>
          </w:p>
          <w:p w14:paraId="0EE1B334">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pPr>
          </w:p>
          <w:p w14:paraId="68D2835A">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t>表1-</w:t>
            </w:r>
            <w:r>
              <w:rPr>
                <w:rFonts w:hint="eastAsia" w:cs="Times New Roman"/>
                <w:b/>
                <w:color w:val="auto"/>
                <w:spacing w:val="11"/>
                <w:kern w:val="2"/>
                <w:position w:val="0"/>
                <w:sz w:val="21"/>
                <w:szCs w:val="21"/>
                <w:highlight w:val="none"/>
                <w:u w:val="none" w:color="auto"/>
                <w:lang w:val="en-US" w:eastAsia="zh-CN" w:bidi="ar-SA"/>
              </w:rPr>
              <w:t>7</w:t>
            </w:r>
            <w:r>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t xml:space="preserve"> 项目与环境管控单元管控要求相符性分析一览表</w:t>
            </w:r>
          </w:p>
          <w:tbl>
            <w:tblPr>
              <w:tblStyle w:val="6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04"/>
              <w:gridCol w:w="3234"/>
              <w:gridCol w:w="2196"/>
              <w:gridCol w:w="644"/>
            </w:tblGrid>
            <w:tr w14:paraId="5A6355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519" w:type="pct"/>
                  <w:tcBorders>
                    <w:tl2br w:val="nil"/>
                    <w:tr2bl w:val="nil"/>
                  </w:tcBorders>
                  <w:vAlign w:val="center"/>
                </w:tcPr>
                <w:p w14:paraId="16A3F4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管控维度</w:t>
                  </w:r>
                </w:p>
              </w:tc>
              <w:tc>
                <w:tcPr>
                  <w:tcW w:w="2384" w:type="pct"/>
                  <w:tcBorders>
                    <w:tl2br w:val="nil"/>
                    <w:tr2bl w:val="nil"/>
                  </w:tcBorders>
                  <w:vAlign w:val="center"/>
                </w:tcPr>
                <w:p w14:paraId="01AB91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清单中管控要求</w:t>
                  </w:r>
                </w:p>
              </w:tc>
              <w:tc>
                <w:tcPr>
                  <w:tcW w:w="1619" w:type="pct"/>
                  <w:tcBorders>
                    <w:tl2br w:val="nil"/>
                    <w:tr2bl w:val="nil"/>
                  </w:tcBorders>
                  <w:vAlign w:val="center"/>
                </w:tcPr>
                <w:p w14:paraId="02E041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符合性分析</w:t>
                  </w:r>
                </w:p>
              </w:tc>
              <w:tc>
                <w:tcPr>
                  <w:tcW w:w="475" w:type="pct"/>
                  <w:tcBorders>
                    <w:tl2br w:val="nil"/>
                    <w:tr2bl w:val="nil"/>
                  </w:tcBorders>
                  <w:shd w:val="clear" w:color="auto" w:fill="auto"/>
                  <w:vAlign w:val="center"/>
                </w:tcPr>
                <w:p w14:paraId="2917ED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rPr>
                    <w:t>符合性结论</w:t>
                  </w:r>
                </w:p>
              </w:tc>
            </w:tr>
            <w:tr w14:paraId="644D6B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19" w:type="pct"/>
                  <w:tcBorders>
                    <w:tl2br w:val="nil"/>
                    <w:tr2bl w:val="nil"/>
                  </w:tcBorders>
                  <w:vAlign w:val="center"/>
                </w:tcPr>
                <w:p w14:paraId="2918F2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空间布局约束</w:t>
                  </w:r>
                </w:p>
              </w:tc>
              <w:tc>
                <w:tcPr>
                  <w:tcW w:w="2384" w:type="pct"/>
                  <w:tcBorders>
                    <w:tl2br w:val="nil"/>
                    <w:tr2bl w:val="nil"/>
                  </w:tcBorders>
                  <w:vAlign w:val="center"/>
                </w:tcPr>
                <w:p w14:paraId="3DB944DB">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 xml:space="preserve">（1.1）产业准入应严格执行国家、省级关于主体功能区划的环境保护及产业准入负面清单要求。 </w:t>
                  </w:r>
                </w:p>
                <w:p w14:paraId="40828399">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（1.2）畜禽养殖产业布局应符合《湖南省新田县畜禽规模养殖“三区”划定方案》。</w:t>
                  </w:r>
                </w:p>
              </w:tc>
              <w:tc>
                <w:tcPr>
                  <w:tcW w:w="1619" w:type="pct"/>
                  <w:tcBorders>
                    <w:tl2br w:val="nil"/>
                    <w:tr2bl w:val="nil"/>
                  </w:tcBorders>
                  <w:vAlign w:val="center"/>
                </w:tcPr>
                <w:p w14:paraId="755C64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本项目属于非金属矿采选业以及非金属矿物制品业，不涉及畜禽养殖业</w:t>
                  </w:r>
                </w:p>
              </w:tc>
              <w:tc>
                <w:tcPr>
                  <w:tcW w:w="475" w:type="pct"/>
                  <w:tcBorders>
                    <w:tl2br w:val="nil"/>
                    <w:tr2bl w:val="nil"/>
                  </w:tcBorders>
                  <w:vAlign w:val="center"/>
                </w:tcPr>
                <w:p w14:paraId="6AE226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w:t>
                  </w:r>
                </w:p>
              </w:tc>
            </w:tr>
            <w:tr w14:paraId="524DF7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19" w:type="pct"/>
                  <w:tcBorders>
                    <w:tl2br w:val="nil"/>
                    <w:tr2bl w:val="nil"/>
                  </w:tcBorders>
                  <w:vAlign w:val="center"/>
                </w:tcPr>
                <w:p w14:paraId="15B6F6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污染物排放管控</w:t>
                  </w:r>
                </w:p>
              </w:tc>
              <w:tc>
                <w:tcPr>
                  <w:tcW w:w="2384" w:type="pct"/>
                  <w:tcBorders>
                    <w:tl2br w:val="nil"/>
                    <w:tr2bl w:val="nil"/>
                  </w:tcBorders>
                  <w:vAlign w:val="center"/>
                </w:tcPr>
                <w:p w14:paraId="093D02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 xml:space="preserve">（2.1）有关行业新建项目必须执行《新田县环境突出问题集中整治重点行业操作规范》（试行），现有项目必须在规定期限内达到《规范》要求，否则自行淘汰退出。 </w:t>
                  </w:r>
                </w:p>
                <w:p w14:paraId="333524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 xml:space="preserve">（2.2）加大露天焚烧垃圾和露天烧烤的查处力度、禁止露天烧烤直排。及时处理群众对露天焚烧的投诉，依法查处露天焚烧建筑垃圾、生活垃圾、秸秆等行为。全面推广并形成“户分类减量、村收集利用、镇少量中转、县处理处置”等符合农村实情、具有新田县特色的农村垃圾收集处理体系。 </w:t>
                  </w:r>
                </w:p>
                <w:p w14:paraId="08B56C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（2.3）严格控制涉重金属企业进入，依法关停达标无望、治理整顿后仍不能稳定达标的涉重金属企业。强化涉重金属重点工矿企业的重金属污染物排放及周边环境中的重金属监测。</w:t>
                  </w:r>
                </w:p>
              </w:tc>
              <w:tc>
                <w:tcPr>
                  <w:tcW w:w="1619" w:type="pct"/>
                  <w:tcBorders>
                    <w:tl2br w:val="nil"/>
                    <w:tr2bl w:val="nil"/>
                  </w:tcBorders>
                  <w:vAlign w:val="center"/>
                </w:tcPr>
                <w:p w14:paraId="690AF2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本项目符合《新田县环境突出问题集中整治重点行业操作规范》（试行），本项目生活垃圾交由环卫部门处置</w:t>
                  </w:r>
                </w:p>
              </w:tc>
              <w:tc>
                <w:tcPr>
                  <w:tcW w:w="475" w:type="pct"/>
                  <w:tcBorders>
                    <w:tl2br w:val="nil"/>
                    <w:tr2bl w:val="nil"/>
                  </w:tcBorders>
                  <w:vAlign w:val="center"/>
                </w:tcPr>
                <w:p w14:paraId="2B29AA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w:t>
                  </w:r>
                </w:p>
              </w:tc>
            </w:tr>
            <w:tr w14:paraId="41C274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19" w:type="pct"/>
                  <w:tcBorders>
                    <w:tl2br w:val="nil"/>
                    <w:tr2bl w:val="nil"/>
                  </w:tcBorders>
                  <w:vAlign w:val="center"/>
                </w:tcPr>
                <w:p w14:paraId="6AE0E8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环境风险防控</w:t>
                  </w:r>
                </w:p>
              </w:tc>
              <w:tc>
                <w:tcPr>
                  <w:tcW w:w="2384" w:type="pct"/>
                  <w:tcBorders>
                    <w:tl2br w:val="nil"/>
                    <w:tr2bl w:val="nil"/>
                  </w:tcBorders>
                  <w:vAlign w:val="center"/>
                </w:tcPr>
                <w:p w14:paraId="68E947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（3.1）中山街道/龙泉街道：加强饮用水水源地风险管控，严格保护饮用水水质安全。</w:t>
                  </w:r>
                </w:p>
              </w:tc>
              <w:tc>
                <w:tcPr>
                  <w:tcW w:w="1619" w:type="pct"/>
                  <w:tcBorders>
                    <w:tl2br w:val="nil"/>
                    <w:tr2bl w:val="nil"/>
                  </w:tcBorders>
                  <w:vAlign w:val="center"/>
                </w:tcPr>
                <w:p w14:paraId="5BEEF8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本项目所在区域不涉及饮用水源保护区</w:t>
                  </w:r>
                </w:p>
              </w:tc>
              <w:tc>
                <w:tcPr>
                  <w:tcW w:w="475" w:type="pct"/>
                  <w:tcBorders>
                    <w:tl2br w:val="nil"/>
                    <w:tr2bl w:val="nil"/>
                  </w:tcBorders>
                  <w:vAlign w:val="center"/>
                </w:tcPr>
                <w:p w14:paraId="359D1F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w:t>
                  </w:r>
                </w:p>
              </w:tc>
            </w:tr>
            <w:tr w14:paraId="235F95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19" w:type="pct"/>
                  <w:tcBorders>
                    <w:tl2br w:val="nil"/>
                    <w:tr2bl w:val="nil"/>
                  </w:tcBorders>
                  <w:vAlign w:val="center"/>
                </w:tcPr>
                <w:p w14:paraId="034748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资源开发效率要求</w:t>
                  </w:r>
                </w:p>
              </w:tc>
              <w:tc>
                <w:tcPr>
                  <w:tcW w:w="2384" w:type="pct"/>
                  <w:tcBorders>
                    <w:tl2br w:val="nil"/>
                    <w:tr2bl w:val="nil"/>
                  </w:tcBorders>
                  <w:vAlign w:val="center"/>
                </w:tcPr>
                <w:p w14:paraId="3D76FD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 xml:space="preserve">（4.1）中山街道/龙泉街道：高污染燃料禁燃区严格执行《新田县高污染燃料禁燃区划定方案》的规定。 </w:t>
                  </w:r>
                </w:p>
                <w:p w14:paraId="5BA36D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（4.2）到2025年，新田县用水总量目标为15187万m</w:t>
                  </w:r>
                  <w:r>
                    <w:rPr>
                      <w:rFonts w:hint="default" w:ascii="Times New Roman" w:hAnsi="Times New Roman" w:eastAsia="宋体" w:cs="Times New Roman"/>
                      <w:color w:val="auto"/>
                      <w:spacing w:val="11"/>
                      <w:kern w:val="0"/>
                      <w:position w:val="0"/>
                      <w:sz w:val="21"/>
                      <w:szCs w:val="21"/>
                      <w:highlight w:val="none"/>
                      <w:u w:val="none" w:color="auto"/>
                      <w:vertAlign w:val="superscript"/>
                      <w:lang w:val="en-US" w:eastAsia="zh-CN"/>
                    </w:rPr>
                    <w:t>3</w:t>
                  </w:r>
                  <w:r>
                    <w:rPr>
                      <w:rFonts w:hint="default" w:ascii="Times New Roman" w:hAnsi="Times New Roman" w:eastAsia="宋体" w:cs="Times New Roman"/>
                      <w:color w:val="auto"/>
                      <w:spacing w:val="11"/>
                      <w:kern w:val="0"/>
                      <w:position w:val="0"/>
                      <w:sz w:val="21"/>
                      <w:szCs w:val="21"/>
                      <w:highlight w:val="none"/>
                      <w:u w:val="none" w:color="auto"/>
                      <w:lang w:val="en-US" w:eastAsia="zh-CN"/>
                    </w:rPr>
                    <w:t>，农业用水总量控制在12112万m</w:t>
                  </w:r>
                  <w:r>
                    <w:rPr>
                      <w:rFonts w:hint="default" w:ascii="Times New Roman" w:hAnsi="Times New Roman" w:eastAsia="宋体" w:cs="Times New Roman"/>
                      <w:color w:val="auto"/>
                      <w:spacing w:val="11"/>
                      <w:kern w:val="0"/>
                      <w:position w:val="0"/>
                      <w:sz w:val="21"/>
                      <w:szCs w:val="21"/>
                      <w:highlight w:val="none"/>
                      <w:u w:val="none" w:color="auto"/>
                      <w:vertAlign w:val="superscript"/>
                      <w:lang w:val="en-US" w:eastAsia="zh-CN"/>
                    </w:rPr>
                    <w:t>3</w:t>
                  </w:r>
                  <w:r>
                    <w:rPr>
                      <w:rFonts w:hint="default" w:ascii="Times New Roman" w:hAnsi="Times New Roman" w:eastAsia="宋体" w:cs="Times New Roman"/>
                      <w:color w:val="auto"/>
                      <w:spacing w:val="11"/>
                      <w:kern w:val="0"/>
                      <w:position w:val="0"/>
                      <w:sz w:val="21"/>
                      <w:szCs w:val="21"/>
                      <w:highlight w:val="none"/>
                      <w:u w:val="none" w:color="auto"/>
                      <w:lang w:val="en-US" w:eastAsia="zh-CN"/>
                    </w:rPr>
                    <w:t>，万元地区生产总值用水量、万元工业增加值用水量分别比2020年降低10.08%、8.87%，农田灌溉水有效利用系数为 0.555。</w:t>
                  </w:r>
                </w:p>
              </w:tc>
              <w:tc>
                <w:tcPr>
                  <w:tcW w:w="1619" w:type="pct"/>
                  <w:tcBorders>
                    <w:tl2br w:val="nil"/>
                    <w:tr2bl w:val="nil"/>
                  </w:tcBorders>
                  <w:vAlign w:val="center"/>
                </w:tcPr>
                <w:p w14:paraId="4C62F2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项目使用资源主要为水、电等，本项目施工期生活、施工用水取自市政自来水管网，用水量较当地供水量所占比例较小。项目建成运行后通过内部管理、设备选择、原辅材料的选用和管理、废物回收利用、污染治理等多方面采取</w:t>
                  </w:r>
                  <w:r>
                    <w:rPr>
                      <w:rFonts w:hint="eastAsia" w:ascii="宋体" w:hAnsi="宋体" w:eastAsia="宋体" w:cs="宋体"/>
                      <w:color w:val="auto"/>
                      <w:spacing w:val="11"/>
                      <w:kern w:val="0"/>
                      <w:position w:val="0"/>
                      <w:sz w:val="21"/>
                      <w:szCs w:val="21"/>
                      <w:highlight w:val="none"/>
                      <w:u w:val="none" w:color="auto"/>
                      <w:lang w:val="en-US" w:eastAsia="zh-CN"/>
                    </w:rPr>
                    <w:t>可行的防治措施，以“节能、降耗、减污”为目标，有效地控制污染，</w:t>
                  </w:r>
                  <w:r>
                    <w:rPr>
                      <w:rFonts w:hint="default" w:ascii="Times New Roman" w:hAnsi="Times New Roman" w:eastAsia="宋体" w:cs="Times New Roman"/>
                      <w:color w:val="auto"/>
                      <w:spacing w:val="11"/>
                      <w:kern w:val="0"/>
                      <w:position w:val="0"/>
                      <w:sz w:val="21"/>
                      <w:szCs w:val="21"/>
                      <w:highlight w:val="none"/>
                      <w:u w:val="none" w:color="auto"/>
                      <w:lang w:val="en-US" w:eastAsia="zh-CN"/>
                    </w:rPr>
                    <w:t>项目的水、电等资源不会突破区域的资源利用上线。项目在运营过程中不涉及使用燃料</w:t>
                  </w:r>
                </w:p>
              </w:tc>
              <w:tc>
                <w:tcPr>
                  <w:tcW w:w="475" w:type="pct"/>
                  <w:tcBorders>
                    <w:tl2br w:val="nil"/>
                    <w:tr2bl w:val="nil"/>
                  </w:tcBorders>
                  <w:vAlign w:val="center"/>
                </w:tcPr>
                <w:p w14:paraId="129C3C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w:t>
                  </w:r>
                </w:p>
              </w:tc>
            </w:tr>
          </w:tbl>
          <w:p w14:paraId="2B6825AB">
            <w:pPr>
              <w:pStyle w:val="26"/>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6" w:firstLineChars="200"/>
              <w:textAlignment w:val="auto"/>
              <w:rPr>
                <w:rFonts w:hint="default" w:ascii="Times New Roman" w:hAnsi="Times New Roman" w:eastAsia="宋体" w:cs="Times New Roman"/>
                <w:color w:val="000000"/>
                <w:spacing w:val="11"/>
                <w:position w:val="0"/>
                <w:sz w:val="24"/>
                <w:szCs w:val="24"/>
                <w:u w:val="none" w:color="auto"/>
              </w:rPr>
            </w:pPr>
            <w:bookmarkStart w:id="22" w:name="_Toc24468"/>
            <w:r>
              <w:rPr>
                <w:rFonts w:hint="eastAsia" w:ascii="Times New Roman" w:hAnsi="Times New Roman" w:cs="Times New Roman"/>
                <w:color w:val="000000"/>
                <w:spacing w:val="11"/>
                <w:position w:val="0"/>
                <w:sz w:val="24"/>
                <w:szCs w:val="24"/>
                <w:u w:val="none" w:color="auto"/>
                <w:lang w:val="en-US" w:eastAsia="zh-CN"/>
              </w:rPr>
              <w:t>6</w:t>
            </w:r>
            <w:r>
              <w:rPr>
                <w:rFonts w:hint="default" w:ascii="Times New Roman" w:hAnsi="Times New Roman" w:eastAsia="宋体" w:cs="Times New Roman"/>
                <w:color w:val="000000"/>
                <w:spacing w:val="11"/>
                <w:position w:val="0"/>
                <w:sz w:val="24"/>
                <w:szCs w:val="24"/>
                <w:u w:val="none" w:color="auto"/>
                <w:lang w:val="en-US" w:eastAsia="zh-CN"/>
              </w:rPr>
              <w:t>、</w:t>
            </w:r>
            <w:r>
              <w:rPr>
                <w:rFonts w:hint="default" w:ascii="Times New Roman" w:hAnsi="Times New Roman" w:eastAsia="宋体" w:cs="Times New Roman"/>
                <w:color w:val="000000"/>
                <w:spacing w:val="11"/>
                <w:position w:val="0"/>
                <w:sz w:val="24"/>
                <w:szCs w:val="24"/>
                <w:u w:val="none" w:color="auto"/>
              </w:rPr>
              <w:t>与《全国生态环境保护纲要》的符合性分析</w:t>
            </w:r>
            <w:bookmarkEnd w:id="22"/>
          </w:p>
          <w:p w14:paraId="35B8E539">
            <w:pPr>
              <w:pStyle w:val="26"/>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bookmarkStart w:id="23" w:name="_Toc20653"/>
            <w:r>
              <w:rPr>
                <w:rFonts w:hint="default" w:ascii="Times New Roman" w:hAnsi="Times New Roman" w:eastAsia="宋体" w:cs="Times New Roman"/>
                <w:b w:val="0"/>
                <w:bCs w:val="0"/>
                <w:color w:val="000000"/>
                <w:spacing w:val="11"/>
                <w:position w:val="0"/>
                <w:sz w:val="24"/>
                <w:szCs w:val="24"/>
                <w:u w:val="none" w:color="auto"/>
                <w:lang w:eastAsia="zh-CN"/>
              </w:rPr>
              <w:t>本</w:t>
            </w:r>
            <w:r>
              <w:rPr>
                <w:rFonts w:hint="default" w:ascii="Times New Roman" w:hAnsi="Times New Roman" w:eastAsia="宋体" w:cs="Times New Roman"/>
                <w:b w:val="0"/>
                <w:bCs w:val="0"/>
                <w:color w:val="000000"/>
                <w:spacing w:val="11"/>
                <w:position w:val="0"/>
                <w:sz w:val="24"/>
                <w:szCs w:val="24"/>
                <w:u w:val="none" w:color="auto"/>
              </w:rPr>
              <w:t>项目</w:t>
            </w:r>
            <w:r>
              <w:rPr>
                <w:rFonts w:hint="default" w:ascii="Times New Roman" w:hAnsi="Times New Roman" w:eastAsia="宋体" w:cs="Times New Roman"/>
                <w:b w:val="0"/>
                <w:bCs w:val="0"/>
                <w:color w:val="000000"/>
                <w:spacing w:val="11"/>
                <w:position w:val="0"/>
                <w:sz w:val="24"/>
                <w:szCs w:val="24"/>
                <w:u w:val="none" w:color="auto"/>
                <w:lang w:eastAsia="zh-CN"/>
              </w:rPr>
              <w:t>为</w:t>
            </w:r>
            <w:r>
              <w:rPr>
                <w:rFonts w:hint="default" w:ascii="Times New Roman" w:hAnsi="Times New Roman" w:eastAsia="宋体" w:cs="Times New Roman"/>
                <w:b w:val="0"/>
                <w:bCs w:val="0"/>
                <w:color w:val="000000"/>
                <w:spacing w:val="11"/>
                <w:position w:val="0"/>
                <w:sz w:val="24"/>
                <w:szCs w:val="24"/>
                <w:u w:val="none" w:color="auto"/>
              </w:rPr>
              <w:t>露天开采</w:t>
            </w:r>
            <w:r>
              <w:rPr>
                <w:rFonts w:hint="default" w:ascii="Times New Roman" w:hAnsi="Times New Roman" w:eastAsia="宋体" w:cs="Times New Roman"/>
                <w:b w:val="0"/>
                <w:bCs w:val="0"/>
                <w:color w:val="000000"/>
                <w:spacing w:val="11"/>
                <w:position w:val="0"/>
                <w:sz w:val="24"/>
                <w:szCs w:val="24"/>
                <w:u w:val="none" w:color="auto"/>
                <w:lang w:eastAsia="zh-CN"/>
              </w:rPr>
              <w:t>，</w:t>
            </w:r>
            <w:r>
              <w:rPr>
                <w:rFonts w:hint="default" w:ascii="Times New Roman" w:hAnsi="Times New Roman" w:eastAsia="宋体" w:cs="Times New Roman"/>
                <w:b w:val="0"/>
                <w:bCs w:val="0"/>
                <w:color w:val="000000"/>
                <w:spacing w:val="11"/>
                <w:position w:val="0"/>
                <w:sz w:val="24"/>
                <w:szCs w:val="24"/>
                <w:u w:val="none" w:color="auto"/>
              </w:rPr>
              <w:t>属于矿产资源开发项目。《全国生态环境保护纲要》对矿产资源开发利用的生态环境保护提出了明确要求：“严禁在生态功能保护区、自然保护区、风景名胜区、森林公园内采矿。严禁在崩塌滑坡危险区、泥石流易发区和易导致自然景观破坏的区域采石、采砂、取土。矿产资源开发利用必须严格规划管理，开发应选取有利于生态环境保护的工期、区域和方式，把开发活动对生态环境的破坏减少到最低限度。矿产资源开发必须防止次生地质灾害的发生。在沿江、沿河、沿湖、沿库、沿海地区开采矿产资源，必须落实生态环境保护措施，尽量避免和减少对生态环境的破坏。已造成破坏的，开发者必须限期恢复，已停止采矿或关闭的矿山、矿坑，必须及时做好土地复垦。”</w:t>
            </w:r>
            <w:bookmarkEnd w:id="23"/>
          </w:p>
          <w:p w14:paraId="05A7FAFF">
            <w:pPr>
              <w:pStyle w:val="26"/>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bookmarkStart w:id="24" w:name="_Toc15641"/>
            <w:r>
              <w:rPr>
                <w:rFonts w:hint="default" w:ascii="Times New Roman" w:hAnsi="Times New Roman" w:eastAsia="宋体" w:cs="Times New Roman"/>
                <w:b w:val="0"/>
                <w:bCs w:val="0"/>
                <w:color w:val="000000"/>
                <w:spacing w:val="11"/>
                <w:position w:val="0"/>
                <w:sz w:val="24"/>
                <w:szCs w:val="24"/>
                <w:u w:val="none" w:color="auto"/>
              </w:rPr>
              <w:t>项目不在划定的生态功能保护区，自然保护区、风景名胜区、森林公园等，不属于崩塌滑坡危险区、泥石流易发区，矿区内无有价值的自然景观，同时采取先剥后采、水平台阶式开采、微差爆破等有利于生态环境保护的工艺，闭矿后也将及时进行土地复垦。</w:t>
            </w:r>
            <w:bookmarkEnd w:id="24"/>
          </w:p>
          <w:p w14:paraId="4CC5AF45">
            <w:pPr>
              <w:pStyle w:val="26"/>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bookmarkStart w:id="25" w:name="_Toc27039"/>
            <w:r>
              <w:rPr>
                <w:rFonts w:hint="default" w:ascii="Times New Roman" w:hAnsi="Times New Roman" w:eastAsia="宋体" w:cs="Times New Roman"/>
                <w:b w:val="0"/>
                <w:bCs w:val="0"/>
                <w:color w:val="000000"/>
                <w:spacing w:val="11"/>
                <w:position w:val="0"/>
                <w:sz w:val="24"/>
                <w:szCs w:val="24"/>
                <w:u w:val="none" w:color="auto"/>
              </w:rPr>
              <w:t>因此，项目的建设符合《全国生态环境保护纲要》对矿产资源开发利用的生态环境保护要求。</w:t>
            </w:r>
            <w:bookmarkEnd w:id="25"/>
          </w:p>
          <w:p w14:paraId="68F1524C">
            <w:pPr>
              <w:pStyle w:val="26"/>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p>
          <w:p w14:paraId="3FB363D5">
            <w:pPr>
              <w:pStyle w:val="26"/>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p>
          <w:p w14:paraId="209F950E">
            <w:pPr>
              <w:pStyle w:val="26"/>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p>
          <w:p w14:paraId="626DE423">
            <w:pPr>
              <w:pStyle w:val="26"/>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b w:val="0"/>
                <w:bCs w:val="0"/>
                <w:color w:val="000000"/>
                <w:spacing w:val="11"/>
                <w:position w:val="0"/>
                <w:sz w:val="24"/>
                <w:szCs w:val="24"/>
                <w:u w:val="none" w:color="auto"/>
              </w:rPr>
            </w:pPr>
          </w:p>
          <w:p w14:paraId="7EC0D488">
            <w:pPr>
              <w:pStyle w:val="2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spacing w:val="11"/>
                <w:kern w:val="2"/>
                <w:position w:val="0"/>
                <w:sz w:val="24"/>
                <w:szCs w:val="32"/>
                <w:u w:val="none" w:color="auto"/>
                <w:lang w:val="en-US" w:eastAsia="zh-CN" w:bidi="ar-SA"/>
              </w:rPr>
            </w:pPr>
            <w:r>
              <w:rPr>
                <w:rFonts w:hint="default" w:ascii="Times New Roman" w:hAnsi="Times New Roman" w:cs="Times New Roman"/>
                <w:b w:val="0"/>
                <w:bCs w:val="0"/>
                <w:color w:val="000000"/>
                <w:spacing w:val="11"/>
                <w:position w:val="0"/>
                <w:sz w:val="24"/>
                <w:szCs w:val="24"/>
                <w:u w:val="none" w:color="auto"/>
                <w:lang w:val="en-US" w:eastAsia="zh-CN"/>
              </w:rPr>
              <w:t xml:space="preserve"> </w:t>
            </w:r>
          </w:p>
        </w:tc>
      </w:tr>
    </w:tbl>
    <w:p w14:paraId="2A052D55">
      <w:pPr>
        <w:spacing w:line="360" w:lineRule="auto"/>
        <w:outlineLvl w:val="9"/>
        <w:rPr>
          <w:rFonts w:hint="default" w:ascii="Times New Roman" w:hAnsi="Times New Roman" w:eastAsia="宋体" w:cs="Times New Roman"/>
          <w:color w:val="auto"/>
          <w:spacing w:val="11"/>
          <w:position w:val="0"/>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6A3047FE">
      <w:pPr>
        <w:pStyle w:val="2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pacing w:val="11"/>
          <w:position w:val="0"/>
          <w:sz w:val="30"/>
          <w:szCs w:val="30"/>
        </w:rPr>
      </w:pPr>
      <w:bookmarkStart w:id="26" w:name="_Toc21551"/>
      <w:bookmarkStart w:id="27" w:name="_Toc15329"/>
      <w:r>
        <w:rPr>
          <w:rFonts w:hint="default" w:ascii="Times New Roman" w:hAnsi="Times New Roman" w:eastAsia="宋体" w:cs="Times New Roman"/>
          <w:b/>
          <w:bCs/>
          <w:snapToGrid w:val="0"/>
          <w:color w:val="auto"/>
          <w:spacing w:val="11"/>
          <w:position w:val="0"/>
          <w:sz w:val="30"/>
          <w:szCs w:val="30"/>
        </w:rPr>
        <w:t>二、建设内容</w:t>
      </w:r>
      <w:bookmarkEnd w:id="26"/>
      <w:bookmarkEnd w:id="27"/>
    </w:p>
    <w:tbl>
      <w:tblPr>
        <w:tblStyle w:val="32"/>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8626"/>
      </w:tblGrid>
      <w:tr w14:paraId="426C8D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19" w:type="pct"/>
            <w:tcBorders>
              <w:tl2br w:val="nil"/>
              <w:tr2bl w:val="nil"/>
            </w:tcBorders>
            <w:noWrap w:val="0"/>
            <w:vAlign w:val="center"/>
          </w:tcPr>
          <w:p w14:paraId="563E07BA">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地理位置</w:t>
            </w:r>
          </w:p>
        </w:tc>
        <w:tc>
          <w:tcPr>
            <w:tcW w:w="4580" w:type="pct"/>
            <w:tcBorders>
              <w:tl2br w:val="nil"/>
              <w:tr2bl w:val="nil"/>
            </w:tcBorders>
            <w:noWrap w:val="0"/>
            <w:vAlign w:val="center"/>
          </w:tcPr>
          <w:p w14:paraId="7B9B650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lang w:val="en-US" w:eastAsia="zh-CN"/>
              </w:rPr>
              <w:t>文锋岭矿区建筑石料用灰岩矿位于新田县城西部268°方位，直距约7.0km，行政隶属新田县龙泉街道管辖，地理坐标为：地理坐标：东经112°08′02″～112°08′22″，北纬25°54′13″～25°54′26″。位于舂陵水系新田河区域范围内。</w:t>
            </w:r>
          </w:p>
        </w:tc>
      </w:tr>
      <w:tr w14:paraId="61B37A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tcBorders>
              <w:tl2br w:val="nil"/>
              <w:tr2bl w:val="nil"/>
            </w:tcBorders>
            <w:noWrap w:val="0"/>
            <w:vAlign w:val="center"/>
          </w:tcPr>
          <w:p w14:paraId="48719BCB">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项目组成及规模</w:t>
            </w:r>
          </w:p>
        </w:tc>
        <w:tc>
          <w:tcPr>
            <w:tcW w:w="4580" w:type="pct"/>
            <w:tcBorders>
              <w:tl2br w:val="nil"/>
              <w:tr2bl w:val="nil"/>
            </w:tcBorders>
            <w:noWrap w:val="0"/>
            <w:vAlign w:val="top"/>
          </w:tcPr>
          <w:p w14:paraId="2E0AF653">
            <w:pPr>
              <w:keepNext w:val="0"/>
              <w:keepLines w:val="0"/>
              <w:pageBreakBefore w:val="0"/>
              <w:widowControl w:val="0"/>
              <w:numPr>
                <w:ilvl w:val="0"/>
                <w:numId w:val="3"/>
              </w:numPr>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default" w:ascii="Times New Roman" w:hAnsi="Times New Roman" w:eastAsia="宋体" w:cs="Times New Roman"/>
                <w:b/>
                <w:bCs/>
                <w:color w:val="auto"/>
                <w:spacing w:val="11"/>
                <w:kern w:val="0"/>
                <w:position w:val="0"/>
                <w:sz w:val="24"/>
                <w:szCs w:val="24"/>
                <w:u w:val="none" w:color="auto"/>
                <w:lang w:val="en-US" w:eastAsia="zh-CN"/>
              </w:rPr>
            </w:pPr>
            <w:r>
              <w:rPr>
                <w:rFonts w:hint="default" w:ascii="Times New Roman" w:hAnsi="Times New Roman" w:eastAsia="宋体" w:cs="Times New Roman"/>
                <w:b/>
                <w:bCs/>
                <w:color w:val="auto"/>
                <w:spacing w:val="11"/>
                <w:kern w:val="0"/>
                <w:position w:val="0"/>
                <w:sz w:val="24"/>
                <w:szCs w:val="24"/>
                <w:u w:val="none" w:color="auto"/>
                <w:lang w:val="en-US" w:eastAsia="zh-CN"/>
              </w:rPr>
              <w:t>项目背景及基本情况</w:t>
            </w:r>
          </w:p>
          <w:p w14:paraId="40D0C6E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none" w:color="auto"/>
                <w:lang w:eastAsia="zh-CN"/>
              </w:rPr>
            </w:pPr>
            <w:r>
              <w:rPr>
                <w:rFonts w:hint="default" w:ascii="Times New Roman" w:hAnsi="Times New Roman" w:cs="Times New Roman"/>
                <w:snapToGrid w:val="0"/>
                <w:color w:val="000000"/>
                <w:spacing w:val="11"/>
                <w:kern w:val="0"/>
                <w:position w:val="0"/>
                <w:sz w:val="24"/>
                <w:szCs w:val="24"/>
                <w:u w:val="none" w:color="auto"/>
                <w:lang w:val="en-US" w:eastAsia="zh-CN"/>
              </w:rPr>
              <w:t>近年来，永州市新田县大力开展砂石土矿整治整顿，区域范围内砂石土矿多数停产，砂石资源市场供不应求。</w:t>
            </w:r>
            <w:r>
              <w:rPr>
                <w:rFonts w:hint="default" w:ascii="Times New Roman" w:hAnsi="Times New Roman" w:eastAsia="宋体" w:cs="Times New Roman"/>
                <w:snapToGrid w:val="0"/>
                <w:color w:val="000000"/>
                <w:spacing w:val="11"/>
                <w:kern w:val="0"/>
                <w:position w:val="0"/>
                <w:sz w:val="24"/>
                <w:szCs w:val="24"/>
                <w:u w:val="none" w:color="auto"/>
                <w:lang w:eastAsia="zh-CN"/>
              </w:rPr>
              <w:t>砂石土矿不仅是重要的民生矿产，而且对推动矿山所在地的经济发展有着重要的意义。根据《新田县普通建筑材料用砂石土矿专项规划（2019~2025年）》，新田县共规划了11个砂石土矿区块，</w:t>
            </w:r>
            <w:r>
              <w:rPr>
                <w:rFonts w:hint="default" w:ascii="Times New Roman" w:hAnsi="Times New Roman" w:eastAsia="宋体" w:cs="Times New Roman"/>
                <w:snapToGrid w:val="0"/>
                <w:color w:val="000000"/>
                <w:spacing w:val="11"/>
                <w:kern w:val="0"/>
                <w:position w:val="0"/>
                <w:sz w:val="24"/>
                <w:szCs w:val="24"/>
                <w:u w:val="none" w:color="auto"/>
                <w:lang w:val="en-US" w:eastAsia="zh-CN"/>
              </w:rPr>
              <w:t>湖南省新田县文锋岭矿区建筑石料用灰岩矿</w:t>
            </w:r>
            <w:r>
              <w:rPr>
                <w:rFonts w:hint="default" w:ascii="Times New Roman" w:hAnsi="Times New Roman" w:eastAsia="宋体" w:cs="Times New Roman"/>
                <w:snapToGrid w:val="0"/>
                <w:color w:val="000000"/>
                <w:spacing w:val="11"/>
                <w:kern w:val="0"/>
                <w:position w:val="0"/>
                <w:sz w:val="24"/>
                <w:szCs w:val="24"/>
                <w:u w:val="none" w:color="auto"/>
                <w:lang w:eastAsia="zh-CN"/>
              </w:rPr>
              <w:t>属11个规划区块之一。</w:t>
            </w:r>
          </w:p>
          <w:p w14:paraId="26ECB8D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none" w:color="auto"/>
                <w:lang w:eastAsia="zh-CN"/>
              </w:rPr>
            </w:pPr>
            <w:r>
              <w:rPr>
                <w:rFonts w:hint="default" w:ascii="Times New Roman" w:hAnsi="Times New Roman" w:eastAsia="宋体" w:cs="Times New Roman"/>
                <w:snapToGrid w:val="0"/>
                <w:color w:val="000000"/>
                <w:spacing w:val="11"/>
                <w:kern w:val="0"/>
                <w:position w:val="0"/>
                <w:sz w:val="24"/>
                <w:szCs w:val="24"/>
                <w:u w:val="none" w:color="auto"/>
                <w:lang w:val="en-US" w:eastAsia="zh-CN"/>
              </w:rPr>
              <w:t>为加快推进县域砂石产业规模化、集约化发展，推进绿色矿山建设，保障地区经济社会发展对砂石资源的总体需求，新田县自然资源局通过公开招投标确定委托湖南省煤田地质局第三勘探队开展湖南省新田县文锋岭矿区建筑石料用灰岩矿勘查工作，于2022年7月取得野外验收意见书并编制了勘查报告初步成果。</w:t>
            </w:r>
          </w:p>
          <w:p w14:paraId="779ADC72">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none" w:color="auto"/>
                <w:lang w:val="en-US" w:eastAsia="zh-CN"/>
              </w:rPr>
            </w:pPr>
            <w:r>
              <w:rPr>
                <w:rFonts w:hint="default" w:ascii="Times New Roman" w:hAnsi="Times New Roman" w:eastAsia="宋体" w:cs="Times New Roman"/>
                <w:snapToGrid w:val="0"/>
                <w:color w:val="000000"/>
                <w:spacing w:val="11"/>
                <w:kern w:val="0"/>
                <w:position w:val="0"/>
                <w:sz w:val="24"/>
                <w:szCs w:val="24"/>
                <w:u w:val="none" w:color="auto"/>
                <w:lang w:val="en-US" w:eastAsia="zh-CN"/>
              </w:rPr>
              <w:t>2022年1</w:t>
            </w:r>
            <w:r>
              <w:rPr>
                <w:rFonts w:hint="default" w:ascii="Times New Roman" w:hAnsi="Times New Roman" w:cs="Times New Roman"/>
                <w:snapToGrid w:val="0"/>
                <w:color w:val="000000"/>
                <w:spacing w:val="11"/>
                <w:kern w:val="0"/>
                <w:position w:val="0"/>
                <w:sz w:val="24"/>
                <w:szCs w:val="24"/>
                <w:u w:val="none" w:color="auto"/>
                <w:lang w:val="en-US" w:eastAsia="zh-CN"/>
              </w:rPr>
              <w:t>0</w:t>
            </w:r>
            <w:r>
              <w:rPr>
                <w:rFonts w:hint="default" w:ascii="Times New Roman" w:hAnsi="Times New Roman" w:eastAsia="宋体" w:cs="Times New Roman"/>
                <w:snapToGrid w:val="0"/>
                <w:color w:val="000000"/>
                <w:spacing w:val="11"/>
                <w:kern w:val="0"/>
                <w:position w:val="0"/>
                <w:sz w:val="24"/>
                <w:szCs w:val="24"/>
                <w:u w:val="none" w:color="auto"/>
                <w:lang w:val="en-US" w:eastAsia="zh-CN"/>
              </w:rPr>
              <w:t>月新田县自然资源局委托湖南省自然资源调查所编制了《湖南省新田县文锋岭矿区建筑石料用灰岩矿采矿权申请范围核查报告》，该报告2022年10月25日经专家评审通过（永采矿权核查评字[2022]0</w:t>
            </w:r>
            <w:r>
              <w:rPr>
                <w:rFonts w:hint="default" w:ascii="Times New Roman" w:hAnsi="Times New Roman" w:cs="Times New Roman"/>
                <w:snapToGrid w:val="0"/>
                <w:color w:val="000000"/>
                <w:spacing w:val="11"/>
                <w:kern w:val="0"/>
                <w:position w:val="0"/>
                <w:sz w:val="24"/>
                <w:szCs w:val="24"/>
                <w:u w:val="none" w:color="auto"/>
                <w:lang w:val="en-US" w:eastAsia="zh-CN"/>
              </w:rPr>
              <w:t>8</w:t>
            </w:r>
            <w:r>
              <w:rPr>
                <w:rFonts w:hint="default" w:ascii="Times New Roman" w:hAnsi="Times New Roman" w:eastAsia="宋体" w:cs="Times New Roman"/>
                <w:snapToGrid w:val="0"/>
                <w:color w:val="000000"/>
                <w:spacing w:val="11"/>
                <w:kern w:val="0"/>
                <w:position w:val="0"/>
                <w:sz w:val="24"/>
                <w:szCs w:val="24"/>
                <w:u w:val="none" w:color="auto"/>
                <w:lang w:val="en-US" w:eastAsia="zh-CN"/>
              </w:rPr>
              <w:t>号），后经永州市自然资源和规划局审查通过。</w:t>
            </w:r>
          </w:p>
          <w:p w14:paraId="2040899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none" w:color="auto"/>
                <w:lang w:val="en-US" w:eastAsia="zh-CN"/>
              </w:rPr>
            </w:pPr>
            <w:r>
              <w:rPr>
                <w:rFonts w:hint="default" w:ascii="Times New Roman" w:hAnsi="Times New Roman" w:eastAsia="宋体" w:cs="Times New Roman"/>
                <w:snapToGrid w:val="0"/>
                <w:color w:val="000000"/>
                <w:spacing w:val="11"/>
                <w:kern w:val="0"/>
                <w:position w:val="0"/>
                <w:sz w:val="24"/>
                <w:szCs w:val="24"/>
                <w:u w:val="none" w:color="auto"/>
                <w:lang w:val="en-US" w:eastAsia="zh-CN"/>
              </w:rPr>
              <w:t>2022年11月29日</w:t>
            </w:r>
            <w:r>
              <w:rPr>
                <w:rFonts w:hint="default" w:ascii="Times New Roman" w:hAnsi="Times New Roman" w:cs="Times New Roman"/>
                <w:snapToGrid w:val="0"/>
                <w:color w:val="000000"/>
                <w:spacing w:val="11"/>
                <w:kern w:val="0"/>
                <w:position w:val="0"/>
                <w:sz w:val="24"/>
                <w:szCs w:val="24"/>
                <w:u w:val="none" w:color="auto"/>
                <w:lang w:val="en-US" w:eastAsia="zh-CN"/>
              </w:rPr>
              <w:t>，湖南省地球物理地球化学调查所提交了《湖南省新田县文锋岭矿区建筑石料用灰岩矿勘查报告》，该报告已经通过了永州市自然资源和规划局组织的评审并备案，备案号为：</w:t>
            </w:r>
            <w:r>
              <w:rPr>
                <w:rFonts w:hint="default" w:ascii="Times New Roman" w:hAnsi="Times New Roman" w:eastAsia="宋体" w:cs="Times New Roman"/>
                <w:snapToGrid w:val="0"/>
                <w:color w:val="000000"/>
                <w:spacing w:val="11"/>
                <w:kern w:val="0"/>
                <w:position w:val="0"/>
                <w:sz w:val="24"/>
                <w:szCs w:val="24"/>
                <w:u w:val="none" w:color="auto"/>
                <w:lang w:val="en-US" w:eastAsia="zh-CN"/>
              </w:rPr>
              <w:t>永自然资储备字[202</w:t>
            </w:r>
            <w:r>
              <w:rPr>
                <w:rFonts w:hint="default" w:ascii="Times New Roman" w:hAnsi="Times New Roman" w:cs="Times New Roman"/>
                <w:snapToGrid w:val="0"/>
                <w:color w:val="000000"/>
                <w:spacing w:val="11"/>
                <w:kern w:val="0"/>
                <w:position w:val="0"/>
                <w:sz w:val="24"/>
                <w:szCs w:val="24"/>
                <w:u w:val="none" w:color="auto"/>
                <w:lang w:val="en-US" w:eastAsia="zh-CN"/>
              </w:rPr>
              <w:t>2</w:t>
            </w:r>
            <w:r>
              <w:rPr>
                <w:rFonts w:hint="default" w:ascii="Times New Roman" w:hAnsi="Times New Roman" w:eastAsia="宋体" w:cs="Times New Roman"/>
                <w:snapToGrid w:val="0"/>
                <w:color w:val="000000"/>
                <w:spacing w:val="11"/>
                <w:kern w:val="0"/>
                <w:position w:val="0"/>
                <w:sz w:val="24"/>
                <w:szCs w:val="24"/>
                <w:u w:val="none" w:color="auto"/>
                <w:lang w:val="en-US" w:eastAsia="zh-CN"/>
              </w:rPr>
              <w:t>]00</w:t>
            </w:r>
            <w:r>
              <w:rPr>
                <w:rFonts w:hint="default" w:ascii="Times New Roman" w:hAnsi="Times New Roman" w:cs="Times New Roman"/>
                <w:snapToGrid w:val="0"/>
                <w:color w:val="000000"/>
                <w:spacing w:val="11"/>
                <w:kern w:val="0"/>
                <w:position w:val="0"/>
                <w:sz w:val="24"/>
                <w:szCs w:val="24"/>
                <w:u w:val="none" w:color="auto"/>
                <w:lang w:val="en-US" w:eastAsia="zh-CN"/>
              </w:rPr>
              <w:t>4</w:t>
            </w:r>
            <w:r>
              <w:rPr>
                <w:rFonts w:hint="default" w:ascii="Times New Roman" w:hAnsi="Times New Roman" w:eastAsia="宋体" w:cs="Times New Roman"/>
                <w:snapToGrid w:val="0"/>
                <w:color w:val="000000"/>
                <w:spacing w:val="11"/>
                <w:kern w:val="0"/>
                <w:position w:val="0"/>
                <w:sz w:val="24"/>
                <w:szCs w:val="24"/>
                <w:u w:val="none" w:color="auto"/>
                <w:lang w:val="en-US" w:eastAsia="zh-CN"/>
              </w:rPr>
              <w:t>号</w:t>
            </w:r>
            <w:r>
              <w:rPr>
                <w:rFonts w:hint="default" w:ascii="Times New Roman" w:hAnsi="Times New Roman" w:cs="Times New Roman"/>
                <w:snapToGrid w:val="0"/>
                <w:color w:val="000000"/>
                <w:spacing w:val="11"/>
                <w:kern w:val="0"/>
                <w:position w:val="0"/>
                <w:sz w:val="24"/>
                <w:szCs w:val="24"/>
                <w:u w:val="none" w:color="auto"/>
                <w:lang w:val="en-US" w:eastAsia="zh-CN"/>
              </w:rPr>
              <w:t>。该报告提交的建筑石料用灰岩矿控制资源量为442.0</w:t>
            </w:r>
            <w:r>
              <w:rPr>
                <w:rFonts w:hint="default" w:ascii="Times New Roman" w:hAnsi="Times New Roman" w:eastAsia="宋体" w:cs="Times New Roman"/>
                <w:snapToGrid w:val="0"/>
                <w:color w:val="000000"/>
                <w:spacing w:val="11"/>
                <w:kern w:val="0"/>
                <w:position w:val="0"/>
                <w:sz w:val="24"/>
                <w:szCs w:val="24"/>
                <w:u w:val="none" w:color="auto"/>
                <w:lang w:val="en-US" w:eastAsia="zh-CN"/>
              </w:rPr>
              <w:t>万</w:t>
            </w:r>
            <w:r>
              <w:rPr>
                <w:rFonts w:hint="default" w:ascii="Times New Roman" w:hAnsi="Times New Roman" w:cs="Times New Roman"/>
                <w:snapToGrid w:val="0"/>
                <w:color w:val="000000"/>
                <w:spacing w:val="11"/>
                <w:kern w:val="0"/>
                <w:position w:val="0"/>
                <w:sz w:val="24"/>
                <w:szCs w:val="24"/>
                <w:u w:val="none" w:color="auto"/>
                <w:lang w:val="en-US" w:eastAsia="zh-CN"/>
              </w:rPr>
              <w:t>吨</w:t>
            </w:r>
            <w:r>
              <w:rPr>
                <w:rFonts w:hint="default" w:ascii="Times New Roman" w:hAnsi="Times New Roman" w:eastAsia="宋体" w:cs="Times New Roman"/>
                <w:snapToGrid w:val="0"/>
                <w:color w:val="000000"/>
                <w:spacing w:val="11"/>
                <w:kern w:val="0"/>
                <w:position w:val="0"/>
                <w:sz w:val="24"/>
                <w:szCs w:val="24"/>
                <w:u w:val="none" w:color="auto"/>
                <w:lang w:val="en-US" w:eastAsia="zh-CN"/>
              </w:rPr>
              <w:t>（</w:t>
            </w:r>
            <w:r>
              <w:rPr>
                <w:rFonts w:hint="default" w:ascii="Times New Roman" w:hAnsi="Times New Roman" w:cs="Times New Roman"/>
                <w:snapToGrid w:val="0"/>
                <w:color w:val="000000"/>
                <w:spacing w:val="11"/>
                <w:kern w:val="0"/>
                <w:position w:val="0"/>
                <w:sz w:val="24"/>
                <w:szCs w:val="24"/>
                <w:u w:val="none" w:color="auto"/>
                <w:lang w:val="en-US" w:eastAsia="zh-CN"/>
              </w:rPr>
              <w:t>162.51</w:t>
            </w:r>
            <w:r>
              <w:rPr>
                <w:rFonts w:hint="default" w:ascii="Times New Roman" w:hAnsi="Times New Roman" w:eastAsia="宋体" w:cs="Times New Roman"/>
                <w:snapToGrid w:val="0"/>
                <w:color w:val="000000"/>
                <w:spacing w:val="11"/>
                <w:kern w:val="0"/>
                <w:position w:val="0"/>
                <w:sz w:val="24"/>
                <w:szCs w:val="24"/>
                <w:u w:val="none" w:color="auto"/>
                <w:lang w:val="en-US" w:eastAsia="zh-CN"/>
              </w:rPr>
              <w:t>万m</w:t>
            </w:r>
            <w:r>
              <w:rPr>
                <w:rFonts w:hint="default" w:ascii="Times New Roman" w:hAnsi="Times New Roman" w:eastAsia="宋体" w:cs="Times New Roman"/>
                <w:snapToGrid w:val="0"/>
                <w:color w:val="000000"/>
                <w:spacing w:val="11"/>
                <w:kern w:val="0"/>
                <w:position w:val="0"/>
                <w:sz w:val="24"/>
                <w:szCs w:val="24"/>
                <w:u w:val="none" w:color="auto"/>
                <w:vertAlign w:val="superscript"/>
                <w:lang w:val="en-US" w:eastAsia="zh-CN"/>
              </w:rPr>
              <w:t>3</w:t>
            </w:r>
            <w:r>
              <w:rPr>
                <w:rFonts w:hint="default" w:ascii="Times New Roman" w:hAnsi="Times New Roman" w:eastAsia="宋体" w:cs="Times New Roman"/>
                <w:snapToGrid w:val="0"/>
                <w:color w:val="000000"/>
                <w:spacing w:val="11"/>
                <w:kern w:val="0"/>
                <w:position w:val="0"/>
                <w:sz w:val="24"/>
                <w:szCs w:val="24"/>
                <w:u w:val="none" w:color="auto"/>
                <w:lang w:val="en-US" w:eastAsia="zh-CN"/>
              </w:rPr>
              <w:t>），矿区</w:t>
            </w:r>
            <w:r>
              <w:rPr>
                <w:rFonts w:hint="default" w:ascii="Times New Roman" w:hAnsi="Times New Roman" w:cs="Times New Roman"/>
                <w:snapToGrid w:val="0"/>
                <w:color w:val="000000"/>
                <w:spacing w:val="11"/>
                <w:kern w:val="0"/>
                <w:position w:val="0"/>
                <w:sz w:val="24"/>
                <w:szCs w:val="24"/>
                <w:u w:val="none" w:color="auto"/>
                <w:lang w:val="en-US" w:eastAsia="zh-CN"/>
              </w:rPr>
              <w:t>总</w:t>
            </w:r>
            <w:r>
              <w:rPr>
                <w:rFonts w:hint="default" w:ascii="Times New Roman" w:hAnsi="Times New Roman" w:eastAsia="宋体" w:cs="Times New Roman"/>
                <w:snapToGrid w:val="0"/>
                <w:color w:val="000000"/>
                <w:spacing w:val="11"/>
                <w:kern w:val="0"/>
                <w:position w:val="0"/>
                <w:sz w:val="24"/>
                <w:szCs w:val="24"/>
                <w:u w:val="none" w:color="auto"/>
                <w:lang w:val="en-US" w:eastAsia="zh-CN"/>
              </w:rPr>
              <w:t>剥离量为</w:t>
            </w:r>
            <w:r>
              <w:rPr>
                <w:rFonts w:hint="default" w:ascii="Times New Roman" w:hAnsi="Times New Roman" w:cs="Times New Roman"/>
                <w:snapToGrid w:val="0"/>
                <w:color w:val="000000"/>
                <w:spacing w:val="11"/>
                <w:kern w:val="0"/>
                <w:position w:val="0"/>
                <w:sz w:val="24"/>
                <w:szCs w:val="24"/>
                <w:u w:val="none" w:color="auto"/>
                <w:lang w:val="en-US" w:eastAsia="zh-CN"/>
              </w:rPr>
              <w:t>2.8</w:t>
            </w:r>
            <w:r>
              <w:rPr>
                <w:rFonts w:hint="default" w:ascii="Times New Roman" w:hAnsi="Times New Roman" w:eastAsia="宋体" w:cs="Times New Roman"/>
                <w:snapToGrid w:val="0"/>
                <w:color w:val="000000"/>
                <w:spacing w:val="11"/>
                <w:kern w:val="0"/>
                <w:position w:val="0"/>
                <w:sz w:val="24"/>
                <w:szCs w:val="24"/>
                <w:u w:val="none" w:color="auto"/>
                <w:lang w:val="en-US" w:eastAsia="zh-CN"/>
              </w:rPr>
              <w:t>万m</w:t>
            </w:r>
            <w:r>
              <w:rPr>
                <w:rFonts w:hint="default" w:ascii="Times New Roman" w:hAnsi="Times New Roman" w:eastAsia="宋体" w:cs="Times New Roman"/>
                <w:snapToGrid w:val="0"/>
                <w:color w:val="000000"/>
                <w:spacing w:val="11"/>
                <w:kern w:val="0"/>
                <w:position w:val="0"/>
                <w:sz w:val="24"/>
                <w:szCs w:val="24"/>
                <w:u w:val="none" w:color="auto"/>
                <w:vertAlign w:val="superscript"/>
                <w:lang w:val="en-US" w:eastAsia="zh-CN"/>
              </w:rPr>
              <w:t>3</w:t>
            </w:r>
            <w:r>
              <w:rPr>
                <w:rFonts w:hint="default" w:ascii="Times New Roman" w:hAnsi="Times New Roman" w:eastAsia="宋体" w:cs="Times New Roman"/>
                <w:snapToGrid w:val="0"/>
                <w:color w:val="000000"/>
                <w:spacing w:val="11"/>
                <w:kern w:val="0"/>
                <w:position w:val="0"/>
                <w:sz w:val="24"/>
                <w:szCs w:val="24"/>
                <w:u w:val="none" w:color="auto"/>
                <w:lang w:val="en-US" w:eastAsia="zh-CN"/>
              </w:rPr>
              <w:t>，剥采比为0.</w:t>
            </w:r>
            <w:r>
              <w:rPr>
                <w:rFonts w:hint="default" w:ascii="Times New Roman" w:hAnsi="Times New Roman" w:cs="Times New Roman"/>
                <w:snapToGrid w:val="0"/>
                <w:color w:val="000000"/>
                <w:spacing w:val="11"/>
                <w:kern w:val="0"/>
                <w:position w:val="0"/>
                <w:sz w:val="24"/>
                <w:szCs w:val="24"/>
                <w:u w:val="none" w:color="auto"/>
                <w:lang w:val="en-US" w:eastAsia="zh-CN"/>
              </w:rPr>
              <w:t>0172</w:t>
            </w:r>
            <w:r>
              <w:rPr>
                <w:rFonts w:hint="default" w:ascii="Times New Roman" w:hAnsi="Times New Roman" w:eastAsia="宋体" w:cs="Times New Roman"/>
                <w:snapToGrid w:val="0"/>
                <w:color w:val="000000"/>
                <w:spacing w:val="11"/>
                <w:kern w:val="0"/>
                <w:position w:val="0"/>
                <w:sz w:val="24"/>
                <w:szCs w:val="24"/>
                <w:u w:val="none" w:color="auto"/>
                <w:lang w:val="en-US" w:eastAsia="zh-CN"/>
              </w:rPr>
              <w:t>︰1</w:t>
            </w:r>
            <w:r>
              <w:rPr>
                <w:rFonts w:hint="default" w:ascii="Times New Roman" w:hAnsi="Times New Roman" w:cs="Times New Roman"/>
                <w:snapToGrid w:val="0"/>
                <w:color w:val="000000"/>
                <w:spacing w:val="11"/>
                <w:kern w:val="0"/>
                <w:position w:val="0"/>
                <w:sz w:val="24"/>
                <w:szCs w:val="24"/>
                <w:u w:val="none" w:color="auto"/>
                <w:lang w:val="en-US" w:eastAsia="zh-CN"/>
              </w:rPr>
              <w:t>（</w:t>
            </w:r>
            <w:r>
              <w:rPr>
                <w:rFonts w:hint="default" w:ascii="Times New Roman" w:hAnsi="Times New Roman" w:eastAsia="宋体" w:cs="Times New Roman"/>
                <w:snapToGrid w:val="0"/>
                <w:color w:val="000000"/>
                <w:spacing w:val="11"/>
                <w:kern w:val="0"/>
                <w:position w:val="0"/>
                <w:sz w:val="24"/>
                <w:szCs w:val="24"/>
                <w:u w:val="none" w:color="auto"/>
                <w:lang w:val="en-US" w:eastAsia="zh-CN"/>
              </w:rPr>
              <w:t>m</w:t>
            </w:r>
            <w:r>
              <w:rPr>
                <w:rFonts w:hint="default" w:ascii="Times New Roman" w:hAnsi="Times New Roman" w:eastAsia="宋体" w:cs="Times New Roman"/>
                <w:snapToGrid w:val="0"/>
                <w:color w:val="000000"/>
                <w:spacing w:val="11"/>
                <w:kern w:val="0"/>
                <w:position w:val="0"/>
                <w:sz w:val="24"/>
                <w:szCs w:val="24"/>
                <w:u w:val="none" w:color="auto"/>
                <w:vertAlign w:val="superscript"/>
                <w:lang w:val="en-US" w:eastAsia="zh-CN"/>
              </w:rPr>
              <w:t>3</w:t>
            </w:r>
            <w:r>
              <w:rPr>
                <w:rFonts w:hint="default" w:ascii="Times New Roman" w:hAnsi="Times New Roman" w:eastAsia="宋体" w:cs="Times New Roman"/>
                <w:snapToGrid w:val="0"/>
                <w:color w:val="000000"/>
                <w:spacing w:val="11"/>
                <w:kern w:val="0"/>
                <w:position w:val="0"/>
                <w:sz w:val="24"/>
                <w:szCs w:val="24"/>
                <w:u w:val="none" w:color="auto"/>
                <w:lang w:val="en-US" w:eastAsia="zh-CN"/>
              </w:rPr>
              <w:t>：m</w:t>
            </w:r>
            <w:r>
              <w:rPr>
                <w:rFonts w:hint="default" w:ascii="Times New Roman" w:hAnsi="Times New Roman" w:eastAsia="宋体" w:cs="Times New Roman"/>
                <w:snapToGrid w:val="0"/>
                <w:color w:val="000000"/>
                <w:spacing w:val="11"/>
                <w:kern w:val="0"/>
                <w:position w:val="0"/>
                <w:sz w:val="24"/>
                <w:szCs w:val="24"/>
                <w:u w:val="none" w:color="auto"/>
                <w:vertAlign w:val="superscript"/>
                <w:lang w:val="en-US" w:eastAsia="zh-CN"/>
              </w:rPr>
              <w:t>3</w:t>
            </w:r>
            <w:r>
              <w:rPr>
                <w:rFonts w:hint="default" w:ascii="Times New Roman" w:hAnsi="Times New Roman" w:cs="Times New Roman"/>
                <w:snapToGrid w:val="0"/>
                <w:color w:val="000000"/>
                <w:spacing w:val="11"/>
                <w:kern w:val="0"/>
                <w:position w:val="0"/>
                <w:sz w:val="24"/>
                <w:szCs w:val="24"/>
                <w:u w:val="none" w:color="auto"/>
                <w:lang w:val="en-US" w:eastAsia="zh-CN"/>
              </w:rPr>
              <w:t>）</w:t>
            </w:r>
            <w:r>
              <w:rPr>
                <w:rFonts w:hint="default" w:ascii="Times New Roman" w:hAnsi="Times New Roman" w:eastAsia="宋体" w:cs="Times New Roman"/>
                <w:snapToGrid w:val="0"/>
                <w:color w:val="000000"/>
                <w:spacing w:val="11"/>
                <w:kern w:val="0"/>
                <w:position w:val="0"/>
                <w:sz w:val="24"/>
                <w:szCs w:val="24"/>
                <w:u w:val="none" w:color="auto"/>
                <w:lang w:val="en-US" w:eastAsia="zh-CN"/>
              </w:rPr>
              <w:t>。</w:t>
            </w:r>
          </w:p>
          <w:p w14:paraId="01F0865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none" w:color="auto"/>
                <w:lang w:val="en-US" w:eastAsia="zh-CN"/>
              </w:rPr>
            </w:pPr>
            <w:r>
              <w:rPr>
                <w:rFonts w:hint="default" w:ascii="Times New Roman" w:hAnsi="Times New Roman" w:eastAsia="宋体" w:cs="Times New Roman"/>
                <w:snapToGrid w:val="0"/>
                <w:color w:val="000000"/>
                <w:spacing w:val="11"/>
                <w:kern w:val="0"/>
                <w:position w:val="0"/>
                <w:sz w:val="24"/>
                <w:szCs w:val="24"/>
                <w:u w:val="none" w:color="auto"/>
                <w:lang w:val="en-US" w:eastAsia="zh-CN"/>
              </w:rPr>
              <w:t>为推进新田县砂石土矿专项整治工作，确保满足当地基础设施建设对砂石料的需求，依法规范出让砂石矿采矿权，根据湖南省砂石土矿专项整治相关文件，本次拟设矿区须按新设采矿权组织招拍挂出让，为了顺利完成新设采矿权出让工作，新田县自然资源局委托湖南省自然资源调查所编制《湖南省新田县文锋岭矿区建筑石料用灰岩矿资源开发利用方案》。</w:t>
            </w:r>
          </w:p>
          <w:p w14:paraId="0126B122">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none" w:color="auto"/>
                <w:lang w:val="en-US" w:eastAsia="zh-CN"/>
              </w:rPr>
            </w:pPr>
            <w:r>
              <w:rPr>
                <w:rFonts w:hint="default" w:ascii="Times New Roman" w:hAnsi="Times New Roman" w:eastAsia="宋体" w:cs="Times New Roman"/>
                <w:snapToGrid w:val="0"/>
                <w:color w:val="000000"/>
                <w:spacing w:val="11"/>
                <w:kern w:val="0"/>
                <w:position w:val="0"/>
                <w:sz w:val="24"/>
                <w:szCs w:val="24"/>
                <w:u w:val="none" w:color="auto"/>
                <w:lang w:val="en-US" w:eastAsia="zh-CN"/>
              </w:rPr>
              <w:t>2024年9月</w:t>
            </w:r>
            <w:r>
              <w:rPr>
                <w:rFonts w:hint="default" w:ascii="Times New Roman" w:hAnsi="Times New Roman" w:cs="Times New Roman"/>
                <w:snapToGrid w:val="0"/>
                <w:color w:val="000000"/>
                <w:spacing w:val="11"/>
                <w:kern w:val="0"/>
                <w:position w:val="0"/>
                <w:sz w:val="24"/>
                <w:szCs w:val="24"/>
                <w:u w:val="none" w:color="auto"/>
                <w:lang w:val="en-US" w:eastAsia="zh-CN"/>
              </w:rPr>
              <w:t>18</w:t>
            </w:r>
            <w:r>
              <w:rPr>
                <w:rFonts w:hint="default" w:ascii="Times New Roman" w:hAnsi="Times New Roman" w:eastAsia="宋体" w:cs="Times New Roman"/>
                <w:snapToGrid w:val="0"/>
                <w:color w:val="000000"/>
                <w:spacing w:val="11"/>
                <w:kern w:val="0"/>
                <w:position w:val="0"/>
                <w:sz w:val="24"/>
                <w:szCs w:val="24"/>
                <w:u w:val="none" w:color="auto"/>
                <w:lang w:val="en-US" w:eastAsia="zh-CN"/>
              </w:rPr>
              <w:t>日</w:t>
            </w:r>
            <w:r>
              <w:rPr>
                <w:rFonts w:hint="default" w:ascii="Times New Roman" w:hAnsi="Times New Roman" w:cs="Times New Roman"/>
                <w:snapToGrid w:val="0"/>
                <w:color w:val="000000"/>
                <w:spacing w:val="11"/>
                <w:kern w:val="0"/>
                <w:position w:val="0"/>
                <w:sz w:val="24"/>
                <w:szCs w:val="24"/>
                <w:u w:val="none" w:color="auto"/>
                <w:lang w:val="en-US" w:eastAsia="zh-CN"/>
              </w:rPr>
              <w:t>新田县创景建材有限公司</w:t>
            </w:r>
            <w:r>
              <w:rPr>
                <w:rFonts w:hint="default" w:ascii="Times New Roman" w:hAnsi="Times New Roman" w:eastAsia="宋体" w:cs="Times New Roman"/>
                <w:snapToGrid w:val="0"/>
                <w:color w:val="000000"/>
                <w:spacing w:val="11"/>
                <w:kern w:val="0"/>
                <w:position w:val="0"/>
                <w:sz w:val="24"/>
                <w:szCs w:val="24"/>
                <w:u w:val="none" w:color="auto"/>
                <w:lang w:val="en-US" w:eastAsia="zh-CN"/>
              </w:rPr>
              <w:t>（本项目建设单位）通过湖南省（永州市）国有资产资源交易平台的矿业权交易系统取得了的湖南省新田县文锋岭矿区建筑石料用灰岩矿的使用权。</w:t>
            </w:r>
          </w:p>
          <w:p w14:paraId="55DCF0D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none" w:color="auto"/>
                <w:lang w:val="en-US" w:eastAsia="zh-CN"/>
              </w:rPr>
            </w:pPr>
            <w:r>
              <w:rPr>
                <w:rFonts w:hint="default" w:ascii="Times New Roman" w:hAnsi="Times New Roman" w:eastAsia="宋体" w:cs="Times New Roman"/>
                <w:snapToGrid w:val="0"/>
                <w:color w:val="000000"/>
                <w:spacing w:val="11"/>
                <w:kern w:val="0"/>
                <w:position w:val="0"/>
                <w:sz w:val="24"/>
                <w:szCs w:val="24"/>
                <w:u w:val="none" w:color="auto"/>
                <w:lang w:val="en-US" w:eastAsia="zh-CN"/>
              </w:rPr>
              <w:t>依据《建设项目环境影响评价分类管理名录》（2021版），本项目类别为“八、非金属矿采选业 10--11.土砂石开采 101（不含河道采砂项目）中的其他；二十七、非金属矿物制品业 30--60石墨及其他非金属矿物制品制造 309中的其他”，应编制环境影响报告表。受</w:t>
            </w:r>
            <w:r>
              <w:rPr>
                <w:rFonts w:hint="default" w:ascii="Times New Roman" w:hAnsi="Times New Roman" w:cs="Times New Roman"/>
                <w:snapToGrid w:val="0"/>
                <w:color w:val="000000"/>
                <w:spacing w:val="11"/>
                <w:kern w:val="0"/>
                <w:position w:val="0"/>
                <w:sz w:val="24"/>
                <w:szCs w:val="24"/>
                <w:u w:val="none" w:color="auto"/>
                <w:lang w:val="en-US" w:eastAsia="zh-CN"/>
              </w:rPr>
              <w:t>新田县创景建材有限公司</w:t>
            </w:r>
            <w:r>
              <w:rPr>
                <w:rFonts w:hint="default" w:ascii="Times New Roman" w:hAnsi="Times New Roman" w:eastAsia="宋体" w:cs="Times New Roman"/>
                <w:snapToGrid w:val="0"/>
                <w:color w:val="000000"/>
                <w:spacing w:val="11"/>
                <w:kern w:val="0"/>
                <w:position w:val="0"/>
                <w:sz w:val="24"/>
                <w:szCs w:val="24"/>
                <w:u w:val="none" w:color="auto"/>
                <w:lang w:val="en-US" w:eastAsia="zh-CN"/>
              </w:rPr>
              <w:t>委托，我公司承担了该项目的环境影响评价工作。接受委托后，通过现场踏勘、资料收集，在工程分析的基础上，对本项目可能造成的环境影响进行分析评价后，按照环境影响评价技术导则的要求，编制了《</w:t>
            </w:r>
            <w:r>
              <w:rPr>
                <w:rFonts w:hint="default" w:ascii="Times New Roman" w:hAnsi="Times New Roman" w:cs="Times New Roman"/>
                <w:snapToGrid w:val="0"/>
                <w:color w:val="000000"/>
                <w:spacing w:val="11"/>
                <w:kern w:val="0"/>
                <w:position w:val="0"/>
                <w:sz w:val="24"/>
                <w:szCs w:val="24"/>
                <w:u w:val="none" w:color="auto"/>
                <w:lang w:val="en-US" w:eastAsia="zh-CN"/>
              </w:rPr>
              <w:t>新田县创景建材有限公司文峰岭矿区灰岩矿开采项目</w:t>
            </w:r>
            <w:r>
              <w:rPr>
                <w:rFonts w:hint="default" w:ascii="Times New Roman" w:hAnsi="Times New Roman" w:eastAsia="宋体" w:cs="Times New Roman"/>
                <w:snapToGrid w:val="0"/>
                <w:color w:val="000000"/>
                <w:spacing w:val="11"/>
                <w:kern w:val="0"/>
                <w:position w:val="0"/>
                <w:sz w:val="24"/>
                <w:szCs w:val="24"/>
                <w:u w:val="none" w:color="auto"/>
                <w:lang w:val="en-US" w:eastAsia="zh-CN"/>
              </w:rPr>
              <w:t>环境影响报告表》（生态影响类），供建设单位上报审批。</w:t>
            </w:r>
          </w:p>
          <w:p w14:paraId="7AC04285">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hint="default" w:ascii="Times New Roman" w:hAnsi="Times New Roman" w:eastAsia="宋体" w:cs="Times New Roman"/>
                <w:b/>
                <w:bCs/>
                <w:color w:val="auto"/>
                <w:spacing w:val="11"/>
                <w:position w:val="0"/>
                <w:sz w:val="24"/>
                <w:szCs w:val="24"/>
                <w:highlight w:val="none"/>
                <w:u w:val="none" w:color="auto"/>
                <w:lang w:val="en-US" w:eastAsia="zh-CN"/>
              </w:rPr>
            </w:pPr>
            <w:r>
              <w:rPr>
                <w:rFonts w:hint="default" w:ascii="Times New Roman" w:hAnsi="Times New Roman" w:eastAsia="宋体" w:cs="Times New Roman"/>
                <w:b/>
                <w:bCs/>
                <w:color w:val="auto"/>
                <w:spacing w:val="11"/>
                <w:kern w:val="0"/>
                <w:position w:val="0"/>
                <w:sz w:val="24"/>
                <w:szCs w:val="24"/>
                <w:u w:val="none" w:color="auto"/>
                <w:lang w:val="en-US" w:eastAsia="zh-CN"/>
              </w:rPr>
              <w:t>2、</w:t>
            </w:r>
            <w:r>
              <w:rPr>
                <w:rFonts w:hint="default" w:ascii="Times New Roman" w:hAnsi="Times New Roman" w:eastAsia="宋体" w:cs="Times New Roman"/>
                <w:b/>
                <w:bCs/>
                <w:color w:val="auto"/>
                <w:spacing w:val="11"/>
                <w:position w:val="0"/>
                <w:sz w:val="24"/>
                <w:szCs w:val="24"/>
                <w:highlight w:val="none"/>
                <w:u w:val="none" w:color="auto"/>
                <w:lang w:val="en-US" w:eastAsia="zh-CN"/>
              </w:rPr>
              <w:t>项目工程概况</w:t>
            </w:r>
          </w:p>
          <w:p w14:paraId="3046C55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color w:val="auto"/>
                <w:spacing w:val="11"/>
                <w:kern w:val="0"/>
                <w:position w:val="0"/>
                <w:sz w:val="24"/>
                <w:szCs w:val="24"/>
                <w:u w:val="none" w:color="auto"/>
                <w:lang w:val="en-US" w:eastAsia="zh-CN"/>
              </w:rPr>
            </w:pPr>
            <w:r>
              <w:rPr>
                <w:rFonts w:hint="default" w:ascii="Times New Roman" w:hAnsi="Times New Roman" w:eastAsia="宋体" w:cs="Times New Roman"/>
                <w:b/>
                <w:bCs/>
                <w:color w:val="auto"/>
                <w:spacing w:val="11"/>
                <w:position w:val="0"/>
                <w:sz w:val="24"/>
                <w:szCs w:val="24"/>
                <w:highlight w:val="none"/>
                <w:u w:val="none" w:color="auto"/>
                <w:lang w:val="en-US" w:eastAsia="zh-CN"/>
              </w:rPr>
              <w:t>2.1</w:t>
            </w:r>
            <w:r>
              <w:rPr>
                <w:rFonts w:hint="default" w:ascii="Times New Roman" w:hAnsi="Times New Roman" w:eastAsia="宋体" w:cs="Times New Roman"/>
                <w:b/>
                <w:bCs/>
                <w:color w:val="auto"/>
                <w:spacing w:val="11"/>
                <w:position w:val="0"/>
                <w:sz w:val="24"/>
                <w:szCs w:val="24"/>
                <w:highlight w:val="none"/>
                <w:u w:val="none" w:color="auto"/>
              </w:rPr>
              <w:t>工程概况</w:t>
            </w:r>
          </w:p>
          <w:p w14:paraId="306CF69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3" w:firstLineChars="196"/>
              <w:textAlignment w:val="auto"/>
              <w:rPr>
                <w:rFonts w:hint="default" w:ascii="Times New Roman" w:hAnsi="Times New Roman" w:eastAsia="宋体" w:cs="Times New Roman"/>
                <w:color w:val="auto"/>
                <w:spacing w:val="11"/>
                <w:position w:val="0"/>
                <w:sz w:val="24"/>
                <w:szCs w:val="24"/>
                <w:highlight w:val="none"/>
                <w:u w:val="none" w:color="auto"/>
              </w:rPr>
            </w:pPr>
            <w:r>
              <w:rPr>
                <w:rFonts w:hint="default" w:ascii="Times New Roman" w:hAnsi="Times New Roman" w:eastAsia="宋体" w:cs="Times New Roman"/>
                <w:color w:val="auto"/>
                <w:spacing w:val="11"/>
                <w:position w:val="0"/>
                <w:sz w:val="24"/>
                <w:szCs w:val="24"/>
                <w:highlight w:val="none"/>
                <w:u w:val="none" w:color="auto"/>
              </w:rPr>
              <w:t>项目名称：</w:t>
            </w:r>
            <w:r>
              <w:rPr>
                <w:rFonts w:hint="default" w:ascii="Times New Roman" w:hAnsi="Times New Roman" w:cs="Times New Roman"/>
                <w:color w:val="auto"/>
                <w:spacing w:val="11"/>
                <w:position w:val="0"/>
                <w:sz w:val="24"/>
                <w:szCs w:val="24"/>
                <w:highlight w:val="none"/>
                <w:u w:val="none" w:color="auto"/>
                <w:lang w:val="en-US" w:eastAsia="zh-CN"/>
              </w:rPr>
              <w:t>新田县创景建材有限公司文峰岭矿区灰岩矿开采项目</w:t>
            </w:r>
            <w:r>
              <w:rPr>
                <w:rFonts w:hint="default" w:ascii="Times New Roman" w:hAnsi="Times New Roman" w:eastAsia="宋体" w:cs="Times New Roman"/>
                <w:color w:val="auto"/>
                <w:spacing w:val="11"/>
                <w:position w:val="0"/>
                <w:sz w:val="24"/>
                <w:szCs w:val="24"/>
                <w:highlight w:val="none"/>
                <w:u w:val="none" w:color="auto"/>
              </w:rPr>
              <w:t>；</w:t>
            </w:r>
          </w:p>
          <w:p w14:paraId="52C62E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3" w:firstLineChars="196"/>
              <w:textAlignment w:val="auto"/>
              <w:rPr>
                <w:rFonts w:hint="default" w:ascii="Times New Roman" w:hAnsi="Times New Roman" w:eastAsia="宋体" w:cs="Times New Roman"/>
                <w:color w:val="auto"/>
                <w:spacing w:val="11"/>
                <w:position w:val="0"/>
                <w:sz w:val="24"/>
                <w:szCs w:val="24"/>
                <w:highlight w:val="none"/>
                <w:u w:val="none" w:color="auto"/>
              </w:rPr>
            </w:pPr>
            <w:r>
              <w:rPr>
                <w:rFonts w:hint="default" w:ascii="Times New Roman" w:hAnsi="Times New Roman" w:eastAsia="宋体" w:cs="Times New Roman"/>
                <w:color w:val="auto"/>
                <w:spacing w:val="11"/>
                <w:position w:val="0"/>
                <w:sz w:val="24"/>
                <w:szCs w:val="24"/>
                <w:highlight w:val="none"/>
                <w:u w:val="none" w:color="auto"/>
              </w:rPr>
              <w:t>建设性质：</w:t>
            </w:r>
            <w:r>
              <w:rPr>
                <w:rFonts w:hint="default" w:ascii="Times New Roman" w:hAnsi="Times New Roman" w:eastAsia="宋体" w:cs="Times New Roman"/>
                <w:color w:val="auto"/>
                <w:spacing w:val="11"/>
                <w:kern w:val="0"/>
                <w:position w:val="0"/>
                <w:sz w:val="24"/>
                <w:szCs w:val="24"/>
                <w:highlight w:val="none"/>
                <w:u w:val="none" w:color="auto"/>
                <w:lang w:val="en-US" w:eastAsia="zh-CN"/>
              </w:rPr>
              <w:t>新建</w:t>
            </w:r>
            <w:r>
              <w:rPr>
                <w:rFonts w:hint="default" w:ascii="Times New Roman" w:hAnsi="Times New Roman" w:eastAsia="宋体" w:cs="Times New Roman"/>
                <w:color w:val="auto"/>
                <w:spacing w:val="11"/>
                <w:position w:val="0"/>
                <w:sz w:val="24"/>
                <w:szCs w:val="24"/>
                <w:highlight w:val="none"/>
                <w:u w:val="none" w:color="auto"/>
              </w:rPr>
              <w:t>；</w:t>
            </w:r>
          </w:p>
          <w:p w14:paraId="3D1FCCD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0"/>
              <w:textAlignment w:val="auto"/>
              <w:rPr>
                <w:rFonts w:hint="default" w:ascii="Times New Roman" w:hAnsi="Times New Roman" w:eastAsia="宋体" w:cs="Times New Roman"/>
                <w:color w:val="auto"/>
                <w:spacing w:val="11"/>
                <w:position w:val="0"/>
                <w:sz w:val="24"/>
                <w:szCs w:val="24"/>
                <w:highlight w:val="none"/>
                <w:u w:val="none" w:color="auto"/>
              </w:rPr>
            </w:pPr>
            <w:r>
              <w:rPr>
                <w:rFonts w:hint="default" w:ascii="Times New Roman" w:hAnsi="Times New Roman" w:eastAsia="宋体" w:cs="Times New Roman"/>
                <w:color w:val="auto"/>
                <w:spacing w:val="11"/>
                <w:position w:val="0"/>
                <w:sz w:val="24"/>
                <w:szCs w:val="24"/>
                <w:highlight w:val="none"/>
                <w:u w:val="none" w:color="auto"/>
              </w:rPr>
              <w:t>建设单位：</w:t>
            </w:r>
            <w:r>
              <w:rPr>
                <w:rFonts w:hint="default" w:ascii="Times New Roman" w:hAnsi="Times New Roman" w:cs="Times New Roman"/>
                <w:color w:val="auto"/>
                <w:spacing w:val="11"/>
                <w:position w:val="0"/>
                <w:sz w:val="24"/>
                <w:szCs w:val="24"/>
                <w:highlight w:val="none"/>
                <w:u w:val="none" w:color="auto"/>
                <w:lang w:val="en-US" w:eastAsia="zh-CN"/>
              </w:rPr>
              <w:t>新田县创景建材有限公司</w:t>
            </w:r>
            <w:r>
              <w:rPr>
                <w:rFonts w:hint="default" w:ascii="Times New Roman" w:hAnsi="Times New Roman" w:eastAsia="宋体" w:cs="Times New Roman"/>
                <w:color w:val="auto"/>
                <w:spacing w:val="11"/>
                <w:position w:val="0"/>
                <w:sz w:val="24"/>
                <w:szCs w:val="24"/>
                <w:highlight w:val="none"/>
                <w:u w:val="none" w:color="auto"/>
              </w:rPr>
              <w:t>；</w:t>
            </w:r>
          </w:p>
          <w:p w14:paraId="2E7E5D8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0"/>
              <w:textAlignment w:val="auto"/>
              <w:rPr>
                <w:rFonts w:hint="default" w:ascii="Times New Roman" w:hAnsi="Times New Roman" w:eastAsia="宋体" w:cs="Times New Roman"/>
                <w:color w:val="auto"/>
                <w:spacing w:val="11"/>
                <w:position w:val="0"/>
                <w:sz w:val="24"/>
                <w:szCs w:val="24"/>
                <w:highlight w:val="none"/>
                <w:u w:val="none" w:color="auto"/>
              </w:rPr>
            </w:pPr>
            <w:r>
              <w:rPr>
                <w:rFonts w:hint="default" w:ascii="Times New Roman" w:hAnsi="Times New Roman" w:eastAsia="宋体" w:cs="Times New Roman"/>
                <w:color w:val="auto"/>
                <w:spacing w:val="11"/>
                <w:position w:val="0"/>
                <w:sz w:val="24"/>
                <w:szCs w:val="24"/>
                <w:highlight w:val="none"/>
                <w:u w:val="none" w:color="auto"/>
              </w:rPr>
              <w:t>建设地点：</w:t>
            </w:r>
            <w:r>
              <w:rPr>
                <w:rFonts w:hint="default" w:ascii="Times New Roman" w:hAnsi="Times New Roman" w:eastAsia="宋体" w:cs="Times New Roman"/>
                <w:color w:val="auto"/>
                <w:spacing w:val="11"/>
                <w:position w:val="0"/>
                <w:sz w:val="24"/>
                <w:szCs w:val="21"/>
                <w:highlight w:val="none"/>
                <w:u w:val="none" w:color="auto"/>
                <w:lang w:val="en-US" w:eastAsia="zh-CN"/>
              </w:rPr>
              <w:t>湖南省永州市</w:t>
            </w:r>
            <w:r>
              <w:rPr>
                <w:rFonts w:hint="default" w:ascii="Times New Roman" w:hAnsi="Times New Roman" w:cs="Times New Roman"/>
                <w:color w:val="auto"/>
                <w:spacing w:val="11"/>
                <w:position w:val="0"/>
                <w:sz w:val="24"/>
                <w:szCs w:val="21"/>
                <w:highlight w:val="none"/>
                <w:u w:val="none" w:color="auto"/>
                <w:lang w:val="en-US" w:eastAsia="zh-CN"/>
              </w:rPr>
              <w:t>新田</w:t>
            </w:r>
            <w:r>
              <w:rPr>
                <w:rFonts w:hint="default" w:ascii="Times New Roman" w:hAnsi="Times New Roman" w:eastAsia="宋体" w:cs="Times New Roman"/>
                <w:color w:val="auto"/>
                <w:spacing w:val="11"/>
                <w:position w:val="0"/>
                <w:sz w:val="24"/>
                <w:szCs w:val="21"/>
                <w:highlight w:val="none"/>
                <w:u w:val="none" w:color="auto"/>
                <w:lang w:val="en-US" w:eastAsia="zh-CN"/>
              </w:rPr>
              <w:t>县龙泉街道潮水铺村文峰岭矿区</w:t>
            </w:r>
            <w:r>
              <w:rPr>
                <w:rFonts w:hint="default" w:ascii="Times New Roman" w:hAnsi="Times New Roman" w:eastAsia="宋体" w:cs="Times New Roman"/>
                <w:color w:val="auto"/>
                <w:spacing w:val="11"/>
                <w:position w:val="0"/>
                <w:sz w:val="24"/>
                <w:szCs w:val="24"/>
                <w:highlight w:val="none"/>
                <w:u w:val="none" w:color="auto"/>
              </w:rPr>
              <w:t>，项目地理位置详见附图1；</w:t>
            </w:r>
          </w:p>
          <w:p w14:paraId="19A45B8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color="auto"/>
              </w:rPr>
              <w:t>投资总额：总投资</w:t>
            </w:r>
            <w:r>
              <w:rPr>
                <w:rFonts w:hint="default" w:ascii="Times New Roman" w:hAnsi="Times New Roman" w:cs="Times New Roman"/>
                <w:color w:val="auto"/>
                <w:spacing w:val="11"/>
                <w:position w:val="0"/>
                <w:sz w:val="24"/>
                <w:szCs w:val="24"/>
                <w:highlight w:val="none"/>
                <w:u w:val="none" w:color="auto"/>
                <w:lang w:val="en-US" w:eastAsia="zh-CN"/>
              </w:rPr>
              <w:t>8</w:t>
            </w:r>
            <w:r>
              <w:rPr>
                <w:rFonts w:hint="default" w:ascii="Times New Roman" w:hAnsi="Times New Roman" w:eastAsia="宋体" w:cs="Times New Roman"/>
                <w:color w:val="auto"/>
                <w:spacing w:val="11"/>
                <w:position w:val="0"/>
                <w:sz w:val="24"/>
                <w:szCs w:val="24"/>
                <w:highlight w:val="none"/>
                <w:u w:val="none" w:color="auto"/>
                <w:lang w:val="en-US" w:eastAsia="zh-CN"/>
              </w:rPr>
              <w:t>000</w:t>
            </w:r>
            <w:r>
              <w:rPr>
                <w:rFonts w:hint="default" w:ascii="Times New Roman" w:hAnsi="Times New Roman" w:eastAsia="宋体" w:cs="Times New Roman"/>
                <w:color w:val="auto"/>
                <w:spacing w:val="11"/>
                <w:position w:val="0"/>
                <w:sz w:val="24"/>
                <w:szCs w:val="24"/>
                <w:highlight w:val="none"/>
                <w:u w:val="none" w:color="auto"/>
              </w:rPr>
              <w:t>万元，其中环保投资</w:t>
            </w:r>
            <w:r>
              <w:rPr>
                <w:rFonts w:hint="eastAsia" w:cs="Times New Roman"/>
                <w:color w:val="auto"/>
                <w:spacing w:val="11"/>
                <w:position w:val="0"/>
                <w:sz w:val="24"/>
                <w:szCs w:val="24"/>
                <w:highlight w:val="none"/>
                <w:u w:val="none" w:color="auto"/>
                <w:lang w:val="en-US" w:eastAsia="zh-CN"/>
              </w:rPr>
              <w:t>963.4</w:t>
            </w:r>
            <w:r>
              <w:rPr>
                <w:rFonts w:hint="default" w:ascii="Times New Roman" w:hAnsi="Times New Roman" w:eastAsia="宋体" w:cs="Times New Roman"/>
                <w:color w:val="auto"/>
                <w:spacing w:val="11"/>
                <w:position w:val="0"/>
                <w:sz w:val="24"/>
                <w:szCs w:val="24"/>
                <w:highlight w:val="none"/>
                <w:u w:val="none" w:color="auto"/>
              </w:rPr>
              <w:t>万元，占总投资的</w:t>
            </w:r>
            <w:r>
              <w:rPr>
                <w:rFonts w:hint="eastAsia" w:cs="Times New Roman"/>
                <w:color w:val="auto"/>
                <w:spacing w:val="11"/>
                <w:position w:val="0"/>
                <w:sz w:val="24"/>
                <w:szCs w:val="24"/>
                <w:highlight w:val="none"/>
                <w:u w:val="none" w:color="auto"/>
                <w:lang w:val="en-US" w:eastAsia="zh-CN"/>
              </w:rPr>
              <w:t>12.04</w:t>
            </w:r>
            <w:r>
              <w:rPr>
                <w:rFonts w:hint="default" w:ascii="Times New Roman" w:hAnsi="Times New Roman" w:eastAsia="宋体" w:cs="Times New Roman"/>
                <w:color w:val="auto"/>
                <w:spacing w:val="11"/>
                <w:position w:val="0"/>
                <w:sz w:val="24"/>
                <w:szCs w:val="24"/>
                <w:highlight w:val="none"/>
                <w:u w:val="none" w:color="auto"/>
              </w:rPr>
              <w:t>%。</w:t>
            </w:r>
          </w:p>
          <w:p w14:paraId="6BF342D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color w:val="auto"/>
                <w:spacing w:val="11"/>
                <w:kern w:val="0"/>
                <w:position w:val="0"/>
                <w:sz w:val="24"/>
                <w:szCs w:val="24"/>
                <w:highlight w:val="none"/>
                <w:u w:val="none" w:color="auto"/>
                <w:lang w:val="en-US" w:eastAsia="zh-CN"/>
              </w:rPr>
            </w:pPr>
            <w:r>
              <w:rPr>
                <w:rFonts w:hint="default" w:ascii="Times New Roman" w:hAnsi="Times New Roman" w:eastAsia="宋体" w:cs="Times New Roman"/>
                <w:b/>
                <w:color w:val="auto"/>
                <w:spacing w:val="11"/>
                <w:position w:val="0"/>
                <w:sz w:val="24"/>
                <w:szCs w:val="24"/>
                <w:highlight w:val="none"/>
                <w:u w:val="none" w:color="auto"/>
                <w:lang w:val="en-US" w:eastAsia="zh-CN"/>
              </w:rPr>
              <w:t>2.2</w:t>
            </w:r>
            <w:r>
              <w:rPr>
                <w:rFonts w:hint="default" w:ascii="Times New Roman" w:hAnsi="Times New Roman" w:eastAsia="宋体" w:cs="Times New Roman"/>
                <w:b/>
                <w:color w:val="auto"/>
                <w:spacing w:val="11"/>
                <w:position w:val="0"/>
                <w:sz w:val="24"/>
                <w:szCs w:val="24"/>
                <w:highlight w:val="none"/>
                <w:u w:val="none" w:color="auto"/>
              </w:rPr>
              <w:t>工程</w:t>
            </w:r>
            <w:r>
              <w:rPr>
                <w:rFonts w:hint="default" w:ascii="Times New Roman" w:hAnsi="Times New Roman" w:cs="Times New Roman"/>
                <w:b/>
                <w:color w:val="auto"/>
                <w:spacing w:val="11"/>
                <w:position w:val="0"/>
                <w:sz w:val="24"/>
                <w:szCs w:val="24"/>
                <w:highlight w:val="none"/>
                <w:u w:val="none" w:color="auto"/>
                <w:lang w:val="en-US" w:eastAsia="zh-CN"/>
              </w:rPr>
              <w:t>建设</w:t>
            </w:r>
            <w:r>
              <w:rPr>
                <w:rFonts w:hint="default" w:ascii="Times New Roman" w:hAnsi="Times New Roman" w:eastAsia="宋体" w:cs="Times New Roman"/>
                <w:b/>
                <w:color w:val="auto"/>
                <w:spacing w:val="11"/>
                <w:position w:val="0"/>
                <w:sz w:val="24"/>
                <w:szCs w:val="24"/>
                <w:highlight w:val="none"/>
                <w:u w:val="none" w:color="auto"/>
              </w:rPr>
              <w:t>内容及规模</w:t>
            </w:r>
          </w:p>
          <w:p w14:paraId="32B2816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color w:val="000000"/>
                <w:spacing w:val="11"/>
                <w:position w:val="0"/>
                <w:sz w:val="24"/>
                <w:szCs w:val="24"/>
                <w:u w:val="none" w:color="auto"/>
                <w:lang w:eastAsia="zh-CN" w:bidi="ar"/>
              </w:rPr>
            </w:pPr>
            <w:r>
              <w:rPr>
                <w:rFonts w:hint="default" w:ascii="Times New Roman" w:hAnsi="Times New Roman" w:eastAsia="宋体" w:cs="Times New Roman"/>
                <w:color w:val="auto"/>
                <w:spacing w:val="11"/>
                <w:kern w:val="0"/>
                <w:position w:val="0"/>
                <w:sz w:val="24"/>
                <w:szCs w:val="24"/>
                <w:u w:val="none" w:color="auto"/>
                <w:lang w:val="en-US" w:eastAsia="zh-CN"/>
              </w:rPr>
              <w:t>项目主要经济技术指标</w:t>
            </w:r>
            <w:r>
              <w:rPr>
                <w:rFonts w:hint="default" w:ascii="Times New Roman" w:hAnsi="Times New Roman" w:cs="Times New Roman"/>
                <w:color w:val="auto"/>
                <w:spacing w:val="11"/>
                <w:kern w:val="0"/>
                <w:position w:val="0"/>
                <w:sz w:val="24"/>
                <w:szCs w:val="24"/>
                <w:u w:val="none" w:color="auto"/>
                <w:lang w:val="en-US" w:eastAsia="zh-CN"/>
              </w:rPr>
              <w:t>及</w:t>
            </w:r>
            <w:r>
              <w:rPr>
                <w:rFonts w:hint="default" w:ascii="Times New Roman" w:hAnsi="Times New Roman" w:eastAsia="宋体" w:cs="Times New Roman"/>
                <w:color w:val="auto"/>
                <w:spacing w:val="11"/>
                <w:kern w:val="0"/>
                <w:position w:val="0"/>
                <w:sz w:val="24"/>
                <w:szCs w:val="24"/>
                <w:u w:val="none" w:color="auto"/>
                <w:lang w:val="en-US" w:eastAsia="zh-CN"/>
              </w:rPr>
              <w:t>建设内容见下表：</w:t>
            </w:r>
          </w:p>
          <w:p w14:paraId="63081FE9">
            <w:pPr>
              <w:ind w:firstLine="482"/>
              <w:jc w:val="center"/>
              <w:rPr>
                <w:rFonts w:hint="default" w:ascii="Times New Roman" w:hAnsi="Times New Roman" w:eastAsia="宋体" w:cs="Times New Roman"/>
                <w:b/>
                <w:color w:val="000000"/>
                <w:spacing w:val="11"/>
                <w:position w:val="0"/>
                <w:sz w:val="21"/>
                <w:szCs w:val="21"/>
                <w:u w:val="none" w:color="auto"/>
              </w:rPr>
            </w:pPr>
          </w:p>
          <w:p w14:paraId="4B6C6286">
            <w:pPr>
              <w:ind w:firstLine="482"/>
              <w:jc w:val="center"/>
              <w:rPr>
                <w:rFonts w:hint="default" w:ascii="Times New Roman" w:hAnsi="Times New Roman" w:eastAsia="宋体" w:cs="Times New Roman"/>
                <w:b/>
                <w:color w:val="000000"/>
                <w:spacing w:val="11"/>
                <w:position w:val="0"/>
                <w:sz w:val="21"/>
                <w:szCs w:val="21"/>
                <w:u w:val="none" w:color="auto"/>
              </w:rPr>
            </w:pPr>
          </w:p>
          <w:p w14:paraId="6B6D3827">
            <w:pPr>
              <w:ind w:firstLine="482"/>
              <w:jc w:val="center"/>
              <w:rPr>
                <w:rFonts w:hint="default" w:ascii="Times New Roman" w:hAnsi="Times New Roman" w:eastAsia="宋体" w:cs="Times New Roman"/>
                <w:b/>
                <w:color w:val="000000"/>
                <w:spacing w:val="11"/>
                <w:position w:val="0"/>
                <w:sz w:val="21"/>
                <w:szCs w:val="21"/>
                <w:u w:val="none" w:color="auto"/>
              </w:rPr>
            </w:pPr>
          </w:p>
          <w:p w14:paraId="17253BDB">
            <w:pPr>
              <w:ind w:firstLine="482"/>
              <w:jc w:val="center"/>
              <w:rPr>
                <w:rFonts w:hint="default" w:ascii="Times New Roman" w:hAnsi="Times New Roman" w:eastAsia="宋体" w:cs="Times New Roman"/>
                <w:b/>
                <w:color w:val="000000"/>
                <w:spacing w:val="11"/>
                <w:position w:val="0"/>
                <w:sz w:val="21"/>
                <w:szCs w:val="21"/>
                <w:u w:val="none" w:color="auto"/>
              </w:rPr>
            </w:pPr>
            <w:r>
              <w:rPr>
                <w:rFonts w:hint="default" w:ascii="Times New Roman" w:hAnsi="Times New Roman" w:eastAsia="宋体" w:cs="Times New Roman"/>
                <w:b/>
                <w:color w:val="000000"/>
                <w:spacing w:val="11"/>
                <w:position w:val="0"/>
                <w:sz w:val="21"/>
                <w:szCs w:val="21"/>
                <w:u w:val="none" w:color="auto"/>
              </w:rPr>
              <w:t>表</w:t>
            </w:r>
            <w:r>
              <w:rPr>
                <w:rFonts w:hint="default" w:ascii="Times New Roman" w:hAnsi="Times New Roman" w:eastAsia="宋体" w:cs="Times New Roman"/>
                <w:b/>
                <w:color w:val="000000"/>
                <w:spacing w:val="11"/>
                <w:position w:val="0"/>
                <w:sz w:val="21"/>
                <w:szCs w:val="21"/>
                <w:u w:val="none" w:color="auto"/>
                <w:lang w:val="en-US" w:eastAsia="zh-CN"/>
              </w:rPr>
              <w:t xml:space="preserve">2-1  </w:t>
            </w:r>
            <w:r>
              <w:rPr>
                <w:rFonts w:hint="default" w:ascii="Times New Roman" w:hAnsi="Times New Roman" w:eastAsia="宋体" w:cs="Times New Roman"/>
                <w:b/>
                <w:color w:val="000000"/>
                <w:spacing w:val="11"/>
                <w:position w:val="0"/>
                <w:sz w:val="21"/>
                <w:szCs w:val="21"/>
                <w:u w:val="none" w:color="auto"/>
              </w:rPr>
              <w:t>项目主要技术经济指标</w:t>
            </w:r>
          </w:p>
          <w:tbl>
            <w:tblPr>
              <w:tblStyle w:val="6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09"/>
              <w:gridCol w:w="552"/>
              <w:gridCol w:w="1078"/>
              <w:gridCol w:w="1124"/>
              <w:gridCol w:w="996"/>
              <w:gridCol w:w="3445"/>
              <w:gridCol w:w="703"/>
            </w:tblGrid>
            <w:tr w14:paraId="406D0E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303" w:type="pct"/>
                  <w:tcBorders>
                    <w:tl2br w:val="nil"/>
                    <w:tr2bl w:val="nil"/>
                  </w:tcBorders>
                  <w:noWrap w:val="0"/>
                  <w:vAlign w:val="center"/>
                </w:tcPr>
                <w:p w14:paraId="36BBE16F">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3"/>
                      <w:sz w:val="21"/>
                      <w:szCs w:val="21"/>
                    </w:rPr>
                    <w:t>序号</w:t>
                  </w:r>
                </w:p>
              </w:tc>
              <w:tc>
                <w:tcPr>
                  <w:tcW w:w="1637" w:type="pct"/>
                  <w:gridSpan w:val="3"/>
                  <w:tcBorders>
                    <w:tl2br w:val="nil"/>
                    <w:tr2bl w:val="nil"/>
                  </w:tcBorders>
                  <w:noWrap w:val="0"/>
                  <w:vAlign w:val="center"/>
                </w:tcPr>
                <w:p w14:paraId="4087A91C">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5"/>
                      <w:sz w:val="21"/>
                      <w:szCs w:val="21"/>
                    </w:rPr>
                    <w:t>名称</w:t>
                  </w:r>
                </w:p>
              </w:tc>
              <w:tc>
                <w:tcPr>
                  <w:tcW w:w="592" w:type="pct"/>
                  <w:tcBorders>
                    <w:tl2br w:val="nil"/>
                    <w:tr2bl w:val="nil"/>
                  </w:tcBorders>
                  <w:noWrap w:val="0"/>
                  <w:vAlign w:val="center"/>
                </w:tcPr>
                <w:p w14:paraId="3B6B5A6B">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5"/>
                      <w:sz w:val="21"/>
                      <w:szCs w:val="21"/>
                    </w:rPr>
                    <w:t>单位</w:t>
                  </w:r>
                </w:p>
              </w:tc>
              <w:tc>
                <w:tcPr>
                  <w:tcW w:w="2048" w:type="pct"/>
                  <w:tcBorders>
                    <w:tl2br w:val="nil"/>
                    <w:tr2bl w:val="nil"/>
                  </w:tcBorders>
                  <w:noWrap w:val="0"/>
                  <w:vAlign w:val="center"/>
                </w:tcPr>
                <w:p w14:paraId="76860DDE">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5"/>
                      <w:sz w:val="21"/>
                      <w:szCs w:val="21"/>
                    </w:rPr>
                    <w:t>指标</w:t>
                  </w:r>
                </w:p>
              </w:tc>
              <w:tc>
                <w:tcPr>
                  <w:tcW w:w="418" w:type="pct"/>
                  <w:tcBorders>
                    <w:tl2br w:val="nil"/>
                    <w:tr2bl w:val="nil"/>
                  </w:tcBorders>
                  <w:noWrap w:val="0"/>
                  <w:vAlign w:val="center"/>
                </w:tcPr>
                <w:p w14:paraId="614C5E61">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5"/>
                      <w:sz w:val="21"/>
                      <w:szCs w:val="21"/>
                    </w:rPr>
                    <w:t>备注</w:t>
                  </w:r>
                </w:p>
              </w:tc>
            </w:tr>
            <w:tr w14:paraId="241EE7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303" w:type="pct"/>
                  <w:vMerge w:val="restart"/>
                  <w:tcBorders>
                    <w:tl2br w:val="nil"/>
                    <w:tr2bl w:val="nil"/>
                  </w:tcBorders>
                  <w:noWrap w:val="0"/>
                  <w:vAlign w:val="center"/>
                </w:tcPr>
                <w:p w14:paraId="272B9D8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position w:val="1"/>
                      <w:sz w:val="21"/>
                      <w:szCs w:val="21"/>
                    </w:rPr>
                    <w:t>1</w:t>
                  </w:r>
                </w:p>
              </w:tc>
              <w:tc>
                <w:tcPr>
                  <w:tcW w:w="328" w:type="pct"/>
                  <w:vMerge w:val="restart"/>
                  <w:tcBorders>
                    <w:tl2br w:val="nil"/>
                    <w:tr2bl w:val="nil"/>
                  </w:tcBorders>
                  <w:noWrap w:val="0"/>
                  <w:vAlign w:val="center"/>
                </w:tcPr>
                <w:p w14:paraId="6ACA9745">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5"/>
                      <w:sz w:val="21"/>
                      <w:szCs w:val="21"/>
                    </w:rPr>
                    <w:t>矿山</w:t>
                  </w:r>
                </w:p>
                <w:p w14:paraId="1C1D584C">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2"/>
                      <w:sz w:val="21"/>
                      <w:szCs w:val="21"/>
                    </w:rPr>
                    <w:t>范围</w:t>
                  </w:r>
                </w:p>
              </w:tc>
              <w:tc>
                <w:tcPr>
                  <w:tcW w:w="1309" w:type="pct"/>
                  <w:gridSpan w:val="2"/>
                  <w:tcBorders>
                    <w:tl2br w:val="nil"/>
                    <w:tr2bl w:val="nil"/>
                  </w:tcBorders>
                  <w:noWrap w:val="0"/>
                  <w:vAlign w:val="center"/>
                </w:tcPr>
                <w:p w14:paraId="170B5BD6">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8"/>
                      <w:sz w:val="21"/>
                      <w:szCs w:val="21"/>
                    </w:rPr>
                    <w:t>矿山拐点组成</w:t>
                  </w:r>
                </w:p>
              </w:tc>
              <w:tc>
                <w:tcPr>
                  <w:tcW w:w="592" w:type="pct"/>
                  <w:tcBorders>
                    <w:tl2br w:val="nil"/>
                    <w:tr2bl w:val="nil"/>
                  </w:tcBorders>
                  <w:noWrap w:val="0"/>
                  <w:vAlign w:val="center"/>
                </w:tcPr>
                <w:p w14:paraId="33E67CCB">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个</w:t>
                  </w:r>
                </w:p>
              </w:tc>
              <w:tc>
                <w:tcPr>
                  <w:tcW w:w="2048" w:type="pct"/>
                  <w:tcBorders>
                    <w:tl2br w:val="nil"/>
                    <w:tr2bl w:val="nil"/>
                  </w:tcBorders>
                  <w:noWrap w:val="0"/>
                  <w:vAlign w:val="center"/>
                </w:tcPr>
                <w:p w14:paraId="4DF0201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7</w:t>
                  </w:r>
                </w:p>
              </w:tc>
              <w:tc>
                <w:tcPr>
                  <w:tcW w:w="418" w:type="pct"/>
                  <w:tcBorders>
                    <w:tl2br w:val="nil"/>
                    <w:tr2bl w:val="nil"/>
                  </w:tcBorders>
                  <w:noWrap w:val="0"/>
                  <w:vAlign w:val="center"/>
                </w:tcPr>
                <w:p w14:paraId="091B402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6C163C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continue"/>
                  <w:tcBorders>
                    <w:tl2br w:val="nil"/>
                    <w:tr2bl w:val="nil"/>
                  </w:tcBorders>
                  <w:noWrap w:val="0"/>
                  <w:vAlign w:val="center"/>
                </w:tcPr>
                <w:p w14:paraId="756055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2EB9B1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309" w:type="pct"/>
                  <w:gridSpan w:val="2"/>
                  <w:tcBorders>
                    <w:tl2br w:val="nil"/>
                    <w:tr2bl w:val="nil"/>
                  </w:tcBorders>
                  <w:noWrap w:val="0"/>
                  <w:vAlign w:val="center"/>
                </w:tcPr>
                <w:p w14:paraId="2A2D34D1">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6"/>
                      <w:sz w:val="21"/>
                      <w:szCs w:val="21"/>
                    </w:rPr>
                    <w:t>准采标高</w:t>
                  </w:r>
                </w:p>
              </w:tc>
              <w:tc>
                <w:tcPr>
                  <w:tcW w:w="592" w:type="pct"/>
                  <w:tcBorders>
                    <w:tl2br w:val="nil"/>
                    <w:tr2bl w:val="nil"/>
                  </w:tcBorders>
                  <w:noWrap w:val="0"/>
                  <w:vAlign w:val="center"/>
                </w:tcPr>
                <w:p w14:paraId="1E6FDCF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pacing w:val="5"/>
                      <w:sz w:val="21"/>
                      <w:szCs w:val="21"/>
                    </w:rPr>
                    <w:t>m</w:t>
                  </w:r>
                </w:p>
              </w:tc>
              <w:tc>
                <w:tcPr>
                  <w:tcW w:w="2048" w:type="pct"/>
                  <w:tcBorders>
                    <w:tl2br w:val="nil"/>
                    <w:tr2bl w:val="nil"/>
                  </w:tcBorders>
                  <w:noWrap w:val="0"/>
                  <w:vAlign w:val="center"/>
                </w:tcPr>
                <w:p w14:paraId="63F451EF">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pacing w:val="5"/>
                      <w:position w:val="2"/>
                      <w:sz w:val="21"/>
                      <w:szCs w:val="21"/>
                    </w:rPr>
                    <w:t>+387m</w:t>
                  </w:r>
                  <w:r>
                    <w:rPr>
                      <w:rFonts w:hint="default" w:ascii="Times New Roman" w:hAnsi="Times New Roman" w:cs="Times New Roman"/>
                      <w:spacing w:val="5"/>
                      <w:position w:val="2"/>
                      <w:sz w:val="21"/>
                      <w:szCs w:val="21"/>
                    </w:rPr>
                    <w:t>～</w:t>
                  </w:r>
                  <w:r>
                    <w:rPr>
                      <w:rFonts w:hint="default" w:ascii="Times New Roman" w:hAnsi="Times New Roman" w:eastAsia="Times New Roman" w:cs="Times New Roman"/>
                      <w:spacing w:val="5"/>
                      <w:position w:val="2"/>
                      <w:sz w:val="21"/>
                      <w:szCs w:val="21"/>
                    </w:rPr>
                    <w:t>+335m</w:t>
                  </w:r>
                </w:p>
              </w:tc>
              <w:tc>
                <w:tcPr>
                  <w:tcW w:w="418" w:type="pct"/>
                  <w:tcBorders>
                    <w:tl2br w:val="nil"/>
                    <w:tr2bl w:val="nil"/>
                  </w:tcBorders>
                  <w:noWrap w:val="0"/>
                  <w:vAlign w:val="center"/>
                </w:tcPr>
                <w:p w14:paraId="781D014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4B53C0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303" w:type="pct"/>
                  <w:vMerge w:val="continue"/>
                  <w:tcBorders>
                    <w:tl2br w:val="nil"/>
                    <w:tr2bl w:val="nil"/>
                  </w:tcBorders>
                  <w:noWrap w:val="0"/>
                  <w:vAlign w:val="center"/>
                </w:tcPr>
                <w:p w14:paraId="411347A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38CBA49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309" w:type="pct"/>
                  <w:gridSpan w:val="2"/>
                  <w:tcBorders>
                    <w:tl2br w:val="nil"/>
                    <w:tr2bl w:val="nil"/>
                  </w:tcBorders>
                  <w:noWrap w:val="0"/>
                  <w:vAlign w:val="center"/>
                </w:tcPr>
                <w:p w14:paraId="3A42553D">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7"/>
                      <w:sz w:val="21"/>
                      <w:szCs w:val="21"/>
                    </w:rPr>
                    <w:t>矿山面积</w:t>
                  </w:r>
                </w:p>
              </w:tc>
              <w:tc>
                <w:tcPr>
                  <w:tcW w:w="592" w:type="pct"/>
                  <w:tcBorders>
                    <w:tl2br w:val="nil"/>
                    <w:tr2bl w:val="nil"/>
                  </w:tcBorders>
                  <w:noWrap w:val="0"/>
                  <w:vAlign w:val="center"/>
                </w:tcPr>
                <w:p w14:paraId="1E981EC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position w:val="1"/>
                      <w:sz w:val="21"/>
                      <w:szCs w:val="21"/>
                    </w:rPr>
                    <w:t>km</w:t>
                  </w:r>
                  <w:r>
                    <w:rPr>
                      <w:rFonts w:hint="default" w:ascii="Times New Roman" w:hAnsi="Times New Roman" w:eastAsia="Times New Roman" w:cs="Times New Roman"/>
                      <w:spacing w:val="12"/>
                      <w:position w:val="7"/>
                      <w:sz w:val="21"/>
                      <w:szCs w:val="21"/>
                    </w:rPr>
                    <w:t>2</w:t>
                  </w:r>
                </w:p>
              </w:tc>
              <w:tc>
                <w:tcPr>
                  <w:tcW w:w="2048" w:type="pct"/>
                  <w:tcBorders>
                    <w:tl2br w:val="nil"/>
                    <w:tr2bl w:val="nil"/>
                  </w:tcBorders>
                  <w:noWrap w:val="0"/>
                  <w:vAlign w:val="center"/>
                </w:tcPr>
                <w:p w14:paraId="6D46A9A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position w:val="2"/>
                      <w:sz w:val="21"/>
                      <w:szCs w:val="21"/>
                    </w:rPr>
                    <w:t>0.0633</w:t>
                  </w:r>
                </w:p>
              </w:tc>
              <w:tc>
                <w:tcPr>
                  <w:tcW w:w="418" w:type="pct"/>
                  <w:tcBorders>
                    <w:tl2br w:val="nil"/>
                    <w:tr2bl w:val="nil"/>
                  </w:tcBorders>
                  <w:noWrap w:val="0"/>
                  <w:vAlign w:val="center"/>
                </w:tcPr>
                <w:p w14:paraId="15CBA9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031313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restart"/>
                  <w:tcBorders>
                    <w:tl2br w:val="nil"/>
                    <w:tr2bl w:val="nil"/>
                  </w:tcBorders>
                  <w:noWrap w:val="0"/>
                  <w:vAlign w:val="center"/>
                </w:tcPr>
                <w:p w14:paraId="7DA7E3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position w:val="1"/>
                      <w:sz w:val="21"/>
                      <w:szCs w:val="21"/>
                    </w:rPr>
                    <w:t>2</w:t>
                  </w:r>
                </w:p>
              </w:tc>
              <w:tc>
                <w:tcPr>
                  <w:tcW w:w="328" w:type="pct"/>
                  <w:vMerge w:val="restart"/>
                  <w:tcBorders>
                    <w:tl2br w:val="nil"/>
                    <w:tr2bl w:val="nil"/>
                  </w:tcBorders>
                  <w:noWrap w:val="0"/>
                  <w:vAlign w:val="center"/>
                </w:tcPr>
                <w:p w14:paraId="230088A7">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5"/>
                      <w:sz w:val="21"/>
                      <w:szCs w:val="21"/>
                    </w:rPr>
                    <w:t>矿体</w:t>
                  </w:r>
                </w:p>
                <w:p w14:paraId="5F494F29">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4"/>
                      <w:sz w:val="21"/>
                      <w:szCs w:val="21"/>
                    </w:rPr>
                    <w:t>特征</w:t>
                  </w:r>
                </w:p>
              </w:tc>
              <w:tc>
                <w:tcPr>
                  <w:tcW w:w="1309" w:type="pct"/>
                  <w:gridSpan w:val="2"/>
                  <w:tcBorders>
                    <w:tl2br w:val="nil"/>
                    <w:tr2bl w:val="nil"/>
                  </w:tcBorders>
                  <w:noWrap w:val="0"/>
                  <w:vAlign w:val="center"/>
                </w:tcPr>
                <w:p w14:paraId="59A8E5AC">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5"/>
                      <w:sz w:val="21"/>
                      <w:szCs w:val="21"/>
                    </w:rPr>
                    <w:t>矿种</w:t>
                  </w:r>
                </w:p>
              </w:tc>
              <w:tc>
                <w:tcPr>
                  <w:tcW w:w="592" w:type="pct"/>
                  <w:tcBorders>
                    <w:tl2br w:val="nil"/>
                    <w:tr2bl w:val="nil"/>
                  </w:tcBorders>
                  <w:noWrap w:val="0"/>
                  <w:vAlign w:val="center"/>
                </w:tcPr>
                <w:p w14:paraId="1A6AEA2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2048" w:type="pct"/>
                  <w:tcBorders>
                    <w:tl2br w:val="nil"/>
                    <w:tr2bl w:val="nil"/>
                  </w:tcBorders>
                  <w:noWrap w:val="0"/>
                  <w:vAlign w:val="center"/>
                </w:tcPr>
                <w:p w14:paraId="5AC07AFB">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8"/>
                      <w:sz w:val="21"/>
                      <w:szCs w:val="21"/>
                    </w:rPr>
                    <w:t>建筑石料用灰岩</w:t>
                  </w:r>
                </w:p>
              </w:tc>
              <w:tc>
                <w:tcPr>
                  <w:tcW w:w="418" w:type="pct"/>
                  <w:tcBorders>
                    <w:tl2br w:val="nil"/>
                    <w:tr2bl w:val="nil"/>
                  </w:tcBorders>
                  <w:noWrap w:val="0"/>
                  <w:vAlign w:val="center"/>
                </w:tcPr>
                <w:p w14:paraId="3BF71C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11A6DB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continue"/>
                  <w:tcBorders>
                    <w:tl2br w:val="nil"/>
                    <w:tr2bl w:val="nil"/>
                  </w:tcBorders>
                  <w:noWrap w:val="0"/>
                  <w:vAlign w:val="center"/>
                </w:tcPr>
                <w:p w14:paraId="1DB11A7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03C1C82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309" w:type="pct"/>
                  <w:gridSpan w:val="2"/>
                  <w:tcBorders>
                    <w:tl2br w:val="nil"/>
                    <w:tr2bl w:val="nil"/>
                  </w:tcBorders>
                  <w:noWrap w:val="0"/>
                  <w:vAlign w:val="center"/>
                </w:tcPr>
                <w:p w14:paraId="0FC2786E">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6"/>
                      <w:sz w:val="21"/>
                      <w:szCs w:val="21"/>
                    </w:rPr>
                    <w:t>可采矿体（层）</w:t>
                  </w:r>
                </w:p>
              </w:tc>
              <w:tc>
                <w:tcPr>
                  <w:tcW w:w="592" w:type="pct"/>
                  <w:tcBorders>
                    <w:tl2br w:val="nil"/>
                    <w:tr2bl w:val="nil"/>
                  </w:tcBorders>
                  <w:noWrap w:val="0"/>
                  <w:vAlign w:val="center"/>
                </w:tcPr>
                <w:p w14:paraId="2D56BF07">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5"/>
                      <w:sz w:val="21"/>
                      <w:szCs w:val="21"/>
                    </w:rPr>
                    <w:t>个（层）</w:t>
                  </w:r>
                </w:p>
              </w:tc>
              <w:tc>
                <w:tcPr>
                  <w:tcW w:w="2048" w:type="pct"/>
                  <w:tcBorders>
                    <w:tl2br w:val="nil"/>
                    <w:tr2bl w:val="nil"/>
                  </w:tcBorders>
                  <w:noWrap w:val="0"/>
                  <w:vAlign w:val="center"/>
                </w:tcPr>
                <w:p w14:paraId="3A046D1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position w:val="1"/>
                      <w:sz w:val="21"/>
                      <w:szCs w:val="21"/>
                    </w:rPr>
                    <w:t>1</w:t>
                  </w:r>
                </w:p>
              </w:tc>
              <w:tc>
                <w:tcPr>
                  <w:tcW w:w="418" w:type="pct"/>
                  <w:tcBorders>
                    <w:tl2br w:val="nil"/>
                    <w:tr2bl w:val="nil"/>
                  </w:tcBorders>
                  <w:noWrap w:val="0"/>
                  <w:vAlign w:val="center"/>
                </w:tcPr>
                <w:p w14:paraId="5878E86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1B1AF2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303" w:type="pct"/>
                  <w:vMerge w:val="continue"/>
                  <w:tcBorders>
                    <w:tl2br w:val="nil"/>
                    <w:tr2bl w:val="nil"/>
                  </w:tcBorders>
                  <w:noWrap w:val="0"/>
                  <w:vAlign w:val="center"/>
                </w:tcPr>
                <w:p w14:paraId="0DBFE2C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1C75FEE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309" w:type="pct"/>
                  <w:gridSpan w:val="2"/>
                  <w:tcBorders>
                    <w:tl2br w:val="nil"/>
                    <w:tr2bl w:val="nil"/>
                  </w:tcBorders>
                  <w:noWrap w:val="0"/>
                  <w:vAlign w:val="center"/>
                </w:tcPr>
                <w:p w14:paraId="5A7E137C">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8"/>
                      <w:sz w:val="21"/>
                      <w:szCs w:val="21"/>
                    </w:rPr>
                    <w:t>矿体（层）走向长</w:t>
                  </w:r>
                </w:p>
              </w:tc>
              <w:tc>
                <w:tcPr>
                  <w:tcW w:w="592" w:type="pct"/>
                  <w:tcBorders>
                    <w:tl2br w:val="nil"/>
                    <w:tr2bl w:val="nil"/>
                  </w:tcBorders>
                  <w:noWrap w:val="0"/>
                  <w:vAlign w:val="center"/>
                </w:tcPr>
                <w:p w14:paraId="333B3E9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pacing w:val="5"/>
                      <w:sz w:val="21"/>
                      <w:szCs w:val="21"/>
                    </w:rPr>
                    <w:t>m</w:t>
                  </w:r>
                </w:p>
              </w:tc>
              <w:tc>
                <w:tcPr>
                  <w:tcW w:w="2048" w:type="pct"/>
                  <w:tcBorders>
                    <w:tl2br w:val="nil"/>
                    <w:tr2bl w:val="nil"/>
                  </w:tcBorders>
                  <w:noWrap w:val="0"/>
                  <w:vAlign w:val="center"/>
                </w:tcPr>
                <w:p w14:paraId="4BC33D0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pacing w:val="2"/>
                      <w:position w:val="2"/>
                      <w:sz w:val="21"/>
                      <w:szCs w:val="21"/>
                    </w:rPr>
                    <w:t>343</w:t>
                  </w:r>
                </w:p>
              </w:tc>
              <w:tc>
                <w:tcPr>
                  <w:tcW w:w="418" w:type="pct"/>
                  <w:tcBorders>
                    <w:tl2br w:val="nil"/>
                    <w:tr2bl w:val="nil"/>
                  </w:tcBorders>
                  <w:noWrap w:val="0"/>
                  <w:vAlign w:val="center"/>
                </w:tcPr>
                <w:p w14:paraId="2942E53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0D5E1D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continue"/>
                  <w:tcBorders>
                    <w:tl2br w:val="nil"/>
                    <w:tr2bl w:val="nil"/>
                  </w:tcBorders>
                  <w:noWrap w:val="0"/>
                  <w:vAlign w:val="center"/>
                </w:tcPr>
                <w:p w14:paraId="717F3B9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29D8946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309" w:type="pct"/>
                  <w:gridSpan w:val="2"/>
                  <w:tcBorders>
                    <w:tl2br w:val="nil"/>
                    <w:tr2bl w:val="nil"/>
                  </w:tcBorders>
                  <w:noWrap w:val="0"/>
                  <w:vAlign w:val="center"/>
                </w:tcPr>
                <w:p w14:paraId="627FD88B">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8"/>
                      <w:sz w:val="21"/>
                      <w:szCs w:val="21"/>
                    </w:rPr>
                    <w:t>矿体（层）倾斜宽</w:t>
                  </w:r>
                </w:p>
              </w:tc>
              <w:tc>
                <w:tcPr>
                  <w:tcW w:w="592" w:type="pct"/>
                  <w:tcBorders>
                    <w:tl2br w:val="nil"/>
                    <w:tr2bl w:val="nil"/>
                  </w:tcBorders>
                  <w:noWrap w:val="0"/>
                  <w:vAlign w:val="center"/>
                </w:tcPr>
                <w:p w14:paraId="7518CE0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pacing w:val="5"/>
                      <w:sz w:val="21"/>
                      <w:szCs w:val="21"/>
                    </w:rPr>
                    <w:t>m</w:t>
                  </w:r>
                </w:p>
              </w:tc>
              <w:tc>
                <w:tcPr>
                  <w:tcW w:w="2048" w:type="pct"/>
                  <w:tcBorders>
                    <w:tl2br w:val="nil"/>
                    <w:tr2bl w:val="nil"/>
                  </w:tcBorders>
                  <w:noWrap w:val="0"/>
                  <w:vAlign w:val="center"/>
                </w:tcPr>
                <w:p w14:paraId="734905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Times New Roman" w:cs="Times New Roman"/>
                      <w:spacing w:val="1"/>
                      <w:position w:val="2"/>
                      <w:sz w:val="21"/>
                      <w:szCs w:val="21"/>
                    </w:rPr>
                    <w:t>520</w:t>
                  </w:r>
                </w:p>
              </w:tc>
              <w:tc>
                <w:tcPr>
                  <w:tcW w:w="418" w:type="pct"/>
                  <w:tcBorders>
                    <w:tl2br w:val="nil"/>
                    <w:tr2bl w:val="nil"/>
                  </w:tcBorders>
                  <w:noWrap w:val="0"/>
                  <w:vAlign w:val="center"/>
                </w:tcPr>
                <w:p w14:paraId="0C25C2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096ACA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continue"/>
                  <w:tcBorders>
                    <w:tl2br w:val="nil"/>
                    <w:tr2bl w:val="nil"/>
                  </w:tcBorders>
                  <w:noWrap w:val="0"/>
                  <w:vAlign w:val="center"/>
                </w:tcPr>
                <w:p w14:paraId="7E23DE6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031D6E0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309" w:type="pct"/>
                  <w:gridSpan w:val="2"/>
                  <w:tcBorders>
                    <w:tl2br w:val="nil"/>
                    <w:tr2bl w:val="nil"/>
                  </w:tcBorders>
                  <w:noWrap w:val="0"/>
                  <w:vAlign w:val="center"/>
                </w:tcPr>
                <w:p w14:paraId="755E2EEC">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8"/>
                      <w:sz w:val="21"/>
                      <w:szCs w:val="21"/>
                    </w:rPr>
                    <w:t>矿体（层）倾角</w:t>
                  </w:r>
                </w:p>
              </w:tc>
              <w:tc>
                <w:tcPr>
                  <w:tcW w:w="592" w:type="pct"/>
                  <w:tcBorders>
                    <w:tl2br w:val="nil"/>
                    <w:tr2bl w:val="nil"/>
                  </w:tcBorders>
                  <w:noWrap w:val="0"/>
                  <w:vAlign w:val="center"/>
                </w:tcPr>
                <w:p w14:paraId="4FFD369C">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1"/>
                      <w:sz w:val="21"/>
                      <w:szCs w:val="21"/>
                    </w:rPr>
                    <w:t>度</w:t>
                  </w:r>
                </w:p>
              </w:tc>
              <w:tc>
                <w:tcPr>
                  <w:tcW w:w="2048" w:type="pct"/>
                  <w:tcBorders>
                    <w:tl2br w:val="nil"/>
                    <w:tr2bl w:val="nil"/>
                  </w:tcBorders>
                  <w:noWrap w:val="0"/>
                  <w:vAlign w:val="center"/>
                </w:tcPr>
                <w:p w14:paraId="30BA1A5E">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eastAsia="Times New Roman" w:cs="Times New Roman"/>
                      <w:spacing w:val="12"/>
                      <w:sz w:val="21"/>
                      <w:szCs w:val="21"/>
                    </w:rPr>
                    <w:t>15</w:t>
                  </w:r>
                  <w:r>
                    <w:rPr>
                      <w:rFonts w:hint="default" w:ascii="Times New Roman" w:hAnsi="Times New Roman" w:cs="Times New Roman"/>
                      <w:spacing w:val="12"/>
                      <w:sz w:val="21"/>
                      <w:szCs w:val="21"/>
                    </w:rPr>
                    <w:t>°</w:t>
                  </w:r>
                  <w:r>
                    <w:rPr>
                      <w:rFonts w:hint="default" w:ascii="Times New Roman" w:hAnsi="Times New Roman" w:cs="Times New Roman"/>
                      <w:spacing w:val="12"/>
                      <w:sz w:val="21"/>
                      <w:szCs w:val="21"/>
                      <w:lang w:val="en-US" w:eastAsia="zh-CN"/>
                    </w:rPr>
                    <w:t>~</w:t>
                  </w:r>
                  <w:r>
                    <w:rPr>
                      <w:rFonts w:hint="default" w:ascii="Times New Roman" w:hAnsi="Times New Roman" w:eastAsia="Times New Roman" w:cs="Times New Roman"/>
                      <w:spacing w:val="12"/>
                      <w:sz w:val="21"/>
                      <w:szCs w:val="21"/>
                    </w:rPr>
                    <w:t>30</w:t>
                  </w:r>
                  <w:r>
                    <w:rPr>
                      <w:rFonts w:hint="default" w:ascii="Times New Roman" w:hAnsi="Times New Roman" w:cs="Times New Roman"/>
                      <w:spacing w:val="12"/>
                      <w:sz w:val="21"/>
                      <w:szCs w:val="21"/>
                    </w:rPr>
                    <w:t>°</w:t>
                  </w:r>
                </w:p>
              </w:tc>
              <w:tc>
                <w:tcPr>
                  <w:tcW w:w="418" w:type="pct"/>
                  <w:tcBorders>
                    <w:tl2br w:val="nil"/>
                    <w:tr2bl w:val="nil"/>
                  </w:tcBorders>
                  <w:noWrap w:val="0"/>
                  <w:vAlign w:val="center"/>
                </w:tcPr>
                <w:p w14:paraId="57FE43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3F7A15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continue"/>
                  <w:tcBorders>
                    <w:tl2br w:val="nil"/>
                    <w:tr2bl w:val="nil"/>
                  </w:tcBorders>
                  <w:noWrap w:val="0"/>
                  <w:vAlign w:val="center"/>
                </w:tcPr>
                <w:p w14:paraId="12FB2A7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63B7381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309" w:type="pct"/>
                  <w:gridSpan w:val="2"/>
                  <w:tcBorders>
                    <w:tl2br w:val="nil"/>
                    <w:tr2bl w:val="nil"/>
                  </w:tcBorders>
                  <w:noWrap w:val="0"/>
                  <w:vAlign w:val="center"/>
                </w:tcPr>
                <w:p w14:paraId="492623F0">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7"/>
                      <w:sz w:val="21"/>
                      <w:szCs w:val="21"/>
                    </w:rPr>
                    <w:t>矿石体重</w:t>
                  </w:r>
                </w:p>
              </w:tc>
              <w:tc>
                <w:tcPr>
                  <w:tcW w:w="592" w:type="pct"/>
                  <w:tcBorders>
                    <w:tl2br w:val="nil"/>
                    <w:tr2bl w:val="nil"/>
                  </w:tcBorders>
                  <w:noWrap w:val="0"/>
                  <w:vAlign w:val="center"/>
                </w:tcPr>
                <w:p w14:paraId="6887AF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position w:val="1"/>
                      <w:sz w:val="21"/>
                      <w:szCs w:val="21"/>
                    </w:rPr>
                    <w:t>t/m</w:t>
                  </w:r>
                  <w:r>
                    <w:rPr>
                      <w:rFonts w:hint="default" w:ascii="Times New Roman" w:hAnsi="Times New Roman" w:eastAsia="Times New Roman" w:cs="Times New Roman"/>
                      <w:spacing w:val="3"/>
                      <w:position w:val="7"/>
                      <w:sz w:val="21"/>
                      <w:szCs w:val="21"/>
                    </w:rPr>
                    <w:t>3</w:t>
                  </w:r>
                </w:p>
              </w:tc>
              <w:tc>
                <w:tcPr>
                  <w:tcW w:w="2048" w:type="pct"/>
                  <w:tcBorders>
                    <w:tl2br w:val="nil"/>
                    <w:tr2bl w:val="nil"/>
                  </w:tcBorders>
                  <w:noWrap w:val="0"/>
                  <w:vAlign w:val="center"/>
                </w:tcPr>
                <w:p w14:paraId="0A16C59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position w:val="2"/>
                      <w:sz w:val="21"/>
                      <w:szCs w:val="21"/>
                    </w:rPr>
                    <w:t>2.72</w:t>
                  </w:r>
                </w:p>
              </w:tc>
              <w:tc>
                <w:tcPr>
                  <w:tcW w:w="418" w:type="pct"/>
                  <w:tcBorders>
                    <w:tl2br w:val="nil"/>
                    <w:tr2bl w:val="nil"/>
                  </w:tcBorders>
                  <w:noWrap w:val="0"/>
                  <w:vAlign w:val="center"/>
                </w:tcPr>
                <w:p w14:paraId="2210EC4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0C89AA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303" w:type="pct"/>
                  <w:vMerge w:val="continue"/>
                  <w:tcBorders>
                    <w:tl2br w:val="nil"/>
                    <w:tr2bl w:val="nil"/>
                  </w:tcBorders>
                  <w:noWrap w:val="0"/>
                  <w:vAlign w:val="center"/>
                </w:tcPr>
                <w:p w14:paraId="4A4F649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22E9496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309" w:type="pct"/>
                  <w:gridSpan w:val="2"/>
                  <w:tcBorders>
                    <w:tl2br w:val="nil"/>
                    <w:tr2bl w:val="nil"/>
                  </w:tcBorders>
                  <w:noWrap w:val="0"/>
                  <w:vAlign w:val="center"/>
                </w:tcPr>
                <w:p w14:paraId="4C0B9D6F">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8"/>
                      <w:sz w:val="21"/>
                      <w:szCs w:val="21"/>
                    </w:rPr>
                    <w:t>矿石结构构造</w:t>
                  </w:r>
                </w:p>
              </w:tc>
              <w:tc>
                <w:tcPr>
                  <w:tcW w:w="592" w:type="pct"/>
                  <w:tcBorders>
                    <w:tl2br w:val="nil"/>
                    <w:tr2bl w:val="nil"/>
                  </w:tcBorders>
                  <w:noWrap w:val="0"/>
                  <w:vAlign w:val="center"/>
                </w:tcPr>
                <w:p w14:paraId="526066D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2048" w:type="pct"/>
                  <w:tcBorders>
                    <w:tl2br w:val="nil"/>
                    <w:tr2bl w:val="nil"/>
                  </w:tcBorders>
                  <w:noWrap w:val="0"/>
                  <w:vAlign w:val="center"/>
                </w:tcPr>
                <w:p w14:paraId="47AC932A">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8"/>
                      <w:sz w:val="21"/>
                      <w:szCs w:val="21"/>
                    </w:rPr>
                    <w:t>结构：主要为微晶结构、粗晶结构；</w:t>
                  </w:r>
                  <w:r>
                    <w:rPr>
                      <w:rFonts w:hint="default" w:ascii="Times New Roman" w:hAnsi="Times New Roman" w:cs="Times New Roman"/>
                      <w:spacing w:val="1"/>
                      <w:sz w:val="21"/>
                      <w:szCs w:val="21"/>
                    </w:rPr>
                    <w:t>构造：中厚～厚层状构造、块状构造。</w:t>
                  </w:r>
                </w:p>
              </w:tc>
              <w:tc>
                <w:tcPr>
                  <w:tcW w:w="418" w:type="pct"/>
                  <w:tcBorders>
                    <w:tl2br w:val="nil"/>
                    <w:tr2bl w:val="nil"/>
                  </w:tcBorders>
                  <w:noWrap w:val="0"/>
                  <w:vAlign w:val="center"/>
                </w:tcPr>
                <w:p w14:paraId="768E74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2E5E58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continue"/>
                  <w:tcBorders>
                    <w:tl2br w:val="nil"/>
                    <w:tr2bl w:val="nil"/>
                  </w:tcBorders>
                  <w:noWrap w:val="0"/>
                  <w:vAlign w:val="center"/>
                </w:tcPr>
                <w:p w14:paraId="612910F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6200F2B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309" w:type="pct"/>
                  <w:gridSpan w:val="2"/>
                  <w:tcBorders>
                    <w:tl2br w:val="nil"/>
                    <w:tr2bl w:val="nil"/>
                  </w:tcBorders>
                  <w:noWrap w:val="0"/>
                  <w:vAlign w:val="center"/>
                </w:tcPr>
                <w:p w14:paraId="573F18DC">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7"/>
                      <w:sz w:val="21"/>
                      <w:szCs w:val="21"/>
                    </w:rPr>
                    <w:t>矿物成分</w:t>
                  </w:r>
                </w:p>
              </w:tc>
              <w:tc>
                <w:tcPr>
                  <w:tcW w:w="592" w:type="pct"/>
                  <w:tcBorders>
                    <w:tl2br w:val="nil"/>
                    <w:tr2bl w:val="nil"/>
                  </w:tcBorders>
                  <w:noWrap w:val="0"/>
                  <w:vAlign w:val="center"/>
                </w:tcPr>
                <w:p w14:paraId="649A7AA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2048" w:type="pct"/>
                  <w:tcBorders>
                    <w:tl2br w:val="nil"/>
                    <w:tr2bl w:val="nil"/>
                  </w:tcBorders>
                  <w:noWrap w:val="0"/>
                  <w:vAlign w:val="center"/>
                </w:tcPr>
                <w:p w14:paraId="7C4482C0">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8"/>
                      <w:sz w:val="21"/>
                      <w:szCs w:val="21"/>
                    </w:rPr>
                    <w:t>主要成分为方解石</w:t>
                  </w:r>
                </w:p>
              </w:tc>
              <w:tc>
                <w:tcPr>
                  <w:tcW w:w="418" w:type="pct"/>
                  <w:tcBorders>
                    <w:tl2br w:val="nil"/>
                    <w:tr2bl w:val="nil"/>
                  </w:tcBorders>
                  <w:noWrap w:val="0"/>
                  <w:vAlign w:val="center"/>
                </w:tcPr>
                <w:p w14:paraId="2A3031A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0CACC3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continue"/>
                  <w:tcBorders>
                    <w:tl2br w:val="nil"/>
                    <w:tr2bl w:val="nil"/>
                  </w:tcBorders>
                  <w:noWrap w:val="0"/>
                  <w:vAlign w:val="center"/>
                </w:tcPr>
                <w:p w14:paraId="07FF17D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41AACD3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309" w:type="pct"/>
                  <w:gridSpan w:val="2"/>
                  <w:tcBorders>
                    <w:tl2br w:val="nil"/>
                    <w:tr2bl w:val="nil"/>
                  </w:tcBorders>
                  <w:noWrap w:val="0"/>
                  <w:vAlign w:val="center"/>
                </w:tcPr>
                <w:p w14:paraId="183BB591">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7"/>
                      <w:sz w:val="21"/>
                      <w:szCs w:val="21"/>
                    </w:rPr>
                    <w:t>矿石质量</w:t>
                  </w:r>
                </w:p>
              </w:tc>
              <w:tc>
                <w:tcPr>
                  <w:tcW w:w="3058" w:type="pct"/>
                  <w:gridSpan w:val="3"/>
                  <w:tcBorders>
                    <w:tl2br w:val="nil"/>
                    <w:tr2bl w:val="nil"/>
                  </w:tcBorders>
                  <w:noWrap w:val="0"/>
                  <w:vAlign w:val="center"/>
                </w:tcPr>
                <w:p w14:paraId="30203042">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4"/>
                      <w:sz w:val="21"/>
                      <w:szCs w:val="21"/>
                    </w:rPr>
                    <w:t>满足露天开采建筑骨料(Ⅱ类）一般要求</w:t>
                  </w:r>
                </w:p>
              </w:tc>
            </w:tr>
            <w:tr w14:paraId="1A71E9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restart"/>
                  <w:tcBorders>
                    <w:tl2br w:val="nil"/>
                    <w:tr2bl w:val="nil"/>
                  </w:tcBorders>
                  <w:noWrap w:val="0"/>
                  <w:vAlign w:val="center"/>
                </w:tcPr>
                <w:p w14:paraId="685A9AE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position w:val="2"/>
                      <w:sz w:val="21"/>
                      <w:szCs w:val="21"/>
                    </w:rPr>
                    <w:t>3</w:t>
                  </w:r>
                </w:p>
              </w:tc>
              <w:tc>
                <w:tcPr>
                  <w:tcW w:w="328" w:type="pct"/>
                  <w:vMerge w:val="restart"/>
                  <w:tcBorders>
                    <w:tl2br w:val="nil"/>
                    <w:tr2bl w:val="nil"/>
                  </w:tcBorders>
                  <w:noWrap w:val="0"/>
                  <w:vAlign w:val="center"/>
                </w:tcPr>
                <w:p w14:paraId="44DA3926">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资源</w:t>
                  </w:r>
                </w:p>
                <w:p w14:paraId="5BBE471D">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5"/>
                      <w:sz w:val="21"/>
                      <w:szCs w:val="21"/>
                    </w:rPr>
                    <w:t>储量</w:t>
                  </w:r>
                </w:p>
                <w:p w14:paraId="59D0BB03">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5"/>
                      <w:sz w:val="21"/>
                      <w:szCs w:val="21"/>
                    </w:rPr>
                    <w:t>及开</w:t>
                  </w:r>
                </w:p>
                <w:p w14:paraId="13F4B014">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5"/>
                      <w:sz w:val="21"/>
                      <w:szCs w:val="21"/>
                    </w:rPr>
                    <w:t>采技</w:t>
                  </w:r>
                </w:p>
                <w:p w14:paraId="68E9181C">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3"/>
                      <w:sz w:val="21"/>
                      <w:szCs w:val="21"/>
                    </w:rPr>
                    <w:t>术条</w:t>
                  </w:r>
                  <w:r>
                    <w:rPr>
                      <w:rFonts w:hint="default" w:ascii="Times New Roman" w:hAnsi="Times New Roman" w:cs="Times New Roman"/>
                      <w:sz w:val="21"/>
                      <w:szCs w:val="21"/>
                    </w:rPr>
                    <w:t xml:space="preserve"> </w:t>
                  </w:r>
                  <w:r>
                    <w:rPr>
                      <w:rFonts w:hint="default" w:ascii="Times New Roman" w:hAnsi="Times New Roman" w:cs="Times New Roman"/>
                      <w:spacing w:val="1"/>
                      <w:sz w:val="21"/>
                      <w:szCs w:val="21"/>
                    </w:rPr>
                    <w:t>件</w:t>
                  </w:r>
                </w:p>
              </w:tc>
              <w:tc>
                <w:tcPr>
                  <w:tcW w:w="641" w:type="pct"/>
                  <w:tcBorders>
                    <w:tl2br w:val="nil"/>
                    <w:tr2bl w:val="nil"/>
                  </w:tcBorders>
                  <w:noWrap w:val="0"/>
                  <w:vAlign w:val="center"/>
                </w:tcPr>
                <w:p w14:paraId="07EE5CC8">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7"/>
                      <w:sz w:val="21"/>
                      <w:szCs w:val="21"/>
                    </w:rPr>
                    <w:t>备案资源量</w:t>
                  </w:r>
                </w:p>
              </w:tc>
              <w:tc>
                <w:tcPr>
                  <w:tcW w:w="668" w:type="pct"/>
                  <w:tcBorders>
                    <w:tl2br w:val="nil"/>
                    <w:tr2bl w:val="nil"/>
                  </w:tcBorders>
                  <w:noWrap w:val="0"/>
                  <w:vAlign w:val="center"/>
                </w:tcPr>
                <w:p w14:paraId="2E3AD9C9">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8"/>
                      <w:sz w:val="21"/>
                      <w:szCs w:val="21"/>
                    </w:rPr>
                    <w:t>控制资源量</w:t>
                  </w:r>
                </w:p>
              </w:tc>
              <w:tc>
                <w:tcPr>
                  <w:tcW w:w="592" w:type="pct"/>
                  <w:tcBorders>
                    <w:tl2br w:val="nil"/>
                    <w:tr2bl w:val="nil"/>
                  </w:tcBorders>
                  <w:noWrap w:val="0"/>
                  <w:vAlign w:val="center"/>
                </w:tcPr>
                <w:p w14:paraId="15639C13">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2"/>
                      <w:sz w:val="21"/>
                      <w:szCs w:val="21"/>
                    </w:rPr>
                    <w:t>万吨</w:t>
                  </w:r>
                </w:p>
              </w:tc>
              <w:tc>
                <w:tcPr>
                  <w:tcW w:w="2048" w:type="pct"/>
                  <w:tcBorders>
                    <w:tl2br w:val="nil"/>
                    <w:tr2bl w:val="nil"/>
                  </w:tcBorders>
                  <w:noWrap w:val="0"/>
                  <w:vAlign w:val="center"/>
                </w:tcPr>
                <w:p w14:paraId="4F57044F">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cs="Times New Roman"/>
                      <w:spacing w:val="11"/>
                      <w:position w:val="1"/>
                      <w:sz w:val="21"/>
                      <w:szCs w:val="21"/>
                    </w:rPr>
                    <w:t>建筑石料用灰岩</w:t>
                  </w:r>
                  <w:r>
                    <w:rPr>
                      <w:rFonts w:hint="default" w:ascii="Times New Roman" w:hAnsi="Times New Roman" w:eastAsia="Times New Roman" w:cs="Times New Roman"/>
                      <w:spacing w:val="11"/>
                      <w:position w:val="1"/>
                      <w:sz w:val="21"/>
                      <w:szCs w:val="21"/>
                    </w:rPr>
                    <w:t>442.0</w:t>
                  </w:r>
                </w:p>
              </w:tc>
              <w:tc>
                <w:tcPr>
                  <w:tcW w:w="418" w:type="pct"/>
                  <w:tcBorders>
                    <w:tl2br w:val="nil"/>
                    <w:tr2bl w:val="nil"/>
                  </w:tcBorders>
                  <w:noWrap w:val="0"/>
                  <w:vAlign w:val="center"/>
                </w:tcPr>
                <w:p w14:paraId="0972500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7F005C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continue"/>
                  <w:tcBorders>
                    <w:tl2br w:val="nil"/>
                    <w:tr2bl w:val="nil"/>
                  </w:tcBorders>
                  <w:noWrap w:val="0"/>
                  <w:vAlign w:val="center"/>
                </w:tcPr>
                <w:p w14:paraId="3C631AD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0596706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309" w:type="pct"/>
                  <w:gridSpan w:val="2"/>
                  <w:tcBorders>
                    <w:tl2br w:val="nil"/>
                    <w:tr2bl w:val="nil"/>
                  </w:tcBorders>
                  <w:noWrap w:val="0"/>
                  <w:vAlign w:val="center"/>
                </w:tcPr>
                <w:p w14:paraId="66AB5D51">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8"/>
                      <w:sz w:val="21"/>
                      <w:szCs w:val="21"/>
                    </w:rPr>
                    <w:t>设计利用资源量</w:t>
                  </w:r>
                </w:p>
              </w:tc>
              <w:tc>
                <w:tcPr>
                  <w:tcW w:w="592" w:type="pct"/>
                  <w:tcBorders>
                    <w:tl2br w:val="nil"/>
                    <w:tr2bl w:val="nil"/>
                  </w:tcBorders>
                  <w:noWrap w:val="0"/>
                  <w:vAlign w:val="center"/>
                </w:tcPr>
                <w:p w14:paraId="76A74231">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2"/>
                      <w:sz w:val="21"/>
                      <w:szCs w:val="21"/>
                    </w:rPr>
                    <w:t>万吨</w:t>
                  </w:r>
                </w:p>
              </w:tc>
              <w:tc>
                <w:tcPr>
                  <w:tcW w:w="2048" w:type="pct"/>
                  <w:tcBorders>
                    <w:tl2br w:val="nil"/>
                    <w:tr2bl w:val="nil"/>
                  </w:tcBorders>
                  <w:noWrap w:val="0"/>
                  <w:vAlign w:val="center"/>
                </w:tcPr>
                <w:p w14:paraId="63000203">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cs="Times New Roman"/>
                      <w:spacing w:val="11"/>
                      <w:position w:val="1"/>
                      <w:sz w:val="21"/>
                      <w:szCs w:val="21"/>
                    </w:rPr>
                    <w:t>建筑石料用灰岩</w:t>
                  </w:r>
                  <w:r>
                    <w:rPr>
                      <w:rFonts w:hint="default" w:ascii="Times New Roman" w:hAnsi="Times New Roman" w:eastAsia="Times New Roman" w:cs="Times New Roman"/>
                      <w:spacing w:val="11"/>
                      <w:position w:val="1"/>
                      <w:sz w:val="21"/>
                      <w:szCs w:val="21"/>
                    </w:rPr>
                    <w:t>442.0</w:t>
                  </w:r>
                </w:p>
              </w:tc>
              <w:tc>
                <w:tcPr>
                  <w:tcW w:w="418" w:type="pct"/>
                  <w:tcBorders>
                    <w:tl2br w:val="nil"/>
                    <w:tr2bl w:val="nil"/>
                  </w:tcBorders>
                  <w:noWrap w:val="0"/>
                  <w:vAlign w:val="center"/>
                </w:tcPr>
                <w:p w14:paraId="75A4AB9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292236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continue"/>
                  <w:tcBorders>
                    <w:tl2br w:val="nil"/>
                    <w:tr2bl w:val="nil"/>
                  </w:tcBorders>
                  <w:noWrap w:val="0"/>
                  <w:vAlign w:val="center"/>
                </w:tcPr>
                <w:p w14:paraId="072EAD5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7BEEEE5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309" w:type="pct"/>
                  <w:gridSpan w:val="2"/>
                  <w:tcBorders>
                    <w:tl2br w:val="nil"/>
                    <w:tr2bl w:val="nil"/>
                  </w:tcBorders>
                  <w:noWrap w:val="0"/>
                  <w:vAlign w:val="center"/>
                </w:tcPr>
                <w:p w14:paraId="18521966">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8"/>
                      <w:sz w:val="21"/>
                      <w:szCs w:val="21"/>
                    </w:rPr>
                    <w:t>设计可采资源量</w:t>
                  </w:r>
                </w:p>
              </w:tc>
              <w:tc>
                <w:tcPr>
                  <w:tcW w:w="592" w:type="pct"/>
                  <w:tcBorders>
                    <w:tl2br w:val="nil"/>
                    <w:tr2bl w:val="nil"/>
                  </w:tcBorders>
                  <w:noWrap w:val="0"/>
                  <w:vAlign w:val="center"/>
                </w:tcPr>
                <w:p w14:paraId="42306FAA">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2"/>
                      <w:sz w:val="21"/>
                      <w:szCs w:val="21"/>
                    </w:rPr>
                    <w:t>万吨</w:t>
                  </w:r>
                </w:p>
              </w:tc>
              <w:tc>
                <w:tcPr>
                  <w:tcW w:w="2048" w:type="pct"/>
                  <w:tcBorders>
                    <w:tl2br w:val="nil"/>
                    <w:tr2bl w:val="nil"/>
                  </w:tcBorders>
                  <w:noWrap w:val="0"/>
                  <w:vAlign w:val="center"/>
                </w:tcPr>
                <w:p w14:paraId="53105050">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cs="Times New Roman"/>
                      <w:spacing w:val="10"/>
                      <w:position w:val="1"/>
                      <w:sz w:val="21"/>
                      <w:szCs w:val="21"/>
                    </w:rPr>
                    <w:t>建筑石料用灰岩</w:t>
                  </w:r>
                  <w:r>
                    <w:rPr>
                      <w:rFonts w:hint="default" w:ascii="Times New Roman" w:hAnsi="Times New Roman" w:eastAsia="Times New Roman" w:cs="Times New Roman"/>
                      <w:spacing w:val="10"/>
                      <w:position w:val="1"/>
                      <w:sz w:val="21"/>
                      <w:szCs w:val="21"/>
                    </w:rPr>
                    <w:t>433.16</w:t>
                  </w:r>
                </w:p>
              </w:tc>
              <w:tc>
                <w:tcPr>
                  <w:tcW w:w="418" w:type="pct"/>
                  <w:tcBorders>
                    <w:tl2br w:val="nil"/>
                    <w:tr2bl w:val="nil"/>
                  </w:tcBorders>
                  <w:noWrap w:val="0"/>
                  <w:vAlign w:val="center"/>
                </w:tcPr>
                <w:p w14:paraId="5571D4B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326029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continue"/>
                  <w:tcBorders>
                    <w:tl2br w:val="nil"/>
                    <w:tr2bl w:val="nil"/>
                  </w:tcBorders>
                  <w:noWrap w:val="0"/>
                  <w:vAlign w:val="center"/>
                </w:tcPr>
                <w:p w14:paraId="68176BE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1C1AC1F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901" w:type="pct"/>
                  <w:gridSpan w:val="3"/>
                  <w:tcBorders>
                    <w:tl2br w:val="nil"/>
                    <w:tr2bl w:val="nil"/>
                  </w:tcBorders>
                  <w:noWrap w:val="0"/>
                  <w:vAlign w:val="center"/>
                </w:tcPr>
                <w:p w14:paraId="37244E5E">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7"/>
                      <w:sz w:val="21"/>
                      <w:szCs w:val="21"/>
                    </w:rPr>
                    <w:t>水文地质条件</w:t>
                  </w:r>
                </w:p>
              </w:tc>
              <w:tc>
                <w:tcPr>
                  <w:tcW w:w="2048" w:type="pct"/>
                  <w:tcBorders>
                    <w:tl2br w:val="nil"/>
                    <w:tr2bl w:val="nil"/>
                  </w:tcBorders>
                  <w:noWrap w:val="0"/>
                  <w:vAlign w:val="center"/>
                </w:tcPr>
                <w:p w14:paraId="39140860">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2"/>
                      <w:sz w:val="21"/>
                      <w:szCs w:val="21"/>
                    </w:rPr>
                    <w:t>简单</w:t>
                  </w:r>
                </w:p>
              </w:tc>
              <w:tc>
                <w:tcPr>
                  <w:tcW w:w="418" w:type="pct"/>
                  <w:tcBorders>
                    <w:tl2br w:val="nil"/>
                    <w:tr2bl w:val="nil"/>
                  </w:tcBorders>
                  <w:noWrap w:val="0"/>
                  <w:vAlign w:val="center"/>
                </w:tcPr>
                <w:p w14:paraId="00A6840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7AEE9F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continue"/>
                  <w:tcBorders>
                    <w:tl2br w:val="nil"/>
                    <w:tr2bl w:val="nil"/>
                  </w:tcBorders>
                  <w:noWrap w:val="0"/>
                  <w:vAlign w:val="center"/>
                </w:tcPr>
                <w:p w14:paraId="35595FF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5AE8CC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901" w:type="pct"/>
                  <w:gridSpan w:val="3"/>
                  <w:tcBorders>
                    <w:tl2br w:val="nil"/>
                    <w:tr2bl w:val="nil"/>
                  </w:tcBorders>
                  <w:noWrap w:val="0"/>
                  <w:vAlign w:val="center"/>
                </w:tcPr>
                <w:p w14:paraId="051ED95A">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7"/>
                      <w:sz w:val="21"/>
                      <w:szCs w:val="21"/>
                    </w:rPr>
                    <w:t>工程地质条件</w:t>
                  </w:r>
                </w:p>
              </w:tc>
              <w:tc>
                <w:tcPr>
                  <w:tcW w:w="2048" w:type="pct"/>
                  <w:tcBorders>
                    <w:tl2br w:val="nil"/>
                    <w:tr2bl w:val="nil"/>
                  </w:tcBorders>
                  <w:noWrap w:val="0"/>
                  <w:vAlign w:val="center"/>
                </w:tcPr>
                <w:p w14:paraId="119537B3">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5"/>
                      <w:sz w:val="21"/>
                      <w:szCs w:val="21"/>
                    </w:rPr>
                    <w:t>中等</w:t>
                  </w:r>
                </w:p>
              </w:tc>
              <w:tc>
                <w:tcPr>
                  <w:tcW w:w="418" w:type="pct"/>
                  <w:tcBorders>
                    <w:tl2br w:val="nil"/>
                    <w:tr2bl w:val="nil"/>
                  </w:tcBorders>
                  <w:noWrap w:val="0"/>
                  <w:vAlign w:val="center"/>
                </w:tcPr>
                <w:p w14:paraId="245F66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13D05B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continue"/>
                  <w:tcBorders>
                    <w:tl2br w:val="nil"/>
                    <w:tr2bl w:val="nil"/>
                  </w:tcBorders>
                  <w:noWrap w:val="0"/>
                  <w:vAlign w:val="center"/>
                </w:tcPr>
                <w:p w14:paraId="7177C92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18ACE4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901" w:type="pct"/>
                  <w:gridSpan w:val="3"/>
                  <w:tcBorders>
                    <w:tl2br w:val="nil"/>
                    <w:tr2bl w:val="nil"/>
                  </w:tcBorders>
                  <w:noWrap w:val="0"/>
                  <w:vAlign w:val="center"/>
                </w:tcPr>
                <w:p w14:paraId="004FFB3B">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8"/>
                      <w:sz w:val="21"/>
                      <w:szCs w:val="21"/>
                    </w:rPr>
                    <w:t>环境地质条件</w:t>
                  </w:r>
                </w:p>
              </w:tc>
              <w:tc>
                <w:tcPr>
                  <w:tcW w:w="2048" w:type="pct"/>
                  <w:tcBorders>
                    <w:tl2br w:val="nil"/>
                    <w:tr2bl w:val="nil"/>
                  </w:tcBorders>
                  <w:noWrap w:val="0"/>
                  <w:vAlign w:val="center"/>
                </w:tcPr>
                <w:p w14:paraId="0CC30002">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5"/>
                      <w:sz w:val="21"/>
                      <w:szCs w:val="21"/>
                    </w:rPr>
                    <w:t>中等</w:t>
                  </w:r>
                </w:p>
              </w:tc>
              <w:tc>
                <w:tcPr>
                  <w:tcW w:w="418" w:type="pct"/>
                  <w:tcBorders>
                    <w:tl2br w:val="nil"/>
                    <w:tr2bl w:val="nil"/>
                  </w:tcBorders>
                  <w:noWrap w:val="0"/>
                  <w:vAlign w:val="center"/>
                </w:tcPr>
                <w:p w14:paraId="3731BBA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6D0F4E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continue"/>
                  <w:tcBorders>
                    <w:tl2br w:val="nil"/>
                    <w:tr2bl w:val="nil"/>
                  </w:tcBorders>
                  <w:noWrap w:val="0"/>
                  <w:vAlign w:val="center"/>
                </w:tcPr>
                <w:p w14:paraId="0764933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1996E19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901" w:type="pct"/>
                  <w:gridSpan w:val="3"/>
                  <w:tcBorders>
                    <w:tl2br w:val="nil"/>
                    <w:tr2bl w:val="nil"/>
                  </w:tcBorders>
                  <w:noWrap w:val="0"/>
                  <w:vAlign w:val="center"/>
                </w:tcPr>
                <w:p w14:paraId="491C2D33">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8"/>
                      <w:sz w:val="21"/>
                      <w:szCs w:val="21"/>
                    </w:rPr>
                    <w:t>其他开采技术条件</w:t>
                  </w:r>
                </w:p>
              </w:tc>
              <w:tc>
                <w:tcPr>
                  <w:tcW w:w="2048" w:type="pct"/>
                  <w:tcBorders>
                    <w:tl2br w:val="nil"/>
                    <w:tr2bl w:val="nil"/>
                  </w:tcBorders>
                  <w:noWrap w:val="0"/>
                  <w:vAlign w:val="center"/>
                </w:tcPr>
                <w:p w14:paraId="5BCEC08C">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6"/>
                      <w:sz w:val="21"/>
                      <w:szCs w:val="21"/>
                    </w:rPr>
                    <w:t>较适宜</w:t>
                  </w:r>
                </w:p>
              </w:tc>
              <w:tc>
                <w:tcPr>
                  <w:tcW w:w="418" w:type="pct"/>
                  <w:tcBorders>
                    <w:tl2br w:val="nil"/>
                    <w:tr2bl w:val="nil"/>
                  </w:tcBorders>
                  <w:noWrap w:val="0"/>
                  <w:vAlign w:val="center"/>
                </w:tcPr>
                <w:p w14:paraId="186B8DD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6EE7BA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restart"/>
                  <w:tcBorders>
                    <w:tl2br w:val="nil"/>
                    <w:tr2bl w:val="nil"/>
                  </w:tcBorders>
                  <w:noWrap w:val="0"/>
                  <w:vAlign w:val="center"/>
                </w:tcPr>
                <w:p w14:paraId="5E7570C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position w:val="1"/>
                      <w:sz w:val="21"/>
                      <w:szCs w:val="21"/>
                    </w:rPr>
                    <w:t>4</w:t>
                  </w:r>
                </w:p>
              </w:tc>
              <w:tc>
                <w:tcPr>
                  <w:tcW w:w="328" w:type="pct"/>
                  <w:vMerge w:val="restart"/>
                  <w:tcBorders>
                    <w:tl2br w:val="nil"/>
                    <w:tr2bl w:val="nil"/>
                  </w:tcBorders>
                  <w:noWrap w:val="0"/>
                  <w:vAlign w:val="center"/>
                </w:tcPr>
                <w:p w14:paraId="078C54A2">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3"/>
                      <w:sz w:val="21"/>
                      <w:szCs w:val="21"/>
                    </w:rPr>
                    <w:t>生产</w:t>
                  </w:r>
                </w:p>
                <w:p w14:paraId="347BC69B">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4"/>
                      <w:sz w:val="21"/>
                      <w:szCs w:val="21"/>
                    </w:rPr>
                    <w:t>规模</w:t>
                  </w:r>
                </w:p>
              </w:tc>
              <w:tc>
                <w:tcPr>
                  <w:tcW w:w="1309" w:type="pct"/>
                  <w:gridSpan w:val="2"/>
                  <w:tcBorders>
                    <w:tl2br w:val="nil"/>
                    <w:tr2bl w:val="nil"/>
                  </w:tcBorders>
                  <w:noWrap w:val="0"/>
                  <w:vAlign w:val="center"/>
                </w:tcPr>
                <w:p w14:paraId="55579DDC">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7"/>
                      <w:sz w:val="21"/>
                      <w:szCs w:val="21"/>
                    </w:rPr>
                    <w:t>设计生产能力</w:t>
                  </w:r>
                </w:p>
              </w:tc>
              <w:tc>
                <w:tcPr>
                  <w:tcW w:w="592" w:type="pct"/>
                  <w:tcBorders>
                    <w:tl2br w:val="nil"/>
                    <w:tr2bl w:val="nil"/>
                  </w:tcBorders>
                  <w:noWrap w:val="0"/>
                  <w:vAlign w:val="center"/>
                </w:tcPr>
                <w:p w14:paraId="6F1B8C6C">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4"/>
                      <w:position w:val="1"/>
                      <w:sz w:val="21"/>
                      <w:szCs w:val="21"/>
                    </w:rPr>
                    <w:t>万吨</w:t>
                  </w:r>
                  <w:r>
                    <w:rPr>
                      <w:rFonts w:hint="default" w:ascii="Times New Roman" w:hAnsi="Times New Roman" w:eastAsia="Times New Roman" w:cs="Times New Roman"/>
                      <w:spacing w:val="4"/>
                      <w:position w:val="1"/>
                      <w:sz w:val="21"/>
                      <w:szCs w:val="21"/>
                    </w:rPr>
                    <w:t>/</w:t>
                  </w:r>
                  <w:r>
                    <w:rPr>
                      <w:rFonts w:hint="default" w:ascii="Times New Roman" w:hAnsi="Times New Roman" w:cs="Times New Roman"/>
                      <w:spacing w:val="4"/>
                      <w:position w:val="1"/>
                      <w:sz w:val="21"/>
                      <w:szCs w:val="21"/>
                    </w:rPr>
                    <w:t>年</w:t>
                  </w:r>
                </w:p>
              </w:tc>
              <w:tc>
                <w:tcPr>
                  <w:tcW w:w="2048" w:type="pct"/>
                  <w:tcBorders>
                    <w:tl2br w:val="nil"/>
                    <w:tr2bl w:val="nil"/>
                  </w:tcBorders>
                  <w:noWrap w:val="0"/>
                  <w:vAlign w:val="center"/>
                </w:tcPr>
                <w:p w14:paraId="372CED8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position w:val="2"/>
                      <w:sz w:val="21"/>
                      <w:szCs w:val="21"/>
                    </w:rPr>
                    <w:t>60</w:t>
                  </w:r>
                </w:p>
              </w:tc>
              <w:tc>
                <w:tcPr>
                  <w:tcW w:w="418" w:type="pct"/>
                  <w:tcBorders>
                    <w:tl2br w:val="nil"/>
                    <w:tr2bl w:val="nil"/>
                  </w:tcBorders>
                  <w:noWrap w:val="0"/>
                  <w:vAlign w:val="center"/>
                </w:tcPr>
                <w:p w14:paraId="52F0538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2FFCC8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continue"/>
                  <w:tcBorders>
                    <w:tl2br w:val="nil"/>
                    <w:tr2bl w:val="nil"/>
                  </w:tcBorders>
                  <w:noWrap w:val="0"/>
                  <w:vAlign w:val="center"/>
                </w:tcPr>
                <w:p w14:paraId="52B55F6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348B859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309" w:type="pct"/>
                  <w:gridSpan w:val="2"/>
                  <w:tcBorders>
                    <w:tl2br w:val="nil"/>
                    <w:tr2bl w:val="nil"/>
                  </w:tcBorders>
                  <w:noWrap w:val="0"/>
                  <w:vAlign w:val="center"/>
                </w:tcPr>
                <w:p w14:paraId="7081B99E">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8"/>
                      <w:sz w:val="21"/>
                      <w:szCs w:val="21"/>
                    </w:rPr>
                    <w:t>矿产品年产量</w:t>
                  </w:r>
                </w:p>
              </w:tc>
              <w:tc>
                <w:tcPr>
                  <w:tcW w:w="592" w:type="pct"/>
                  <w:tcBorders>
                    <w:tl2br w:val="nil"/>
                    <w:tr2bl w:val="nil"/>
                  </w:tcBorders>
                  <w:noWrap w:val="0"/>
                  <w:vAlign w:val="center"/>
                </w:tcPr>
                <w:p w14:paraId="7964A0B1">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4"/>
                      <w:position w:val="1"/>
                      <w:sz w:val="21"/>
                      <w:szCs w:val="21"/>
                    </w:rPr>
                    <w:t>万吨</w:t>
                  </w:r>
                  <w:r>
                    <w:rPr>
                      <w:rFonts w:hint="default" w:ascii="Times New Roman" w:hAnsi="Times New Roman" w:eastAsia="Times New Roman" w:cs="Times New Roman"/>
                      <w:spacing w:val="4"/>
                      <w:position w:val="1"/>
                      <w:sz w:val="21"/>
                      <w:szCs w:val="21"/>
                    </w:rPr>
                    <w:t>/</w:t>
                  </w:r>
                  <w:r>
                    <w:rPr>
                      <w:rFonts w:hint="default" w:ascii="Times New Roman" w:hAnsi="Times New Roman" w:cs="Times New Roman"/>
                      <w:spacing w:val="4"/>
                      <w:position w:val="1"/>
                      <w:sz w:val="21"/>
                      <w:szCs w:val="21"/>
                    </w:rPr>
                    <w:t>年</w:t>
                  </w:r>
                </w:p>
              </w:tc>
              <w:tc>
                <w:tcPr>
                  <w:tcW w:w="2048" w:type="pct"/>
                  <w:tcBorders>
                    <w:tl2br w:val="nil"/>
                    <w:tr2bl w:val="nil"/>
                  </w:tcBorders>
                  <w:noWrap w:val="0"/>
                  <w:vAlign w:val="center"/>
                </w:tcPr>
                <w:p w14:paraId="3A1A978A">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pacing w:val="7"/>
                      <w:position w:val="1"/>
                      <w:sz w:val="21"/>
                      <w:szCs w:val="21"/>
                    </w:rPr>
                    <w:t>建筑碎石</w:t>
                  </w:r>
                  <w:r>
                    <w:rPr>
                      <w:rFonts w:hint="default" w:ascii="Times New Roman" w:hAnsi="Times New Roman" w:cs="Times New Roman"/>
                      <w:spacing w:val="7"/>
                      <w:position w:val="1"/>
                      <w:sz w:val="21"/>
                      <w:szCs w:val="21"/>
                      <w:lang w:val="en-US" w:eastAsia="zh-CN"/>
                    </w:rPr>
                    <w:t>30</w:t>
                  </w:r>
                  <w:r>
                    <w:rPr>
                      <w:rFonts w:hint="default" w:ascii="Times New Roman" w:hAnsi="Times New Roman" w:cs="Times New Roman"/>
                      <w:spacing w:val="7"/>
                      <w:position w:val="1"/>
                      <w:sz w:val="21"/>
                      <w:szCs w:val="21"/>
                    </w:rPr>
                    <w:t>、机制砂</w:t>
                  </w:r>
                  <w:r>
                    <w:rPr>
                      <w:rFonts w:hint="default" w:ascii="Times New Roman" w:hAnsi="Times New Roman" w:cs="Times New Roman"/>
                      <w:spacing w:val="-20"/>
                      <w:position w:val="1"/>
                      <w:sz w:val="21"/>
                      <w:szCs w:val="21"/>
                      <w:lang w:val="en-US" w:eastAsia="zh-CN"/>
                    </w:rPr>
                    <w:t>30</w:t>
                  </w:r>
                </w:p>
              </w:tc>
              <w:tc>
                <w:tcPr>
                  <w:tcW w:w="418" w:type="pct"/>
                  <w:tcBorders>
                    <w:tl2br w:val="nil"/>
                    <w:tr2bl w:val="nil"/>
                  </w:tcBorders>
                  <w:noWrap w:val="0"/>
                  <w:vAlign w:val="center"/>
                </w:tcPr>
                <w:p w14:paraId="7290E94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1938F3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continue"/>
                  <w:tcBorders>
                    <w:tl2br w:val="nil"/>
                    <w:tr2bl w:val="nil"/>
                  </w:tcBorders>
                  <w:noWrap w:val="0"/>
                  <w:vAlign w:val="center"/>
                </w:tcPr>
                <w:p w14:paraId="10E5C6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61D856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309" w:type="pct"/>
                  <w:gridSpan w:val="2"/>
                  <w:tcBorders>
                    <w:tl2br w:val="nil"/>
                    <w:tr2bl w:val="nil"/>
                  </w:tcBorders>
                  <w:noWrap w:val="0"/>
                  <w:vAlign w:val="center"/>
                </w:tcPr>
                <w:p w14:paraId="57F9E50E">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8"/>
                      <w:sz w:val="21"/>
                      <w:szCs w:val="21"/>
                    </w:rPr>
                    <w:t>矿山服务年限</w:t>
                  </w:r>
                </w:p>
              </w:tc>
              <w:tc>
                <w:tcPr>
                  <w:tcW w:w="592" w:type="pct"/>
                  <w:tcBorders>
                    <w:tl2br w:val="nil"/>
                    <w:tr2bl w:val="nil"/>
                  </w:tcBorders>
                  <w:noWrap w:val="0"/>
                  <w:vAlign w:val="center"/>
                </w:tcPr>
                <w:p w14:paraId="6B3629D1">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年</w:t>
                  </w:r>
                </w:p>
              </w:tc>
              <w:tc>
                <w:tcPr>
                  <w:tcW w:w="2048" w:type="pct"/>
                  <w:tcBorders>
                    <w:tl2br w:val="nil"/>
                    <w:tr2bl w:val="nil"/>
                  </w:tcBorders>
                  <w:noWrap w:val="0"/>
                  <w:vAlign w:val="center"/>
                </w:tcPr>
                <w:p w14:paraId="24E519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position w:val="2"/>
                      <w:sz w:val="21"/>
                      <w:szCs w:val="21"/>
                    </w:rPr>
                    <w:t>7.2</w:t>
                  </w:r>
                </w:p>
              </w:tc>
              <w:tc>
                <w:tcPr>
                  <w:tcW w:w="418" w:type="pct"/>
                  <w:tcBorders>
                    <w:tl2br w:val="nil"/>
                    <w:tr2bl w:val="nil"/>
                  </w:tcBorders>
                  <w:noWrap w:val="0"/>
                  <w:vAlign w:val="center"/>
                </w:tcPr>
                <w:p w14:paraId="6741E14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4309BF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restart"/>
                  <w:tcBorders>
                    <w:tl2br w:val="nil"/>
                    <w:tr2bl w:val="nil"/>
                  </w:tcBorders>
                  <w:noWrap w:val="0"/>
                  <w:vAlign w:val="center"/>
                </w:tcPr>
                <w:p w14:paraId="15F49D6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5</w:t>
                  </w:r>
                </w:p>
              </w:tc>
              <w:tc>
                <w:tcPr>
                  <w:tcW w:w="328" w:type="pct"/>
                  <w:vMerge w:val="restart"/>
                  <w:tcBorders>
                    <w:tl2br w:val="nil"/>
                    <w:tr2bl w:val="nil"/>
                  </w:tcBorders>
                  <w:noWrap w:val="0"/>
                  <w:vAlign w:val="center"/>
                </w:tcPr>
                <w:p w14:paraId="690FF243">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4"/>
                      <w:sz w:val="21"/>
                      <w:szCs w:val="21"/>
                    </w:rPr>
                    <w:t>开采</w:t>
                  </w:r>
                </w:p>
                <w:p w14:paraId="0AE9E340">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4"/>
                      <w:sz w:val="21"/>
                      <w:szCs w:val="21"/>
                    </w:rPr>
                    <w:t>方案</w:t>
                  </w:r>
                </w:p>
              </w:tc>
              <w:tc>
                <w:tcPr>
                  <w:tcW w:w="1901" w:type="pct"/>
                  <w:gridSpan w:val="3"/>
                  <w:tcBorders>
                    <w:tl2br w:val="nil"/>
                    <w:tr2bl w:val="nil"/>
                  </w:tcBorders>
                  <w:noWrap w:val="0"/>
                  <w:vAlign w:val="center"/>
                </w:tcPr>
                <w:p w14:paraId="736EF362">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7"/>
                      <w:sz w:val="21"/>
                      <w:szCs w:val="21"/>
                    </w:rPr>
                    <w:t>开采方式</w:t>
                  </w:r>
                </w:p>
              </w:tc>
              <w:tc>
                <w:tcPr>
                  <w:tcW w:w="2048" w:type="pct"/>
                  <w:tcBorders>
                    <w:tl2br w:val="nil"/>
                    <w:tr2bl w:val="nil"/>
                  </w:tcBorders>
                  <w:noWrap w:val="0"/>
                  <w:vAlign w:val="center"/>
                </w:tcPr>
                <w:p w14:paraId="151624FC">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5"/>
                      <w:sz w:val="21"/>
                      <w:szCs w:val="21"/>
                    </w:rPr>
                    <w:t>山坡露天开采</w:t>
                  </w:r>
                </w:p>
              </w:tc>
              <w:tc>
                <w:tcPr>
                  <w:tcW w:w="418" w:type="pct"/>
                  <w:tcBorders>
                    <w:tl2br w:val="nil"/>
                    <w:tr2bl w:val="nil"/>
                  </w:tcBorders>
                  <w:noWrap w:val="0"/>
                  <w:vAlign w:val="center"/>
                </w:tcPr>
                <w:p w14:paraId="0C22DCF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1BBDB7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continue"/>
                  <w:tcBorders>
                    <w:tl2br w:val="nil"/>
                    <w:tr2bl w:val="nil"/>
                  </w:tcBorders>
                  <w:noWrap w:val="0"/>
                  <w:vAlign w:val="center"/>
                </w:tcPr>
                <w:p w14:paraId="0B49F20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75E0BCA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901" w:type="pct"/>
                  <w:gridSpan w:val="3"/>
                  <w:tcBorders>
                    <w:tl2br w:val="nil"/>
                    <w:tr2bl w:val="nil"/>
                  </w:tcBorders>
                  <w:noWrap w:val="0"/>
                  <w:vAlign w:val="center"/>
                </w:tcPr>
                <w:p w14:paraId="3D119600">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7"/>
                      <w:sz w:val="21"/>
                      <w:szCs w:val="21"/>
                    </w:rPr>
                    <w:t>开拓方式</w:t>
                  </w:r>
                </w:p>
              </w:tc>
              <w:tc>
                <w:tcPr>
                  <w:tcW w:w="2048" w:type="pct"/>
                  <w:tcBorders>
                    <w:tl2br w:val="nil"/>
                    <w:tr2bl w:val="nil"/>
                  </w:tcBorders>
                  <w:noWrap w:val="0"/>
                  <w:vAlign w:val="center"/>
                </w:tcPr>
                <w:p w14:paraId="3D4D8885">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1"/>
                      <w:sz w:val="21"/>
                      <w:szCs w:val="21"/>
                    </w:rPr>
                    <w:t>公路</w:t>
                  </w:r>
                </w:p>
              </w:tc>
              <w:tc>
                <w:tcPr>
                  <w:tcW w:w="418" w:type="pct"/>
                  <w:tcBorders>
                    <w:tl2br w:val="nil"/>
                    <w:tr2bl w:val="nil"/>
                  </w:tcBorders>
                  <w:noWrap w:val="0"/>
                  <w:vAlign w:val="center"/>
                </w:tcPr>
                <w:p w14:paraId="17A8096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04EEEC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continue"/>
                  <w:tcBorders>
                    <w:tl2br w:val="nil"/>
                    <w:tr2bl w:val="nil"/>
                  </w:tcBorders>
                  <w:noWrap w:val="0"/>
                  <w:vAlign w:val="center"/>
                </w:tcPr>
                <w:p w14:paraId="4CA81AE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4F00522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901" w:type="pct"/>
                  <w:gridSpan w:val="3"/>
                  <w:tcBorders>
                    <w:tl2br w:val="nil"/>
                    <w:tr2bl w:val="nil"/>
                  </w:tcBorders>
                  <w:noWrap w:val="0"/>
                  <w:vAlign w:val="center"/>
                </w:tcPr>
                <w:p w14:paraId="0FAFF352">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7"/>
                      <w:sz w:val="21"/>
                      <w:szCs w:val="21"/>
                    </w:rPr>
                    <w:t>采矿方法</w:t>
                  </w:r>
                </w:p>
              </w:tc>
              <w:tc>
                <w:tcPr>
                  <w:tcW w:w="2048" w:type="pct"/>
                  <w:tcBorders>
                    <w:tl2br w:val="nil"/>
                    <w:tr2bl w:val="nil"/>
                  </w:tcBorders>
                  <w:noWrap w:val="0"/>
                  <w:vAlign w:val="center"/>
                </w:tcPr>
                <w:p w14:paraId="74FB3FA4">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7"/>
                      <w:sz w:val="21"/>
                      <w:szCs w:val="21"/>
                    </w:rPr>
                    <w:t>由上而下分台阶式顺序开采</w:t>
                  </w:r>
                </w:p>
              </w:tc>
              <w:tc>
                <w:tcPr>
                  <w:tcW w:w="418" w:type="pct"/>
                  <w:tcBorders>
                    <w:tl2br w:val="nil"/>
                    <w:tr2bl w:val="nil"/>
                  </w:tcBorders>
                  <w:noWrap w:val="0"/>
                  <w:vAlign w:val="center"/>
                </w:tcPr>
                <w:p w14:paraId="332A69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50697B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continue"/>
                  <w:tcBorders>
                    <w:tl2br w:val="nil"/>
                    <w:tr2bl w:val="nil"/>
                  </w:tcBorders>
                  <w:noWrap w:val="0"/>
                  <w:vAlign w:val="center"/>
                </w:tcPr>
                <w:p w14:paraId="47F19A2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69C5017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901" w:type="pct"/>
                  <w:gridSpan w:val="3"/>
                  <w:tcBorders>
                    <w:tl2br w:val="nil"/>
                    <w:tr2bl w:val="nil"/>
                  </w:tcBorders>
                  <w:noWrap w:val="0"/>
                  <w:vAlign w:val="center"/>
                </w:tcPr>
                <w:p w14:paraId="76656AC7">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7"/>
                      <w:sz w:val="21"/>
                      <w:szCs w:val="21"/>
                    </w:rPr>
                    <w:t>运输方式</w:t>
                  </w:r>
                </w:p>
              </w:tc>
              <w:tc>
                <w:tcPr>
                  <w:tcW w:w="2048" w:type="pct"/>
                  <w:tcBorders>
                    <w:tl2br w:val="nil"/>
                    <w:tr2bl w:val="nil"/>
                  </w:tcBorders>
                  <w:noWrap w:val="0"/>
                  <w:vAlign w:val="center"/>
                </w:tcPr>
                <w:p w14:paraId="22949FC6">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7"/>
                      <w:sz w:val="21"/>
                      <w:szCs w:val="21"/>
                    </w:rPr>
                    <w:t>汽车运输</w:t>
                  </w:r>
                </w:p>
              </w:tc>
              <w:tc>
                <w:tcPr>
                  <w:tcW w:w="418" w:type="pct"/>
                  <w:tcBorders>
                    <w:tl2br w:val="nil"/>
                    <w:tr2bl w:val="nil"/>
                  </w:tcBorders>
                  <w:noWrap w:val="0"/>
                  <w:vAlign w:val="center"/>
                </w:tcPr>
                <w:p w14:paraId="4DFC92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581DA0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continue"/>
                  <w:tcBorders>
                    <w:tl2br w:val="nil"/>
                    <w:tr2bl w:val="nil"/>
                  </w:tcBorders>
                  <w:noWrap w:val="0"/>
                  <w:vAlign w:val="center"/>
                </w:tcPr>
                <w:p w14:paraId="22A1135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1174E6E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309" w:type="pct"/>
                  <w:gridSpan w:val="2"/>
                  <w:tcBorders>
                    <w:tl2br w:val="nil"/>
                    <w:tr2bl w:val="nil"/>
                  </w:tcBorders>
                  <w:noWrap w:val="0"/>
                  <w:vAlign w:val="center"/>
                </w:tcPr>
                <w:p w14:paraId="7A706D10">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8"/>
                      <w:sz w:val="21"/>
                      <w:szCs w:val="21"/>
                    </w:rPr>
                    <w:t>采矿损失率</w:t>
                  </w:r>
                </w:p>
              </w:tc>
              <w:tc>
                <w:tcPr>
                  <w:tcW w:w="592" w:type="pct"/>
                  <w:tcBorders>
                    <w:tl2br w:val="nil"/>
                    <w:tr2bl w:val="nil"/>
                  </w:tcBorders>
                  <w:noWrap w:val="0"/>
                  <w:vAlign w:val="center"/>
                </w:tcPr>
                <w:p w14:paraId="5C8FDA9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position w:val="2"/>
                      <w:sz w:val="21"/>
                      <w:szCs w:val="21"/>
                    </w:rPr>
                    <w:t>%</w:t>
                  </w:r>
                </w:p>
              </w:tc>
              <w:tc>
                <w:tcPr>
                  <w:tcW w:w="2048" w:type="pct"/>
                  <w:tcBorders>
                    <w:tl2br w:val="nil"/>
                    <w:tr2bl w:val="nil"/>
                  </w:tcBorders>
                  <w:noWrap w:val="0"/>
                  <w:vAlign w:val="center"/>
                </w:tcPr>
                <w:p w14:paraId="3A713C5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position w:val="1"/>
                      <w:sz w:val="21"/>
                      <w:szCs w:val="21"/>
                    </w:rPr>
                    <w:t>2</w:t>
                  </w:r>
                </w:p>
              </w:tc>
              <w:tc>
                <w:tcPr>
                  <w:tcW w:w="418" w:type="pct"/>
                  <w:tcBorders>
                    <w:tl2br w:val="nil"/>
                    <w:tr2bl w:val="nil"/>
                  </w:tcBorders>
                  <w:noWrap w:val="0"/>
                  <w:vAlign w:val="center"/>
                </w:tcPr>
                <w:p w14:paraId="2B5E1D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0E4654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continue"/>
                  <w:tcBorders>
                    <w:tl2br w:val="nil"/>
                    <w:tr2bl w:val="nil"/>
                  </w:tcBorders>
                  <w:noWrap w:val="0"/>
                  <w:vAlign w:val="center"/>
                </w:tcPr>
                <w:p w14:paraId="4AFEE61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26C7C14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309" w:type="pct"/>
                  <w:gridSpan w:val="2"/>
                  <w:tcBorders>
                    <w:tl2br w:val="nil"/>
                    <w:tr2bl w:val="nil"/>
                  </w:tcBorders>
                  <w:noWrap w:val="0"/>
                  <w:vAlign w:val="center"/>
                </w:tcPr>
                <w:p w14:paraId="0915450F">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8"/>
                      <w:sz w:val="21"/>
                      <w:szCs w:val="21"/>
                    </w:rPr>
                    <w:t>矿山回采率</w:t>
                  </w:r>
                </w:p>
              </w:tc>
              <w:tc>
                <w:tcPr>
                  <w:tcW w:w="592" w:type="pct"/>
                  <w:tcBorders>
                    <w:tl2br w:val="nil"/>
                    <w:tr2bl w:val="nil"/>
                  </w:tcBorders>
                  <w:noWrap w:val="0"/>
                  <w:vAlign w:val="center"/>
                </w:tcPr>
                <w:p w14:paraId="3F93135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position w:val="2"/>
                      <w:sz w:val="21"/>
                      <w:szCs w:val="21"/>
                    </w:rPr>
                    <w:t>%</w:t>
                  </w:r>
                </w:p>
              </w:tc>
              <w:tc>
                <w:tcPr>
                  <w:tcW w:w="2048" w:type="pct"/>
                  <w:tcBorders>
                    <w:tl2br w:val="nil"/>
                    <w:tr2bl w:val="nil"/>
                  </w:tcBorders>
                  <w:noWrap w:val="0"/>
                  <w:vAlign w:val="center"/>
                </w:tcPr>
                <w:p w14:paraId="758EF9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position w:val="2"/>
                      <w:sz w:val="21"/>
                      <w:szCs w:val="21"/>
                    </w:rPr>
                    <w:t>98</w:t>
                  </w:r>
                </w:p>
              </w:tc>
              <w:tc>
                <w:tcPr>
                  <w:tcW w:w="418" w:type="pct"/>
                  <w:tcBorders>
                    <w:tl2br w:val="nil"/>
                    <w:tr2bl w:val="nil"/>
                  </w:tcBorders>
                  <w:noWrap w:val="0"/>
                  <w:vAlign w:val="center"/>
                </w:tcPr>
                <w:p w14:paraId="252351B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r w14:paraId="088001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3" w:type="pct"/>
                  <w:vMerge w:val="continue"/>
                  <w:tcBorders>
                    <w:tl2br w:val="nil"/>
                    <w:tr2bl w:val="nil"/>
                  </w:tcBorders>
                  <w:noWrap w:val="0"/>
                  <w:vAlign w:val="center"/>
                </w:tcPr>
                <w:p w14:paraId="5F5304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328" w:type="pct"/>
                  <w:vMerge w:val="continue"/>
                  <w:tcBorders>
                    <w:tl2br w:val="nil"/>
                    <w:tr2bl w:val="nil"/>
                  </w:tcBorders>
                  <w:noWrap w:val="0"/>
                  <w:vAlign w:val="center"/>
                </w:tcPr>
                <w:p w14:paraId="776F9C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c>
                <w:tcPr>
                  <w:tcW w:w="1309" w:type="pct"/>
                  <w:gridSpan w:val="2"/>
                  <w:tcBorders>
                    <w:tl2br w:val="nil"/>
                    <w:tr2bl w:val="nil"/>
                  </w:tcBorders>
                  <w:noWrap w:val="0"/>
                  <w:vAlign w:val="center"/>
                </w:tcPr>
                <w:p w14:paraId="639FCA2E">
                  <w:pPr>
                    <w:pStyle w:val="8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r>
                    <w:rPr>
                      <w:rFonts w:hint="default" w:ascii="Times New Roman" w:hAnsi="Times New Roman" w:cs="Times New Roman"/>
                      <w:spacing w:val="6"/>
                      <w:sz w:val="21"/>
                      <w:szCs w:val="21"/>
                    </w:rPr>
                    <w:t>贫化率</w:t>
                  </w:r>
                </w:p>
              </w:tc>
              <w:tc>
                <w:tcPr>
                  <w:tcW w:w="592" w:type="pct"/>
                  <w:tcBorders>
                    <w:tl2br w:val="nil"/>
                    <w:tr2bl w:val="nil"/>
                  </w:tcBorders>
                  <w:noWrap w:val="0"/>
                  <w:vAlign w:val="center"/>
                </w:tcPr>
                <w:p w14:paraId="67817F7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position w:val="2"/>
                      <w:sz w:val="21"/>
                      <w:szCs w:val="21"/>
                    </w:rPr>
                    <w:t>%</w:t>
                  </w:r>
                </w:p>
              </w:tc>
              <w:tc>
                <w:tcPr>
                  <w:tcW w:w="2048" w:type="pct"/>
                  <w:tcBorders>
                    <w:tl2br w:val="nil"/>
                    <w:tr2bl w:val="nil"/>
                  </w:tcBorders>
                  <w:noWrap w:val="0"/>
                  <w:vAlign w:val="center"/>
                </w:tcPr>
                <w:p w14:paraId="17E5CBE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2"/>
                      <w:position w:val="-2"/>
                      <w:sz w:val="21"/>
                      <w:szCs w:val="21"/>
                    </w:rPr>
                    <w:t>—</w:t>
                  </w:r>
                </w:p>
              </w:tc>
              <w:tc>
                <w:tcPr>
                  <w:tcW w:w="418" w:type="pct"/>
                  <w:tcBorders>
                    <w:tl2br w:val="nil"/>
                    <w:tr2bl w:val="nil"/>
                  </w:tcBorders>
                  <w:noWrap w:val="0"/>
                  <w:vAlign w:val="center"/>
                </w:tcPr>
                <w:p w14:paraId="7624490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sz w:val="21"/>
                      <w:szCs w:val="21"/>
                    </w:rPr>
                  </w:pPr>
                </w:p>
              </w:tc>
            </w:tr>
          </w:tbl>
          <w:p w14:paraId="270B2033">
            <w:pPr>
              <w:spacing w:line="240" w:lineRule="auto"/>
              <w:ind w:left="0" w:leftChars="0" w:firstLine="0" w:firstLineChars="0"/>
              <w:jc w:val="center"/>
              <w:rPr>
                <w:rFonts w:hint="default" w:ascii="Times New Roman" w:hAnsi="Times New Roman" w:eastAsia="宋体" w:cs="Times New Roman"/>
                <w:b/>
                <w:bCs/>
                <w:color w:val="auto"/>
                <w:spacing w:val="11"/>
                <w:position w:val="0"/>
                <w:sz w:val="21"/>
                <w:szCs w:val="21"/>
                <w:u w:val="none" w:color="auto"/>
              </w:rPr>
            </w:pPr>
          </w:p>
          <w:p w14:paraId="18BD52CF">
            <w:pPr>
              <w:spacing w:line="240" w:lineRule="auto"/>
              <w:ind w:left="0" w:leftChars="0" w:firstLine="0" w:firstLineChars="0"/>
              <w:jc w:val="center"/>
              <w:rPr>
                <w:rFonts w:hint="default" w:ascii="Times New Roman" w:hAnsi="Times New Roman" w:eastAsia="宋体" w:cs="Times New Roman"/>
                <w:b/>
                <w:bCs/>
                <w:color w:val="auto"/>
                <w:spacing w:val="11"/>
                <w:position w:val="0"/>
                <w:sz w:val="21"/>
                <w:szCs w:val="21"/>
                <w:u w:val="none" w:color="auto"/>
              </w:rPr>
            </w:pPr>
          </w:p>
          <w:p w14:paraId="7155D4C7">
            <w:pPr>
              <w:spacing w:line="240" w:lineRule="auto"/>
              <w:ind w:left="0" w:leftChars="0" w:firstLine="0" w:firstLineChars="0"/>
              <w:jc w:val="center"/>
              <w:rPr>
                <w:rFonts w:hint="default" w:ascii="Times New Roman" w:hAnsi="Times New Roman" w:eastAsia="宋体" w:cs="Times New Roman"/>
                <w:b/>
                <w:bCs/>
                <w:color w:val="auto"/>
                <w:spacing w:val="11"/>
                <w:position w:val="0"/>
                <w:sz w:val="21"/>
                <w:szCs w:val="21"/>
                <w:u w:val="none" w:color="auto"/>
              </w:rPr>
            </w:pPr>
          </w:p>
          <w:p w14:paraId="497642C6">
            <w:pPr>
              <w:spacing w:line="240" w:lineRule="auto"/>
              <w:ind w:left="0" w:leftChars="0" w:firstLine="0" w:firstLineChars="0"/>
              <w:jc w:val="center"/>
              <w:rPr>
                <w:rFonts w:hint="default" w:ascii="Times New Roman" w:hAnsi="Times New Roman" w:eastAsia="宋体" w:cs="Times New Roman"/>
                <w:b/>
                <w:bCs/>
                <w:color w:val="auto"/>
                <w:spacing w:val="11"/>
                <w:position w:val="0"/>
                <w:sz w:val="21"/>
                <w:szCs w:val="21"/>
                <w:u w:val="none" w:color="auto"/>
              </w:rPr>
            </w:pPr>
          </w:p>
          <w:p w14:paraId="2450A73E">
            <w:pPr>
              <w:spacing w:line="240" w:lineRule="auto"/>
              <w:ind w:left="0" w:leftChars="0" w:firstLine="0" w:firstLineChars="0"/>
              <w:jc w:val="center"/>
              <w:rPr>
                <w:rFonts w:hint="default" w:ascii="Times New Roman" w:hAnsi="Times New Roman" w:eastAsia="宋体" w:cs="Times New Roman"/>
                <w:color w:val="auto"/>
                <w:spacing w:val="11"/>
                <w:kern w:val="0"/>
                <w:position w:val="0"/>
                <w:sz w:val="24"/>
                <w:szCs w:val="24"/>
                <w:u w:val="none" w:color="auto"/>
                <w:lang w:val="en-US" w:eastAsia="zh-CN"/>
              </w:rPr>
            </w:pPr>
            <w:r>
              <w:rPr>
                <w:rFonts w:hint="default" w:ascii="Times New Roman" w:hAnsi="Times New Roman" w:eastAsia="宋体" w:cs="Times New Roman"/>
                <w:b/>
                <w:bCs/>
                <w:color w:val="auto"/>
                <w:spacing w:val="11"/>
                <w:position w:val="0"/>
                <w:sz w:val="21"/>
                <w:szCs w:val="21"/>
                <w:u w:val="none" w:color="auto"/>
              </w:rPr>
              <w:t>表</w:t>
            </w:r>
            <w:r>
              <w:rPr>
                <w:rFonts w:hint="default" w:ascii="Times New Roman" w:hAnsi="Times New Roman" w:eastAsia="宋体" w:cs="Times New Roman"/>
                <w:b/>
                <w:bCs/>
                <w:color w:val="auto"/>
                <w:spacing w:val="11"/>
                <w:position w:val="0"/>
                <w:sz w:val="21"/>
                <w:szCs w:val="21"/>
                <w:u w:val="none" w:color="auto"/>
                <w:lang w:val="en-US" w:eastAsia="zh-CN"/>
              </w:rPr>
              <w:t>2-2</w:t>
            </w:r>
            <w:r>
              <w:rPr>
                <w:rFonts w:hint="default" w:ascii="Times New Roman" w:hAnsi="Times New Roman" w:eastAsia="宋体" w:cs="Times New Roman"/>
                <w:b/>
                <w:bCs/>
                <w:color w:val="auto"/>
                <w:spacing w:val="11"/>
                <w:position w:val="0"/>
                <w:sz w:val="21"/>
                <w:szCs w:val="21"/>
                <w:u w:val="none" w:color="auto"/>
              </w:rPr>
              <w:t xml:space="preserve"> </w:t>
            </w:r>
            <w:r>
              <w:rPr>
                <w:rFonts w:hint="default" w:ascii="Times New Roman" w:hAnsi="Times New Roman" w:eastAsia="宋体" w:cs="Times New Roman"/>
                <w:b/>
                <w:bCs/>
                <w:color w:val="auto"/>
                <w:spacing w:val="11"/>
                <w:position w:val="0"/>
                <w:sz w:val="21"/>
                <w:szCs w:val="21"/>
                <w:u w:val="none" w:color="auto"/>
                <w:lang w:val="en-US" w:eastAsia="zh-CN"/>
              </w:rPr>
              <w:t xml:space="preserve"> </w:t>
            </w:r>
            <w:r>
              <w:rPr>
                <w:rFonts w:hint="default" w:ascii="Times New Roman" w:hAnsi="Times New Roman" w:eastAsia="宋体" w:cs="Times New Roman"/>
                <w:b/>
                <w:bCs/>
                <w:color w:val="auto"/>
                <w:spacing w:val="11"/>
                <w:position w:val="0"/>
                <w:sz w:val="21"/>
                <w:szCs w:val="21"/>
                <w:u w:val="none" w:color="auto"/>
              </w:rPr>
              <w:t>项目主要建设内容一览表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98"/>
              <w:gridCol w:w="935"/>
              <w:gridCol w:w="5609"/>
              <w:gridCol w:w="965"/>
            </w:tblGrid>
            <w:tr w14:paraId="5DACD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90" w:type="pct"/>
                  <w:gridSpan w:val="2"/>
                  <w:tcBorders>
                    <w:tl2br w:val="nil"/>
                    <w:tr2bl w:val="nil"/>
                  </w:tcBorders>
                  <w:noWrap w:val="0"/>
                  <w:vAlign w:val="center"/>
                </w:tcPr>
                <w:p w14:paraId="4B26DE9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bookmarkStart w:id="28" w:name="_Hlk105580544"/>
                  <w:r>
                    <w:rPr>
                      <w:rFonts w:hint="default" w:ascii="Times New Roman" w:hAnsi="Times New Roman" w:eastAsia="宋体" w:cs="Times New Roman"/>
                      <w:spacing w:val="11"/>
                      <w:position w:val="0"/>
                      <w:szCs w:val="21"/>
                      <w:u w:val="none" w:color="auto"/>
                    </w:rPr>
                    <w:t>分类</w:t>
                  </w:r>
                </w:p>
              </w:tc>
              <w:tc>
                <w:tcPr>
                  <w:tcW w:w="3335" w:type="pct"/>
                  <w:tcBorders>
                    <w:tl2br w:val="nil"/>
                    <w:tr2bl w:val="nil"/>
                  </w:tcBorders>
                  <w:noWrap w:val="0"/>
                  <w:vAlign w:val="center"/>
                </w:tcPr>
                <w:p w14:paraId="1A5F8B4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建设内容</w:t>
                  </w:r>
                </w:p>
              </w:tc>
              <w:tc>
                <w:tcPr>
                  <w:tcW w:w="573" w:type="pct"/>
                  <w:tcBorders>
                    <w:tl2br w:val="nil"/>
                    <w:tr2bl w:val="nil"/>
                  </w:tcBorders>
                  <w:noWrap w:val="0"/>
                  <w:vAlign w:val="center"/>
                </w:tcPr>
                <w:p w14:paraId="2117800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备注</w:t>
                  </w:r>
                </w:p>
              </w:tc>
            </w:tr>
            <w:tr w14:paraId="22E6C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4" w:type="pct"/>
                  <w:vMerge w:val="restart"/>
                  <w:tcBorders>
                    <w:tl2br w:val="nil"/>
                    <w:tr2bl w:val="nil"/>
                  </w:tcBorders>
                  <w:noWrap w:val="0"/>
                  <w:vAlign w:val="center"/>
                </w:tcPr>
                <w:p w14:paraId="28F2333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r>
                    <w:rPr>
                      <w:rFonts w:hint="default" w:ascii="Times New Roman" w:hAnsi="Times New Roman" w:eastAsia="宋体" w:cs="Times New Roman"/>
                      <w:spacing w:val="11"/>
                      <w:position w:val="0"/>
                      <w:szCs w:val="21"/>
                      <w:u w:val="none" w:color="auto"/>
                    </w:rPr>
                    <w:t>主体工程</w:t>
                  </w:r>
                </w:p>
              </w:tc>
              <w:tc>
                <w:tcPr>
                  <w:tcW w:w="556" w:type="pct"/>
                  <w:tcBorders>
                    <w:tl2br w:val="nil"/>
                    <w:tr2bl w:val="nil"/>
                  </w:tcBorders>
                  <w:noWrap w:val="0"/>
                  <w:vAlign w:val="center"/>
                </w:tcPr>
                <w:p w14:paraId="7ADE6C3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r>
                    <w:rPr>
                      <w:rFonts w:hint="default" w:ascii="Times New Roman" w:hAnsi="Times New Roman" w:eastAsia="宋体" w:cs="Times New Roman"/>
                      <w:spacing w:val="11"/>
                      <w:position w:val="0"/>
                      <w:szCs w:val="21"/>
                      <w:u w:val="none" w:color="auto"/>
                    </w:rPr>
                    <w:t>开采区</w:t>
                  </w:r>
                </w:p>
              </w:tc>
              <w:tc>
                <w:tcPr>
                  <w:tcW w:w="3335" w:type="pct"/>
                  <w:tcBorders>
                    <w:tl2br w:val="nil"/>
                    <w:tr2bl w:val="nil"/>
                  </w:tcBorders>
                  <w:noWrap w:val="0"/>
                  <w:vAlign w:val="center"/>
                </w:tcPr>
                <w:p w14:paraId="1B66F4A2">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rPr>
                    <w:t>矿区范围由</w:t>
                  </w:r>
                  <w:r>
                    <w:rPr>
                      <w:rFonts w:hint="default" w:ascii="Times New Roman" w:hAnsi="Times New Roman" w:eastAsia="宋体" w:cs="Times New Roman"/>
                      <w:spacing w:val="11"/>
                      <w:position w:val="0"/>
                      <w:szCs w:val="21"/>
                      <w:u w:val="none" w:color="auto"/>
                      <w:lang w:val="en-US" w:eastAsia="zh-CN"/>
                    </w:rPr>
                    <w:t>7</w:t>
                  </w:r>
                  <w:r>
                    <w:rPr>
                      <w:rFonts w:hint="default" w:ascii="Times New Roman" w:hAnsi="Times New Roman" w:eastAsia="宋体" w:cs="Times New Roman"/>
                      <w:spacing w:val="11"/>
                      <w:position w:val="0"/>
                      <w:szCs w:val="21"/>
                      <w:u w:val="none" w:color="auto"/>
                    </w:rPr>
                    <w:t>个拐点</w:t>
                  </w:r>
                  <w:r>
                    <w:rPr>
                      <w:rFonts w:hint="default" w:ascii="Times New Roman" w:hAnsi="Times New Roman" w:eastAsia="宋体" w:cs="Times New Roman"/>
                      <w:spacing w:val="11"/>
                      <w:position w:val="0"/>
                      <w:szCs w:val="21"/>
                      <w:u w:val="none" w:color="auto"/>
                      <w:lang w:val="en-US" w:eastAsia="zh-CN"/>
                    </w:rPr>
                    <w:t>坐标</w:t>
                  </w:r>
                  <w:r>
                    <w:rPr>
                      <w:rFonts w:hint="default" w:ascii="Times New Roman" w:hAnsi="Times New Roman" w:eastAsia="宋体" w:cs="Times New Roman"/>
                      <w:spacing w:val="11"/>
                      <w:position w:val="0"/>
                      <w:szCs w:val="21"/>
                      <w:u w:val="none" w:color="auto"/>
                    </w:rPr>
                    <w:t>圈定，矿区面积</w:t>
                  </w:r>
                  <w:r>
                    <w:rPr>
                      <w:rFonts w:hint="default" w:ascii="Times New Roman" w:hAnsi="Times New Roman" w:eastAsia="宋体" w:cs="Times New Roman"/>
                      <w:spacing w:val="11"/>
                      <w:position w:val="0"/>
                      <w:szCs w:val="21"/>
                      <w:u w:val="none" w:color="auto"/>
                      <w:lang w:val="en-US" w:eastAsia="zh-CN"/>
                    </w:rPr>
                    <w:t>0.</w:t>
                  </w:r>
                  <w:r>
                    <w:rPr>
                      <w:rFonts w:hint="default" w:ascii="Times New Roman" w:hAnsi="Times New Roman" w:cs="Times New Roman"/>
                      <w:spacing w:val="11"/>
                      <w:position w:val="0"/>
                      <w:szCs w:val="21"/>
                      <w:u w:val="none" w:color="auto"/>
                      <w:lang w:val="en-US" w:eastAsia="zh-CN"/>
                    </w:rPr>
                    <w:t>0633</w:t>
                  </w:r>
                  <w:r>
                    <w:rPr>
                      <w:rFonts w:hint="default" w:ascii="Times New Roman" w:hAnsi="Times New Roman" w:eastAsia="宋体" w:cs="Times New Roman"/>
                      <w:spacing w:val="11"/>
                      <w:position w:val="0"/>
                      <w:szCs w:val="21"/>
                      <w:u w:val="none" w:color="auto"/>
                    </w:rPr>
                    <w:t>km</w:t>
                  </w:r>
                  <w:r>
                    <w:rPr>
                      <w:rFonts w:hint="default" w:ascii="Times New Roman" w:hAnsi="Times New Roman" w:eastAsia="宋体" w:cs="Times New Roman"/>
                      <w:spacing w:val="11"/>
                      <w:position w:val="0"/>
                      <w:szCs w:val="21"/>
                      <w:u w:val="none" w:color="auto"/>
                      <w:vertAlign w:val="superscript"/>
                    </w:rPr>
                    <w:t>2</w:t>
                  </w:r>
                  <w:r>
                    <w:rPr>
                      <w:rFonts w:hint="default" w:ascii="Times New Roman" w:hAnsi="Times New Roman" w:eastAsia="宋体" w:cs="Times New Roman"/>
                      <w:spacing w:val="11"/>
                      <w:position w:val="0"/>
                      <w:szCs w:val="21"/>
                      <w:u w:val="none" w:color="auto"/>
                    </w:rPr>
                    <w:t>，准采标高</w:t>
                  </w:r>
                  <w:r>
                    <w:rPr>
                      <w:rFonts w:hint="default" w:ascii="Times New Roman" w:hAnsi="Times New Roman" w:eastAsia="宋体" w:cs="Times New Roman"/>
                      <w:spacing w:val="11"/>
                      <w:position w:val="0"/>
                      <w:szCs w:val="21"/>
                      <w:u w:val="none" w:color="auto"/>
                      <w:lang w:val="en-US" w:eastAsia="zh-CN"/>
                    </w:rPr>
                    <w:t>+3</w:t>
                  </w:r>
                  <w:r>
                    <w:rPr>
                      <w:rFonts w:hint="default" w:ascii="Times New Roman" w:hAnsi="Times New Roman" w:cs="Times New Roman"/>
                      <w:spacing w:val="11"/>
                      <w:position w:val="0"/>
                      <w:szCs w:val="21"/>
                      <w:u w:val="none" w:color="auto"/>
                      <w:lang w:val="en-US" w:eastAsia="zh-CN"/>
                    </w:rPr>
                    <w:t>87</w:t>
                  </w:r>
                  <w:r>
                    <w:rPr>
                      <w:rFonts w:hint="default" w:ascii="Times New Roman" w:hAnsi="Times New Roman" w:eastAsia="宋体" w:cs="Times New Roman"/>
                      <w:spacing w:val="11"/>
                      <w:position w:val="0"/>
                      <w:szCs w:val="21"/>
                      <w:u w:val="none" w:color="auto"/>
                      <w:lang w:val="en-US" w:eastAsia="zh-CN"/>
                    </w:rPr>
                    <w:t>m～+</w:t>
                  </w:r>
                  <w:r>
                    <w:rPr>
                      <w:rFonts w:hint="default" w:ascii="Times New Roman" w:hAnsi="Times New Roman" w:cs="Times New Roman"/>
                      <w:spacing w:val="11"/>
                      <w:position w:val="0"/>
                      <w:szCs w:val="21"/>
                      <w:u w:val="none" w:color="auto"/>
                      <w:lang w:val="en-US" w:eastAsia="zh-CN"/>
                    </w:rPr>
                    <w:t>335</w:t>
                  </w:r>
                  <w:r>
                    <w:rPr>
                      <w:rFonts w:hint="default" w:ascii="Times New Roman" w:hAnsi="Times New Roman" w:eastAsia="宋体" w:cs="Times New Roman"/>
                      <w:spacing w:val="11"/>
                      <w:position w:val="0"/>
                      <w:szCs w:val="21"/>
                      <w:u w:val="none" w:color="auto"/>
                      <w:lang w:val="en-US" w:eastAsia="zh-CN"/>
                    </w:rPr>
                    <w:t>m</w:t>
                  </w:r>
                  <w:r>
                    <w:rPr>
                      <w:rFonts w:hint="default" w:ascii="Times New Roman" w:hAnsi="Times New Roman" w:eastAsia="宋体" w:cs="Times New Roman"/>
                      <w:spacing w:val="11"/>
                      <w:position w:val="0"/>
                      <w:szCs w:val="21"/>
                      <w:u w:val="none" w:color="auto"/>
                    </w:rPr>
                    <w:t>，</w:t>
                  </w:r>
                  <w:r>
                    <w:rPr>
                      <w:rFonts w:hint="default" w:ascii="Times New Roman" w:hAnsi="Times New Roman" w:eastAsia="宋体" w:cs="Times New Roman"/>
                      <w:spacing w:val="11"/>
                      <w:position w:val="0"/>
                      <w:szCs w:val="21"/>
                      <w:u w:val="none" w:color="auto"/>
                      <w:lang w:val="en-US" w:eastAsia="zh-CN"/>
                    </w:rPr>
                    <w:t>年开采建筑用石料用灰岩60</w:t>
                  </w:r>
                  <w:r>
                    <w:rPr>
                      <w:rFonts w:hint="default" w:ascii="Times New Roman" w:hAnsi="Times New Roman" w:eastAsia="宋体" w:cs="Times New Roman"/>
                      <w:spacing w:val="11"/>
                      <w:position w:val="0"/>
                      <w:szCs w:val="21"/>
                      <w:u w:val="none" w:color="auto"/>
                    </w:rPr>
                    <w:t>万吨/年，矿山为露天开采。</w:t>
                  </w:r>
                </w:p>
              </w:tc>
              <w:tc>
                <w:tcPr>
                  <w:tcW w:w="573" w:type="pct"/>
                  <w:tcBorders>
                    <w:tl2br w:val="nil"/>
                    <w:tr2bl w:val="nil"/>
                  </w:tcBorders>
                  <w:noWrap w:val="0"/>
                  <w:vAlign w:val="center"/>
                </w:tcPr>
                <w:p w14:paraId="76CB005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新建</w:t>
                  </w:r>
                </w:p>
              </w:tc>
            </w:tr>
            <w:tr w14:paraId="16B95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4" w:type="pct"/>
                  <w:vMerge w:val="continue"/>
                  <w:tcBorders>
                    <w:tl2br w:val="nil"/>
                    <w:tr2bl w:val="nil"/>
                  </w:tcBorders>
                  <w:noWrap w:val="0"/>
                  <w:vAlign w:val="center"/>
                </w:tcPr>
                <w:p w14:paraId="3B20A2E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p>
              </w:tc>
              <w:tc>
                <w:tcPr>
                  <w:tcW w:w="556" w:type="pct"/>
                  <w:tcBorders>
                    <w:tl2br w:val="nil"/>
                    <w:tr2bl w:val="nil"/>
                  </w:tcBorders>
                  <w:noWrap w:val="0"/>
                  <w:vAlign w:val="center"/>
                </w:tcPr>
                <w:p w14:paraId="5DCB910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cs="Times New Roman"/>
                      <w:spacing w:val="11"/>
                      <w:position w:val="0"/>
                      <w:szCs w:val="21"/>
                      <w:u w:val="none" w:color="auto"/>
                      <w:lang w:val="en-US" w:eastAsia="zh-CN"/>
                    </w:rPr>
                    <w:t>工业广场</w:t>
                  </w:r>
                </w:p>
              </w:tc>
              <w:tc>
                <w:tcPr>
                  <w:tcW w:w="3335" w:type="pct"/>
                  <w:tcBorders>
                    <w:tl2br w:val="nil"/>
                    <w:tr2bl w:val="nil"/>
                  </w:tcBorders>
                  <w:noWrap w:val="0"/>
                  <w:vAlign w:val="center"/>
                </w:tcPr>
                <w:p w14:paraId="3CBE541B">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cs="Times New Roman"/>
                      <w:spacing w:val="11"/>
                      <w:position w:val="0"/>
                      <w:szCs w:val="21"/>
                      <w:u w:val="none" w:color="auto"/>
                      <w:lang w:val="en-US" w:eastAsia="zh-CN"/>
                    </w:rPr>
                    <w:t>位于矿区西南侧，设置封闭式彩钢瓦钢架棚厂房（占地面积10200m</w:t>
                  </w:r>
                  <w:r>
                    <w:rPr>
                      <w:rFonts w:hint="default" w:ascii="Times New Roman" w:hAnsi="Times New Roman" w:cs="Times New Roman"/>
                      <w:spacing w:val="11"/>
                      <w:position w:val="0"/>
                      <w:szCs w:val="21"/>
                      <w:u w:val="none" w:color="auto"/>
                      <w:vertAlign w:val="superscript"/>
                      <w:lang w:val="en-US" w:eastAsia="zh-CN"/>
                    </w:rPr>
                    <w:t>2</w:t>
                  </w:r>
                  <w:r>
                    <w:rPr>
                      <w:rFonts w:hint="default" w:ascii="Times New Roman" w:hAnsi="Times New Roman" w:cs="Times New Roman"/>
                      <w:spacing w:val="11"/>
                      <w:position w:val="0"/>
                      <w:szCs w:val="21"/>
                      <w:u w:val="none" w:color="auto"/>
                      <w:lang w:val="en-US" w:eastAsia="zh-CN"/>
                    </w:rPr>
                    <w:t>），</w:t>
                  </w:r>
                  <w:r>
                    <w:rPr>
                      <w:rFonts w:hint="eastAsia" w:cs="Times New Roman"/>
                      <w:spacing w:val="11"/>
                      <w:position w:val="0"/>
                      <w:szCs w:val="21"/>
                      <w:u w:val="single" w:color="auto"/>
                      <w:lang w:val="en-US" w:eastAsia="zh-CN"/>
                    </w:rPr>
                    <w:t>厂内地面进行硬化</w:t>
                  </w:r>
                  <w:r>
                    <w:rPr>
                      <w:rFonts w:hint="eastAsia" w:cs="Times New Roman"/>
                      <w:spacing w:val="11"/>
                      <w:position w:val="0"/>
                      <w:szCs w:val="21"/>
                      <w:u w:val="none" w:color="auto"/>
                      <w:lang w:val="en-US" w:eastAsia="zh-CN"/>
                    </w:rPr>
                    <w:t>，工业广场</w:t>
                  </w:r>
                  <w:r>
                    <w:rPr>
                      <w:rFonts w:hint="default" w:ascii="Times New Roman" w:hAnsi="Times New Roman" w:cs="Times New Roman"/>
                      <w:spacing w:val="11"/>
                      <w:position w:val="0"/>
                      <w:szCs w:val="21"/>
                      <w:u w:val="none" w:color="auto"/>
                      <w:lang w:val="en-US" w:eastAsia="zh-CN"/>
                    </w:rPr>
                    <w:t>主要分为加工生产区</w:t>
                  </w:r>
                  <w:r>
                    <w:rPr>
                      <w:rFonts w:hint="eastAsia" w:cs="Times New Roman"/>
                      <w:spacing w:val="11"/>
                      <w:position w:val="0"/>
                      <w:szCs w:val="21"/>
                      <w:u w:val="none" w:color="auto"/>
                      <w:lang w:val="en-US" w:eastAsia="zh-CN"/>
                    </w:rPr>
                    <w:t>以及</w:t>
                  </w:r>
                  <w:r>
                    <w:rPr>
                      <w:rFonts w:hint="default" w:ascii="Times New Roman" w:hAnsi="Times New Roman" w:cs="Times New Roman"/>
                      <w:spacing w:val="11"/>
                      <w:position w:val="0"/>
                      <w:szCs w:val="21"/>
                      <w:u w:val="none" w:color="auto"/>
                      <w:lang w:val="en-US" w:eastAsia="zh-CN"/>
                    </w:rPr>
                    <w:t>成品</w:t>
                  </w:r>
                  <w:r>
                    <w:rPr>
                      <w:rFonts w:hint="eastAsia" w:cs="Times New Roman"/>
                      <w:spacing w:val="11"/>
                      <w:position w:val="0"/>
                      <w:szCs w:val="21"/>
                      <w:u w:val="none" w:color="auto"/>
                      <w:lang w:val="en-US" w:eastAsia="zh-CN"/>
                    </w:rPr>
                    <w:t>库</w:t>
                  </w:r>
                  <w:r>
                    <w:rPr>
                      <w:rFonts w:hint="default" w:ascii="Times New Roman" w:hAnsi="Times New Roman" w:eastAsia="宋体" w:cs="Times New Roman"/>
                      <w:spacing w:val="11"/>
                      <w:position w:val="0"/>
                      <w:szCs w:val="21"/>
                      <w:u w:val="none" w:color="auto"/>
                      <w:lang w:val="en-US" w:eastAsia="zh-CN"/>
                    </w:rPr>
                    <w:t>。</w:t>
                  </w:r>
                  <w:r>
                    <w:rPr>
                      <w:rFonts w:hint="default" w:ascii="Times New Roman" w:hAnsi="Times New Roman" w:cs="Times New Roman"/>
                      <w:spacing w:val="11"/>
                      <w:position w:val="0"/>
                      <w:szCs w:val="21"/>
                      <w:u w:val="none" w:color="auto"/>
                      <w:lang w:val="en-US" w:eastAsia="zh-CN"/>
                    </w:rPr>
                    <w:t>加工生产区布设一条机制砂生产线、一条碎石加工生产线。</w:t>
                  </w:r>
                </w:p>
              </w:tc>
              <w:tc>
                <w:tcPr>
                  <w:tcW w:w="573" w:type="pct"/>
                  <w:tcBorders>
                    <w:tl2br w:val="nil"/>
                    <w:tr2bl w:val="nil"/>
                  </w:tcBorders>
                  <w:noWrap w:val="0"/>
                  <w:vAlign w:val="center"/>
                </w:tcPr>
                <w:p w14:paraId="15B8850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新建</w:t>
                  </w:r>
                </w:p>
              </w:tc>
            </w:tr>
            <w:tr w14:paraId="53CA9D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4" w:type="pct"/>
                  <w:vMerge w:val="restart"/>
                  <w:tcBorders>
                    <w:tl2br w:val="nil"/>
                    <w:tr2bl w:val="nil"/>
                  </w:tcBorders>
                  <w:noWrap w:val="0"/>
                  <w:vAlign w:val="center"/>
                </w:tcPr>
                <w:p w14:paraId="5F49B2D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r>
                    <w:rPr>
                      <w:rFonts w:hint="default" w:ascii="Times New Roman" w:hAnsi="Times New Roman" w:eastAsia="宋体" w:cs="Times New Roman"/>
                      <w:spacing w:val="11"/>
                      <w:position w:val="0"/>
                      <w:szCs w:val="21"/>
                      <w:u w:val="none" w:color="auto"/>
                    </w:rPr>
                    <w:t>辅助</w:t>
                  </w:r>
                </w:p>
                <w:p w14:paraId="15D9299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r>
                    <w:rPr>
                      <w:rFonts w:hint="default" w:ascii="Times New Roman" w:hAnsi="Times New Roman" w:eastAsia="宋体" w:cs="Times New Roman"/>
                      <w:spacing w:val="11"/>
                      <w:position w:val="0"/>
                      <w:szCs w:val="21"/>
                      <w:u w:val="none" w:color="auto"/>
                    </w:rPr>
                    <w:t>工程</w:t>
                  </w:r>
                </w:p>
              </w:tc>
              <w:tc>
                <w:tcPr>
                  <w:tcW w:w="556" w:type="pct"/>
                  <w:tcBorders>
                    <w:tl2br w:val="nil"/>
                    <w:tr2bl w:val="nil"/>
                  </w:tcBorders>
                  <w:noWrap w:val="0"/>
                  <w:vAlign w:val="center"/>
                </w:tcPr>
                <w:p w14:paraId="3E81744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r>
                    <w:rPr>
                      <w:rFonts w:hint="default" w:ascii="Times New Roman" w:hAnsi="Times New Roman" w:eastAsia="宋体" w:cs="Times New Roman"/>
                      <w:spacing w:val="11"/>
                      <w:position w:val="0"/>
                      <w:szCs w:val="21"/>
                      <w:u w:val="none" w:color="auto"/>
                    </w:rPr>
                    <w:t>办公生活区</w:t>
                  </w:r>
                </w:p>
              </w:tc>
              <w:tc>
                <w:tcPr>
                  <w:tcW w:w="3335" w:type="pct"/>
                  <w:tcBorders>
                    <w:tl2br w:val="nil"/>
                    <w:tr2bl w:val="nil"/>
                  </w:tcBorders>
                  <w:noWrap w:val="0"/>
                  <w:vAlign w:val="center"/>
                </w:tcPr>
                <w:p w14:paraId="72C1E343">
                  <w:pPr>
                    <w:keepNext w:val="0"/>
                    <w:keepLines w:val="0"/>
                    <w:pageBreakBefore w:val="0"/>
                    <w:widowControl w:val="0"/>
                    <w:kinsoku/>
                    <w:wordWrap/>
                    <w:overflowPunct/>
                    <w:topLinePunct w:val="0"/>
                    <w:autoSpaceDE/>
                    <w:autoSpaceDN/>
                    <w:bidi w:val="0"/>
                    <w:spacing w:before="21" w:line="300" w:lineRule="exact"/>
                    <w:jc w:val="both"/>
                    <w:textAlignment w:val="auto"/>
                    <w:rPr>
                      <w:rFonts w:hint="default" w:ascii="Times New Roman" w:hAnsi="Times New Roman" w:eastAsia="宋体" w:cs="Times New Roman"/>
                      <w:spacing w:val="11"/>
                      <w:kern w:val="0"/>
                      <w:position w:val="0"/>
                      <w:szCs w:val="21"/>
                      <w:u w:val="none" w:color="auto"/>
                      <w:lang w:val="zh-CN" w:bidi="zh-CN"/>
                    </w:rPr>
                  </w:pPr>
                  <w:r>
                    <w:rPr>
                      <w:rFonts w:hint="default" w:ascii="Times New Roman" w:hAnsi="Times New Roman" w:eastAsia="宋体" w:cs="Times New Roman"/>
                      <w:spacing w:val="11"/>
                      <w:kern w:val="0"/>
                      <w:position w:val="0"/>
                      <w:szCs w:val="21"/>
                      <w:u w:val="none" w:color="auto"/>
                      <w:lang w:val="en-US" w:bidi="zh-CN"/>
                    </w:rPr>
                    <w:t>位于</w:t>
                  </w:r>
                  <w:r>
                    <w:rPr>
                      <w:rFonts w:hint="default" w:ascii="Times New Roman" w:hAnsi="Times New Roman" w:eastAsia="宋体" w:cs="Times New Roman"/>
                      <w:spacing w:val="11"/>
                      <w:kern w:val="0"/>
                      <w:position w:val="0"/>
                      <w:szCs w:val="21"/>
                      <w:u w:val="none" w:color="auto"/>
                      <w:lang w:val="en-US" w:eastAsia="zh-CN" w:bidi="zh-CN"/>
                    </w:rPr>
                    <w:t>矿区西</w:t>
                  </w:r>
                  <w:r>
                    <w:rPr>
                      <w:rFonts w:hint="default" w:ascii="Times New Roman" w:hAnsi="Times New Roman" w:eastAsia="宋体" w:cs="Times New Roman"/>
                      <w:spacing w:val="11"/>
                      <w:kern w:val="0"/>
                      <w:position w:val="0"/>
                      <w:szCs w:val="21"/>
                      <w:u w:val="none" w:color="auto"/>
                      <w:lang w:val="en-US" w:bidi="zh-CN"/>
                    </w:rPr>
                    <w:t>南侧，</w:t>
                  </w:r>
                  <w:r>
                    <w:rPr>
                      <w:rFonts w:hint="default" w:ascii="Times New Roman" w:hAnsi="Times New Roman" w:eastAsia="宋体" w:cs="Times New Roman"/>
                      <w:spacing w:val="11"/>
                      <w:kern w:val="0"/>
                      <w:position w:val="0"/>
                      <w:szCs w:val="21"/>
                      <w:u w:val="none" w:color="auto"/>
                      <w:lang w:val="zh-CN" w:eastAsia="zh-CN" w:bidi="zh-CN"/>
                    </w:rPr>
                    <w:t>占地</w:t>
                  </w:r>
                  <w:r>
                    <w:rPr>
                      <w:rFonts w:hint="default" w:ascii="Times New Roman" w:hAnsi="Times New Roman" w:eastAsia="宋体" w:cs="Times New Roman"/>
                      <w:spacing w:val="11"/>
                      <w:kern w:val="0"/>
                      <w:position w:val="0"/>
                      <w:szCs w:val="21"/>
                      <w:u w:val="none" w:color="auto"/>
                      <w:lang w:val="zh-CN" w:bidi="zh-CN"/>
                    </w:rPr>
                    <w:t>面积</w:t>
                  </w:r>
                  <w:r>
                    <w:rPr>
                      <w:rFonts w:hint="default" w:ascii="Times New Roman" w:hAnsi="Times New Roman" w:cs="Times New Roman"/>
                      <w:spacing w:val="11"/>
                      <w:kern w:val="0"/>
                      <w:position w:val="0"/>
                      <w:szCs w:val="21"/>
                      <w:u w:val="none" w:color="auto"/>
                      <w:lang w:val="en-US" w:bidi="zh-CN"/>
                    </w:rPr>
                    <w:t>600</w:t>
                  </w:r>
                  <w:r>
                    <w:rPr>
                      <w:rFonts w:hint="default" w:ascii="Times New Roman" w:hAnsi="Times New Roman" w:eastAsia="宋体" w:cs="Times New Roman"/>
                      <w:spacing w:val="11"/>
                      <w:kern w:val="0"/>
                      <w:position w:val="0"/>
                      <w:szCs w:val="21"/>
                      <w:u w:val="none" w:color="auto"/>
                      <w:lang w:val="zh-CN" w:bidi="zh-CN"/>
                    </w:rPr>
                    <w:t>m</w:t>
                  </w:r>
                  <w:r>
                    <w:rPr>
                      <w:rFonts w:hint="default" w:ascii="Times New Roman" w:hAnsi="Times New Roman" w:eastAsia="宋体" w:cs="Times New Roman"/>
                      <w:spacing w:val="11"/>
                      <w:kern w:val="0"/>
                      <w:position w:val="0"/>
                      <w:szCs w:val="21"/>
                      <w:u w:val="none" w:color="auto"/>
                      <w:vertAlign w:val="superscript"/>
                      <w:lang w:val="zh-CN" w:bidi="zh-CN"/>
                    </w:rPr>
                    <w:t>2</w:t>
                  </w:r>
                  <w:r>
                    <w:rPr>
                      <w:rFonts w:hint="default" w:ascii="Times New Roman" w:hAnsi="Times New Roman" w:eastAsia="宋体" w:cs="Times New Roman"/>
                      <w:spacing w:val="11"/>
                      <w:kern w:val="0"/>
                      <w:position w:val="0"/>
                      <w:szCs w:val="21"/>
                      <w:u w:val="none" w:color="auto"/>
                      <w:lang w:val="zh-CN" w:bidi="zh-CN"/>
                    </w:rPr>
                    <w:t>，</w:t>
                  </w:r>
                  <w:r>
                    <w:rPr>
                      <w:rFonts w:hint="default" w:ascii="Times New Roman" w:hAnsi="Times New Roman" w:eastAsia="宋体" w:cs="Times New Roman"/>
                      <w:spacing w:val="11"/>
                      <w:kern w:val="0"/>
                      <w:position w:val="0"/>
                      <w:szCs w:val="21"/>
                      <w:u w:val="none" w:color="auto"/>
                      <w:lang w:val="en-US" w:bidi="zh-CN"/>
                    </w:rPr>
                    <w:t>用作日常管理，办公</w:t>
                  </w:r>
                  <w:r>
                    <w:rPr>
                      <w:rFonts w:hint="default" w:ascii="Times New Roman" w:hAnsi="Times New Roman" w:eastAsia="宋体" w:cs="Times New Roman"/>
                      <w:spacing w:val="11"/>
                      <w:kern w:val="0"/>
                      <w:position w:val="0"/>
                      <w:szCs w:val="21"/>
                      <w:u w:val="none" w:color="auto"/>
                      <w:lang w:val="zh-CN" w:bidi="zh-CN"/>
                    </w:rPr>
                    <w:t>。</w:t>
                  </w:r>
                </w:p>
              </w:tc>
              <w:tc>
                <w:tcPr>
                  <w:tcW w:w="573" w:type="pct"/>
                  <w:tcBorders>
                    <w:tl2br w:val="nil"/>
                    <w:tr2bl w:val="nil"/>
                  </w:tcBorders>
                  <w:noWrap w:val="0"/>
                  <w:vAlign w:val="center"/>
                </w:tcPr>
                <w:p w14:paraId="08272866">
                  <w:pPr>
                    <w:keepNext w:val="0"/>
                    <w:keepLines w:val="0"/>
                    <w:pageBreakBefore w:val="0"/>
                    <w:widowControl w:val="0"/>
                    <w:kinsoku/>
                    <w:wordWrap/>
                    <w:overflowPunct/>
                    <w:topLinePunct w:val="0"/>
                    <w:autoSpaceDE/>
                    <w:autoSpaceDN/>
                    <w:bidi w:val="0"/>
                    <w:spacing w:before="21" w:line="300" w:lineRule="exact"/>
                    <w:jc w:val="center"/>
                    <w:textAlignment w:val="auto"/>
                    <w:rPr>
                      <w:rFonts w:hint="default" w:ascii="Times New Roman" w:hAnsi="Times New Roman" w:eastAsia="宋体" w:cs="Times New Roman"/>
                      <w:spacing w:val="11"/>
                      <w:kern w:val="0"/>
                      <w:position w:val="0"/>
                      <w:szCs w:val="21"/>
                      <w:u w:val="none" w:color="auto"/>
                      <w:lang w:val="zh-CN" w:bidi="zh-CN"/>
                    </w:rPr>
                  </w:pPr>
                  <w:r>
                    <w:rPr>
                      <w:rFonts w:hint="default" w:ascii="Times New Roman" w:hAnsi="Times New Roman" w:eastAsia="宋体" w:cs="Times New Roman"/>
                      <w:spacing w:val="11"/>
                      <w:kern w:val="0"/>
                      <w:position w:val="0"/>
                      <w:szCs w:val="21"/>
                      <w:u w:val="none" w:color="auto"/>
                      <w:lang w:val="zh-CN" w:eastAsia="zh-CN" w:bidi="zh-CN"/>
                    </w:rPr>
                    <w:t>新建</w:t>
                  </w:r>
                </w:p>
              </w:tc>
            </w:tr>
            <w:tr w14:paraId="33AA0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4" w:type="pct"/>
                  <w:vMerge w:val="continue"/>
                  <w:tcBorders>
                    <w:tl2br w:val="nil"/>
                    <w:tr2bl w:val="nil"/>
                  </w:tcBorders>
                  <w:noWrap w:val="0"/>
                  <w:vAlign w:val="center"/>
                </w:tcPr>
                <w:p w14:paraId="54461A2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p>
              </w:tc>
              <w:tc>
                <w:tcPr>
                  <w:tcW w:w="556" w:type="pct"/>
                  <w:tcBorders>
                    <w:tl2br w:val="nil"/>
                    <w:tr2bl w:val="nil"/>
                  </w:tcBorders>
                  <w:noWrap w:val="0"/>
                  <w:vAlign w:val="center"/>
                </w:tcPr>
                <w:p w14:paraId="3A8B4AE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r>
                    <w:rPr>
                      <w:rFonts w:hint="default" w:ascii="Times New Roman" w:hAnsi="Times New Roman" w:eastAsia="宋体" w:cs="Times New Roman"/>
                      <w:spacing w:val="11"/>
                      <w:position w:val="0"/>
                      <w:szCs w:val="21"/>
                      <w:u w:val="none" w:color="auto"/>
                    </w:rPr>
                    <w:t>配电房</w:t>
                  </w:r>
                </w:p>
              </w:tc>
              <w:tc>
                <w:tcPr>
                  <w:tcW w:w="3335" w:type="pct"/>
                  <w:tcBorders>
                    <w:tl2br w:val="nil"/>
                    <w:tr2bl w:val="nil"/>
                  </w:tcBorders>
                  <w:noWrap w:val="0"/>
                  <w:vAlign w:val="center"/>
                </w:tcPr>
                <w:p w14:paraId="5C580CA8">
                  <w:pPr>
                    <w:keepNext w:val="0"/>
                    <w:keepLines w:val="0"/>
                    <w:pageBreakBefore w:val="0"/>
                    <w:widowControl w:val="0"/>
                    <w:kinsoku/>
                    <w:wordWrap/>
                    <w:overflowPunct/>
                    <w:topLinePunct w:val="0"/>
                    <w:autoSpaceDE/>
                    <w:autoSpaceDN/>
                    <w:bidi w:val="0"/>
                    <w:spacing w:before="21" w:line="300" w:lineRule="exact"/>
                    <w:jc w:val="both"/>
                    <w:textAlignment w:val="auto"/>
                    <w:rPr>
                      <w:rFonts w:hint="default" w:ascii="Times New Roman" w:hAnsi="Times New Roman" w:eastAsia="宋体" w:cs="Times New Roman"/>
                      <w:spacing w:val="11"/>
                      <w:kern w:val="0"/>
                      <w:position w:val="0"/>
                      <w:szCs w:val="21"/>
                      <w:u w:val="none" w:color="auto"/>
                      <w:lang w:val="en-US" w:bidi="zh-CN"/>
                    </w:rPr>
                  </w:pPr>
                  <w:r>
                    <w:rPr>
                      <w:rFonts w:hint="default" w:ascii="Times New Roman" w:hAnsi="Times New Roman" w:eastAsia="宋体" w:cs="Times New Roman"/>
                      <w:spacing w:val="11"/>
                      <w:kern w:val="0"/>
                      <w:position w:val="0"/>
                      <w:szCs w:val="21"/>
                      <w:u w:val="none" w:color="auto"/>
                      <w:lang w:val="en-US" w:bidi="zh-CN"/>
                    </w:rPr>
                    <w:t>1F，砖混结构，主要用电设备为空压机、照明，建筑面积20m</w:t>
                  </w:r>
                  <w:r>
                    <w:rPr>
                      <w:rFonts w:hint="default" w:ascii="Times New Roman" w:hAnsi="Times New Roman" w:eastAsia="宋体" w:cs="Times New Roman"/>
                      <w:spacing w:val="11"/>
                      <w:kern w:val="0"/>
                      <w:position w:val="0"/>
                      <w:szCs w:val="21"/>
                      <w:u w:val="none" w:color="auto"/>
                      <w:vertAlign w:val="superscript"/>
                      <w:lang w:val="en-US" w:bidi="zh-CN"/>
                    </w:rPr>
                    <w:t>2</w:t>
                  </w:r>
                  <w:r>
                    <w:rPr>
                      <w:rFonts w:hint="default" w:ascii="Times New Roman" w:hAnsi="Times New Roman" w:eastAsia="宋体" w:cs="Times New Roman"/>
                      <w:spacing w:val="11"/>
                      <w:kern w:val="0"/>
                      <w:position w:val="0"/>
                      <w:szCs w:val="21"/>
                      <w:u w:val="none" w:color="auto"/>
                      <w:lang w:val="en-US" w:bidi="zh-CN"/>
                    </w:rPr>
                    <w:t>。</w:t>
                  </w:r>
                </w:p>
              </w:tc>
              <w:tc>
                <w:tcPr>
                  <w:tcW w:w="573" w:type="pct"/>
                  <w:tcBorders>
                    <w:tl2br w:val="nil"/>
                    <w:tr2bl w:val="nil"/>
                  </w:tcBorders>
                  <w:noWrap w:val="0"/>
                  <w:vAlign w:val="center"/>
                </w:tcPr>
                <w:p w14:paraId="6546A433">
                  <w:pPr>
                    <w:keepNext w:val="0"/>
                    <w:keepLines w:val="0"/>
                    <w:pageBreakBefore w:val="0"/>
                    <w:widowControl w:val="0"/>
                    <w:kinsoku/>
                    <w:wordWrap/>
                    <w:overflowPunct/>
                    <w:topLinePunct w:val="0"/>
                    <w:autoSpaceDE/>
                    <w:autoSpaceDN/>
                    <w:bidi w:val="0"/>
                    <w:spacing w:before="21" w:line="300" w:lineRule="exact"/>
                    <w:jc w:val="center"/>
                    <w:textAlignment w:val="auto"/>
                    <w:rPr>
                      <w:rFonts w:hint="default" w:ascii="Times New Roman" w:hAnsi="Times New Roman" w:eastAsia="宋体" w:cs="Times New Roman"/>
                      <w:spacing w:val="11"/>
                      <w:kern w:val="0"/>
                      <w:position w:val="0"/>
                      <w:szCs w:val="21"/>
                      <w:u w:val="none" w:color="auto"/>
                      <w:lang w:val="zh-CN" w:eastAsia="zh-CN" w:bidi="zh-CN"/>
                    </w:rPr>
                  </w:pPr>
                  <w:r>
                    <w:rPr>
                      <w:rFonts w:hint="default" w:ascii="Times New Roman" w:hAnsi="Times New Roman" w:eastAsia="宋体" w:cs="Times New Roman"/>
                      <w:spacing w:val="11"/>
                      <w:kern w:val="0"/>
                      <w:position w:val="0"/>
                      <w:szCs w:val="21"/>
                      <w:u w:val="none" w:color="auto"/>
                      <w:lang w:val="zh-CN" w:eastAsia="zh-CN" w:bidi="zh-CN"/>
                    </w:rPr>
                    <w:t>新建</w:t>
                  </w:r>
                </w:p>
              </w:tc>
            </w:tr>
            <w:tr w14:paraId="11BD3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4" w:type="pct"/>
                  <w:vMerge w:val="continue"/>
                  <w:tcBorders>
                    <w:tl2br w:val="nil"/>
                    <w:tr2bl w:val="nil"/>
                  </w:tcBorders>
                  <w:noWrap w:val="0"/>
                  <w:vAlign w:val="center"/>
                </w:tcPr>
                <w:p w14:paraId="0AEE170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p>
              </w:tc>
              <w:tc>
                <w:tcPr>
                  <w:tcW w:w="556" w:type="pct"/>
                  <w:tcBorders>
                    <w:tl2br w:val="nil"/>
                    <w:tr2bl w:val="nil"/>
                  </w:tcBorders>
                  <w:noWrap w:val="0"/>
                  <w:vAlign w:val="center"/>
                </w:tcPr>
                <w:p w14:paraId="5340FE9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材料库房</w:t>
                  </w:r>
                </w:p>
              </w:tc>
              <w:tc>
                <w:tcPr>
                  <w:tcW w:w="3335" w:type="pct"/>
                  <w:tcBorders>
                    <w:tl2br w:val="nil"/>
                    <w:tr2bl w:val="nil"/>
                  </w:tcBorders>
                  <w:noWrap w:val="0"/>
                  <w:vAlign w:val="center"/>
                </w:tcPr>
                <w:p w14:paraId="0DFA7026">
                  <w:pPr>
                    <w:keepNext w:val="0"/>
                    <w:keepLines w:val="0"/>
                    <w:pageBreakBefore w:val="0"/>
                    <w:widowControl w:val="0"/>
                    <w:kinsoku/>
                    <w:wordWrap/>
                    <w:overflowPunct/>
                    <w:topLinePunct w:val="0"/>
                    <w:autoSpaceDE/>
                    <w:autoSpaceDN/>
                    <w:bidi w:val="0"/>
                    <w:spacing w:before="21" w:line="300" w:lineRule="exact"/>
                    <w:jc w:val="both"/>
                    <w:textAlignment w:val="auto"/>
                    <w:rPr>
                      <w:rFonts w:hint="default" w:ascii="Times New Roman" w:hAnsi="Times New Roman" w:eastAsia="宋体" w:cs="Times New Roman"/>
                      <w:spacing w:val="11"/>
                      <w:kern w:val="0"/>
                      <w:position w:val="0"/>
                      <w:szCs w:val="21"/>
                      <w:u w:val="none" w:color="auto"/>
                      <w:lang w:val="en-US" w:bidi="zh-CN"/>
                    </w:rPr>
                  </w:pPr>
                  <w:r>
                    <w:rPr>
                      <w:rFonts w:hint="default" w:ascii="Times New Roman" w:hAnsi="Times New Roman" w:eastAsia="宋体" w:cs="Times New Roman"/>
                      <w:spacing w:val="11"/>
                      <w:kern w:val="0"/>
                      <w:position w:val="0"/>
                      <w:szCs w:val="21"/>
                      <w:u w:val="none" w:color="auto"/>
                      <w:lang w:val="en-US" w:bidi="zh-CN"/>
                    </w:rPr>
                    <w:t>用于机修零件、设备、消防器材存放，建筑面积50m</w:t>
                  </w:r>
                  <w:r>
                    <w:rPr>
                      <w:rFonts w:hint="default" w:ascii="Times New Roman" w:hAnsi="Times New Roman" w:eastAsia="宋体" w:cs="Times New Roman"/>
                      <w:spacing w:val="11"/>
                      <w:kern w:val="0"/>
                      <w:position w:val="0"/>
                      <w:szCs w:val="21"/>
                      <w:u w:val="none" w:color="auto"/>
                      <w:vertAlign w:val="superscript"/>
                      <w:lang w:val="en-US" w:bidi="zh-CN"/>
                    </w:rPr>
                    <w:t>2</w:t>
                  </w:r>
                  <w:r>
                    <w:rPr>
                      <w:rFonts w:hint="default" w:ascii="Times New Roman" w:hAnsi="Times New Roman" w:eastAsia="宋体" w:cs="Times New Roman"/>
                      <w:spacing w:val="11"/>
                      <w:kern w:val="0"/>
                      <w:position w:val="0"/>
                      <w:szCs w:val="21"/>
                      <w:u w:val="none" w:color="auto"/>
                      <w:vertAlign w:val="baseline"/>
                      <w:lang w:val="en-US" w:bidi="zh-CN"/>
                    </w:rPr>
                    <w:t>。</w:t>
                  </w:r>
                </w:p>
              </w:tc>
              <w:tc>
                <w:tcPr>
                  <w:tcW w:w="573" w:type="pct"/>
                  <w:tcBorders>
                    <w:tl2br w:val="nil"/>
                    <w:tr2bl w:val="nil"/>
                  </w:tcBorders>
                  <w:noWrap w:val="0"/>
                  <w:vAlign w:val="center"/>
                </w:tcPr>
                <w:p w14:paraId="51A7E727">
                  <w:pPr>
                    <w:keepNext w:val="0"/>
                    <w:keepLines w:val="0"/>
                    <w:pageBreakBefore w:val="0"/>
                    <w:widowControl w:val="0"/>
                    <w:kinsoku/>
                    <w:wordWrap/>
                    <w:overflowPunct/>
                    <w:topLinePunct w:val="0"/>
                    <w:autoSpaceDE/>
                    <w:autoSpaceDN/>
                    <w:bidi w:val="0"/>
                    <w:spacing w:before="21" w:line="300" w:lineRule="exact"/>
                    <w:jc w:val="center"/>
                    <w:textAlignment w:val="auto"/>
                    <w:rPr>
                      <w:rFonts w:hint="default" w:ascii="Times New Roman" w:hAnsi="Times New Roman" w:eastAsia="宋体" w:cs="Times New Roman"/>
                      <w:spacing w:val="11"/>
                      <w:kern w:val="0"/>
                      <w:position w:val="0"/>
                      <w:szCs w:val="21"/>
                      <w:u w:val="none" w:color="auto"/>
                      <w:lang w:val="zh-CN" w:eastAsia="zh-CN" w:bidi="zh-CN"/>
                    </w:rPr>
                  </w:pPr>
                  <w:r>
                    <w:rPr>
                      <w:rFonts w:hint="default" w:ascii="Times New Roman" w:hAnsi="Times New Roman" w:eastAsia="宋体" w:cs="Times New Roman"/>
                      <w:spacing w:val="11"/>
                      <w:kern w:val="0"/>
                      <w:position w:val="0"/>
                      <w:szCs w:val="21"/>
                      <w:u w:val="none" w:color="auto"/>
                      <w:lang w:val="zh-CN" w:eastAsia="zh-CN" w:bidi="zh-CN"/>
                    </w:rPr>
                    <w:t>新建</w:t>
                  </w:r>
                </w:p>
              </w:tc>
            </w:tr>
            <w:tr w14:paraId="2D0455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4" w:type="pct"/>
                  <w:vMerge w:val="continue"/>
                  <w:tcBorders>
                    <w:tl2br w:val="nil"/>
                    <w:tr2bl w:val="nil"/>
                  </w:tcBorders>
                  <w:noWrap w:val="0"/>
                  <w:vAlign w:val="center"/>
                </w:tcPr>
                <w:p w14:paraId="3DB6A81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p>
              </w:tc>
              <w:tc>
                <w:tcPr>
                  <w:tcW w:w="556" w:type="pct"/>
                  <w:tcBorders>
                    <w:tl2br w:val="nil"/>
                    <w:tr2bl w:val="nil"/>
                  </w:tcBorders>
                  <w:noWrap w:val="0"/>
                  <w:vAlign w:val="center"/>
                </w:tcPr>
                <w:p w14:paraId="14F5D64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其他</w:t>
                  </w:r>
                </w:p>
              </w:tc>
              <w:tc>
                <w:tcPr>
                  <w:tcW w:w="3335" w:type="pct"/>
                  <w:tcBorders>
                    <w:tl2br w:val="nil"/>
                    <w:tr2bl w:val="nil"/>
                  </w:tcBorders>
                  <w:noWrap w:val="0"/>
                  <w:vAlign w:val="center"/>
                </w:tcPr>
                <w:p w14:paraId="662FE06B">
                  <w:pPr>
                    <w:keepNext w:val="0"/>
                    <w:keepLines w:val="0"/>
                    <w:pageBreakBefore w:val="0"/>
                    <w:widowControl w:val="0"/>
                    <w:kinsoku/>
                    <w:wordWrap/>
                    <w:overflowPunct/>
                    <w:topLinePunct w:val="0"/>
                    <w:autoSpaceDE/>
                    <w:autoSpaceDN/>
                    <w:bidi w:val="0"/>
                    <w:spacing w:before="21" w:line="300" w:lineRule="exact"/>
                    <w:jc w:val="both"/>
                    <w:textAlignment w:val="auto"/>
                    <w:rPr>
                      <w:rFonts w:hint="default" w:ascii="Times New Roman" w:hAnsi="Times New Roman" w:eastAsia="宋体" w:cs="Times New Roman"/>
                      <w:spacing w:val="11"/>
                      <w:kern w:val="0"/>
                      <w:position w:val="0"/>
                      <w:szCs w:val="21"/>
                      <w:u w:val="none" w:color="auto"/>
                      <w:lang w:val="en-US" w:bidi="zh-CN"/>
                    </w:rPr>
                  </w:pPr>
                  <w:r>
                    <w:rPr>
                      <w:rFonts w:hint="default" w:ascii="Times New Roman" w:hAnsi="Times New Roman" w:eastAsia="宋体" w:cs="Times New Roman"/>
                      <w:spacing w:val="11"/>
                      <w:kern w:val="0"/>
                      <w:position w:val="0"/>
                      <w:szCs w:val="21"/>
                      <w:u w:val="none" w:color="auto"/>
                      <w:lang w:val="en-US" w:bidi="zh-CN"/>
                    </w:rPr>
                    <w:t>矿山大、中、小修及汽修均由外协解决，仅对设备进行日常维护；矿山爆破工作均委托当地具有资质的爆破公司承担，矿山不设置炸药库。</w:t>
                  </w:r>
                </w:p>
              </w:tc>
              <w:tc>
                <w:tcPr>
                  <w:tcW w:w="573" w:type="pct"/>
                  <w:tcBorders>
                    <w:tl2br w:val="nil"/>
                    <w:tr2bl w:val="nil"/>
                  </w:tcBorders>
                  <w:noWrap w:val="0"/>
                  <w:vAlign w:val="center"/>
                </w:tcPr>
                <w:p w14:paraId="7EAC16ED">
                  <w:pPr>
                    <w:keepNext w:val="0"/>
                    <w:keepLines w:val="0"/>
                    <w:pageBreakBefore w:val="0"/>
                    <w:widowControl w:val="0"/>
                    <w:kinsoku/>
                    <w:wordWrap/>
                    <w:overflowPunct/>
                    <w:topLinePunct w:val="0"/>
                    <w:autoSpaceDE/>
                    <w:autoSpaceDN/>
                    <w:bidi w:val="0"/>
                    <w:spacing w:before="21" w:line="300" w:lineRule="exact"/>
                    <w:jc w:val="center"/>
                    <w:textAlignment w:val="auto"/>
                    <w:rPr>
                      <w:rFonts w:hint="default" w:ascii="Times New Roman" w:hAnsi="Times New Roman" w:eastAsia="宋体" w:cs="Times New Roman"/>
                      <w:spacing w:val="11"/>
                      <w:kern w:val="0"/>
                      <w:position w:val="0"/>
                      <w:szCs w:val="21"/>
                      <w:u w:val="none" w:color="auto"/>
                      <w:lang w:val="en-US" w:eastAsia="zh-CN" w:bidi="zh-CN"/>
                    </w:rPr>
                  </w:pPr>
                  <w:r>
                    <w:rPr>
                      <w:rFonts w:hint="default" w:ascii="Times New Roman" w:hAnsi="Times New Roman" w:eastAsia="宋体" w:cs="Times New Roman"/>
                      <w:spacing w:val="11"/>
                      <w:kern w:val="0"/>
                      <w:position w:val="0"/>
                      <w:szCs w:val="21"/>
                      <w:u w:val="none" w:color="auto"/>
                      <w:lang w:val="en-US" w:eastAsia="zh-CN" w:bidi="zh-CN"/>
                    </w:rPr>
                    <w:t>新建</w:t>
                  </w:r>
                </w:p>
              </w:tc>
            </w:tr>
            <w:tr w14:paraId="501748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4" w:type="pct"/>
                  <w:vMerge w:val="restart"/>
                  <w:tcBorders>
                    <w:tl2br w:val="nil"/>
                    <w:tr2bl w:val="nil"/>
                  </w:tcBorders>
                  <w:noWrap w:val="0"/>
                  <w:vAlign w:val="center"/>
                </w:tcPr>
                <w:p w14:paraId="557621D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储运工程</w:t>
                  </w:r>
                </w:p>
              </w:tc>
              <w:tc>
                <w:tcPr>
                  <w:tcW w:w="556" w:type="pct"/>
                  <w:tcBorders>
                    <w:tl2br w:val="nil"/>
                    <w:tr2bl w:val="nil"/>
                  </w:tcBorders>
                  <w:shd w:val="clear" w:color="auto" w:fill="auto"/>
                  <w:noWrap w:val="0"/>
                  <w:vAlign w:val="center"/>
                </w:tcPr>
                <w:p w14:paraId="464868C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Cs w:val="21"/>
                      <w:u w:val="none" w:color="auto"/>
                      <w:lang w:val="en-US" w:eastAsia="zh-CN"/>
                    </w:rPr>
                    <w:t>排土场</w:t>
                  </w:r>
                </w:p>
              </w:tc>
              <w:tc>
                <w:tcPr>
                  <w:tcW w:w="3335" w:type="pct"/>
                  <w:tcBorders>
                    <w:tl2br w:val="nil"/>
                    <w:tr2bl w:val="nil"/>
                  </w:tcBorders>
                  <w:shd w:val="clear" w:color="auto" w:fill="auto"/>
                  <w:noWrap w:val="0"/>
                  <w:vAlign w:val="center"/>
                </w:tcPr>
                <w:p w14:paraId="197CB838">
                  <w:pPr>
                    <w:keepNext w:val="0"/>
                    <w:keepLines w:val="0"/>
                    <w:pageBreakBefore w:val="0"/>
                    <w:widowControl w:val="0"/>
                    <w:kinsoku/>
                    <w:wordWrap/>
                    <w:overflowPunct/>
                    <w:topLinePunct w:val="0"/>
                    <w:autoSpaceDE/>
                    <w:autoSpaceDN/>
                    <w:bidi w:val="0"/>
                    <w:spacing w:before="21" w:line="300" w:lineRule="exact"/>
                    <w:jc w:val="both"/>
                    <w:textAlignment w:val="auto"/>
                    <w:rPr>
                      <w:rFonts w:hint="default" w:ascii="Times New Roman" w:hAnsi="Times New Roman" w:eastAsia="宋体" w:cs="Times New Roman"/>
                      <w:spacing w:val="11"/>
                      <w:kern w:val="0"/>
                      <w:position w:val="0"/>
                      <w:sz w:val="21"/>
                      <w:szCs w:val="21"/>
                      <w:u w:val="none" w:color="auto"/>
                      <w:lang w:val="en-US" w:eastAsia="zh-CN" w:bidi="zh-CN"/>
                    </w:rPr>
                  </w:pPr>
                  <w:r>
                    <w:rPr>
                      <w:rFonts w:hint="default" w:ascii="Times New Roman" w:hAnsi="Times New Roman" w:eastAsia="宋体" w:cs="Times New Roman"/>
                      <w:spacing w:val="11"/>
                      <w:kern w:val="0"/>
                      <w:position w:val="0"/>
                      <w:szCs w:val="21"/>
                      <w:u w:val="none" w:color="auto"/>
                      <w:lang w:val="en-US" w:bidi="zh-CN"/>
                    </w:rPr>
                    <w:t>位于</w:t>
                  </w:r>
                  <w:r>
                    <w:rPr>
                      <w:rFonts w:hint="default" w:ascii="Times New Roman" w:hAnsi="Times New Roman" w:eastAsia="宋体" w:cs="Times New Roman"/>
                      <w:spacing w:val="11"/>
                      <w:kern w:val="0"/>
                      <w:position w:val="0"/>
                      <w:szCs w:val="21"/>
                      <w:u w:val="none" w:color="auto"/>
                      <w:lang w:val="en-US" w:eastAsia="zh-CN" w:bidi="zh-CN"/>
                    </w:rPr>
                    <w:t>矿区西</w:t>
                  </w:r>
                  <w:r>
                    <w:rPr>
                      <w:rFonts w:hint="default" w:ascii="Times New Roman" w:hAnsi="Times New Roman" w:eastAsia="宋体" w:cs="Times New Roman"/>
                      <w:spacing w:val="11"/>
                      <w:kern w:val="0"/>
                      <w:position w:val="0"/>
                      <w:szCs w:val="21"/>
                      <w:u w:val="none" w:color="auto"/>
                      <w:lang w:val="en-US" w:bidi="zh-CN"/>
                    </w:rPr>
                    <w:t>南侧，面积</w:t>
                  </w:r>
                  <w:r>
                    <w:rPr>
                      <w:rFonts w:hint="default" w:ascii="Times New Roman" w:hAnsi="Times New Roman" w:cs="Times New Roman"/>
                      <w:spacing w:val="11"/>
                      <w:kern w:val="0"/>
                      <w:position w:val="0"/>
                      <w:szCs w:val="21"/>
                      <w:u w:val="none" w:color="auto"/>
                      <w:lang w:val="en-US" w:eastAsia="zh-CN" w:bidi="zh-CN"/>
                    </w:rPr>
                    <w:t>7200</w:t>
                  </w:r>
                  <w:r>
                    <w:rPr>
                      <w:rFonts w:hint="default" w:ascii="Times New Roman" w:hAnsi="Times New Roman" w:eastAsia="宋体" w:cs="Times New Roman"/>
                      <w:spacing w:val="11"/>
                      <w:kern w:val="0"/>
                      <w:position w:val="0"/>
                      <w:szCs w:val="21"/>
                      <w:u w:val="none" w:color="auto"/>
                      <w:lang w:val="en-US" w:bidi="zh-CN"/>
                    </w:rPr>
                    <w:t>m</w:t>
                  </w:r>
                  <w:r>
                    <w:rPr>
                      <w:rFonts w:hint="default" w:ascii="Times New Roman" w:hAnsi="Times New Roman" w:eastAsia="宋体" w:cs="Times New Roman"/>
                      <w:spacing w:val="11"/>
                      <w:kern w:val="0"/>
                      <w:position w:val="0"/>
                      <w:szCs w:val="21"/>
                      <w:u w:val="none" w:color="auto"/>
                      <w:vertAlign w:val="superscript"/>
                      <w:lang w:val="en-US" w:bidi="zh-CN"/>
                    </w:rPr>
                    <w:t>2</w:t>
                  </w:r>
                  <w:r>
                    <w:rPr>
                      <w:rFonts w:hint="default" w:ascii="Times New Roman" w:hAnsi="Times New Roman" w:eastAsia="宋体" w:cs="Times New Roman"/>
                      <w:spacing w:val="11"/>
                      <w:kern w:val="0"/>
                      <w:position w:val="0"/>
                      <w:szCs w:val="21"/>
                      <w:u w:val="none" w:color="auto"/>
                      <w:lang w:val="en-US" w:bidi="zh-CN"/>
                    </w:rPr>
                    <w:t>，用于堆放矿山剥离的表土及废土石，分区堆放，排土场场地为凹陷式采坑，可堆置面积约7200m</w:t>
                  </w:r>
                  <w:r>
                    <w:rPr>
                      <w:rFonts w:hint="default" w:ascii="Times New Roman" w:hAnsi="Times New Roman" w:eastAsia="宋体" w:cs="Times New Roman"/>
                      <w:spacing w:val="11"/>
                      <w:kern w:val="0"/>
                      <w:position w:val="0"/>
                      <w:szCs w:val="21"/>
                      <w:u w:val="none" w:color="auto"/>
                      <w:vertAlign w:val="superscript"/>
                      <w:lang w:val="en-US" w:bidi="zh-CN"/>
                    </w:rPr>
                    <w:t>2</w:t>
                  </w:r>
                  <w:r>
                    <w:rPr>
                      <w:rFonts w:hint="default" w:ascii="Times New Roman" w:hAnsi="Times New Roman" w:eastAsia="宋体" w:cs="Times New Roman"/>
                      <w:spacing w:val="11"/>
                      <w:kern w:val="0"/>
                      <w:position w:val="0"/>
                      <w:szCs w:val="21"/>
                      <w:u w:val="none" w:color="auto"/>
                      <w:lang w:val="en-US" w:bidi="zh-CN"/>
                    </w:rPr>
                    <w:t>，堆土高度约8m，容积约5.76万m</w:t>
                  </w:r>
                  <w:r>
                    <w:rPr>
                      <w:rFonts w:hint="default" w:ascii="Times New Roman" w:hAnsi="Times New Roman" w:eastAsia="宋体" w:cs="Times New Roman"/>
                      <w:spacing w:val="11"/>
                      <w:kern w:val="0"/>
                      <w:position w:val="0"/>
                      <w:szCs w:val="21"/>
                      <w:u w:val="none" w:color="auto"/>
                      <w:vertAlign w:val="superscript"/>
                      <w:lang w:val="en-US" w:bidi="zh-CN"/>
                    </w:rPr>
                    <w:t>3</w:t>
                  </w:r>
                  <w:r>
                    <w:rPr>
                      <w:rFonts w:hint="default" w:ascii="Times New Roman" w:hAnsi="Times New Roman" w:cs="Times New Roman"/>
                      <w:spacing w:val="11"/>
                      <w:kern w:val="0"/>
                      <w:position w:val="0"/>
                      <w:szCs w:val="21"/>
                      <w:u w:val="none" w:color="auto"/>
                      <w:lang w:val="en-US" w:bidi="zh-CN"/>
                    </w:rPr>
                    <w:t>。</w:t>
                  </w:r>
                </w:p>
              </w:tc>
              <w:tc>
                <w:tcPr>
                  <w:tcW w:w="573" w:type="pct"/>
                  <w:tcBorders>
                    <w:tl2br w:val="nil"/>
                    <w:tr2bl w:val="nil"/>
                  </w:tcBorders>
                  <w:shd w:val="clear" w:color="auto" w:fill="auto"/>
                  <w:noWrap w:val="0"/>
                  <w:vAlign w:val="center"/>
                </w:tcPr>
                <w:p w14:paraId="5FBD5780">
                  <w:pPr>
                    <w:keepNext w:val="0"/>
                    <w:keepLines w:val="0"/>
                    <w:pageBreakBefore w:val="0"/>
                    <w:widowControl w:val="0"/>
                    <w:kinsoku/>
                    <w:wordWrap/>
                    <w:overflowPunct/>
                    <w:topLinePunct w:val="0"/>
                    <w:autoSpaceDE/>
                    <w:autoSpaceDN/>
                    <w:bidi w:val="0"/>
                    <w:spacing w:before="21" w:line="300" w:lineRule="exact"/>
                    <w:jc w:val="center"/>
                    <w:textAlignment w:val="auto"/>
                    <w:rPr>
                      <w:rFonts w:hint="default" w:ascii="Times New Roman" w:hAnsi="Times New Roman" w:eastAsia="宋体" w:cs="Times New Roman"/>
                      <w:spacing w:val="11"/>
                      <w:kern w:val="0"/>
                      <w:position w:val="0"/>
                      <w:sz w:val="21"/>
                      <w:szCs w:val="21"/>
                      <w:u w:val="none" w:color="auto"/>
                      <w:lang w:val="en-US" w:eastAsia="zh-CN" w:bidi="zh-CN"/>
                    </w:rPr>
                  </w:pPr>
                  <w:r>
                    <w:rPr>
                      <w:rFonts w:hint="default" w:ascii="Times New Roman" w:hAnsi="Times New Roman" w:eastAsia="宋体" w:cs="Times New Roman"/>
                      <w:spacing w:val="11"/>
                      <w:kern w:val="0"/>
                      <w:position w:val="0"/>
                      <w:szCs w:val="21"/>
                      <w:highlight w:val="none"/>
                      <w:u w:val="none" w:color="auto"/>
                      <w:lang w:val="en-US" w:eastAsia="zh-CN" w:bidi="zh-CN"/>
                    </w:rPr>
                    <w:t>依托现有</w:t>
                  </w:r>
                  <w:r>
                    <w:rPr>
                      <w:rFonts w:hint="eastAsia" w:cs="Times New Roman"/>
                      <w:spacing w:val="11"/>
                      <w:kern w:val="0"/>
                      <w:position w:val="0"/>
                      <w:szCs w:val="21"/>
                      <w:highlight w:val="none"/>
                      <w:u w:val="none" w:color="auto"/>
                      <w:lang w:val="en-US" w:eastAsia="zh-CN" w:bidi="zh-CN"/>
                    </w:rPr>
                    <w:t>采坑</w:t>
                  </w:r>
                </w:p>
              </w:tc>
            </w:tr>
            <w:tr w14:paraId="3494A4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4" w:type="pct"/>
                  <w:vMerge w:val="continue"/>
                  <w:tcBorders>
                    <w:tl2br w:val="nil"/>
                    <w:tr2bl w:val="nil"/>
                  </w:tcBorders>
                  <w:noWrap w:val="0"/>
                  <w:vAlign w:val="center"/>
                </w:tcPr>
                <w:p w14:paraId="45CD2BF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c>
                <w:tcPr>
                  <w:tcW w:w="556" w:type="pct"/>
                  <w:tcBorders>
                    <w:tl2br w:val="nil"/>
                    <w:tr2bl w:val="nil"/>
                  </w:tcBorders>
                  <w:shd w:val="clear" w:color="auto" w:fill="auto"/>
                  <w:noWrap w:val="0"/>
                  <w:vAlign w:val="center"/>
                </w:tcPr>
                <w:p w14:paraId="35D0CB1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single" w:color="auto"/>
                      <w:lang w:val="en-US" w:eastAsia="zh-CN" w:bidi="ar-SA"/>
                    </w:rPr>
                  </w:pPr>
                  <w:r>
                    <w:rPr>
                      <w:rFonts w:hint="default" w:ascii="Times New Roman" w:hAnsi="Times New Roman" w:eastAsia="宋体" w:cs="Times New Roman"/>
                      <w:spacing w:val="11"/>
                      <w:position w:val="0"/>
                      <w:szCs w:val="21"/>
                      <w:u w:val="single" w:color="auto"/>
                      <w:lang w:val="en-US" w:eastAsia="zh-CN"/>
                    </w:rPr>
                    <w:t>进场道路</w:t>
                  </w:r>
                </w:p>
              </w:tc>
              <w:tc>
                <w:tcPr>
                  <w:tcW w:w="3335" w:type="pct"/>
                  <w:tcBorders>
                    <w:tl2br w:val="nil"/>
                    <w:tr2bl w:val="nil"/>
                  </w:tcBorders>
                  <w:shd w:val="clear" w:color="auto" w:fill="auto"/>
                  <w:noWrap w:val="0"/>
                  <w:vAlign w:val="center"/>
                </w:tcPr>
                <w:p w14:paraId="5D87BDBC">
                  <w:pPr>
                    <w:keepNext w:val="0"/>
                    <w:keepLines w:val="0"/>
                    <w:pageBreakBefore w:val="0"/>
                    <w:widowControl w:val="0"/>
                    <w:kinsoku/>
                    <w:wordWrap/>
                    <w:overflowPunct/>
                    <w:topLinePunct w:val="0"/>
                    <w:autoSpaceDE/>
                    <w:autoSpaceDN/>
                    <w:bidi w:val="0"/>
                    <w:spacing w:before="21" w:line="300" w:lineRule="exact"/>
                    <w:jc w:val="both"/>
                    <w:textAlignment w:val="auto"/>
                    <w:rPr>
                      <w:rFonts w:hint="default" w:ascii="Times New Roman" w:hAnsi="Times New Roman" w:eastAsia="宋体" w:cs="Times New Roman"/>
                      <w:spacing w:val="11"/>
                      <w:kern w:val="0"/>
                      <w:position w:val="0"/>
                      <w:sz w:val="21"/>
                      <w:szCs w:val="21"/>
                      <w:u w:val="single" w:color="auto"/>
                      <w:lang w:val="en-US" w:eastAsia="zh-CN" w:bidi="zh-CN"/>
                    </w:rPr>
                  </w:pPr>
                  <w:r>
                    <w:rPr>
                      <w:rFonts w:hint="default" w:ascii="Times New Roman" w:hAnsi="Times New Roman" w:eastAsia="宋体" w:cs="Times New Roman"/>
                      <w:spacing w:val="11"/>
                      <w:kern w:val="0"/>
                      <w:position w:val="0"/>
                      <w:szCs w:val="21"/>
                      <w:u w:val="single" w:color="auto"/>
                      <w:lang w:val="en-US" w:bidi="zh-CN"/>
                    </w:rPr>
                    <w:t>进场道路利用</w:t>
                  </w:r>
                  <w:r>
                    <w:rPr>
                      <w:rFonts w:hint="default" w:ascii="Times New Roman" w:hAnsi="Times New Roman" w:cs="Times New Roman"/>
                      <w:spacing w:val="11"/>
                      <w:kern w:val="0"/>
                      <w:position w:val="0"/>
                      <w:szCs w:val="21"/>
                      <w:u w:val="single" w:color="auto"/>
                      <w:lang w:val="en-US" w:bidi="zh-CN"/>
                    </w:rPr>
                    <w:t>矿山原有</w:t>
                  </w:r>
                  <w:r>
                    <w:rPr>
                      <w:rFonts w:hint="default" w:ascii="Times New Roman" w:hAnsi="Times New Roman" w:eastAsia="宋体" w:cs="Times New Roman"/>
                      <w:spacing w:val="11"/>
                      <w:kern w:val="0"/>
                      <w:position w:val="0"/>
                      <w:szCs w:val="21"/>
                      <w:u w:val="single" w:color="auto"/>
                      <w:lang w:val="en-US" w:bidi="zh-CN"/>
                    </w:rPr>
                    <w:t>道路加固拓宽，对全部进场道路公里里程约</w:t>
                  </w:r>
                  <w:r>
                    <w:rPr>
                      <w:rFonts w:hint="eastAsia" w:cs="Times New Roman"/>
                      <w:spacing w:val="11"/>
                      <w:kern w:val="0"/>
                      <w:position w:val="0"/>
                      <w:szCs w:val="21"/>
                      <w:u w:val="single" w:color="auto"/>
                      <w:lang w:val="en-US" w:bidi="zh-CN"/>
                    </w:rPr>
                    <w:t>400</w:t>
                  </w:r>
                  <w:r>
                    <w:rPr>
                      <w:rFonts w:hint="default" w:ascii="Times New Roman" w:hAnsi="Times New Roman" w:eastAsia="宋体" w:cs="Times New Roman"/>
                      <w:spacing w:val="11"/>
                      <w:kern w:val="0"/>
                      <w:position w:val="0"/>
                      <w:szCs w:val="21"/>
                      <w:u w:val="single" w:color="auto"/>
                      <w:lang w:val="en-US" w:bidi="zh-CN"/>
                    </w:rPr>
                    <w:t>m，宽约8m进行硬化。</w:t>
                  </w:r>
                </w:p>
              </w:tc>
              <w:tc>
                <w:tcPr>
                  <w:tcW w:w="573" w:type="pct"/>
                  <w:tcBorders>
                    <w:tl2br w:val="nil"/>
                    <w:tr2bl w:val="nil"/>
                  </w:tcBorders>
                  <w:shd w:val="clear" w:color="auto" w:fill="auto"/>
                  <w:noWrap w:val="0"/>
                  <w:vAlign w:val="center"/>
                </w:tcPr>
                <w:p w14:paraId="0C0FECFF">
                  <w:pPr>
                    <w:keepNext w:val="0"/>
                    <w:keepLines w:val="0"/>
                    <w:pageBreakBefore w:val="0"/>
                    <w:widowControl w:val="0"/>
                    <w:kinsoku/>
                    <w:wordWrap/>
                    <w:overflowPunct/>
                    <w:topLinePunct w:val="0"/>
                    <w:autoSpaceDE/>
                    <w:autoSpaceDN/>
                    <w:bidi w:val="0"/>
                    <w:spacing w:before="21" w:line="300" w:lineRule="exact"/>
                    <w:jc w:val="center"/>
                    <w:textAlignment w:val="auto"/>
                    <w:rPr>
                      <w:rFonts w:hint="default" w:ascii="Times New Roman" w:hAnsi="Times New Roman" w:eastAsia="宋体" w:cs="Times New Roman"/>
                      <w:spacing w:val="11"/>
                      <w:kern w:val="0"/>
                      <w:position w:val="0"/>
                      <w:sz w:val="21"/>
                      <w:szCs w:val="21"/>
                      <w:u w:val="none" w:color="auto"/>
                      <w:lang w:val="en-US" w:eastAsia="zh-CN" w:bidi="zh-CN"/>
                    </w:rPr>
                  </w:pPr>
                  <w:r>
                    <w:rPr>
                      <w:rFonts w:hint="eastAsia" w:cs="Times New Roman"/>
                      <w:spacing w:val="11"/>
                      <w:kern w:val="0"/>
                      <w:position w:val="0"/>
                      <w:szCs w:val="21"/>
                      <w:highlight w:val="none"/>
                      <w:u w:val="none" w:color="auto"/>
                      <w:lang w:val="en-US" w:eastAsia="zh-CN" w:bidi="zh-CN"/>
                    </w:rPr>
                    <w:t>新建</w:t>
                  </w:r>
                </w:p>
              </w:tc>
            </w:tr>
            <w:tr w14:paraId="21080A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4" w:type="pct"/>
                  <w:vMerge w:val="continue"/>
                  <w:tcBorders>
                    <w:tl2br w:val="nil"/>
                    <w:tr2bl w:val="nil"/>
                  </w:tcBorders>
                  <w:noWrap w:val="0"/>
                  <w:vAlign w:val="center"/>
                </w:tcPr>
                <w:p w14:paraId="6C5C7E1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p>
              </w:tc>
              <w:tc>
                <w:tcPr>
                  <w:tcW w:w="556" w:type="pct"/>
                  <w:tcBorders>
                    <w:tl2br w:val="nil"/>
                    <w:tr2bl w:val="nil"/>
                  </w:tcBorders>
                  <w:shd w:val="clear" w:color="auto" w:fill="auto"/>
                  <w:noWrap w:val="0"/>
                  <w:vAlign w:val="center"/>
                </w:tcPr>
                <w:p w14:paraId="25702C9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Cs w:val="21"/>
                      <w:u w:val="none" w:color="auto"/>
                      <w:lang w:val="en-US" w:eastAsia="zh-CN"/>
                    </w:rPr>
                    <w:t>矿山道路</w:t>
                  </w:r>
                </w:p>
              </w:tc>
              <w:tc>
                <w:tcPr>
                  <w:tcW w:w="3335" w:type="pct"/>
                  <w:tcBorders>
                    <w:tl2br w:val="nil"/>
                    <w:tr2bl w:val="nil"/>
                  </w:tcBorders>
                  <w:shd w:val="clear" w:color="auto" w:fill="auto"/>
                  <w:noWrap w:val="0"/>
                  <w:vAlign w:val="center"/>
                </w:tcPr>
                <w:p w14:paraId="0D1FAF59">
                  <w:pPr>
                    <w:keepNext w:val="0"/>
                    <w:keepLines w:val="0"/>
                    <w:pageBreakBefore w:val="0"/>
                    <w:widowControl w:val="0"/>
                    <w:kinsoku/>
                    <w:wordWrap/>
                    <w:overflowPunct/>
                    <w:topLinePunct w:val="0"/>
                    <w:autoSpaceDE/>
                    <w:autoSpaceDN/>
                    <w:bidi w:val="0"/>
                    <w:spacing w:before="21" w:line="300" w:lineRule="exact"/>
                    <w:jc w:val="both"/>
                    <w:textAlignment w:val="auto"/>
                    <w:rPr>
                      <w:rFonts w:hint="default" w:ascii="Times New Roman" w:hAnsi="Times New Roman" w:eastAsia="宋体" w:cs="Times New Roman"/>
                      <w:spacing w:val="11"/>
                      <w:kern w:val="0"/>
                      <w:position w:val="0"/>
                      <w:sz w:val="21"/>
                      <w:szCs w:val="21"/>
                      <w:u w:val="none" w:color="auto"/>
                      <w:lang w:val="en-US" w:eastAsia="zh-CN" w:bidi="zh-CN"/>
                    </w:rPr>
                  </w:pPr>
                  <w:r>
                    <w:rPr>
                      <w:rFonts w:hint="default" w:ascii="Times New Roman" w:hAnsi="Times New Roman" w:eastAsia="宋体" w:cs="Times New Roman"/>
                      <w:spacing w:val="11"/>
                      <w:kern w:val="0"/>
                      <w:position w:val="0"/>
                      <w:szCs w:val="21"/>
                      <w:u w:val="none" w:color="auto"/>
                      <w:lang w:val="en-US" w:bidi="zh-CN"/>
                    </w:rPr>
                    <w:t>矿山道路用于挖机、运输车辆上山，进场道路至首采面，长度约</w:t>
                  </w:r>
                  <w:r>
                    <w:rPr>
                      <w:rFonts w:hint="default" w:ascii="Times New Roman" w:hAnsi="Times New Roman" w:cs="Times New Roman"/>
                      <w:spacing w:val="11"/>
                      <w:kern w:val="0"/>
                      <w:position w:val="0"/>
                      <w:szCs w:val="21"/>
                      <w:u w:val="none" w:color="auto"/>
                      <w:lang w:val="en-US" w:bidi="zh-CN"/>
                    </w:rPr>
                    <w:t>250</w:t>
                  </w:r>
                  <w:r>
                    <w:rPr>
                      <w:rFonts w:hint="default" w:ascii="Times New Roman" w:hAnsi="Times New Roman" w:eastAsia="宋体" w:cs="Times New Roman"/>
                      <w:spacing w:val="11"/>
                      <w:kern w:val="0"/>
                      <w:position w:val="0"/>
                      <w:szCs w:val="21"/>
                      <w:u w:val="none" w:color="auto"/>
                      <w:lang w:val="en-US" w:bidi="zh-CN"/>
                    </w:rPr>
                    <w:t>m，道路宽度不小于7m，</w:t>
                  </w:r>
                  <w:r>
                    <w:rPr>
                      <w:rFonts w:hint="default" w:ascii="Times New Roman" w:hAnsi="Times New Roman" w:cs="Times New Roman"/>
                      <w:spacing w:val="11"/>
                      <w:kern w:val="0"/>
                      <w:position w:val="0"/>
                      <w:szCs w:val="21"/>
                      <w:u w:val="none" w:color="auto"/>
                      <w:lang w:val="en-US" w:bidi="zh-CN"/>
                    </w:rPr>
                    <w:t>该部分道路为新拓展道路</w:t>
                  </w:r>
                  <w:r>
                    <w:rPr>
                      <w:rFonts w:hint="default" w:ascii="Times New Roman" w:hAnsi="Times New Roman" w:eastAsia="宋体" w:cs="Times New Roman"/>
                      <w:spacing w:val="11"/>
                      <w:kern w:val="0"/>
                      <w:position w:val="0"/>
                      <w:szCs w:val="21"/>
                      <w:u w:val="none" w:color="auto"/>
                      <w:lang w:val="en-US" w:bidi="zh-CN"/>
                    </w:rPr>
                    <w:t>。</w:t>
                  </w:r>
                </w:p>
              </w:tc>
              <w:tc>
                <w:tcPr>
                  <w:tcW w:w="573" w:type="pct"/>
                  <w:tcBorders>
                    <w:tl2br w:val="nil"/>
                    <w:tr2bl w:val="nil"/>
                  </w:tcBorders>
                  <w:shd w:val="clear" w:color="auto" w:fill="auto"/>
                  <w:noWrap w:val="0"/>
                  <w:vAlign w:val="center"/>
                </w:tcPr>
                <w:p w14:paraId="55A6FE6A">
                  <w:pPr>
                    <w:keepNext w:val="0"/>
                    <w:keepLines w:val="0"/>
                    <w:pageBreakBefore w:val="0"/>
                    <w:widowControl w:val="0"/>
                    <w:kinsoku/>
                    <w:wordWrap/>
                    <w:overflowPunct/>
                    <w:topLinePunct w:val="0"/>
                    <w:autoSpaceDE/>
                    <w:autoSpaceDN/>
                    <w:bidi w:val="0"/>
                    <w:spacing w:before="21" w:line="300" w:lineRule="exact"/>
                    <w:jc w:val="center"/>
                    <w:textAlignment w:val="auto"/>
                    <w:rPr>
                      <w:rFonts w:hint="default" w:ascii="Times New Roman" w:hAnsi="Times New Roman" w:eastAsia="宋体" w:cs="Times New Roman"/>
                      <w:spacing w:val="11"/>
                      <w:kern w:val="0"/>
                      <w:position w:val="0"/>
                      <w:sz w:val="21"/>
                      <w:szCs w:val="21"/>
                      <w:u w:val="none" w:color="auto"/>
                      <w:lang w:val="en-US" w:eastAsia="zh-CN" w:bidi="zh-CN"/>
                    </w:rPr>
                  </w:pPr>
                  <w:r>
                    <w:rPr>
                      <w:rFonts w:hint="default" w:ascii="Times New Roman" w:hAnsi="Times New Roman" w:eastAsia="宋体" w:cs="Times New Roman"/>
                      <w:spacing w:val="11"/>
                      <w:kern w:val="0"/>
                      <w:position w:val="0"/>
                      <w:szCs w:val="21"/>
                      <w:u w:val="none" w:color="auto"/>
                      <w:lang w:val="en-US" w:eastAsia="zh-CN" w:bidi="zh-CN"/>
                    </w:rPr>
                    <w:t>新建</w:t>
                  </w:r>
                </w:p>
              </w:tc>
            </w:tr>
            <w:tr w14:paraId="40C5E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4" w:type="pct"/>
                  <w:vMerge w:val="restart"/>
                  <w:tcBorders>
                    <w:tl2br w:val="nil"/>
                    <w:tr2bl w:val="nil"/>
                  </w:tcBorders>
                  <w:noWrap w:val="0"/>
                  <w:vAlign w:val="center"/>
                </w:tcPr>
                <w:p w14:paraId="346DBE5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r>
                    <w:rPr>
                      <w:rFonts w:hint="default" w:ascii="Times New Roman" w:hAnsi="Times New Roman" w:eastAsia="宋体" w:cs="Times New Roman"/>
                      <w:spacing w:val="11"/>
                      <w:position w:val="0"/>
                      <w:szCs w:val="21"/>
                      <w:u w:val="none" w:color="auto"/>
                    </w:rPr>
                    <w:t>公用</w:t>
                  </w:r>
                </w:p>
                <w:p w14:paraId="1A3083E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r>
                    <w:rPr>
                      <w:rFonts w:hint="default" w:ascii="Times New Roman" w:hAnsi="Times New Roman" w:eastAsia="宋体" w:cs="Times New Roman"/>
                      <w:spacing w:val="11"/>
                      <w:position w:val="0"/>
                      <w:szCs w:val="21"/>
                      <w:u w:val="none" w:color="auto"/>
                    </w:rPr>
                    <w:t>工程</w:t>
                  </w:r>
                </w:p>
              </w:tc>
              <w:tc>
                <w:tcPr>
                  <w:tcW w:w="556" w:type="pct"/>
                  <w:tcBorders>
                    <w:tl2br w:val="nil"/>
                    <w:tr2bl w:val="nil"/>
                  </w:tcBorders>
                  <w:noWrap w:val="0"/>
                  <w:vAlign w:val="center"/>
                </w:tcPr>
                <w:p w14:paraId="14926AD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r>
                    <w:rPr>
                      <w:rFonts w:hint="default" w:ascii="Times New Roman" w:hAnsi="Times New Roman" w:eastAsia="宋体" w:cs="Times New Roman"/>
                      <w:spacing w:val="11"/>
                      <w:position w:val="0"/>
                      <w:szCs w:val="21"/>
                      <w:u w:val="none" w:color="auto"/>
                    </w:rPr>
                    <w:t>供电</w:t>
                  </w:r>
                </w:p>
              </w:tc>
              <w:tc>
                <w:tcPr>
                  <w:tcW w:w="3335" w:type="pct"/>
                  <w:tcBorders>
                    <w:tl2br w:val="nil"/>
                    <w:tr2bl w:val="nil"/>
                  </w:tcBorders>
                  <w:noWrap w:val="0"/>
                  <w:vAlign w:val="center"/>
                </w:tcPr>
                <w:p w14:paraId="75872036">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spacing w:val="11"/>
                      <w:position w:val="0"/>
                      <w:szCs w:val="21"/>
                      <w:u w:val="none" w:color="auto"/>
                    </w:rPr>
                  </w:pPr>
                  <w:r>
                    <w:rPr>
                      <w:rFonts w:hint="default" w:ascii="Times New Roman" w:hAnsi="Times New Roman" w:eastAsia="宋体" w:cs="Times New Roman"/>
                      <w:spacing w:val="11"/>
                      <w:position w:val="0"/>
                      <w:szCs w:val="21"/>
                      <w:u w:val="none" w:color="auto"/>
                    </w:rPr>
                    <w:t>矿山生产生活用电直接从附近的农网10KV农网T接入，用于安装动力线路及设施设备。配置1台变压器，可以满足矿山生产、生活用电。</w:t>
                  </w:r>
                </w:p>
              </w:tc>
              <w:tc>
                <w:tcPr>
                  <w:tcW w:w="573" w:type="pct"/>
                  <w:tcBorders>
                    <w:tl2br w:val="nil"/>
                    <w:tr2bl w:val="nil"/>
                  </w:tcBorders>
                  <w:noWrap w:val="0"/>
                  <w:vAlign w:val="center"/>
                </w:tcPr>
                <w:p w14:paraId="2C7E30AE">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pacing w:val="11"/>
                      <w:position w:val="0"/>
                      <w:szCs w:val="21"/>
                      <w:u w:val="none" w:color="auto"/>
                    </w:rPr>
                  </w:pPr>
                  <w:r>
                    <w:rPr>
                      <w:rFonts w:hint="default" w:ascii="Times New Roman" w:hAnsi="Times New Roman" w:eastAsia="宋体" w:cs="Times New Roman"/>
                      <w:spacing w:val="11"/>
                      <w:position w:val="0"/>
                      <w:szCs w:val="21"/>
                      <w:u w:val="none" w:color="auto"/>
                      <w:lang w:val="en-US" w:eastAsia="zh-CN"/>
                    </w:rPr>
                    <w:t>依托现有</w:t>
                  </w:r>
                </w:p>
              </w:tc>
            </w:tr>
            <w:tr w14:paraId="7D75FF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4" w:type="pct"/>
                  <w:vMerge w:val="continue"/>
                  <w:tcBorders>
                    <w:tl2br w:val="nil"/>
                    <w:tr2bl w:val="nil"/>
                  </w:tcBorders>
                  <w:noWrap w:val="0"/>
                  <w:vAlign w:val="center"/>
                </w:tcPr>
                <w:p w14:paraId="5C5747C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p>
              </w:tc>
              <w:tc>
                <w:tcPr>
                  <w:tcW w:w="556" w:type="pct"/>
                  <w:tcBorders>
                    <w:tl2br w:val="nil"/>
                    <w:tr2bl w:val="nil"/>
                  </w:tcBorders>
                  <w:noWrap w:val="0"/>
                  <w:vAlign w:val="center"/>
                </w:tcPr>
                <w:p w14:paraId="160578E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r>
                    <w:rPr>
                      <w:rFonts w:hint="default" w:ascii="Times New Roman" w:hAnsi="Times New Roman" w:eastAsia="宋体" w:cs="Times New Roman"/>
                      <w:spacing w:val="11"/>
                      <w:position w:val="0"/>
                      <w:szCs w:val="21"/>
                      <w:u w:val="none" w:color="auto"/>
                    </w:rPr>
                    <w:t>供水</w:t>
                  </w:r>
                </w:p>
              </w:tc>
              <w:tc>
                <w:tcPr>
                  <w:tcW w:w="3335" w:type="pct"/>
                  <w:tcBorders>
                    <w:tl2br w:val="nil"/>
                    <w:tr2bl w:val="nil"/>
                  </w:tcBorders>
                  <w:noWrap w:val="0"/>
                  <w:vAlign w:val="center"/>
                </w:tcPr>
                <w:p w14:paraId="79E37524">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项目生产用水、生活用水均依托市政管网供水。</w:t>
                  </w:r>
                </w:p>
              </w:tc>
              <w:tc>
                <w:tcPr>
                  <w:tcW w:w="573" w:type="pct"/>
                  <w:tcBorders>
                    <w:tl2br w:val="nil"/>
                    <w:tr2bl w:val="nil"/>
                  </w:tcBorders>
                  <w:noWrap w:val="0"/>
                  <w:vAlign w:val="center"/>
                </w:tcPr>
                <w:p w14:paraId="691C68E3">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pacing w:val="11"/>
                      <w:position w:val="0"/>
                      <w:szCs w:val="21"/>
                      <w:u w:val="none" w:color="auto"/>
                      <w:lang w:val="en-US"/>
                    </w:rPr>
                  </w:pPr>
                  <w:r>
                    <w:rPr>
                      <w:rFonts w:hint="default" w:ascii="Times New Roman" w:hAnsi="Times New Roman" w:eastAsia="宋体" w:cs="Times New Roman"/>
                      <w:spacing w:val="11"/>
                      <w:position w:val="0"/>
                      <w:szCs w:val="21"/>
                      <w:u w:val="none" w:color="auto"/>
                      <w:lang w:val="en-US" w:eastAsia="zh-CN"/>
                    </w:rPr>
                    <w:t>依托市政管网</w:t>
                  </w:r>
                </w:p>
              </w:tc>
            </w:tr>
            <w:tr w14:paraId="759E0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4" w:type="pct"/>
                  <w:vMerge w:val="restart"/>
                  <w:tcBorders>
                    <w:tl2br w:val="nil"/>
                    <w:tr2bl w:val="nil"/>
                  </w:tcBorders>
                  <w:noWrap w:val="0"/>
                  <w:vAlign w:val="center"/>
                </w:tcPr>
                <w:p w14:paraId="1660E15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r>
                    <w:rPr>
                      <w:rFonts w:hint="default" w:ascii="Times New Roman" w:hAnsi="Times New Roman" w:eastAsia="宋体" w:cs="Times New Roman"/>
                      <w:spacing w:val="11"/>
                      <w:position w:val="0"/>
                      <w:szCs w:val="21"/>
                      <w:u w:val="none" w:color="auto"/>
                    </w:rPr>
                    <w:t>环保</w:t>
                  </w:r>
                </w:p>
                <w:p w14:paraId="16D17A6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r>
                    <w:rPr>
                      <w:rFonts w:hint="default" w:ascii="Times New Roman" w:hAnsi="Times New Roman" w:eastAsia="宋体" w:cs="Times New Roman"/>
                      <w:spacing w:val="11"/>
                      <w:position w:val="0"/>
                      <w:szCs w:val="21"/>
                      <w:u w:val="none" w:color="auto"/>
                    </w:rPr>
                    <w:t>工程</w:t>
                  </w:r>
                </w:p>
              </w:tc>
              <w:tc>
                <w:tcPr>
                  <w:tcW w:w="556" w:type="pct"/>
                  <w:tcBorders>
                    <w:tl2br w:val="nil"/>
                    <w:tr2bl w:val="nil"/>
                  </w:tcBorders>
                  <w:shd w:val="clear" w:color="auto" w:fill="auto"/>
                  <w:noWrap w:val="0"/>
                  <w:vAlign w:val="center"/>
                </w:tcPr>
                <w:p w14:paraId="1BD186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position w:val="0"/>
                      <w:sz w:val="21"/>
                      <w:szCs w:val="21"/>
                      <w:highlight w:val="none"/>
                      <w:u w:val="none" w:color="auto"/>
                    </w:rPr>
                    <w:t>废水治理</w:t>
                  </w:r>
                </w:p>
              </w:tc>
              <w:tc>
                <w:tcPr>
                  <w:tcW w:w="3335" w:type="pct"/>
                  <w:tcBorders>
                    <w:tl2br w:val="nil"/>
                    <w:tr2bl w:val="nil"/>
                  </w:tcBorders>
                  <w:noWrap w:val="0"/>
                  <w:vAlign w:val="center"/>
                </w:tcPr>
                <w:p w14:paraId="7234AAF0">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Times New Roman" w:hAnsi="Times New Roman" w:eastAsia="宋体" w:cs="Times New Roman"/>
                      <w:spacing w:val="11"/>
                      <w:position w:val="0"/>
                      <w:u w:val="none" w:color="auto"/>
                      <w:lang w:val="en-US" w:eastAsia="zh-CN"/>
                    </w:rPr>
                  </w:pPr>
                  <w:r>
                    <w:rPr>
                      <w:rFonts w:hint="default" w:ascii="Times New Roman" w:hAnsi="Times New Roman" w:eastAsia="宋体" w:cs="Times New Roman"/>
                      <w:spacing w:val="11"/>
                      <w:position w:val="0"/>
                      <w:u w:val="none" w:color="auto"/>
                      <w:lang w:val="en-US" w:eastAsia="zh-CN"/>
                    </w:rPr>
                    <w:t>①车辆清洗废水：在矿区进场公路入口设置</w:t>
                  </w:r>
                  <w:r>
                    <w:rPr>
                      <w:rFonts w:hint="eastAsia" w:cs="Times New Roman"/>
                      <w:spacing w:val="11"/>
                      <w:position w:val="0"/>
                      <w:u w:val="none" w:color="auto"/>
                      <w:lang w:val="en-US" w:eastAsia="zh-CN"/>
                    </w:rPr>
                    <w:t>洗车平台</w:t>
                  </w:r>
                  <w:r>
                    <w:rPr>
                      <w:rFonts w:hint="default" w:ascii="Times New Roman" w:hAnsi="Times New Roman" w:eastAsia="宋体" w:cs="Times New Roman"/>
                      <w:spacing w:val="11"/>
                      <w:position w:val="0"/>
                      <w:u w:val="none" w:color="auto"/>
                      <w:lang w:val="en-US" w:eastAsia="zh-CN"/>
                    </w:rPr>
                    <w:t>，沿道路纵向布置，两端高中间低，迎水面采用M10水泥砂浆抹面防渗，主要用于进出矿区运输车辆车轮清洗，车辆清洗废水</w:t>
                  </w:r>
                  <w:r>
                    <w:rPr>
                      <w:rFonts w:hint="default" w:ascii="Times New Roman" w:hAnsi="Times New Roman" w:cs="Times New Roman"/>
                      <w:spacing w:val="11"/>
                      <w:position w:val="0"/>
                      <w:u w:val="none" w:color="auto"/>
                      <w:lang w:val="en-US" w:eastAsia="zh-CN"/>
                    </w:rPr>
                    <w:t>经配套沉淀池处理后回用于车辆清洗，不外排</w:t>
                  </w:r>
                  <w:r>
                    <w:rPr>
                      <w:rFonts w:hint="default" w:ascii="Times New Roman" w:hAnsi="Times New Roman" w:eastAsia="宋体" w:cs="Times New Roman"/>
                      <w:spacing w:val="11"/>
                      <w:position w:val="0"/>
                      <w:u w:val="none" w:color="auto"/>
                      <w:lang w:val="en-US" w:eastAsia="zh-CN"/>
                    </w:rPr>
                    <w:t>；</w:t>
                  </w:r>
                </w:p>
                <w:p w14:paraId="04BB5CB1">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Times New Roman" w:hAnsi="Times New Roman" w:eastAsia="宋体" w:cs="Times New Roman"/>
                      <w:spacing w:val="11"/>
                      <w:position w:val="0"/>
                      <w:u w:val="none" w:color="auto"/>
                      <w:lang w:val="en-US" w:eastAsia="zh-CN"/>
                    </w:rPr>
                  </w:pPr>
                  <w:r>
                    <w:rPr>
                      <w:rFonts w:hint="default" w:ascii="Times New Roman" w:hAnsi="Times New Roman" w:eastAsia="宋体" w:cs="Times New Roman"/>
                      <w:spacing w:val="11"/>
                      <w:position w:val="0"/>
                      <w:u w:val="none" w:color="auto"/>
                      <w:lang w:val="en-US" w:eastAsia="zh-CN"/>
                    </w:rPr>
                    <w:t>②生活污水：生活污水经化粪池处理后用于矿区</w:t>
                  </w:r>
                  <w:r>
                    <w:rPr>
                      <w:rFonts w:hint="eastAsia" w:cs="Times New Roman"/>
                      <w:spacing w:val="11"/>
                      <w:position w:val="0"/>
                      <w:u w:val="none" w:color="auto"/>
                      <w:lang w:val="en-US" w:eastAsia="zh-CN"/>
                    </w:rPr>
                    <w:t>内绿化用水</w:t>
                  </w:r>
                  <w:r>
                    <w:rPr>
                      <w:rFonts w:hint="default" w:ascii="Times New Roman" w:hAnsi="Times New Roman" w:eastAsia="宋体" w:cs="Times New Roman"/>
                      <w:spacing w:val="11"/>
                      <w:position w:val="0"/>
                      <w:u w:val="none" w:color="auto"/>
                      <w:lang w:val="en-US" w:eastAsia="zh-CN"/>
                    </w:rPr>
                    <w:t>；</w:t>
                  </w:r>
                </w:p>
                <w:p w14:paraId="78FFCFF5">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Times New Roman" w:hAnsi="Times New Roman" w:eastAsia="宋体" w:cs="Times New Roman"/>
                      <w:spacing w:val="11"/>
                      <w:position w:val="0"/>
                      <w:highlight w:val="yellow"/>
                      <w:u w:val="none" w:color="auto"/>
                      <w:lang w:val="en-US" w:eastAsia="zh-CN"/>
                    </w:rPr>
                  </w:pPr>
                  <w:r>
                    <w:rPr>
                      <w:rFonts w:hint="default" w:ascii="Times New Roman" w:hAnsi="Times New Roman" w:eastAsia="宋体" w:cs="Times New Roman"/>
                      <w:spacing w:val="11"/>
                      <w:position w:val="0"/>
                      <w:u w:val="none" w:color="auto"/>
                      <w:lang w:val="en-US" w:eastAsia="zh-CN"/>
                    </w:rPr>
                    <w:t>③洗砂废水</w:t>
                  </w:r>
                  <w:r>
                    <w:rPr>
                      <w:rFonts w:hint="default" w:ascii="Times New Roman" w:hAnsi="Times New Roman" w:eastAsia="宋体" w:cs="Times New Roman"/>
                      <w:spacing w:val="11"/>
                      <w:position w:val="0"/>
                      <w:highlight w:val="none"/>
                      <w:u w:val="none" w:color="auto"/>
                      <w:lang w:val="en-US" w:eastAsia="zh-CN"/>
                    </w:rPr>
                    <w:t>：在</w:t>
                  </w:r>
                  <w:r>
                    <w:rPr>
                      <w:rFonts w:hint="default" w:ascii="Times New Roman" w:hAnsi="Times New Roman" w:cs="Times New Roman"/>
                      <w:spacing w:val="11"/>
                      <w:position w:val="0"/>
                      <w:highlight w:val="none"/>
                      <w:u w:val="none" w:color="auto"/>
                      <w:lang w:val="en-US" w:eastAsia="zh-CN"/>
                    </w:rPr>
                    <w:t>工业广场</w:t>
                  </w:r>
                  <w:r>
                    <w:rPr>
                      <w:rFonts w:hint="default" w:ascii="Times New Roman" w:hAnsi="Times New Roman" w:eastAsia="宋体" w:cs="Times New Roman"/>
                      <w:spacing w:val="11"/>
                      <w:position w:val="0"/>
                      <w:highlight w:val="none"/>
                      <w:u w:val="none" w:color="auto"/>
                      <w:lang w:val="en-US" w:eastAsia="zh-CN"/>
                    </w:rPr>
                    <w:t>设置泥水分离脱水系统，配套沉淀池（</w:t>
                  </w:r>
                  <w:r>
                    <w:rPr>
                      <w:rFonts w:hint="default" w:ascii="Times New Roman" w:hAnsi="Times New Roman" w:cs="Times New Roman"/>
                      <w:spacing w:val="11"/>
                      <w:position w:val="0"/>
                      <w:highlight w:val="none"/>
                      <w:u w:val="none" w:color="auto"/>
                      <w:lang w:val="en-US" w:eastAsia="zh-CN"/>
                    </w:rPr>
                    <w:t>600</w:t>
                  </w:r>
                  <w:r>
                    <w:rPr>
                      <w:rFonts w:hint="default" w:ascii="Times New Roman" w:hAnsi="Times New Roman" w:eastAsia="宋体" w:cs="Times New Roman"/>
                      <w:spacing w:val="11"/>
                      <w:position w:val="0"/>
                      <w:highlight w:val="none"/>
                      <w:u w:val="none" w:color="auto"/>
                      <w:lang w:val="en-US" w:eastAsia="zh-CN"/>
                    </w:rPr>
                    <w:t>m</w:t>
                  </w:r>
                  <w:r>
                    <w:rPr>
                      <w:rFonts w:hint="default" w:ascii="Times New Roman" w:hAnsi="Times New Roman" w:eastAsia="宋体" w:cs="Times New Roman"/>
                      <w:spacing w:val="11"/>
                      <w:position w:val="0"/>
                      <w:highlight w:val="none"/>
                      <w:u w:val="none" w:color="auto"/>
                      <w:vertAlign w:val="superscript"/>
                      <w:lang w:val="en-US" w:eastAsia="zh-CN"/>
                    </w:rPr>
                    <w:t>3</w:t>
                  </w:r>
                  <w:r>
                    <w:rPr>
                      <w:rFonts w:hint="default" w:ascii="Times New Roman" w:hAnsi="Times New Roman" w:eastAsia="宋体" w:cs="Times New Roman"/>
                      <w:spacing w:val="11"/>
                      <w:position w:val="0"/>
                      <w:highlight w:val="none"/>
                      <w:u w:val="none" w:color="auto"/>
                      <w:lang w:val="en-US" w:eastAsia="zh-CN"/>
                    </w:rPr>
                    <w:t>），洗砂废水经泥水分离脱水系统处理后进入沉淀池，回用于生产，不外排；</w:t>
                  </w:r>
                </w:p>
                <w:p w14:paraId="3D0F817B">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Times New Roman" w:hAnsi="Times New Roman" w:eastAsia="宋体" w:cs="Times New Roman"/>
                      <w:spacing w:val="11"/>
                      <w:position w:val="0"/>
                      <w:u w:val="none" w:color="auto"/>
                    </w:rPr>
                  </w:pPr>
                  <w:r>
                    <w:rPr>
                      <w:rFonts w:hint="default" w:ascii="Times New Roman" w:hAnsi="Times New Roman" w:eastAsia="宋体" w:cs="Times New Roman"/>
                      <w:spacing w:val="11"/>
                      <w:position w:val="0"/>
                      <w:u w:val="single" w:color="auto"/>
                      <w:lang w:val="en-US" w:eastAsia="zh-CN"/>
                    </w:rPr>
                    <w:t>④场地雨水：场区道路两旁、开采区设有截水沟，初期雨水经雨水沟汇入初期雨水池</w:t>
                  </w:r>
                  <w:r>
                    <w:rPr>
                      <w:rFonts w:hint="eastAsia" w:cs="Times New Roman"/>
                      <w:spacing w:val="11"/>
                      <w:position w:val="0"/>
                      <w:u w:val="single" w:color="auto"/>
                      <w:lang w:val="en-US" w:eastAsia="zh-CN"/>
                    </w:rPr>
                    <w:t>、原有采坑</w:t>
                  </w:r>
                  <w:r>
                    <w:rPr>
                      <w:rFonts w:hint="default" w:ascii="Times New Roman" w:hAnsi="Times New Roman" w:eastAsia="宋体" w:cs="Times New Roman"/>
                      <w:spacing w:val="11"/>
                      <w:position w:val="0"/>
                      <w:u w:val="single" w:color="auto"/>
                      <w:lang w:val="en-US" w:eastAsia="zh-CN"/>
                    </w:rPr>
                    <w:t>进行沉淀处理，处理后回用于洒水抑尘以及洗砂用水。建设单位拟</w:t>
                  </w:r>
                  <w:r>
                    <w:rPr>
                      <w:rFonts w:hint="eastAsia" w:cs="Times New Roman"/>
                      <w:spacing w:val="11"/>
                      <w:position w:val="0"/>
                      <w:u w:val="single" w:color="auto"/>
                      <w:lang w:val="en-US" w:eastAsia="zh-CN"/>
                    </w:rPr>
                    <w:t>利用</w:t>
                  </w:r>
                  <w:r>
                    <w:rPr>
                      <w:rFonts w:hint="default" w:ascii="Times New Roman" w:hAnsi="Times New Roman" w:eastAsia="宋体" w:cs="Times New Roman"/>
                      <w:spacing w:val="11"/>
                      <w:position w:val="0"/>
                      <w:u w:val="single" w:color="auto"/>
                      <w:lang w:val="en-US" w:eastAsia="zh-CN"/>
                    </w:rPr>
                    <w:t>开采区低洼处</w:t>
                  </w:r>
                  <w:r>
                    <w:rPr>
                      <w:rFonts w:hint="eastAsia" w:cs="Times New Roman"/>
                      <w:spacing w:val="11"/>
                      <w:position w:val="0"/>
                      <w:u w:val="single" w:color="auto"/>
                      <w:lang w:val="en-US" w:eastAsia="zh-CN"/>
                    </w:rPr>
                    <w:t>原有遗留的采坑（容积约1500m</w:t>
                  </w:r>
                  <w:r>
                    <w:rPr>
                      <w:rFonts w:hint="eastAsia" w:cs="Times New Roman"/>
                      <w:spacing w:val="11"/>
                      <w:position w:val="0"/>
                      <w:u w:val="single" w:color="auto"/>
                      <w:vertAlign w:val="superscript"/>
                      <w:lang w:val="en-US" w:eastAsia="zh-CN"/>
                    </w:rPr>
                    <w:t>3</w:t>
                  </w:r>
                  <w:r>
                    <w:rPr>
                      <w:rFonts w:hint="eastAsia" w:cs="Times New Roman"/>
                      <w:spacing w:val="11"/>
                      <w:position w:val="0"/>
                      <w:u w:val="single" w:color="auto"/>
                      <w:lang w:val="en-US" w:eastAsia="zh-CN"/>
                    </w:rPr>
                    <w:t>）收集开采区初期雨水，</w:t>
                  </w:r>
                  <w:r>
                    <w:rPr>
                      <w:rFonts w:hint="default" w:ascii="Times New Roman" w:hAnsi="Times New Roman" w:eastAsia="宋体" w:cs="Times New Roman"/>
                      <w:spacing w:val="11"/>
                      <w:position w:val="0"/>
                      <w:u w:val="single" w:color="auto"/>
                      <w:lang w:val="en-US" w:eastAsia="zh-CN"/>
                    </w:rPr>
                    <w:t>拟在工业广场截水沟尾端设置一个140m</w:t>
                  </w:r>
                  <w:r>
                    <w:rPr>
                      <w:rFonts w:hint="default" w:ascii="Times New Roman" w:hAnsi="Times New Roman" w:eastAsia="宋体" w:cs="Times New Roman"/>
                      <w:spacing w:val="11"/>
                      <w:position w:val="0"/>
                      <w:u w:val="single" w:color="auto"/>
                      <w:vertAlign w:val="superscript"/>
                      <w:lang w:val="en-US" w:eastAsia="zh-CN"/>
                    </w:rPr>
                    <w:t>3</w:t>
                  </w:r>
                  <w:r>
                    <w:rPr>
                      <w:rFonts w:hint="default" w:ascii="Times New Roman" w:hAnsi="Times New Roman" w:eastAsia="宋体" w:cs="Times New Roman"/>
                      <w:spacing w:val="11"/>
                      <w:position w:val="0"/>
                      <w:u w:val="single" w:color="auto"/>
                      <w:lang w:val="en-US" w:eastAsia="zh-CN"/>
                    </w:rPr>
                    <w:t>的沉淀池</w:t>
                  </w:r>
                </w:p>
              </w:tc>
              <w:tc>
                <w:tcPr>
                  <w:tcW w:w="573" w:type="pct"/>
                  <w:tcBorders>
                    <w:tl2br w:val="nil"/>
                    <w:tr2bl w:val="nil"/>
                  </w:tcBorders>
                  <w:noWrap w:val="0"/>
                  <w:vAlign w:val="center"/>
                </w:tcPr>
                <w:p w14:paraId="3A5233C5">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spacing w:val="11"/>
                      <w:position w:val="0"/>
                      <w:u w:val="none" w:color="auto"/>
                      <w:lang w:val="en-US" w:eastAsia="zh-CN"/>
                    </w:rPr>
                  </w:pPr>
                  <w:r>
                    <w:rPr>
                      <w:rFonts w:hint="default" w:ascii="Times New Roman" w:hAnsi="Times New Roman" w:eastAsia="宋体" w:cs="Times New Roman"/>
                      <w:spacing w:val="11"/>
                      <w:position w:val="0"/>
                      <w:u w:val="none" w:color="auto"/>
                      <w:lang w:val="en-US" w:eastAsia="zh-CN"/>
                    </w:rPr>
                    <w:t>新建</w:t>
                  </w:r>
                </w:p>
              </w:tc>
            </w:tr>
            <w:tr w14:paraId="6829A7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4" w:type="pct"/>
                  <w:vMerge w:val="continue"/>
                  <w:tcBorders>
                    <w:tl2br w:val="nil"/>
                    <w:tr2bl w:val="nil"/>
                  </w:tcBorders>
                  <w:noWrap w:val="0"/>
                  <w:vAlign w:val="center"/>
                </w:tcPr>
                <w:p w14:paraId="1432B2F8">
                  <w:pPr>
                    <w:keepNext w:val="0"/>
                    <w:keepLines w:val="0"/>
                    <w:pageBreakBefore w:val="0"/>
                    <w:widowControl w:val="0"/>
                    <w:kinsoku/>
                    <w:wordWrap/>
                    <w:overflowPunct/>
                    <w:topLinePunct w:val="0"/>
                    <w:autoSpaceDE/>
                    <w:autoSpaceDN/>
                    <w:bidi w:val="0"/>
                    <w:adjustRightInd w:val="0"/>
                    <w:snapToGrid w:val="0"/>
                    <w:spacing w:line="300" w:lineRule="exact"/>
                    <w:ind w:firstLine="440"/>
                    <w:jc w:val="center"/>
                    <w:textAlignment w:val="auto"/>
                    <w:rPr>
                      <w:rFonts w:hint="default" w:ascii="Times New Roman" w:hAnsi="Times New Roman" w:eastAsia="宋体" w:cs="Times New Roman"/>
                      <w:spacing w:val="11"/>
                      <w:position w:val="0"/>
                      <w:szCs w:val="21"/>
                      <w:u w:val="none" w:color="auto"/>
                    </w:rPr>
                  </w:pPr>
                </w:p>
              </w:tc>
              <w:tc>
                <w:tcPr>
                  <w:tcW w:w="556" w:type="pct"/>
                  <w:tcBorders>
                    <w:tl2br w:val="nil"/>
                    <w:tr2bl w:val="nil"/>
                  </w:tcBorders>
                  <w:noWrap w:val="0"/>
                  <w:vAlign w:val="center"/>
                </w:tcPr>
                <w:p w14:paraId="513EDF1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r>
                    <w:rPr>
                      <w:rFonts w:hint="default" w:ascii="Times New Roman" w:hAnsi="Times New Roman" w:eastAsia="宋体" w:cs="Times New Roman"/>
                      <w:color w:val="auto"/>
                      <w:spacing w:val="11"/>
                      <w:position w:val="0"/>
                      <w:sz w:val="21"/>
                      <w:szCs w:val="21"/>
                      <w:highlight w:val="none"/>
                      <w:u w:val="none" w:color="auto"/>
                    </w:rPr>
                    <w:t>废气治理</w:t>
                  </w:r>
                </w:p>
              </w:tc>
              <w:tc>
                <w:tcPr>
                  <w:tcW w:w="3335" w:type="pct"/>
                  <w:tcBorders>
                    <w:tl2br w:val="nil"/>
                    <w:tr2bl w:val="nil"/>
                  </w:tcBorders>
                  <w:noWrap w:val="0"/>
                  <w:vAlign w:val="center"/>
                </w:tcPr>
                <w:p w14:paraId="7AB23550">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①凿岩、钻孔粉尘</w:t>
                  </w:r>
                  <w:r>
                    <w:rPr>
                      <w:rFonts w:hint="eastAsia" w:cs="Times New Roman"/>
                      <w:spacing w:val="11"/>
                      <w:position w:val="0"/>
                      <w:sz w:val="21"/>
                      <w:szCs w:val="21"/>
                      <w:u w:val="none" w:color="auto"/>
                      <w:lang w:val="en-US" w:eastAsia="zh-CN"/>
                    </w:rPr>
                    <w:t>：本项目矿山拟选用自带收尘装置的环保型钻机设备，配合湿式凿岩钻孔、洒水保湿等措施；</w:t>
                  </w:r>
                </w:p>
                <w:p w14:paraId="170EF7BE">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default" w:ascii="Times New Roman" w:hAnsi="Times New Roman" w:eastAsia="宋体"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②采场粉尘：铲装前后及装车过程中进行洒水抑尘；</w:t>
                  </w:r>
                </w:p>
                <w:p w14:paraId="3ECA6487">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default" w:ascii="Times New Roman" w:hAnsi="Times New Roman" w:eastAsia="宋体"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③爆破粉尘：通过水封爆破并对爆破面进行洒水抑尘，同时增设水炮喷雾增湿；</w:t>
                  </w:r>
                </w:p>
                <w:p w14:paraId="3679209C">
                  <w:pPr>
                    <w:pStyle w:val="17"/>
                    <w:keepNext w:val="0"/>
                    <w:keepLines w:val="0"/>
                    <w:pageBreakBefore w:val="0"/>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④运输扬尘</w:t>
                  </w:r>
                  <w:r>
                    <w:rPr>
                      <w:rFonts w:hint="eastAsia" w:cs="Times New Roman"/>
                      <w:spacing w:val="11"/>
                      <w:position w:val="0"/>
                      <w:sz w:val="21"/>
                      <w:szCs w:val="21"/>
                      <w:highlight w:val="none"/>
                      <w:u w:val="none" w:color="auto"/>
                      <w:lang w:val="en-US" w:eastAsia="zh-CN"/>
                    </w:rPr>
                    <w:t>：道路两侧种植绿植及树木，在厂区设置洒水车，对厂区路面实行硬化处理，同时厂区设置洗车平台，对进出厂</w:t>
                  </w:r>
                  <w:r>
                    <w:rPr>
                      <w:rFonts w:hint="eastAsia" w:cs="Times New Roman"/>
                      <w:spacing w:val="11"/>
                      <w:position w:val="0"/>
                      <w:sz w:val="21"/>
                      <w:szCs w:val="21"/>
                      <w:u w:val="none" w:color="auto"/>
                      <w:lang w:val="en-US" w:eastAsia="zh-CN"/>
                    </w:rPr>
                    <w:t>区车辆进行保洁清洗；</w:t>
                  </w:r>
                </w:p>
                <w:p w14:paraId="651E8987">
                  <w:pPr>
                    <w:keepNext w:val="0"/>
                    <w:keepLines w:val="0"/>
                    <w:pageBreakBefore w:val="0"/>
                    <w:kinsoku/>
                    <w:wordWrap/>
                    <w:overflowPunct/>
                    <w:topLinePunct w:val="0"/>
                    <w:autoSpaceDE/>
                    <w:autoSpaceDN/>
                    <w:bidi w:val="0"/>
                    <w:adjustRightInd w:val="0"/>
                    <w:snapToGrid w:val="0"/>
                    <w:spacing w:line="240" w:lineRule="auto"/>
                    <w:ind w:right="0"/>
                    <w:textAlignment w:val="auto"/>
                    <w:rPr>
                      <w:rFonts w:hint="eastAsia"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⑤排土场起尘：建设单位拟定期对排土场进行洒水抑尘、定期压实、使用防尘网覆盖；</w:t>
                  </w:r>
                </w:p>
                <w:p w14:paraId="788FBEF6">
                  <w:pPr>
                    <w:keepNext w:val="0"/>
                    <w:keepLines w:val="0"/>
                    <w:pageBreakBefore w:val="0"/>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⑥装卸粉尘、成品库堆放扬尘：建设单位拟进行洒水抑尘；</w:t>
                  </w:r>
                </w:p>
                <w:p w14:paraId="48E98FBD">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default" w:ascii="Times New Roman" w:hAnsi="Times New Roman" w:eastAsia="宋体" w:cs="Times New Roman"/>
                      <w:spacing w:val="11"/>
                      <w:position w:val="0"/>
                      <w:sz w:val="21"/>
                      <w:szCs w:val="21"/>
                      <w:u w:val="none" w:color="auto"/>
                      <w:lang w:val="en-US" w:eastAsia="zh-CN"/>
                    </w:rPr>
                  </w:pPr>
                  <w:r>
                    <w:rPr>
                      <w:rFonts w:hint="eastAsia"/>
                      <w:sz w:val="21"/>
                      <w:szCs w:val="21"/>
                      <w:lang w:val="en-US" w:eastAsia="zh-CN"/>
                    </w:rPr>
                    <w:t>⑦</w:t>
                  </w:r>
                  <w:r>
                    <w:rPr>
                      <w:rFonts w:hint="default" w:ascii="Times New Roman" w:hAnsi="Times New Roman" w:eastAsia="宋体" w:cs="Times New Roman"/>
                      <w:spacing w:val="11"/>
                      <w:position w:val="0"/>
                      <w:sz w:val="21"/>
                      <w:szCs w:val="21"/>
                      <w:u w:val="none" w:color="auto"/>
                      <w:lang w:val="en-US" w:eastAsia="zh-CN"/>
                    </w:rPr>
                    <w:t>矿石破碎及筛分粉尘：生产线位于全封闭式生产车间内，采用密闭输送带</w:t>
                  </w:r>
                  <w:r>
                    <w:rPr>
                      <w:rFonts w:hint="eastAsia" w:cs="Times New Roman"/>
                      <w:spacing w:val="11"/>
                      <w:position w:val="0"/>
                      <w:sz w:val="21"/>
                      <w:szCs w:val="21"/>
                      <w:highlight w:val="none"/>
                      <w:u w:val="none" w:color="auto"/>
                      <w:lang w:val="en-US" w:eastAsia="zh-CN"/>
                    </w:rPr>
                    <w:t>。</w:t>
                  </w:r>
                  <w:r>
                    <w:rPr>
                      <w:rFonts w:hint="default" w:ascii="Times New Roman" w:hAnsi="Times New Roman" w:eastAsia="宋体" w:cs="Times New Roman"/>
                      <w:spacing w:val="11"/>
                      <w:position w:val="0"/>
                      <w:sz w:val="21"/>
                      <w:szCs w:val="21"/>
                      <w:highlight w:val="none"/>
                      <w:u w:val="none" w:color="auto"/>
                      <w:lang w:val="en-US" w:eastAsia="zh-CN"/>
                    </w:rPr>
                    <w:t>破碎机、筛分机进出料口进</w:t>
                  </w:r>
                  <w:r>
                    <w:rPr>
                      <w:rFonts w:hint="default" w:ascii="Times New Roman" w:hAnsi="Times New Roman" w:eastAsia="宋体" w:cs="Times New Roman"/>
                      <w:spacing w:val="11"/>
                      <w:position w:val="0"/>
                      <w:sz w:val="21"/>
                      <w:szCs w:val="21"/>
                      <w:u w:val="none" w:color="auto"/>
                      <w:lang w:val="en-US" w:eastAsia="zh-CN"/>
                    </w:rPr>
                    <w:t>行封闭</w:t>
                  </w:r>
                  <w:r>
                    <w:rPr>
                      <w:rFonts w:hint="eastAsia" w:cs="Times New Roman"/>
                      <w:spacing w:val="11"/>
                      <w:position w:val="0"/>
                      <w:sz w:val="21"/>
                      <w:szCs w:val="21"/>
                      <w:u w:val="none" w:color="auto"/>
                      <w:lang w:val="en-US" w:eastAsia="zh-CN"/>
                    </w:rPr>
                    <w:t>，产生的粉尘安装集气罩＋布袋除尘器进行收集处理</w:t>
                  </w:r>
                  <w:r>
                    <w:rPr>
                      <w:rFonts w:hint="default" w:ascii="Times New Roman" w:hAnsi="Times New Roman" w:eastAsia="宋体" w:cs="Times New Roman"/>
                      <w:spacing w:val="11"/>
                      <w:position w:val="0"/>
                      <w:sz w:val="21"/>
                      <w:szCs w:val="21"/>
                      <w:u w:val="none" w:color="auto"/>
                      <w:lang w:val="en-US" w:eastAsia="zh-CN"/>
                    </w:rPr>
                    <w:t>，</w:t>
                  </w:r>
                  <w:r>
                    <w:rPr>
                      <w:rFonts w:hint="default" w:ascii="Times New Roman" w:hAnsi="Times New Roman" w:cs="Times New Roman"/>
                      <w:spacing w:val="11"/>
                      <w:position w:val="0"/>
                      <w:sz w:val="21"/>
                      <w:szCs w:val="21"/>
                      <w:u w:val="none" w:color="auto"/>
                      <w:lang w:val="en-US" w:eastAsia="zh-CN"/>
                    </w:rPr>
                    <w:t>处理后的废气</w:t>
                  </w:r>
                  <w:r>
                    <w:rPr>
                      <w:rFonts w:hint="default" w:ascii="Times New Roman" w:hAnsi="Times New Roman" w:eastAsia="宋体" w:cs="Times New Roman"/>
                      <w:spacing w:val="11"/>
                      <w:position w:val="0"/>
                      <w:sz w:val="21"/>
                      <w:szCs w:val="21"/>
                      <w:u w:val="none" w:color="auto"/>
                      <w:lang w:val="en-US" w:eastAsia="zh-CN"/>
                    </w:rPr>
                    <w:t>通过15m排气简高空排放（DA001</w:t>
                  </w:r>
                  <w:r>
                    <w:rPr>
                      <w:rFonts w:hint="eastAsia" w:cs="Times New Roman"/>
                      <w:spacing w:val="11"/>
                      <w:position w:val="0"/>
                      <w:sz w:val="21"/>
                      <w:szCs w:val="21"/>
                      <w:u w:val="none" w:color="auto"/>
                      <w:lang w:val="en-US" w:eastAsia="zh-CN"/>
                    </w:rPr>
                    <w:t>、DA002</w:t>
                  </w:r>
                  <w:r>
                    <w:rPr>
                      <w:rFonts w:hint="default" w:ascii="Times New Roman" w:hAnsi="Times New Roman" w:eastAsia="宋体" w:cs="Times New Roman"/>
                      <w:spacing w:val="11"/>
                      <w:position w:val="0"/>
                      <w:sz w:val="21"/>
                      <w:szCs w:val="21"/>
                      <w:u w:val="none" w:color="auto"/>
                      <w:lang w:val="en-US" w:eastAsia="zh-CN"/>
                    </w:rPr>
                    <w:t>），拟在筛分设备产尘点安装喷雾除尘装置；</w:t>
                  </w:r>
                </w:p>
                <w:p w14:paraId="09707ABE">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default" w:ascii="Times New Roman" w:hAnsi="Times New Roman" w:eastAsia="宋体"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⑧</w:t>
                  </w:r>
                  <w:r>
                    <w:rPr>
                      <w:rFonts w:hint="default" w:ascii="Times New Roman" w:hAnsi="Times New Roman" w:eastAsia="宋体" w:cs="Times New Roman"/>
                      <w:spacing w:val="11"/>
                      <w:position w:val="0"/>
                      <w:sz w:val="21"/>
                      <w:szCs w:val="21"/>
                      <w:u w:val="none" w:color="auto"/>
                      <w:lang w:val="en-US" w:eastAsia="zh-CN"/>
                    </w:rPr>
                    <w:t>机制砂破碎粉尘：生产线位于全封闭式生产车间内，采用密闭输送带，项目在破碎机进出料口进行封闭，产生的粉尘安装集气罩＋布袋除尘器进行收集处理，处理后的废气通过15m排气简高空排放（DA00</w:t>
                  </w:r>
                  <w:r>
                    <w:rPr>
                      <w:rFonts w:hint="eastAsia" w:cs="Times New Roman"/>
                      <w:spacing w:val="11"/>
                      <w:position w:val="0"/>
                      <w:sz w:val="21"/>
                      <w:szCs w:val="21"/>
                      <w:u w:val="none" w:color="auto"/>
                      <w:lang w:val="en-US" w:eastAsia="zh-CN"/>
                    </w:rPr>
                    <w:t>3</w:t>
                  </w:r>
                  <w:r>
                    <w:rPr>
                      <w:rFonts w:hint="default" w:ascii="Times New Roman" w:hAnsi="Times New Roman" w:eastAsia="宋体" w:cs="Times New Roman"/>
                      <w:spacing w:val="11"/>
                      <w:position w:val="0"/>
                      <w:sz w:val="21"/>
                      <w:szCs w:val="21"/>
                      <w:u w:val="none" w:color="auto"/>
                      <w:lang w:val="en-US" w:eastAsia="zh-CN"/>
                    </w:rPr>
                    <w:t>），拟在</w:t>
                  </w:r>
                  <w:r>
                    <w:rPr>
                      <w:rFonts w:hint="eastAsia" w:cs="Times New Roman"/>
                      <w:spacing w:val="11"/>
                      <w:position w:val="0"/>
                      <w:sz w:val="21"/>
                      <w:szCs w:val="21"/>
                      <w:u w:val="none" w:color="auto"/>
                      <w:lang w:val="en-US" w:eastAsia="zh-CN"/>
                    </w:rPr>
                    <w:t>破碎</w:t>
                  </w:r>
                  <w:r>
                    <w:rPr>
                      <w:rFonts w:hint="default" w:ascii="Times New Roman" w:hAnsi="Times New Roman" w:eastAsia="宋体" w:cs="Times New Roman"/>
                      <w:spacing w:val="11"/>
                      <w:position w:val="0"/>
                      <w:sz w:val="21"/>
                      <w:szCs w:val="21"/>
                      <w:u w:val="none" w:color="auto"/>
                      <w:lang w:val="en-US" w:eastAsia="zh-CN"/>
                    </w:rPr>
                    <w:t>产尘点拟安装喷雾除尘装置</w:t>
                  </w:r>
                  <w:r>
                    <w:rPr>
                      <w:rFonts w:hint="eastAsia" w:cs="Times New Roman"/>
                      <w:spacing w:val="11"/>
                      <w:position w:val="0"/>
                      <w:sz w:val="21"/>
                      <w:szCs w:val="21"/>
                      <w:u w:val="none" w:color="auto"/>
                      <w:lang w:val="en-US" w:eastAsia="zh-CN"/>
                    </w:rPr>
                    <w:t>；</w:t>
                  </w:r>
                </w:p>
                <w:p w14:paraId="403A770A">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default" w:ascii="Times New Roman" w:hAnsi="Times New Roman" w:eastAsia="宋体" w:cs="Times New Roman"/>
                      <w:spacing w:val="11"/>
                      <w:position w:val="0"/>
                      <w:szCs w:val="21"/>
                      <w:u w:val="none" w:color="auto"/>
                      <w:lang w:val="en-US" w:eastAsia="zh-CN"/>
                    </w:rPr>
                  </w:pPr>
                  <w:r>
                    <w:rPr>
                      <w:rFonts w:hint="eastAsia" w:cs="Times New Roman"/>
                      <w:spacing w:val="11"/>
                      <w:position w:val="0"/>
                      <w:sz w:val="21"/>
                      <w:szCs w:val="21"/>
                      <w:u w:val="none" w:color="auto"/>
                      <w:lang w:val="en-US" w:eastAsia="zh-CN"/>
                    </w:rPr>
                    <w:t>⑨食堂油烟：经油烟分离设备处理后通过油烟管道从所在建筑物屋顶排放。</w:t>
                  </w:r>
                  <w:r>
                    <w:rPr>
                      <w:rFonts w:hint="default" w:ascii="Times New Roman" w:hAnsi="Times New Roman" w:eastAsia="宋体" w:cs="Times New Roman"/>
                      <w:spacing w:val="11"/>
                      <w:position w:val="0"/>
                      <w:sz w:val="21"/>
                      <w:szCs w:val="21"/>
                      <w:u w:val="none" w:color="auto"/>
                      <w:lang w:val="en-US" w:eastAsia="zh-CN"/>
                    </w:rPr>
                    <w:t xml:space="preserve"> </w:t>
                  </w:r>
                </w:p>
              </w:tc>
              <w:tc>
                <w:tcPr>
                  <w:tcW w:w="573" w:type="pct"/>
                  <w:tcBorders>
                    <w:tl2br w:val="nil"/>
                    <w:tr2bl w:val="nil"/>
                  </w:tcBorders>
                  <w:noWrap w:val="0"/>
                  <w:vAlign w:val="center"/>
                </w:tcPr>
                <w:p w14:paraId="62BA34C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新建</w:t>
                  </w:r>
                </w:p>
              </w:tc>
            </w:tr>
            <w:tr w14:paraId="01FB0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4" w:type="pct"/>
                  <w:vMerge w:val="continue"/>
                  <w:tcBorders>
                    <w:tl2br w:val="nil"/>
                    <w:tr2bl w:val="nil"/>
                  </w:tcBorders>
                  <w:noWrap w:val="0"/>
                  <w:vAlign w:val="center"/>
                </w:tcPr>
                <w:p w14:paraId="0C20E3D3">
                  <w:pPr>
                    <w:keepNext w:val="0"/>
                    <w:keepLines w:val="0"/>
                    <w:pageBreakBefore w:val="0"/>
                    <w:widowControl w:val="0"/>
                    <w:kinsoku/>
                    <w:wordWrap/>
                    <w:overflowPunct/>
                    <w:topLinePunct w:val="0"/>
                    <w:autoSpaceDE/>
                    <w:autoSpaceDN/>
                    <w:bidi w:val="0"/>
                    <w:adjustRightInd w:val="0"/>
                    <w:snapToGrid w:val="0"/>
                    <w:spacing w:line="300" w:lineRule="exact"/>
                    <w:ind w:firstLine="440"/>
                    <w:jc w:val="center"/>
                    <w:textAlignment w:val="auto"/>
                    <w:rPr>
                      <w:rFonts w:hint="default" w:ascii="Times New Roman" w:hAnsi="Times New Roman" w:eastAsia="宋体" w:cs="Times New Roman"/>
                      <w:spacing w:val="11"/>
                      <w:position w:val="0"/>
                      <w:szCs w:val="21"/>
                      <w:u w:val="none" w:color="auto"/>
                    </w:rPr>
                  </w:pPr>
                </w:p>
              </w:tc>
              <w:tc>
                <w:tcPr>
                  <w:tcW w:w="556" w:type="pct"/>
                  <w:tcBorders>
                    <w:tl2br w:val="nil"/>
                    <w:tr2bl w:val="nil"/>
                  </w:tcBorders>
                  <w:shd w:val="clear" w:color="auto" w:fill="auto"/>
                  <w:noWrap w:val="0"/>
                  <w:vAlign w:val="center"/>
                </w:tcPr>
                <w:p w14:paraId="16E758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color="auto"/>
                      <w:lang w:val="en-US" w:eastAsia="zh-CN" w:bidi="ar-SA"/>
                    </w:rPr>
                  </w:pPr>
                  <w:r>
                    <w:rPr>
                      <w:rFonts w:hint="default" w:ascii="Times New Roman" w:hAnsi="Times New Roman" w:eastAsia="宋体" w:cs="Times New Roman"/>
                      <w:color w:val="auto"/>
                      <w:spacing w:val="11"/>
                      <w:position w:val="0"/>
                      <w:sz w:val="21"/>
                      <w:szCs w:val="21"/>
                      <w:u w:val="none" w:color="auto"/>
                    </w:rPr>
                    <w:t>噪声治理</w:t>
                  </w:r>
                </w:p>
              </w:tc>
              <w:tc>
                <w:tcPr>
                  <w:tcW w:w="3335" w:type="pct"/>
                  <w:tcBorders>
                    <w:tl2br w:val="nil"/>
                    <w:tr2bl w:val="nil"/>
                  </w:tcBorders>
                  <w:noWrap w:val="0"/>
                  <w:vAlign w:val="center"/>
                </w:tcPr>
                <w:p w14:paraId="129DCB39">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u w:val="none" w:color="auto"/>
                    </w:rPr>
                  </w:pPr>
                  <w:r>
                    <w:rPr>
                      <w:rFonts w:hint="default" w:ascii="Times New Roman" w:hAnsi="Times New Roman" w:eastAsia="宋体" w:cs="Times New Roman"/>
                      <w:spacing w:val="11"/>
                      <w:position w:val="0"/>
                      <w:szCs w:val="21"/>
                      <w:u w:val="none" w:color="auto"/>
                    </w:rPr>
                    <w:t>高噪声设备</w:t>
                  </w:r>
                  <w:r>
                    <w:rPr>
                      <w:rFonts w:hint="eastAsia" w:cs="Times New Roman"/>
                      <w:spacing w:val="11"/>
                      <w:position w:val="0"/>
                      <w:szCs w:val="21"/>
                      <w:u w:val="none" w:color="auto"/>
                      <w:lang w:val="en-US" w:eastAsia="zh-CN"/>
                    </w:rPr>
                    <w:t>设置与厂房内，对设备进行基础减振</w:t>
                  </w:r>
                  <w:r>
                    <w:rPr>
                      <w:rFonts w:hint="default" w:ascii="Times New Roman" w:hAnsi="Times New Roman" w:eastAsia="宋体" w:cs="Times New Roman"/>
                      <w:spacing w:val="11"/>
                      <w:position w:val="0"/>
                      <w:szCs w:val="21"/>
                      <w:u w:val="none" w:color="auto"/>
                    </w:rPr>
                    <w:t>，加强爆破、运输、破碎管理，对运行设备、机具进行维护保养，运输车辆禁止鸣笛</w:t>
                  </w:r>
                  <w:r>
                    <w:rPr>
                      <w:rFonts w:hint="default" w:ascii="Times New Roman" w:hAnsi="Times New Roman" w:eastAsia="宋体" w:cs="Times New Roman"/>
                      <w:spacing w:val="11"/>
                      <w:position w:val="0"/>
                      <w:szCs w:val="21"/>
                      <w:u w:val="none" w:color="auto"/>
                      <w:lang w:eastAsia="zh-CN"/>
                    </w:rPr>
                    <w:t>。</w:t>
                  </w:r>
                </w:p>
              </w:tc>
              <w:tc>
                <w:tcPr>
                  <w:tcW w:w="573" w:type="pct"/>
                  <w:tcBorders>
                    <w:tl2br w:val="nil"/>
                    <w:tr2bl w:val="nil"/>
                  </w:tcBorders>
                  <w:noWrap w:val="0"/>
                  <w:vAlign w:val="center"/>
                </w:tcPr>
                <w:p w14:paraId="602C9D3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r>
                    <w:rPr>
                      <w:rFonts w:hint="default" w:ascii="Times New Roman" w:hAnsi="Times New Roman" w:eastAsia="宋体" w:cs="Times New Roman"/>
                      <w:spacing w:val="11"/>
                      <w:position w:val="0"/>
                      <w:szCs w:val="21"/>
                      <w:u w:val="none" w:color="auto"/>
                      <w:lang w:val="en-US" w:eastAsia="zh-CN"/>
                    </w:rPr>
                    <w:t>新建</w:t>
                  </w:r>
                </w:p>
              </w:tc>
            </w:tr>
            <w:tr w14:paraId="226D9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4" w:type="pct"/>
                  <w:vMerge w:val="continue"/>
                  <w:tcBorders>
                    <w:tl2br w:val="nil"/>
                    <w:tr2bl w:val="nil"/>
                  </w:tcBorders>
                  <w:noWrap w:val="0"/>
                  <w:vAlign w:val="center"/>
                </w:tcPr>
                <w:p w14:paraId="033E4D8C">
                  <w:pPr>
                    <w:keepNext w:val="0"/>
                    <w:keepLines w:val="0"/>
                    <w:pageBreakBefore w:val="0"/>
                    <w:widowControl w:val="0"/>
                    <w:kinsoku/>
                    <w:wordWrap/>
                    <w:overflowPunct/>
                    <w:topLinePunct w:val="0"/>
                    <w:autoSpaceDE/>
                    <w:autoSpaceDN/>
                    <w:bidi w:val="0"/>
                    <w:adjustRightInd w:val="0"/>
                    <w:snapToGrid w:val="0"/>
                    <w:spacing w:line="300" w:lineRule="exact"/>
                    <w:ind w:firstLine="440"/>
                    <w:jc w:val="center"/>
                    <w:textAlignment w:val="auto"/>
                    <w:rPr>
                      <w:rFonts w:hint="default" w:ascii="Times New Roman" w:hAnsi="Times New Roman" w:eastAsia="宋体" w:cs="Times New Roman"/>
                      <w:spacing w:val="11"/>
                      <w:position w:val="0"/>
                      <w:szCs w:val="21"/>
                      <w:u w:val="none" w:color="auto"/>
                    </w:rPr>
                  </w:pPr>
                </w:p>
              </w:tc>
              <w:tc>
                <w:tcPr>
                  <w:tcW w:w="556" w:type="pct"/>
                  <w:tcBorders>
                    <w:tl2br w:val="nil"/>
                    <w:tr2bl w:val="nil"/>
                  </w:tcBorders>
                  <w:shd w:val="clear" w:color="auto" w:fill="auto"/>
                  <w:noWrap w:val="0"/>
                  <w:vAlign w:val="center"/>
                </w:tcPr>
                <w:p w14:paraId="7080BD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position w:val="0"/>
                      <w:sz w:val="21"/>
                      <w:szCs w:val="21"/>
                      <w:highlight w:val="none"/>
                      <w:u w:val="none" w:color="auto"/>
                    </w:rPr>
                    <w:t>固废治理</w:t>
                  </w:r>
                </w:p>
              </w:tc>
              <w:tc>
                <w:tcPr>
                  <w:tcW w:w="3335" w:type="pct"/>
                  <w:tcBorders>
                    <w:tl2br w:val="nil"/>
                    <w:tr2bl w:val="nil"/>
                  </w:tcBorders>
                  <w:noWrap w:val="0"/>
                  <w:vAlign w:val="center"/>
                </w:tcPr>
                <w:p w14:paraId="22A3B1F2">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u w:val="none" w:color="auto"/>
                    </w:rPr>
                  </w:pPr>
                  <w:r>
                    <w:rPr>
                      <w:rFonts w:hint="default" w:ascii="Times New Roman" w:hAnsi="Times New Roman" w:eastAsia="宋体" w:cs="Times New Roman"/>
                      <w:spacing w:val="11"/>
                      <w:position w:val="0"/>
                      <w:szCs w:val="21"/>
                      <w:u w:val="none" w:color="auto"/>
                    </w:rPr>
                    <w:t>项目产生固废主要有生活垃圾、剥离物、</w:t>
                  </w:r>
                  <w:r>
                    <w:rPr>
                      <w:rFonts w:hint="default" w:ascii="Times New Roman" w:hAnsi="Times New Roman" w:eastAsia="宋体" w:cs="Times New Roman"/>
                      <w:spacing w:val="11"/>
                      <w:position w:val="0"/>
                      <w:szCs w:val="21"/>
                      <w:u w:val="none" w:color="auto"/>
                      <w:lang w:val="en-US" w:eastAsia="zh-CN"/>
                    </w:rPr>
                    <w:t>沉淀池</w:t>
                  </w:r>
                  <w:r>
                    <w:rPr>
                      <w:rFonts w:hint="default" w:ascii="Times New Roman" w:hAnsi="Times New Roman" w:eastAsia="宋体" w:cs="Times New Roman"/>
                      <w:spacing w:val="11"/>
                      <w:position w:val="0"/>
                      <w:szCs w:val="21"/>
                      <w:u w:val="none" w:color="auto"/>
                    </w:rPr>
                    <w:t>污泥</w:t>
                  </w:r>
                  <w:r>
                    <w:rPr>
                      <w:rFonts w:hint="default" w:ascii="Times New Roman" w:hAnsi="Times New Roman" w:eastAsia="宋体" w:cs="Times New Roman"/>
                      <w:spacing w:val="11"/>
                      <w:position w:val="0"/>
                      <w:szCs w:val="21"/>
                      <w:u w:val="none" w:color="auto"/>
                      <w:lang w:eastAsia="zh-CN"/>
                    </w:rPr>
                    <w:t>、</w:t>
                  </w:r>
                  <w:r>
                    <w:rPr>
                      <w:rFonts w:hint="default" w:ascii="Times New Roman" w:hAnsi="Times New Roman" w:eastAsia="宋体" w:cs="Times New Roman"/>
                      <w:spacing w:val="11"/>
                      <w:position w:val="0"/>
                      <w:szCs w:val="21"/>
                      <w:u w:val="none" w:color="auto"/>
                      <w:lang w:val="en-US" w:eastAsia="zh-CN"/>
                    </w:rPr>
                    <w:t>布袋除尘器收集粉尘和废润滑油</w:t>
                  </w:r>
                  <w:r>
                    <w:rPr>
                      <w:rFonts w:hint="eastAsia" w:cs="Times New Roman"/>
                      <w:spacing w:val="11"/>
                      <w:position w:val="0"/>
                      <w:szCs w:val="21"/>
                      <w:u w:val="none" w:color="auto"/>
                      <w:lang w:val="en-US" w:eastAsia="zh-CN"/>
                    </w:rPr>
                    <w:t>。剥离表土堆存于矿山排土场内，全部废土用作矿区填方修路及矿区复垦使用；沉淀池污泥经自然干化后堆存于排土场内；废润滑油收集暂存于危废暂存间，定期委托有资质的单位转运处置；生活垃圾交由环卫部门统一处置；布袋除尘器收集粉尘由建设单位收集后外售</w:t>
                  </w:r>
                  <w:r>
                    <w:rPr>
                      <w:rFonts w:hint="default" w:ascii="Times New Roman" w:hAnsi="Times New Roman" w:eastAsia="宋体" w:cs="Times New Roman"/>
                      <w:spacing w:val="11"/>
                      <w:position w:val="0"/>
                      <w:szCs w:val="21"/>
                      <w:u w:val="none" w:color="auto"/>
                    </w:rPr>
                    <w:t>。</w:t>
                  </w:r>
                </w:p>
              </w:tc>
              <w:tc>
                <w:tcPr>
                  <w:tcW w:w="573" w:type="pct"/>
                  <w:tcBorders>
                    <w:tl2br w:val="nil"/>
                    <w:tr2bl w:val="nil"/>
                  </w:tcBorders>
                  <w:noWrap w:val="0"/>
                  <w:vAlign w:val="center"/>
                </w:tcPr>
                <w:p w14:paraId="42B3B48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rPr>
                  </w:pPr>
                  <w:r>
                    <w:rPr>
                      <w:rFonts w:hint="default" w:ascii="Times New Roman" w:hAnsi="Times New Roman" w:eastAsia="宋体" w:cs="Times New Roman"/>
                      <w:spacing w:val="11"/>
                      <w:position w:val="0"/>
                      <w:szCs w:val="21"/>
                      <w:u w:val="none" w:color="auto"/>
                      <w:lang w:val="en-US" w:eastAsia="zh-CN"/>
                    </w:rPr>
                    <w:t>新建</w:t>
                  </w:r>
                </w:p>
              </w:tc>
            </w:tr>
            <w:tr w14:paraId="69809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4" w:type="pct"/>
                  <w:vMerge w:val="continue"/>
                  <w:tcBorders>
                    <w:tl2br w:val="nil"/>
                    <w:tr2bl w:val="nil"/>
                  </w:tcBorders>
                  <w:noWrap w:val="0"/>
                  <w:vAlign w:val="center"/>
                </w:tcPr>
                <w:p w14:paraId="457B930C">
                  <w:pPr>
                    <w:keepNext w:val="0"/>
                    <w:keepLines w:val="0"/>
                    <w:pageBreakBefore w:val="0"/>
                    <w:widowControl w:val="0"/>
                    <w:kinsoku/>
                    <w:wordWrap/>
                    <w:overflowPunct/>
                    <w:topLinePunct w:val="0"/>
                    <w:autoSpaceDE/>
                    <w:autoSpaceDN/>
                    <w:bidi w:val="0"/>
                    <w:adjustRightInd w:val="0"/>
                    <w:snapToGrid w:val="0"/>
                    <w:spacing w:line="300" w:lineRule="exact"/>
                    <w:ind w:firstLine="440"/>
                    <w:jc w:val="center"/>
                    <w:textAlignment w:val="auto"/>
                    <w:rPr>
                      <w:rFonts w:hint="default" w:ascii="Times New Roman" w:hAnsi="Times New Roman" w:eastAsia="宋体" w:cs="Times New Roman"/>
                      <w:spacing w:val="11"/>
                      <w:position w:val="0"/>
                      <w:szCs w:val="21"/>
                      <w:u w:val="none" w:color="auto"/>
                    </w:rPr>
                  </w:pPr>
                </w:p>
              </w:tc>
              <w:tc>
                <w:tcPr>
                  <w:tcW w:w="556" w:type="pct"/>
                  <w:tcBorders>
                    <w:tl2br w:val="nil"/>
                    <w:tr2bl w:val="nil"/>
                  </w:tcBorders>
                  <w:shd w:val="clear" w:color="auto" w:fill="auto"/>
                  <w:noWrap w:val="0"/>
                  <w:vAlign w:val="center"/>
                </w:tcPr>
                <w:p w14:paraId="791516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lang w:val="en-US" w:eastAsia="zh-CN"/>
                    </w:rPr>
                    <w:t>生态环境恢复</w:t>
                  </w:r>
                </w:p>
              </w:tc>
              <w:tc>
                <w:tcPr>
                  <w:tcW w:w="3335" w:type="pct"/>
                  <w:tcBorders>
                    <w:tl2br w:val="nil"/>
                    <w:tr2bl w:val="nil"/>
                  </w:tcBorders>
                  <w:noWrap w:val="0"/>
                  <w:vAlign w:val="center"/>
                </w:tcPr>
                <w:p w14:paraId="634CD453">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highlight w:val="yellow"/>
                      <w:u w:val="single" w:color="auto"/>
                    </w:rPr>
                  </w:pPr>
                  <w:r>
                    <w:rPr>
                      <w:rFonts w:hint="default" w:ascii="Times New Roman" w:hAnsi="Times New Roman" w:eastAsia="宋体" w:cs="Times New Roman"/>
                      <w:spacing w:val="11"/>
                      <w:position w:val="0"/>
                      <w:szCs w:val="21"/>
                      <w:highlight w:val="none"/>
                      <w:u w:val="single" w:color="auto"/>
                      <w:lang w:val="en-US" w:eastAsia="zh-CN"/>
                    </w:rPr>
                    <w:t>按照绿色矿山的要求，边开采边复垦边治理，对边坡进行处理及场地平整，恢复地表地貌景观。</w:t>
                  </w:r>
                </w:p>
              </w:tc>
              <w:tc>
                <w:tcPr>
                  <w:tcW w:w="573" w:type="pct"/>
                  <w:tcBorders>
                    <w:tl2br w:val="nil"/>
                    <w:tr2bl w:val="nil"/>
                  </w:tcBorders>
                  <w:noWrap w:val="0"/>
                  <w:vAlign w:val="center"/>
                </w:tcPr>
                <w:p w14:paraId="1A6E8A4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新建</w:t>
                  </w:r>
                </w:p>
              </w:tc>
            </w:tr>
            <w:bookmarkEnd w:id="28"/>
          </w:tbl>
          <w:p w14:paraId="6975F765">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default" w:ascii="Times New Roman" w:hAnsi="Times New Roman" w:eastAsia="宋体" w:cs="Times New Roman"/>
                <w:b/>
                <w:color w:val="auto"/>
                <w:spacing w:val="11"/>
                <w:position w:val="0"/>
                <w:sz w:val="24"/>
                <w:szCs w:val="24"/>
                <w:highlight w:val="none"/>
                <w:u w:val="none" w:color="auto"/>
                <w:lang w:val="en-US" w:eastAsia="zh-CN"/>
              </w:rPr>
            </w:pPr>
            <w:r>
              <w:rPr>
                <w:rFonts w:hint="default" w:ascii="Times New Roman" w:hAnsi="Times New Roman" w:eastAsia="宋体" w:cs="Times New Roman"/>
                <w:b/>
                <w:color w:val="auto"/>
                <w:spacing w:val="11"/>
                <w:position w:val="0"/>
                <w:sz w:val="24"/>
                <w:szCs w:val="24"/>
                <w:highlight w:val="none"/>
                <w:u w:val="none" w:color="auto"/>
                <w:lang w:val="en-US" w:eastAsia="zh-CN"/>
              </w:rPr>
              <w:t>2.3产品方案</w:t>
            </w:r>
          </w:p>
          <w:p w14:paraId="5D78498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u w:val="none" w:color="auto"/>
                <w:lang w:val="en-US" w:eastAsia="zh-CN"/>
              </w:rPr>
            </w:pPr>
            <w:r>
              <w:rPr>
                <w:rFonts w:hint="default" w:ascii="Times New Roman" w:hAnsi="Times New Roman" w:eastAsia="宋体" w:cs="Times New Roman"/>
                <w:b w:val="0"/>
                <w:bCs w:val="0"/>
                <w:color w:val="auto"/>
                <w:spacing w:val="11"/>
                <w:position w:val="0"/>
                <w:sz w:val="24"/>
                <w:szCs w:val="22"/>
                <w:u w:val="none" w:color="auto"/>
                <w:lang w:val="en-US" w:eastAsia="zh-CN"/>
              </w:rPr>
              <w:t>本项目产品方案</w:t>
            </w:r>
            <w:r>
              <w:rPr>
                <w:rFonts w:hint="eastAsia" w:cs="Times New Roman"/>
                <w:b w:val="0"/>
                <w:bCs w:val="0"/>
                <w:color w:val="auto"/>
                <w:spacing w:val="11"/>
                <w:position w:val="0"/>
                <w:sz w:val="24"/>
                <w:szCs w:val="22"/>
                <w:u w:val="none" w:color="auto"/>
                <w:lang w:val="en-US" w:eastAsia="zh-CN"/>
              </w:rPr>
              <w:t>详</w:t>
            </w:r>
            <w:r>
              <w:rPr>
                <w:rFonts w:hint="default" w:ascii="Times New Roman" w:hAnsi="Times New Roman" w:eastAsia="宋体" w:cs="Times New Roman"/>
                <w:b w:val="0"/>
                <w:bCs w:val="0"/>
                <w:color w:val="auto"/>
                <w:spacing w:val="11"/>
                <w:position w:val="0"/>
                <w:sz w:val="24"/>
                <w:szCs w:val="22"/>
                <w:u w:val="none" w:color="auto"/>
                <w:lang w:val="en-US" w:eastAsia="zh-CN"/>
              </w:rPr>
              <w:t>见下表。</w:t>
            </w:r>
          </w:p>
          <w:p w14:paraId="17023B66">
            <w:pPr>
              <w:spacing w:line="240" w:lineRule="auto"/>
              <w:ind w:left="0" w:leftChars="0" w:firstLine="0" w:firstLineChars="0"/>
              <w:jc w:val="center"/>
              <w:rPr>
                <w:rFonts w:hint="default" w:ascii="Times New Roman" w:hAnsi="Times New Roman" w:eastAsia="宋体" w:cs="Times New Roman"/>
                <w:color w:val="auto"/>
                <w:spacing w:val="11"/>
                <w:kern w:val="0"/>
                <w:position w:val="0"/>
                <w:sz w:val="24"/>
                <w:szCs w:val="24"/>
                <w:u w:val="none" w:color="auto"/>
                <w:lang w:val="en-US" w:eastAsia="zh-CN"/>
              </w:rPr>
            </w:pPr>
            <w:r>
              <w:rPr>
                <w:rFonts w:hint="default" w:ascii="Times New Roman" w:hAnsi="Times New Roman" w:eastAsia="宋体" w:cs="Times New Roman"/>
                <w:b/>
                <w:bCs/>
                <w:color w:val="auto"/>
                <w:spacing w:val="11"/>
                <w:position w:val="0"/>
                <w:sz w:val="21"/>
                <w:szCs w:val="21"/>
                <w:u w:val="none" w:color="auto"/>
              </w:rPr>
              <w:t>表</w:t>
            </w:r>
            <w:r>
              <w:rPr>
                <w:rFonts w:hint="default" w:ascii="Times New Roman" w:hAnsi="Times New Roman" w:eastAsia="宋体" w:cs="Times New Roman"/>
                <w:b/>
                <w:bCs/>
                <w:color w:val="auto"/>
                <w:spacing w:val="11"/>
                <w:position w:val="0"/>
                <w:sz w:val="21"/>
                <w:szCs w:val="21"/>
                <w:u w:val="none" w:color="auto"/>
                <w:lang w:val="en-US" w:eastAsia="zh-CN"/>
              </w:rPr>
              <w:t>2-3</w:t>
            </w:r>
            <w:r>
              <w:rPr>
                <w:rFonts w:hint="default" w:ascii="Times New Roman" w:hAnsi="Times New Roman" w:eastAsia="宋体" w:cs="Times New Roman"/>
                <w:b/>
                <w:bCs/>
                <w:color w:val="auto"/>
                <w:spacing w:val="11"/>
                <w:position w:val="0"/>
                <w:sz w:val="21"/>
                <w:szCs w:val="21"/>
                <w:u w:val="none" w:color="auto"/>
              </w:rPr>
              <w:t xml:space="preserve"> </w:t>
            </w:r>
            <w:r>
              <w:rPr>
                <w:rFonts w:hint="default" w:ascii="Times New Roman" w:hAnsi="Times New Roman" w:eastAsia="宋体" w:cs="Times New Roman"/>
                <w:b/>
                <w:bCs/>
                <w:color w:val="auto"/>
                <w:spacing w:val="11"/>
                <w:position w:val="0"/>
                <w:sz w:val="21"/>
                <w:szCs w:val="21"/>
                <w:u w:val="none" w:color="auto"/>
                <w:lang w:val="en-US" w:eastAsia="zh-CN"/>
              </w:rPr>
              <w:t xml:space="preserve"> 产品方案表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547"/>
              <w:gridCol w:w="4559"/>
              <w:gridCol w:w="2301"/>
            </w:tblGrid>
            <w:tr w14:paraId="1C7C7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20" w:type="pct"/>
                  <w:tcBorders>
                    <w:tl2br w:val="nil"/>
                    <w:tr2bl w:val="nil"/>
                  </w:tcBorders>
                  <w:noWrap w:val="0"/>
                  <w:vAlign w:val="center"/>
                </w:tcPr>
                <w:p w14:paraId="5A0DFB6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产品名称</w:t>
                  </w:r>
                </w:p>
              </w:tc>
              <w:tc>
                <w:tcPr>
                  <w:tcW w:w="2711" w:type="pct"/>
                  <w:tcBorders>
                    <w:tl2br w:val="nil"/>
                    <w:tr2bl w:val="nil"/>
                  </w:tcBorders>
                  <w:noWrap w:val="0"/>
                  <w:vAlign w:val="center"/>
                </w:tcPr>
                <w:p w14:paraId="2B73394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产品规格</w:t>
                  </w:r>
                </w:p>
              </w:tc>
              <w:tc>
                <w:tcPr>
                  <w:tcW w:w="1368" w:type="pct"/>
                  <w:tcBorders>
                    <w:tl2br w:val="nil"/>
                    <w:tr2bl w:val="nil"/>
                  </w:tcBorders>
                  <w:noWrap w:val="0"/>
                  <w:vAlign w:val="center"/>
                </w:tcPr>
                <w:p w14:paraId="37E809F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产能</w:t>
                  </w:r>
                </w:p>
              </w:tc>
            </w:tr>
            <w:tr w14:paraId="277A2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20" w:type="pct"/>
                  <w:vMerge w:val="restart"/>
                  <w:tcBorders>
                    <w:tl2br w:val="nil"/>
                    <w:tr2bl w:val="nil"/>
                  </w:tcBorders>
                  <w:noWrap w:val="0"/>
                  <w:vAlign w:val="center"/>
                </w:tcPr>
                <w:p w14:paraId="3F08A7C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砂石骨料</w:t>
                  </w:r>
                </w:p>
              </w:tc>
              <w:tc>
                <w:tcPr>
                  <w:tcW w:w="2711" w:type="pct"/>
                  <w:tcBorders>
                    <w:tl2br w:val="nil"/>
                    <w:tr2bl w:val="nil"/>
                  </w:tcBorders>
                  <w:noWrap w:val="0"/>
                  <w:vAlign w:val="center"/>
                </w:tcPr>
                <w:p w14:paraId="3A0199C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石粉</w:t>
                  </w:r>
                </w:p>
              </w:tc>
              <w:tc>
                <w:tcPr>
                  <w:tcW w:w="1368" w:type="pct"/>
                  <w:vMerge w:val="restart"/>
                  <w:tcBorders>
                    <w:tl2br w:val="nil"/>
                    <w:tr2bl w:val="nil"/>
                  </w:tcBorders>
                  <w:noWrap w:val="0"/>
                  <w:vAlign w:val="center"/>
                </w:tcPr>
                <w:p w14:paraId="7C9D080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cs="Times New Roman"/>
                      <w:spacing w:val="11"/>
                      <w:position w:val="0"/>
                      <w:szCs w:val="21"/>
                      <w:u w:val="none" w:color="auto"/>
                      <w:lang w:val="en-US" w:eastAsia="zh-CN"/>
                    </w:rPr>
                    <w:t>3</w:t>
                  </w:r>
                  <w:r>
                    <w:rPr>
                      <w:rFonts w:hint="default" w:ascii="Times New Roman" w:hAnsi="Times New Roman" w:cs="Times New Roman"/>
                      <w:spacing w:val="11"/>
                      <w:position w:val="0"/>
                      <w:szCs w:val="21"/>
                      <w:u w:val="none" w:color="auto"/>
                      <w:lang w:val="en-US" w:eastAsia="zh-CN"/>
                    </w:rPr>
                    <w:t>0</w:t>
                  </w:r>
                  <w:r>
                    <w:rPr>
                      <w:rFonts w:hint="default" w:ascii="Times New Roman" w:hAnsi="Times New Roman" w:eastAsia="宋体" w:cs="Times New Roman"/>
                      <w:spacing w:val="11"/>
                      <w:position w:val="0"/>
                      <w:szCs w:val="21"/>
                      <w:u w:val="none" w:color="auto"/>
                      <w:lang w:val="en-US" w:eastAsia="zh-CN"/>
                    </w:rPr>
                    <w:t>万t/a</w:t>
                  </w:r>
                </w:p>
              </w:tc>
            </w:tr>
            <w:tr w14:paraId="2C27E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20" w:type="pct"/>
                  <w:vMerge w:val="continue"/>
                  <w:tcBorders>
                    <w:tl2br w:val="nil"/>
                    <w:tr2bl w:val="nil"/>
                  </w:tcBorders>
                  <w:noWrap w:val="0"/>
                  <w:vAlign w:val="center"/>
                </w:tcPr>
                <w:p w14:paraId="425A455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c>
                <w:tcPr>
                  <w:tcW w:w="2711" w:type="pct"/>
                  <w:tcBorders>
                    <w:tl2br w:val="nil"/>
                    <w:tr2bl w:val="nil"/>
                  </w:tcBorders>
                  <w:noWrap w:val="0"/>
                  <w:vAlign w:val="center"/>
                </w:tcPr>
                <w:p w14:paraId="021B25D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cs="Times New Roman"/>
                      <w:spacing w:val="11"/>
                      <w:position w:val="0"/>
                      <w:szCs w:val="21"/>
                      <w:u w:val="none" w:color="auto"/>
                      <w:lang w:val="en-US" w:eastAsia="zh-CN"/>
                    </w:rPr>
                    <w:t>5-10mm碎石</w:t>
                  </w:r>
                </w:p>
              </w:tc>
              <w:tc>
                <w:tcPr>
                  <w:tcW w:w="1368" w:type="pct"/>
                  <w:vMerge w:val="continue"/>
                  <w:tcBorders>
                    <w:tl2br w:val="nil"/>
                    <w:tr2bl w:val="nil"/>
                  </w:tcBorders>
                  <w:noWrap w:val="0"/>
                  <w:vAlign w:val="center"/>
                </w:tcPr>
                <w:p w14:paraId="5E32F56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r>
            <w:tr w14:paraId="121B91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20" w:type="pct"/>
                  <w:vMerge w:val="continue"/>
                  <w:tcBorders>
                    <w:tl2br w:val="nil"/>
                    <w:tr2bl w:val="nil"/>
                  </w:tcBorders>
                  <w:noWrap w:val="0"/>
                  <w:vAlign w:val="center"/>
                </w:tcPr>
                <w:p w14:paraId="55402C3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c>
                <w:tcPr>
                  <w:tcW w:w="2711" w:type="pct"/>
                  <w:tcBorders>
                    <w:tl2br w:val="nil"/>
                    <w:tr2bl w:val="nil"/>
                  </w:tcBorders>
                  <w:noWrap w:val="0"/>
                  <w:vAlign w:val="center"/>
                </w:tcPr>
                <w:p w14:paraId="7396185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10-20mm碎石</w:t>
                  </w:r>
                </w:p>
              </w:tc>
              <w:tc>
                <w:tcPr>
                  <w:tcW w:w="1368" w:type="pct"/>
                  <w:vMerge w:val="continue"/>
                  <w:tcBorders>
                    <w:tl2br w:val="nil"/>
                    <w:tr2bl w:val="nil"/>
                  </w:tcBorders>
                  <w:noWrap w:val="0"/>
                  <w:vAlign w:val="center"/>
                </w:tcPr>
                <w:p w14:paraId="0DA1E38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r>
            <w:tr w14:paraId="6A7C1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20" w:type="pct"/>
                  <w:vMerge w:val="continue"/>
                  <w:tcBorders>
                    <w:tl2br w:val="nil"/>
                    <w:tr2bl w:val="nil"/>
                  </w:tcBorders>
                  <w:noWrap w:val="0"/>
                  <w:vAlign w:val="center"/>
                </w:tcPr>
                <w:p w14:paraId="21DB3D8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c>
                <w:tcPr>
                  <w:tcW w:w="2711" w:type="pct"/>
                  <w:tcBorders>
                    <w:tl2br w:val="nil"/>
                    <w:tr2bl w:val="nil"/>
                  </w:tcBorders>
                  <w:noWrap w:val="0"/>
                  <w:vAlign w:val="center"/>
                </w:tcPr>
                <w:p w14:paraId="45E89FC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cs="Times New Roman"/>
                      <w:spacing w:val="11"/>
                      <w:position w:val="0"/>
                      <w:szCs w:val="21"/>
                      <w:u w:val="none" w:color="auto"/>
                      <w:lang w:val="en-US" w:eastAsia="zh-CN"/>
                    </w:rPr>
                    <w:t>16-31.5</w:t>
                  </w:r>
                  <w:r>
                    <w:rPr>
                      <w:rFonts w:hint="default" w:ascii="Times New Roman" w:hAnsi="Times New Roman" w:eastAsia="宋体" w:cs="Times New Roman"/>
                      <w:spacing w:val="11"/>
                      <w:position w:val="0"/>
                      <w:szCs w:val="21"/>
                      <w:u w:val="none" w:color="auto"/>
                      <w:lang w:val="en-US" w:eastAsia="zh-CN"/>
                    </w:rPr>
                    <w:t>mm碎石</w:t>
                  </w:r>
                </w:p>
              </w:tc>
              <w:tc>
                <w:tcPr>
                  <w:tcW w:w="1368" w:type="pct"/>
                  <w:vMerge w:val="continue"/>
                  <w:tcBorders>
                    <w:tl2br w:val="nil"/>
                    <w:tr2bl w:val="nil"/>
                  </w:tcBorders>
                  <w:noWrap w:val="0"/>
                  <w:vAlign w:val="center"/>
                </w:tcPr>
                <w:p w14:paraId="0B68F8E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r>
            <w:tr w14:paraId="0D348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20" w:type="pct"/>
                  <w:vMerge w:val="continue"/>
                  <w:tcBorders>
                    <w:tl2br w:val="nil"/>
                    <w:tr2bl w:val="nil"/>
                  </w:tcBorders>
                  <w:noWrap w:val="0"/>
                  <w:vAlign w:val="center"/>
                </w:tcPr>
                <w:p w14:paraId="2BD3A6A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c>
                <w:tcPr>
                  <w:tcW w:w="2711" w:type="pct"/>
                  <w:tcBorders>
                    <w:tl2br w:val="nil"/>
                    <w:tr2bl w:val="nil"/>
                  </w:tcBorders>
                  <w:noWrap w:val="0"/>
                  <w:vAlign w:val="center"/>
                </w:tcPr>
                <w:p w14:paraId="7E4CBD2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spacing w:val="11"/>
                      <w:position w:val="0"/>
                      <w:szCs w:val="21"/>
                      <w:u w:val="none" w:color="auto"/>
                      <w:lang w:val="en-US" w:eastAsia="zh-CN"/>
                    </w:rPr>
                  </w:pPr>
                  <w:r>
                    <w:rPr>
                      <w:rFonts w:hint="default" w:ascii="Times New Roman" w:hAnsi="Times New Roman" w:cs="Times New Roman"/>
                      <w:spacing w:val="11"/>
                      <w:position w:val="0"/>
                      <w:szCs w:val="21"/>
                      <w:u w:val="none" w:color="auto"/>
                      <w:lang w:val="en-US" w:eastAsia="zh-CN"/>
                    </w:rPr>
                    <w:t>≤4.75mm机制砂</w:t>
                  </w:r>
                </w:p>
              </w:tc>
              <w:tc>
                <w:tcPr>
                  <w:tcW w:w="1368" w:type="pct"/>
                  <w:tcBorders>
                    <w:tl2br w:val="nil"/>
                    <w:tr2bl w:val="nil"/>
                  </w:tcBorders>
                  <w:shd w:val="clear" w:color="auto" w:fill="auto"/>
                  <w:noWrap w:val="0"/>
                  <w:vAlign w:val="center"/>
                </w:tcPr>
                <w:p w14:paraId="615DE4A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cs="Times New Roman"/>
                      <w:spacing w:val="11"/>
                      <w:position w:val="0"/>
                      <w:szCs w:val="21"/>
                      <w:u w:val="none" w:color="auto"/>
                      <w:lang w:val="en-US" w:eastAsia="zh-CN"/>
                    </w:rPr>
                    <w:t>3</w:t>
                  </w:r>
                  <w:r>
                    <w:rPr>
                      <w:rFonts w:hint="default" w:ascii="Times New Roman" w:hAnsi="Times New Roman" w:cs="Times New Roman"/>
                      <w:spacing w:val="11"/>
                      <w:position w:val="0"/>
                      <w:szCs w:val="21"/>
                      <w:u w:val="none" w:color="auto"/>
                      <w:lang w:val="en-US" w:eastAsia="zh-CN"/>
                    </w:rPr>
                    <w:t>0</w:t>
                  </w:r>
                  <w:r>
                    <w:rPr>
                      <w:rFonts w:hint="default" w:ascii="Times New Roman" w:hAnsi="Times New Roman" w:eastAsia="宋体" w:cs="Times New Roman"/>
                      <w:spacing w:val="11"/>
                      <w:position w:val="0"/>
                      <w:szCs w:val="21"/>
                      <w:u w:val="none" w:color="auto"/>
                      <w:lang w:val="en-US" w:eastAsia="zh-CN"/>
                    </w:rPr>
                    <w:t>万t/a</w:t>
                  </w:r>
                </w:p>
              </w:tc>
            </w:tr>
          </w:tbl>
          <w:p w14:paraId="64CC8C33">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default" w:ascii="Times New Roman" w:hAnsi="Times New Roman" w:eastAsia="宋体" w:cs="Times New Roman"/>
                <w:b/>
                <w:color w:val="auto"/>
                <w:spacing w:val="11"/>
                <w:position w:val="0"/>
                <w:sz w:val="24"/>
                <w:szCs w:val="24"/>
                <w:highlight w:val="none"/>
                <w:u w:val="none" w:color="auto"/>
                <w:lang w:val="en-US" w:eastAsia="zh-CN"/>
              </w:rPr>
            </w:pPr>
            <w:r>
              <w:rPr>
                <w:rFonts w:hint="default" w:ascii="Times New Roman" w:hAnsi="Times New Roman" w:eastAsia="宋体" w:cs="Times New Roman"/>
                <w:b/>
                <w:color w:val="auto"/>
                <w:spacing w:val="11"/>
                <w:position w:val="0"/>
                <w:sz w:val="24"/>
                <w:szCs w:val="24"/>
                <w:highlight w:val="none"/>
                <w:u w:val="none" w:color="auto"/>
                <w:lang w:val="en-US" w:eastAsia="zh-CN"/>
              </w:rPr>
              <w:t>2.4原辅材料</w:t>
            </w:r>
          </w:p>
          <w:p w14:paraId="1CE6F01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u w:val="none" w:color="auto"/>
                <w:lang w:val="en-US" w:eastAsia="zh-CN"/>
              </w:rPr>
            </w:pPr>
            <w:r>
              <w:rPr>
                <w:rFonts w:hint="default" w:ascii="Times New Roman" w:hAnsi="Times New Roman" w:eastAsia="宋体" w:cs="Times New Roman"/>
                <w:b w:val="0"/>
                <w:bCs w:val="0"/>
                <w:color w:val="auto"/>
                <w:spacing w:val="11"/>
                <w:position w:val="0"/>
                <w:sz w:val="24"/>
                <w:szCs w:val="22"/>
                <w:u w:val="none" w:color="auto"/>
                <w:lang w:val="en-US" w:eastAsia="zh-CN"/>
              </w:rPr>
              <w:t>原辅材料使用情况见下表</w:t>
            </w:r>
          </w:p>
          <w:p w14:paraId="64A57DE8">
            <w:pPr>
              <w:spacing w:line="240" w:lineRule="auto"/>
              <w:ind w:left="0" w:leftChars="0" w:firstLine="0" w:firstLineChars="0"/>
              <w:jc w:val="center"/>
              <w:rPr>
                <w:rFonts w:hint="default" w:ascii="Times New Roman" w:hAnsi="Times New Roman" w:eastAsia="宋体" w:cs="Times New Roman"/>
                <w:b/>
                <w:bCs/>
                <w:color w:val="auto"/>
                <w:spacing w:val="11"/>
                <w:position w:val="0"/>
                <w:sz w:val="21"/>
                <w:szCs w:val="21"/>
                <w:u w:val="none" w:color="auto"/>
                <w:lang w:val="en-US" w:eastAsia="zh-CN"/>
              </w:rPr>
            </w:pPr>
            <w:r>
              <w:rPr>
                <w:rFonts w:hint="default" w:ascii="Times New Roman" w:hAnsi="Times New Roman" w:eastAsia="宋体" w:cs="Times New Roman"/>
                <w:b/>
                <w:bCs/>
                <w:color w:val="auto"/>
                <w:spacing w:val="11"/>
                <w:position w:val="0"/>
                <w:sz w:val="21"/>
                <w:szCs w:val="21"/>
                <w:u w:val="none" w:color="auto"/>
              </w:rPr>
              <w:t>表</w:t>
            </w:r>
            <w:r>
              <w:rPr>
                <w:rFonts w:hint="default" w:ascii="Times New Roman" w:hAnsi="Times New Roman" w:eastAsia="宋体" w:cs="Times New Roman"/>
                <w:b/>
                <w:bCs/>
                <w:color w:val="auto"/>
                <w:spacing w:val="11"/>
                <w:position w:val="0"/>
                <w:sz w:val="21"/>
                <w:szCs w:val="21"/>
                <w:u w:val="none" w:color="auto"/>
                <w:lang w:val="en-US" w:eastAsia="zh-CN"/>
              </w:rPr>
              <w:t>2-4</w:t>
            </w:r>
            <w:r>
              <w:rPr>
                <w:rFonts w:hint="default" w:ascii="Times New Roman" w:hAnsi="Times New Roman" w:eastAsia="宋体" w:cs="Times New Roman"/>
                <w:b/>
                <w:bCs/>
                <w:color w:val="auto"/>
                <w:spacing w:val="11"/>
                <w:position w:val="0"/>
                <w:sz w:val="21"/>
                <w:szCs w:val="21"/>
                <w:u w:val="none" w:color="auto"/>
              </w:rPr>
              <w:t xml:space="preserve"> </w:t>
            </w:r>
            <w:r>
              <w:rPr>
                <w:rFonts w:hint="default" w:ascii="Times New Roman" w:hAnsi="Times New Roman" w:eastAsia="宋体" w:cs="Times New Roman"/>
                <w:b/>
                <w:bCs/>
                <w:color w:val="auto"/>
                <w:spacing w:val="11"/>
                <w:position w:val="0"/>
                <w:sz w:val="21"/>
                <w:szCs w:val="21"/>
                <w:u w:val="none" w:color="auto"/>
                <w:lang w:val="en-US" w:eastAsia="zh-CN"/>
              </w:rPr>
              <w:t xml:space="preserve"> 主要原辅材料及能源消耗一览表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09"/>
              <w:gridCol w:w="2399"/>
              <w:gridCol w:w="1613"/>
              <w:gridCol w:w="1975"/>
              <w:gridCol w:w="1611"/>
            </w:tblGrid>
            <w:tr w14:paraId="13EDC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81" w:type="pct"/>
                  <w:tcBorders>
                    <w:tl2br w:val="nil"/>
                    <w:tr2bl w:val="nil"/>
                  </w:tcBorders>
                  <w:shd w:val="clear" w:color="auto" w:fill="auto"/>
                  <w:noWrap w:val="0"/>
                  <w:vAlign w:val="center"/>
                </w:tcPr>
                <w:p w14:paraId="65398A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序号</w:t>
                  </w:r>
                </w:p>
              </w:tc>
              <w:tc>
                <w:tcPr>
                  <w:tcW w:w="1426" w:type="pct"/>
                  <w:tcBorders>
                    <w:tl2br w:val="nil"/>
                    <w:tr2bl w:val="nil"/>
                  </w:tcBorders>
                  <w:shd w:val="clear" w:color="auto" w:fill="auto"/>
                  <w:noWrap w:val="0"/>
                  <w:vAlign w:val="center"/>
                </w:tcPr>
                <w:p w14:paraId="6C1D7F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cs="Times New Roman"/>
                      <w:color w:val="auto"/>
                      <w:spacing w:val="11"/>
                      <w:kern w:val="0"/>
                      <w:position w:val="0"/>
                      <w:sz w:val="21"/>
                      <w:szCs w:val="21"/>
                      <w:highlight w:val="none"/>
                      <w:u w:val="none" w:color="auto"/>
                      <w:lang w:val="en-US" w:eastAsia="zh-CN" w:bidi="ar-SA"/>
                    </w:rPr>
                    <w:t>名称</w:t>
                  </w:r>
                </w:p>
              </w:tc>
              <w:tc>
                <w:tcPr>
                  <w:tcW w:w="959" w:type="pct"/>
                  <w:tcBorders>
                    <w:tl2br w:val="nil"/>
                    <w:tr2bl w:val="nil"/>
                  </w:tcBorders>
                  <w:noWrap w:val="0"/>
                  <w:vAlign w:val="center"/>
                </w:tcPr>
                <w:p w14:paraId="0672FFB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cs="Times New Roman"/>
                      <w:spacing w:val="11"/>
                      <w:position w:val="0"/>
                      <w:szCs w:val="21"/>
                      <w:u w:val="none" w:color="auto"/>
                      <w:lang w:val="en-US" w:eastAsia="zh-CN"/>
                    </w:rPr>
                    <w:t>年</w:t>
                  </w:r>
                  <w:r>
                    <w:rPr>
                      <w:rFonts w:hint="default" w:ascii="Times New Roman" w:hAnsi="Times New Roman" w:eastAsia="宋体" w:cs="Times New Roman"/>
                      <w:spacing w:val="11"/>
                      <w:position w:val="0"/>
                      <w:szCs w:val="21"/>
                      <w:u w:val="none" w:color="auto"/>
                      <w:lang w:val="en-US" w:eastAsia="zh-CN"/>
                    </w:rPr>
                    <w:t>用量</w:t>
                  </w:r>
                </w:p>
              </w:tc>
              <w:tc>
                <w:tcPr>
                  <w:tcW w:w="1174" w:type="pct"/>
                  <w:tcBorders>
                    <w:tl2br w:val="nil"/>
                    <w:tr2bl w:val="nil"/>
                  </w:tcBorders>
                  <w:noWrap w:val="0"/>
                  <w:vAlign w:val="center"/>
                </w:tcPr>
                <w:p w14:paraId="30580A7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厂内最大储存量</w:t>
                  </w:r>
                </w:p>
              </w:tc>
              <w:tc>
                <w:tcPr>
                  <w:tcW w:w="958" w:type="pct"/>
                  <w:tcBorders>
                    <w:tl2br w:val="nil"/>
                    <w:tr2bl w:val="nil"/>
                  </w:tcBorders>
                  <w:noWrap w:val="0"/>
                  <w:vAlign w:val="center"/>
                </w:tcPr>
                <w:p w14:paraId="0B15779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备注</w:t>
                  </w:r>
                </w:p>
              </w:tc>
            </w:tr>
            <w:tr w14:paraId="2D86E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84" w:hRule="atLeast"/>
                <w:jc w:val="center"/>
              </w:trPr>
              <w:tc>
                <w:tcPr>
                  <w:tcW w:w="481" w:type="pct"/>
                  <w:tcBorders>
                    <w:tl2br w:val="nil"/>
                    <w:tr2bl w:val="nil"/>
                  </w:tcBorders>
                  <w:noWrap w:val="0"/>
                  <w:vAlign w:val="center"/>
                </w:tcPr>
                <w:p w14:paraId="50A6133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1</w:t>
                  </w:r>
                </w:p>
              </w:tc>
              <w:tc>
                <w:tcPr>
                  <w:tcW w:w="1426" w:type="pct"/>
                  <w:tcBorders>
                    <w:tl2br w:val="nil"/>
                    <w:tr2bl w:val="nil"/>
                  </w:tcBorders>
                  <w:noWrap w:val="0"/>
                  <w:vAlign w:val="center"/>
                </w:tcPr>
                <w:p w14:paraId="29CCD44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炸药</w:t>
                  </w:r>
                </w:p>
              </w:tc>
              <w:tc>
                <w:tcPr>
                  <w:tcW w:w="959" w:type="pct"/>
                  <w:tcBorders>
                    <w:tl2br w:val="nil"/>
                    <w:tr2bl w:val="nil"/>
                  </w:tcBorders>
                  <w:noWrap w:val="0"/>
                  <w:vAlign w:val="center"/>
                </w:tcPr>
                <w:p w14:paraId="2BED1B4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cs="Times New Roman"/>
                      <w:spacing w:val="11"/>
                      <w:position w:val="0"/>
                      <w:szCs w:val="21"/>
                      <w:u w:val="none" w:color="auto"/>
                      <w:lang w:val="en-US" w:eastAsia="zh-CN"/>
                    </w:rPr>
                    <w:t>100t</w:t>
                  </w:r>
                </w:p>
              </w:tc>
              <w:tc>
                <w:tcPr>
                  <w:tcW w:w="1174" w:type="pct"/>
                  <w:tcBorders>
                    <w:tl2br w:val="nil"/>
                    <w:tr2bl w:val="nil"/>
                  </w:tcBorders>
                  <w:noWrap w:val="0"/>
                  <w:vAlign w:val="center"/>
                </w:tcPr>
                <w:p w14:paraId="62A31E5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w:t>
                  </w:r>
                </w:p>
              </w:tc>
              <w:tc>
                <w:tcPr>
                  <w:tcW w:w="958" w:type="pct"/>
                  <w:vMerge w:val="restart"/>
                  <w:tcBorders>
                    <w:tl2br w:val="nil"/>
                    <w:tr2bl w:val="nil"/>
                  </w:tcBorders>
                  <w:noWrap w:val="0"/>
                  <w:vAlign w:val="center"/>
                </w:tcPr>
                <w:p w14:paraId="4A06BE3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爆破工作委托当地具有资质的爆破公司承担，矿山不设置炸药库</w:t>
                  </w:r>
                </w:p>
              </w:tc>
            </w:tr>
            <w:tr w14:paraId="4140BF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81" w:type="pct"/>
                  <w:tcBorders>
                    <w:tl2br w:val="nil"/>
                    <w:tr2bl w:val="nil"/>
                  </w:tcBorders>
                  <w:noWrap w:val="0"/>
                  <w:vAlign w:val="center"/>
                </w:tcPr>
                <w:p w14:paraId="1BC64CB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2</w:t>
                  </w:r>
                </w:p>
              </w:tc>
              <w:tc>
                <w:tcPr>
                  <w:tcW w:w="1426" w:type="pct"/>
                  <w:tcBorders>
                    <w:tl2br w:val="nil"/>
                    <w:tr2bl w:val="nil"/>
                  </w:tcBorders>
                  <w:noWrap w:val="0"/>
                  <w:vAlign w:val="center"/>
                </w:tcPr>
                <w:p w14:paraId="71776B8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雷管</w:t>
                  </w:r>
                </w:p>
              </w:tc>
              <w:tc>
                <w:tcPr>
                  <w:tcW w:w="959" w:type="pct"/>
                  <w:tcBorders>
                    <w:tl2br w:val="nil"/>
                    <w:tr2bl w:val="nil"/>
                  </w:tcBorders>
                  <w:noWrap w:val="0"/>
                  <w:vAlign w:val="center"/>
                </w:tcPr>
                <w:p w14:paraId="72772B9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23</w:t>
                  </w:r>
                  <w:r>
                    <w:rPr>
                      <w:rFonts w:hint="default" w:ascii="Times New Roman" w:hAnsi="Times New Roman" w:cs="Times New Roman"/>
                      <w:spacing w:val="11"/>
                      <w:position w:val="0"/>
                      <w:szCs w:val="21"/>
                      <w:u w:val="none" w:color="auto"/>
                      <w:lang w:val="en-US" w:eastAsia="zh-CN"/>
                    </w:rPr>
                    <w:t>00发</w:t>
                  </w:r>
                </w:p>
              </w:tc>
              <w:tc>
                <w:tcPr>
                  <w:tcW w:w="1174" w:type="pct"/>
                  <w:tcBorders>
                    <w:tl2br w:val="nil"/>
                    <w:tr2bl w:val="nil"/>
                  </w:tcBorders>
                  <w:noWrap w:val="0"/>
                  <w:vAlign w:val="center"/>
                </w:tcPr>
                <w:p w14:paraId="1697A0D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w:t>
                  </w:r>
                </w:p>
              </w:tc>
              <w:tc>
                <w:tcPr>
                  <w:tcW w:w="958" w:type="pct"/>
                  <w:vMerge w:val="continue"/>
                  <w:tcBorders>
                    <w:tl2br w:val="nil"/>
                    <w:tr2bl w:val="nil"/>
                  </w:tcBorders>
                  <w:noWrap w:val="0"/>
                  <w:vAlign w:val="center"/>
                </w:tcPr>
                <w:p w14:paraId="604BADA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r>
            <w:tr w14:paraId="4DD489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5" w:hRule="atLeast"/>
                <w:jc w:val="center"/>
              </w:trPr>
              <w:tc>
                <w:tcPr>
                  <w:tcW w:w="481" w:type="pct"/>
                  <w:tcBorders>
                    <w:tl2br w:val="nil"/>
                    <w:tr2bl w:val="nil"/>
                  </w:tcBorders>
                  <w:shd w:val="clear" w:color="auto" w:fill="auto"/>
                  <w:noWrap w:val="0"/>
                  <w:vAlign w:val="center"/>
                </w:tcPr>
                <w:p w14:paraId="78793A3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cs="Times New Roman"/>
                      <w:spacing w:val="11"/>
                      <w:kern w:val="2"/>
                      <w:position w:val="0"/>
                      <w:sz w:val="21"/>
                      <w:szCs w:val="21"/>
                      <w:u w:val="none" w:color="auto"/>
                      <w:lang w:val="en-US" w:eastAsia="zh-CN" w:bidi="ar-SA"/>
                    </w:rPr>
                    <w:t>3</w:t>
                  </w:r>
                </w:p>
              </w:tc>
              <w:tc>
                <w:tcPr>
                  <w:tcW w:w="1426" w:type="pct"/>
                  <w:tcBorders>
                    <w:tl2br w:val="nil"/>
                    <w:tr2bl w:val="nil"/>
                  </w:tcBorders>
                  <w:shd w:val="clear" w:color="auto" w:fill="auto"/>
                  <w:noWrap w:val="0"/>
                  <w:vAlign w:val="center"/>
                </w:tcPr>
                <w:p w14:paraId="241E492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Cs w:val="21"/>
                      <w:u w:val="none" w:color="auto"/>
                      <w:lang w:val="en-US" w:eastAsia="zh-CN"/>
                    </w:rPr>
                    <w:t>絮凝剂</w:t>
                  </w:r>
                </w:p>
              </w:tc>
              <w:tc>
                <w:tcPr>
                  <w:tcW w:w="959" w:type="pct"/>
                  <w:tcBorders>
                    <w:tl2br w:val="nil"/>
                    <w:tr2bl w:val="nil"/>
                  </w:tcBorders>
                  <w:shd w:val="clear" w:color="auto" w:fill="auto"/>
                  <w:noWrap w:val="0"/>
                  <w:vAlign w:val="center"/>
                </w:tcPr>
                <w:p w14:paraId="4D34A96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Cs w:val="21"/>
                      <w:u w:val="none" w:color="auto"/>
                      <w:lang w:val="en-US" w:eastAsia="zh-CN"/>
                    </w:rPr>
                    <w:t>5t</w:t>
                  </w:r>
                </w:p>
              </w:tc>
              <w:tc>
                <w:tcPr>
                  <w:tcW w:w="1174" w:type="pct"/>
                  <w:tcBorders>
                    <w:tl2br w:val="nil"/>
                    <w:tr2bl w:val="nil"/>
                  </w:tcBorders>
                  <w:shd w:val="clear" w:color="auto" w:fill="auto"/>
                  <w:noWrap w:val="0"/>
                  <w:vAlign w:val="center"/>
                </w:tcPr>
                <w:p w14:paraId="0251C08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Cs w:val="21"/>
                      <w:u w:val="none" w:color="auto"/>
                      <w:lang w:val="en-US" w:eastAsia="zh-CN"/>
                    </w:rPr>
                    <w:t>0.15t</w:t>
                  </w:r>
                </w:p>
              </w:tc>
              <w:tc>
                <w:tcPr>
                  <w:tcW w:w="958" w:type="pct"/>
                  <w:tcBorders>
                    <w:tl2br w:val="nil"/>
                    <w:tr2bl w:val="nil"/>
                  </w:tcBorders>
                  <w:shd w:val="clear" w:color="auto" w:fill="auto"/>
                  <w:noWrap w:val="0"/>
                  <w:vAlign w:val="center"/>
                </w:tcPr>
                <w:p w14:paraId="061DBBE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Cs w:val="21"/>
                      <w:u w:val="none" w:color="auto"/>
                      <w:lang w:val="en-US" w:eastAsia="zh-CN"/>
                    </w:rPr>
                    <w:t>外购</w:t>
                  </w:r>
                  <w:r>
                    <w:rPr>
                      <w:rFonts w:hint="eastAsia" w:cs="Times New Roman"/>
                      <w:spacing w:val="11"/>
                      <w:position w:val="0"/>
                      <w:szCs w:val="21"/>
                      <w:u w:val="none" w:color="auto"/>
                      <w:lang w:val="en-US" w:eastAsia="zh-CN"/>
                    </w:rPr>
                    <w:t>，袋装</w:t>
                  </w:r>
                </w:p>
              </w:tc>
            </w:tr>
            <w:tr w14:paraId="32C2D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81" w:type="pct"/>
                  <w:tcBorders>
                    <w:tl2br w:val="nil"/>
                    <w:tr2bl w:val="nil"/>
                  </w:tcBorders>
                  <w:shd w:val="clear" w:color="auto" w:fill="auto"/>
                  <w:noWrap w:val="0"/>
                  <w:vAlign w:val="center"/>
                </w:tcPr>
                <w:p w14:paraId="24F52C0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Cs w:val="21"/>
                      <w:u w:val="none" w:color="auto"/>
                      <w:lang w:val="en-US" w:eastAsia="zh-CN"/>
                    </w:rPr>
                    <w:t>4</w:t>
                  </w:r>
                </w:p>
              </w:tc>
              <w:tc>
                <w:tcPr>
                  <w:tcW w:w="1426" w:type="pct"/>
                  <w:tcBorders>
                    <w:tl2br w:val="nil"/>
                    <w:tr2bl w:val="nil"/>
                  </w:tcBorders>
                  <w:shd w:val="clear" w:color="auto" w:fill="auto"/>
                  <w:noWrap w:val="0"/>
                  <w:vAlign w:val="center"/>
                </w:tcPr>
                <w:p w14:paraId="54C29AC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Cs w:val="21"/>
                      <w:u w:val="none" w:color="auto"/>
                      <w:lang w:val="en-US" w:eastAsia="zh-CN"/>
                    </w:rPr>
                    <w:t>润滑油</w:t>
                  </w:r>
                </w:p>
              </w:tc>
              <w:tc>
                <w:tcPr>
                  <w:tcW w:w="959" w:type="pct"/>
                  <w:tcBorders>
                    <w:tl2br w:val="nil"/>
                    <w:tr2bl w:val="nil"/>
                  </w:tcBorders>
                  <w:shd w:val="clear" w:color="auto" w:fill="auto"/>
                  <w:noWrap w:val="0"/>
                  <w:vAlign w:val="center"/>
                </w:tcPr>
                <w:p w14:paraId="5E36C0F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Cs w:val="21"/>
                      <w:u w:val="none" w:color="auto"/>
                      <w:lang w:val="en-US" w:eastAsia="zh-CN"/>
                    </w:rPr>
                    <w:t>1t</w:t>
                  </w:r>
                </w:p>
              </w:tc>
              <w:tc>
                <w:tcPr>
                  <w:tcW w:w="1174" w:type="pct"/>
                  <w:tcBorders>
                    <w:tl2br w:val="nil"/>
                    <w:tr2bl w:val="nil"/>
                  </w:tcBorders>
                  <w:shd w:val="clear" w:color="auto" w:fill="auto"/>
                  <w:noWrap w:val="0"/>
                  <w:vAlign w:val="center"/>
                </w:tcPr>
                <w:p w14:paraId="4BDCC8C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Cs w:val="21"/>
                      <w:u w:val="none" w:color="auto"/>
                      <w:lang w:val="en-US" w:eastAsia="zh-CN"/>
                    </w:rPr>
                    <w:t>0.1t</w:t>
                  </w:r>
                </w:p>
              </w:tc>
              <w:tc>
                <w:tcPr>
                  <w:tcW w:w="958" w:type="pct"/>
                  <w:tcBorders>
                    <w:tl2br w:val="nil"/>
                    <w:tr2bl w:val="nil"/>
                  </w:tcBorders>
                  <w:shd w:val="clear" w:color="auto" w:fill="auto"/>
                  <w:noWrap w:val="0"/>
                  <w:vAlign w:val="center"/>
                </w:tcPr>
                <w:p w14:paraId="647A351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Cs w:val="21"/>
                      <w:u w:val="none" w:color="auto"/>
                      <w:lang w:val="en-US" w:eastAsia="zh-CN"/>
                    </w:rPr>
                    <w:t>外购</w:t>
                  </w:r>
                  <w:r>
                    <w:rPr>
                      <w:rFonts w:hint="eastAsia" w:cs="Times New Roman"/>
                      <w:spacing w:val="11"/>
                      <w:position w:val="0"/>
                      <w:szCs w:val="21"/>
                      <w:u w:val="none" w:color="auto"/>
                      <w:lang w:val="en-US" w:eastAsia="zh-CN"/>
                    </w:rPr>
                    <w:t>，</w:t>
                  </w:r>
                  <w:r>
                    <w:rPr>
                      <w:rFonts w:hint="default" w:ascii="Times New Roman" w:hAnsi="Times New Roman" w:eastAsia="宋体" w:cs="Times New Roman"/>
                      <w:spacing w:val="11"/>
                      <w:position w:val="0"/>
                      <w:szCs w:val="21"/>
                      <w:u w:val="none" w:color="auto"/>
                      <w:lang w:val="en-US" w:eastAsia="zh-CN"/>
                    </w:rPr>
                    <w:t>桶装</w:t>
                  </w:r>
                </w:p>
              </w:tc>
            </w:tr>
            <w:tr w14:paraId="7C9DB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81" w:type="pct"/>
                  <w:tcBorders>
                    <w:tl2br w:val="nil"/>
                    <w:tr2bl w:val="nil"/>
                  </w:tcBorders>
                  <w:shd w:val="clear" w:color="auto" w:fill="auto"/>
                  <w:noWrap w:val="0"/>
                  <w:vAlign w:val="center"/>
                </w:tcPr>
                <w:p w14:paraId="676805B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Cs w:val="21"/>
                      <w:u w:val="none" w:color="auto"/>
                      <w:lang w:val="en-US" w:eastAsia="zh-CN"/>
                    </w:rPr>
                    <w:t>5</w:t>
                  </w:r>
                </w:p>
              </w:tc>
              <w:tc>
                <w:tcPr>
                  <w:tcW w:w="1426" w:type="pct"/>
                  <w:tcBorders>
                    <w:tl2br w:val="nil"/>
                    <w:tr2bl w:val="nil"/>
                  </w:tcBorders>
                  <w:shd w:val="clear" w:color="auto" w:fill="auto"/>
                  <w:noWrap w:val="0"/>
                  <w:vAlign w:val="center"/>
                </w:tcPr>
                <w:p w14:paraId="207EF81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highlight w:val="none"/>
                      <w:u w:val="none" w:color="auto"/>
                      <w:lang w:val="en-US" w:eastAsia="zh-CN" w:bidi="ar-SA"/>
                    </w:rPr>
                  </w:pPr>
                  <w:r>
                    <w:rPr>
                      <w:rFonts w:hint="default" w:ascii="Times New Roman" w:hAnsi="Times New Roman" w:eastAsia="宋体" w:cs="Times New Roman"/>
                      <w:spacing w:val="11"/>
                      <w:position w:val="0"/>
                      <w:szCs w:val="21"/>
                      <w:highlight w:val="none"/>
                      <w:u w:val="none" w:color="auto"/>
                      <w:lang w:val="en-US" w:eastAsia="zh-CN"/>
                    </w:rPr>
                    <w:t>新鲜水</w:t>
                  </w:r>
                </w:p>
              </w:tc>
              <w:tc>
                <w:tcPr>
                  <w:tcW w:w="959" w:type="pct"/>
                  <w:tcBorders>
                    <w:tl2br w:val="nil"/>
                    <w:tr2bl w:val="nil"/>
                  </w:tcBorders>
                  <w:shd w:val="clear" w:color="auto" w:fill="auto"/>
                  <w:noWrap w:val="0"/>
                  <w:vAlign w:val="center"/>
                </w:tcPr>
                <w:p w14:paraId="5EE0AF8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highlight w:val="none"/>
                      <w:u w:val="none" w:color="auto"/>
                      <w:lang w:val="en-US" w:eastAsia="zh-CN" w:bidi="ar-SA"/>
                    </w:rPr>
                  </w:pPr>
                  <w:r>
                    <w:rPr>
                      <w:rFonts w:hint="eastAsia" w:cs="Times New Roman"/>
                      <w:spacing w:val="11"/>
                      <w:position w:val="0"/>
                      <w:szCs w:val="21"/>
                      <w:highlight w:val="none"/>
                      <w:u w:val="none" w:color="auto"/>
                      <w:lang w:val="en-US" w:eastAsia="zh-CN"/>
                    </w:rPr>
                    <w:t>192248.47</w:t>
                  </w:r>
                  <w:r>
                    <w:rPr>
                      <w:rFonts w:hint="default" w:ascii="Times New Roman" w:hAnsi="Times New Roman" w:cs="Times New Roman"/>
                      <w:color w:val="auto"/>
                      <w:spacing w:val="11"/>
                      <w:kern w:val="0"/>
                      <w:position w:val="0"/>
                      <w:sz w:val="21"/>
                      <w:szCs w:val="21"/>
                      <w:highlight w:val="none"/>
                      <w:u w:val="none" w:color="auto"/>
                      <w:lang w:val="en-US" w:eastAsia="zh-CN" w:bidi="ar-SA"/>
                    </w:rPr>
                    <w:t>m</w:t>
                  </w:r>
                  <w:r>
                    <w:rPr>
                      <w:rFonts w:hint="default" w:ascii="Times New Roman" w:hAnsi="Times New Roman" w:cs="Times New Roman"/>
                      <w:color w:val="auto"/>
                      <w:spacing w:val="11"/>
                      <w:kern w:val="0"/>
                      <w:position w:val="0"/>
                      <w:sz w:val="21"/>
                      <w:szCs w:val="21"/>
                      <w:highlight w:val="none"/>
                      <w:u w:val="none" w:color="auto"/>
                      <w:vertAlign w:val="superscript"/>
                      <w:lang w:val="en-US" w:eastAsia="zh-CN" w:bidi="ar-SA"/>
                    </w:rPr>
                    <w:t>3</w:t>
                  </w: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/a</w:t>
                  </w:r>
                </w:p>
              </w:tc>
              <w:tc>
                <w:tcPr>
                  <w:tcW w:w="1174" w:type="pct"/>
                  <w:tcBorders>
                    <w:tl2br w:val="nil"/>
                    <w:tr2bl w:val="nil"/>
                  </w:tcBorders>
                  <w:shd w:val="clear" w:color="auto" w:fill="auto"/>
                  <w:noWrap w:val="0"/>
                  <w:vAlign w:val="center"/>
                </w:tcPr>
                <w:p w14:paraId="06B43C6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Cs w:val="21"/>
                      <w:u w:val="none" w:color="auto"/>
                      <w:lang w:val="en-US" w:eastAsia="zh-CN"/>
                    </w:rPr>
                    <w:t>/</w:t>
                  </w:r>
                </w:p>
              </w:tc>
              <w:tc>
                <w:tcPr>
                  <w:tcW w:w="958" w:type="pct"/>
                  <w:tcBorders>
                    <w:tl2br w:val="nil"/>
                    <w:tr2bl w:val="nil"/>
                  </w:tcBorders>
                  <w:shd w:val="clear" w:color="auto" w:fill="auto"/>
                  <w:noWrap w:val="0"/>
                  <w:vAlign w:val="center"/>
                </w:tcPr>
                <w:p w14:paraId="4356B4F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Cs w:val="21"/>
                      <w:u w:val="none" w:color="auto"/>
                      <w:lang w:val="en-US" w:eastAsia="zh-CN"/>
                    </w:rPr>
                    <w:t>自来水、井水</w:t>
                  </w:r>
                </w:p>
              </w:tc>
            </w:tr>
            <w:tr w14:paraId="5D6E7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81" w:type="pct"/>
                  <w:tcBorders>
                    <w:tl2br w:val="nil"/>
                    <w:tr2bl w:val="nil"/>
                  </w:tcBorders>
                  <w:shd w:val="clear" w:color="auto" w:fill="auto"/>
                  <w:noWrap w:val="0"/>
                  <w:vAlign w:val="center"/>
                </w:tcPr>
                <w:p w14:paraId="17E20F1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Cs w:val="21"/>
                      <w:u w:val="none" w:color="auto"/>
                      <w:lang w:val="en-US" w:eastAsia="zh-CN"/>
                    </w:rPr>
                    <w:t>6</w:t>
                  </w:r>
                </w:p>
              </w:tc>
              <w:tc>
                <w:tcPr>
                  <w:tcW w:w="1426" w:type="pct"/>
                  <w:tcBorders>
                    <w:tl2br w:val="nil"/>
                    <w:tr2bl w:val="nil"/>
                  </w:tcBorders>
                  <w:shd w:val="clear" w:color="auto" w:fill="auto"/>
                  <w:noWrap w:val="0"/>
                  <w:vAlign w:val="center"/>
                </w:tcPr>
                <w:p w14:paraId="2ED2532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Cs w:val="21"/>
                      <w:u w:val="none" w:color="auto"/>
                      <w:lang w:val="en-US" w:eastAsia="zh-CN"/>
                    </w:rPr>
                    <w:t>电</w:t>
                  </w:r>
                </w:p>
              </w:tc>
              <w:tc>
                <w:tcPr>
                  <w:tcW w:w="959" w:type="pct"/>
                  <w:tcBorders>
                    <w:tl2br w:val="nil"/>
                    <w:tr2bl w:val="nil"/>
                  </w:tcBorders>
                  <w:shd w:val="clear" w:color="auto" w:fill="auto"/>
                  <w:noWrap w:val="0"/>
                  <w:vAlign w:val="center"/>
                </w:tcPr>
                <w:p w14:paraId="4D6604C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Cs w:val="21"/>
                      <w:u w:val="none" w:color="auto"/>
                      <w:lang w:val="en-US" w:eastAsia="zh-CN"/>
                    </w:rPr>
                    <w:t>110</w:t>
                  </w: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万KWh/a</w:t>
                  </w:r>
                </w:p>
              </w:tc>
              <w:tc>
                <w:tcPr>
                  <w:tcW w:w="1174" w:type="pct"/>
                  <w:tcBorders>
                    <w:tl2br w:val="nil"/>
                    <w:tr2bl w:val="nil"/>
                  </w:tcBorders>
                  <w:shd w:val="clear" w:color="auto" w:fill="auto"/>
                  <w:noWrap w:val="0"/>
                  <w:vAlign w:val="center"/>
                </w:tcPr>
                <w:p w14:paraId="669D13C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Cs w:val="21"/>
                      <w:u w:val="none" w:color="auto"/>
                      <w:lang w:val="en-US" w:eastAsia="zh-CN"/>
                    </w:rPr>
                    <w:t>/</w:t>
                  </w:r>
                </w:p>
              </w:tc>
              <w:tc>
                <w:tcPr>
                  <w:tcW w:w="958" w:type="pct"/>
                  <w:tcBorders>
                    <w:tl2br w:val="nil"/>
                    <w:tr2bl w:val="nil"/>
                  </w:tcBorders>
                  <w:shd w:val="clear" w:color="auto" w:fill="auto"/>
                  <w:noWrap w:val="0"/>
                  <w:vAlign w:val="center"/>
                </w:tcPr>
                <w:p w14:paraId="7725551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Cs w:val="21"/>
                      <w:u w:val="none" w:color="auto"/>
                      <w:lang w:val="en-US" w:eastAsia="zh-CN"/>
                    </w:rPr>
                    <w:t>当地电网</w:t>
                  </w:r>
                </w:p>
              </w:tc>
            </w:tr>
          </w:tbl>
          <w:p w14:paraId="08A7CB14">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default" w:ascii="Times New Roman" w:hAnsi="Times New Roman" w:eastAsia="宋体" w:cs="Times New Roman"/>
                <w:b/>
                <w:color w:val="auto"/>
                <w:spacing w:val="11"/>
                <w:position w:val="0"/>
                <w:sz w:val="24"/>
                <w:szCs w:val="24"/>
                <w:highlight w:val="none"/>
                <w:u w:val="none" w:color="auto"/>
                <w:lang w:val="en-US" w:eastAsia="zh-CN"/>
              </w:rPr>
            </w:pPr>
            <w:r>
              <w:rPr>
                <w:rFonts w:hint="default" w:ascii="Times New Roman" w:hAnsi="Times New Roman" w:eastAsia="宋体" w:cs="Times New Roman"/>
                <w:b/>
                <w:color w:val="auto"/>
                <w:spacing w:val="11"/>
                <w:position w:val="0"/>
                <w:sz w:val="24"/>
                <w:szCs w:val="24"/>
                <w:highlight w:val="none"/>
                <w:u w:val="none" w:color="auto"/>
                <w:lang w:val="en-US" w:eastAsia="zh-CN"/>
              </w:rPr>
              <w:t>2.5生产设备</w:t>
            </w:r>
          </w:p>
          <w:p w14:paraId="6519C5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u w:val="none" w:color="auto"/>
                <w:lang w:val="en-US" w:eastAsia="zh-CN"/>
              </w:rPr>
            </w:pPr>
            <w:r>
              <w:rPr>
                <w:rFonts w:hint="default" w:ascii="Times New Roman" w:hAnsi="Times New Roman" w:eastAsia="宋体" w:cs="Times New Roman"/>
                <w:b w:val="0"/>
                <w:bCs w:val="0"/>
                <w:color w:val="auto"/>
                <w:spacing w:val="11"/>
                <w:position w:val="0"/>
                <w:sz w:val="24"/>
                <w:szCs w:val="22"/>
                <w:u w:val="none" w:color="auto"/>
                <w:lang w:val="en-US" w:eastAsia="zh-CN"/>
              </w:rPr>
              <w:t>项目使用的生产设备均不属于《产业结构调整指导目录（2024年本）》中限制、淘汰类，符合国家产业政策要求。项目主要生产设备详见下表。</w:t>
            </w:r>
          </w:p>
          <w:p w14:paraId="725F01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pacing w:val="11"/>
                <w:kern w:val="0"/>
                <w:position w:val="0"/>
                <w:sz w:val="21"/>
                <w:szCs w:val="21"/>
                <w:u w:val="none" w:color="auto"/>
              </w:rPr>
            </w:pPr>
            <w:r>
              <w:rPr>
                <w:rFonts w:hint="default" w:ascii="Times New Roman" w:hAnsi="Times New Roman" w:eastAsia="宋体" w:cs="Times New Roman"/>
                <w:b/>
                <w:bCs/>
                <w:spacing w:val="11"/>
                <w:kern w:val="0"/>
                <w:position w:val="0"/>
                <w:sz w:val="21"/>
                <w:szCs w:val="21"/>
                <w:u w:val="none" w:color="auto"/>
              </w:rPr>
              <w:t>表2</w:t>
            </w:r>
            <w:r>
              <w:rPr>
                <w:rFonts w:hint="default" w:ascii="Times New Roman" w:hAnsi="Times New Roman" w:eastAsia="宋体" w:cs="Times New Roman"/>
                <w:b/>
                <w:bCs/>
                <w:spacing w:val="11"/>
                <w:kern w:val="0"/>
                <w:position w:val="0"/>
                <w:sz w:val="21"/>
                <w:szCs w:val="21"/>
                <w:u w:val="none" w:color="auto"/>
                <w:lang w:val="en-US" w:eastAsia="zh-CN"/>
              </w:rPr>
              <w:t>-5</w:t>
            </w:r>
            <w:r>
              <w:rPr>
                <w:rFonts w:hint="default" w:ascii="Times New Roman" w:hAnsi="Times New Roman" w:eastAsia="宋体" w:cs="Times New Roman"/>
                <w:b/>
                <w:bCs/>
                <w:spacing w:val="11"/>
                <w:kern w:val="0"/>
                <w:position w:val="0"/>
                <w:sz w:val="21"/>
                <w:szCs w:val="21"/>
                <w:u w:val="none" w:color="auto"/>
              </w:rPr>
              <w:t xml:space="preserve">  主要</w:t>
            </w:r>
            <w:r>
              <w:rPr>
                <w:rFonts w:hint="default" w:ascii="Times New Roman" w:hAnsi="Times New Roman" w:eastAsia="宋体" w:cs="Times New Roman"/>
                <w:b/>
                <w:bCs/>
                <w:spacing w:val="11"/>
                <w:kern w:val="0"/>
                <w:position w:val="0"/>
                <w:sz w:val="21"/>
                <w:szCs w:val="21"/>
                <w:u w:val="none" w:color="auto"/>
                <w:lang w:val="en-US" w:eastAsia="zh-CN"/>
              </w:rPr>
              <w:t>生产</w:t>
            </w:r>
            <w:r>
              <w:rPr>
                <w:rFonts w:hint="default" w:ascii="Times New Roman" w:hAnsi="Times New Roman" w:eastAsia="宋体" w:cs="Times New Roman"/>
                <w:b/>
                <w:bCs/>
                <w:spacing w:val="11"/>
                <w:kern w:val="0"/>
                <w:position w:val="0"/>
                <w:sz w:val="21"/>
                <w:szCs w:val="21"/>
                <w:u w:val="none" w:color="auto"/>
              </w:rPr>
              <w:t>设备清单</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1184"/>
              <w:gridCol w:w="3012"/>
              <w:gridCol w:w="3674"/>
            </w:tblGrid>
            <w:tr w14:paraId="32BC0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319" w:type="pct"/>
                  <w:vMerge w:val="restart"/>
                  <w:tcBorders>
                    <w:tl2br w:val="nil"/>
                    <w:tr2bl w:val="nil"/>
                  </w:tcBorders>
                  <w:noWrap w:val="0"/>
                  <w:tcMar>
                    <w:top w:w="15" w:type="dxa"/>
                    <w:left w:w="15" w:type="dxa"/>
                    <w:bottom w:w="0" w:type="dxa"/>
                    <w:right w:w="15" w:type="dxa"/>
                  </w:tcMar>
                  <w:vAlign w:val="center"/>
                </w:tcPr>
                <w:p w14:paraId="69B861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rPr>
                  </w:pPr>
                  <w:r>
                    <w:rPr>
                      <w:rFonts w:hint="default" w:ascii="Times New Roman" w:hAnsi="Times New Roman" w:eastAsia="宋体" w:cs="Times New Roman"/>
                      <w:b w:val="0"/>
                      <w:bCs/>
                      <w:spacing w:val="11"/>
                      <w:position w:val="0"/>
                      <w:sz w:val="21"/>
                      <w:szCs w:val="21"/>
                      <w:u w:val="none" w:color="auto"/>
                    </w:rPr>
                    <w:t>序号</w:t>
                  </w:r>
                </w:p>
              </w:tc>
              <w:tc>
                <w:tcPr>
                  <w:tcW w:w="704" w:type="pct"/>
                  <w:vMerge w:val="restart"/>
                  <w:tcBorders>
                    <w:tl2br w:val="nil"/>
                    <w:tr2bl w:val="nil"/>
                  </w:tcBorders>
                  <w:noWrap w:val="0"/>
                  <w:tcMar>
                    <w:top w:w="15" w:type="dxa"/>
                    <w:left w:w="15" w:type="dxa"/>
                    <w:bottom w:w="0" w:type="dxa"/>
                    <w:right w:w="15" w:type="dxa"/>
                  </w:tcMar>
                  <w:vAlign w:val="center"/>
                </w:tcPr>
                <w:p w14:paraId="71D4C3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eastAsia="宋体" w:cs="Times New Roman"/>
                      <w:b w:val="0"/>
                      <w:bCs/>
                      <w:spacing w:val="11"/>
                      <w:position w:val="0"/>
                      <w:sz w:val="21"/>
                      <w:szCs w:val="21"/>
                      <w:u w:val="none" w:color="auto"/>
                      <w:lang w:val="en-US" w:eastAsia="zh-CN"/>
                    </w:rPr>
                    <w:t>地点</w:t>
                  </w:r>
                </w:p>
              </w:tc>
              <w:tc>
                <w:tcPr>
                  <w:tcW w:w="1791" w:type="pct"/>
                  <w:vMerge w:val="restart"/>
                  <w:tcBorders>
                    <w:tl2br w:val="nil"/>
                    <w:tr2bl w:val="nil"/>
                  </w:tcBorders>
                  <w:noWrap w:val="0"/>
                  <w:tcMar>
                    <w:top w:w="15" w:type="dxa"/>
                    <w:left w:w="15" w:type="dxa"/>
                    <w:bottom w:w="0" w:type="dxa"/>
                    <w:right w:w="15" w:type="dxa"/>
                  </w:tcMar>
                  <w:vAlign w:val="center"/>
                </w:tcPr>
                <w:p w14:paraId="462258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rPr>
                  </w:pPr>
                  <w:r>
                    <w:rPr>
                      <w:rFonts w:hint="default" w:ascii="Times New Roman" w:hAnsi="Times New Roman" w:eastAsia="宋体" w:cs="Times New Roman"/>
                      <w:b w:val="0"/>
                      <w:bCs/>
                      <w:spacing w:val="11"/>
                      <w:position w:val="0"/>
                      <w:sz w:val="21"/>
                      <w:szCs w:val="21"/>
                      <w:u w:val="none" w:color="auto"/>
                    </w:rPr>
                    <w:t>设备名称</w:t>
                  </w:r>
                </w:p>
              </w:tc>
              <w:tc>
                <w:tcPr>
                  <w:tcW w:w="2184" w:type="pct"/>
                  <w:vMerge w:val="restart"/>
                  <w:tcBorders>
                    <w:tl2br w:val="nil"/>
                    <w:tr2bl w:val="nil"/>
                  </w:tcBorders>
                  <w:noWrap w:val="0"/>
                  <w:vAlign w:val="center"/>
                </w:tcPr>
                <w:p w14:paraId="104D87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eastAsia="宋体" w:cs="Times New Roman"/>
                      <w:b w:val="0"/>
                      <w:bCs/>
                      <w:spacing w:val="11"/>
                      <w:position w:val="0"/>
                      <w:sz w:val="21"/>
                      <w:szCs w:val="21"/>
                      <w:u w:val="none" w:color="auto"/>
                      <w:lang w:val="en-US" w:eastAsia="zh-CN"/>
                    </w:rPr>
                    <w:t>设备数量（单位：台）</w:t>
                  </w:r>
                </w:p>
              </w:tc>
            </w:tr>
            <w:tr w14:paraId="76B3F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319" w:type="pct"/>
                  <w:vMerge w:val="continue"/>
                  <w:tcBorders>
                    <w:tl2br w:val="nil"/>
                    <w:tr2bl w:val="nil"/>
                  </w:tcBorders>
                  <w:noWrap w:val="0"/>
                  <w:tcMar>
                    <w:top w:w="15" w:type="dxa"/>
                    <w:left w:w="15" w:type="dxa"/>
                    <w:bottom w:w="0" w:type="dxa"/>
                    <w:right w:w="15" w:type="dxa"/>
                  </w:tcMar>
                  <w:vAlign w:val="center"/>
                </w:tcPr>
                <w:p w14:paraId="79CB70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rPr>
                  </w:pPr>
                </w:p>
              </w:tc>
              <w:tc>
                <w:tcPr>
                  <w:tcW w:w="704" w:type="pct"/>
                  <w:vMerge w:val="continue"/>
                  <w:tcBorders>
                    <w:tl2br w:val="nil"/>
                    <w:tr2bl w:val="nil"/>
                  </w:tcBorders>
                  <w:noWrap w:val="0"/>
                  <w:tcMar>
                    <w:top w:w="15" w:type="dxa"/>
                    <w:left w:w="15" w:type="dxa"/>
                    <w:bottom w:w="0" w:type="dxa"/>
                    <w:right w:w="15" w:type="dxa"/>
                  </w:tcMar>
                  <w:vAlign w:val="center"/>
                </w:tcPr>
                <w:p w14:paraId="6D5644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p>
              </w:tc>
              <w:tc>
                <w:tcPr>
                  <w:tcW w:w="1791" w:type="pct"/>
                  <w:vMerge w:val="continue"/>
                  <w:tcBorders>
                    <w:tl2br w:val="nil"/>
                    <w:tr2bl w:val="nil"/>
                  </w:tcBorders>
                  <w:noWrap w:val="0"/>
                  <w:tcMar>
                    <w:top w:w="15" w:type="dxa"/>
                    <w:left w:w="15" w:type="dxa"/>
                    <w:bottom w:w="0" w:type="dxa"/>
                    <w:right w:w="15" w:type="dxa"/>
                  </w:tcMar>
                  <w:vAlign w:val="center"/>
                </w:tcPr>
                <w:p w14:paraId="088C58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rPr>
                  </w:pPr>
                </w:p>
              </w:tc>
              <w:tc>
                <w:tcPr>
                  <w:tcW w:w="2184" w:type="pct"/>
                  <w:vMerge w:val="continue"/>
                  <w:tcBorders>
                    <w:tl2br w:val="nil"/>
                    <w:tr2bl w:val="nil"/>
                  </w:tcBorders>
                  <w:noWrap w:val="0"/>
                  <w:vAlign w:val="center"/>
                </w:tcPr>
                <w:p w14:paraId="5C92F2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p>
              </w:tc>
            </w:tr>
            <w:tr w14:paraId="12883B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tcBorders>
                    <w:tl2br w:val="nil"/>
                    <w:tr2bl w:val="nil"/>
                  </w:tcBorders>
                  <w:noWrap w:val="0"/>
                  <w:tcMar>
                    <w:top w:w="15" w:type="dxa"/>
                    <w:left w:w="15" w:type="dxa"/>
                    <w:bottom w:w="0" w:type="dxa"/>
                    <w:right w:w="15" w:type="dxa"/>
                  </w:tcMar>
                  <w:vAlign w:val="center"/>
                </w:tcPr>
                <w:p w14:paraId="6EB396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rPr>
                  </w:pPr>
                  <w:r>
                    <w:rPr>
                      <w:rFonts w:hint="default" w:ascii="Times New Roman" w:hAnsi="Times New Roman" w:eastAsia="宋体" w:cs="Times New Roman"/>
                      <w:b w:val="0"/>
                      <w:bCs/>
                      <w:spacing w:val="11"/>
                      <w:position w:val="0"/>
                      <w:sz w:val="21"/>
                      <w:szCs w:val="21"/>
                      <w:u w:val="none" w:color="auto"/>
                    </w:rPr>
                    <w:t>1</w:t>
                  </w:r>
                </w:p>
              </w:tc>
              <w:tc>
                <w:tcPr>
                  <w:tcW w:w="704" w:type="pct"/>
                  <w:vMerge w:val="restart"/>
                  <w:tcBorders>
                    <w:tl2br w:val="nil"/>
                    <w:tr2bl w:val="nil"/>
                  </w:tcBorders>
                  <w:noWrap w:val="0"/>
                  <w:tcMar>
                    <w:top w:w="15" w:type="dxa"/>
                    <w:left w:w="15" w:type="dxa"/>
                    <w:bottom w:w="0" w:type="dxa"/>
                    <w:right w:w="15" w:type="dxa"/>
                  </w:tcMar>
                  <w:vAlign w:val="center"/>
                </w:tcPr>
                <w:p w14:paraId="530B33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eastAsia="宋体" w:cs="Times New Roman"/>
                      <w:b w:val="0"/>
                      <w:bCs/>
                      <w:spacing w:val="11"/>
                      <w:position w:val="0"/>
                      <w:sz w:val="21"/>
                      <w:szCs w:val="21"/>
                      <w:u w:val="none" w:color="auto"/>
                      <w:lang w:val="en-US" w:eastAsia="zh-CN"/>
                    </w:rPr>
                    <w:t>开采区</w:t>
                  </w:r>
                </w:p>
              </w:tc>
              <w:tc>
                <w:tcPr>
                  <w:tcW w:w="1791" w:type="pct"/>
                  <w:tcBorders>
                    <w:tl2br w:val="nil"/>
                    <w:tr2bl w:val="nil"/>
                  </w:tcBorders>
                  <w:noWrap w:val="0"/>
                  <w:tcMar>
                    <w:top w:w="15" w:type="dxa"/>
                    <w:left w:w="15" w:type="dxa"/>
                    <w:bottom w:w="0" w:type="dxa"/>
                    <w:right w:w="15" w:type="dxa"/>
                  </w:tcMar>
                  <w:vAlign w:val="center"/>
                </w:tcPr>
                <w:p w14:paraId="772796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液压</w:t>
                  </w:r>
                  <w:r>
                    <w:rPr>
                      <w:rFonts w:hint="default" w:ascii="Times New Roman" w:hAnsi="Times New Roman" w:eastAsia="宋体" w:cs="Times New Roman"/>
                      <w:b w:val="0"/>
                      <w:bCs/>
                      <w:spacing w:val="11"/>
                      <w:position w:val="0"/>
                      <w:sz w:val="21"/>
                      <w:szCs w:val="21"/>
                      <w:u w:val="none" w:color="auto"/>
                    </w:rPr>
                    <w:t>潜孔钻机</w:t>
                  </w:r>
                </w:p>
              </w:tc>
              <w:tc>
                <w:tcPr>
                  <w:tcW w:w="2184" w:type="pct"/>
                  <w:tcBorders>
                    <w:tl2br w:val="nil"/>
                    <w:tr2bl w:val="nil"/>
                  </w:tcBorders>
                  <w:noWrap w:val="0"/>
                  <w:vAlign w:val="center"/>
                </w:tcPr>
                <w:p w14:paraId="3E4D92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1</w:t>
                  </w:r>
                </w:p>
              </w:tc>
            </w:tr>
            <w:tr w14:paraId="59BFE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tcBorders>
                    <w:tl2br w:val="nil"/>
                    <w:tr2bl w:val="nil"/>
                  </w:tcBorders>
                  <w:noWrap w:val="0"/>
                  <w:tcMar>
                    <w:top w:w="15" w:type="dxa"/>
                    <w:left w:w="15" w:type="dxa"/>
                    <w:bottom w:w="0" w:type="dxa"/>
                    <w:right w:w="15" w:type="dxa"/>
                  </w:tcMar>
                  <w:vAlign w:val="center"/>
                </w:tcPr>
                <w:p w14:paraId="7F97EF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2</w:t>
                  </w:r>
                </w:p>
              </w:tc>
              <w:tc>
                <w:tcPr>
                  <w:tcW w:w="704" w:type="pct"/>
                  <w:vMerge w:val="continue"/>
                  <w:tcBorders>
                    <w:tl2br w:val="nil"/>
                    <w:tr2bl w:val="nil"/>
                  </w:tcBorders>
                  <w:noWrap w:val="0"/>
                  <w:tcMar>
                    <w:top w:w="15" w:type="dxa"/>
                    <w:left w:w="15" w:type="dxa"/>
                    <w:bottom w:w="0" w:type="dxa"/>
                    <w:right w:w="15" w:type="dxa"/>
                  </w:tcMar>
                  <w:vAlign w:val="center"/>
                </w:tcPr>
                <w:p w14:paraId="776E68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p>
              </w:tc>
              <w:tc>
                <w:tcPr>
                  <w:tcW w:w="1791" w:type="pct"/>
                  <w:tcBorders>
                    <w:tl2br w:val="nil"/>
                    <w:tr2bl w:val="nil"/>
                  </w:tcBorders>
                  <w:noWrap w:val="0"/>
                  <w:tcMar>
                    <w:top w:w="15" w:type="dxa"/>
                    <w:left w:w="15" w:type="dxa"/>
                    <w:bottom w:w="0" w:type="dxa"/>
                    <w:right w:w="15" w:type="dxa"/>
                  </w:tcMar>
                  <w:vAlign w:val="center"/>
                </w:tcPr>
                <w:p w14:paraId="38C476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全液压式挖掘机</w:t>
                  </w:r>
                </w:p>
              </w:tc>
              <w:tc>
                <w:tcPr>
                  <w:tcW w:w="2184" w:type="pct"/>
                  <w:tcBorders>
                    <w:tl2br w:val="nil"/>
                    <w:tr2bl w:val="nil"/>
                  </w:tcBorders>
                  <w:noWrap w:val="0"/>
                  <w:vAlign w:val="center"/>
                </w:tcPr>
                <w:p w14:paraId="7D9BCD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3</w:t>
                  </w:r>
                </w:p>
              </w:tc>
            </w:tr>
            <w:tr w14:paraId="67990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tcBorders>
                    <w:tl2br w:val="nil"/>
                    <w:tr2bl w:val="nil"/>
                  </w:tcBorders>
                  <w:noWrap w:val="0"/>
                  <w:tcMar>
                    <w:top w:w="15" w:type="dxa"/>
                    <w:left w:w="15" w:type="dxa"/>
                    <w:bottom w:w="0" w:type="dxa"/>
                    <w:right w:w="15" w:type="dxa"/>
                  </w:tcMar>
                  <w:vAlign w:val="center"/>
                </w:tcPr>
                <w:p w14:paraId="0E101F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3</w:t>
                  </w:r>
                </w:p>
              </w:tc>
              <w:tc>
                <w:tcPr>
                  <w:tcW w:w="704" w:type="pct"/>
                  <w:vMerge w:val="continue"/>
                  <w:tcBorders>
                    <w:tl2br w:val="nil"/>
                    <w:tr2bl w:val="nil"/>
                  </w:tcBorders>
                  <w:noWrap w:val="0"/>
                  <w:tcMar>
                    <w:top w:w="15" w:type="dxa"/>
                    <w:left w:w="15" w:type="dxa"/>
                    <w:bottom w:w="0" w:type="dxa"/>
                    <w:right w:w="15" w:type="dxa"/>
                  </w:tcMar>
                  <w:vAlign w:val="center"/>
                </w:tcPr>
                <w:p w14:paraId="00BDAF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p>
              </w:tc>
              <w:tc>
                <w:tcPr>
                  <w:tcW w:w="1791" w:type="pct"/>
                  <w:tcBorders>
                    <w:tl2br w:val="nil"/>
                    <w:tr2bl w:val="nil"/>
                  </w:tcBorders>
                  <w:noWrap w:val="0"/>
                  <w:tcMar>
                    <w:top w:w="15" w:type="dxa"/>
                    <w:left w:w="15" w:type="dxa"/>
                    <w:bottom w:w="0" w:type="dxa"/>
                    <w:right w:w="15" w:type="dxa"/>
                  </w:tcMar>
                  <w:vAlign w:val="center"/>
                </w:tcPr>
                <w:p w14:paraId="153FA4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轮式装载机</w:t>
                  </w:r>
                </w:p>
              </w:tc>
              <w:tc>
                <w:tcPr>
                  <w:tcW w:w="2184" w:type="pct"/>
                  <w:tcBorders>
                    <w:tl2br w:val="nil"/>
                    <w:tr2bl w:val="nil"/>
                  </w:tcBorders>
                  <w:noWrap w:val="0"/>
                  <w:vAlign w:val="center"/>
                </w:tcPr>
                <w:p w14:paraId="602D1E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1</w:t>
                  </w:r>
                </w:p>
              </w:tc>
            </w:tr>
            <w:tr w14:paraId="3AD16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tcBorders>
                    <w:tl2br w:val="nil"/>
                    <w:tr2bl w:val="nil"/>
                  </w:tcBorders>
                  <w:noWrap w:val="0"/>
                  <w:tcMar>
                    <w:top w:w="15" w:type="dxa"/>
                    <w:left w:w="15" w:type="dxa"/>
                    <w:bottom w:w="0" w:type="dxa"/>
                    <w:right w:w="15" w:type="dxa"/>
                  </w:tcMar>
                  <w:vAlign w:val="center"/>
                </w:tcPr>
                <w:p w14:paraId="4CF9B9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4</w:t>
                  </w:r>
                </w:p>
              </w:tc>
              <w:tc>
                <w:tcPr>
                  <w:tcW w:w="704" w:type="pct"/>
                  <w:vMerge w:val="continue"/>
                  <w:tcBorders>
                    <w:tl2br w:val="nil"/>
                    <w:tr2bl w:val="nil"/>
                  </w:tcBorders>
                  <w:noWrap w:val="0"/>
                  <w:tcMar>
                    <w:top w:w="15" w:type="dxa"/>
                    <w:left w:w="15" w:type="dxa"/>
                    <w:bottom w:w="0" w:type="dxa"/>
                    <w:right w:w="15" w:type="dxa"/>
                  </w:tcMar>
                  <w:vAlign w:val="center"/>
                </w:tcPr>
                <w:p w14:paraId="0F585E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p>
              </w:tc>
              <w:tc>
                <w:tcPr>
                  <w:tcW w:w="1791" w:type="pct"/>
                  <w:tcBorders>
                    <w:tl2br w:val="nil"/>
                    <w:tr2bl w:val="nil"/>
                  </w:tcBorders>
                  <w:noWrap w:val="0"/>
                  <w:tcMar>
                    <w:top w:w="15" w:type="dxa"/>
                    <w:left w:w="15" w:type="dxa"/>
                    <w:bottom w:w="0" w:type="dxa"/>
                    <w:right w:w="15" w:type="dxa"/>
                  </w:tcMar>
                  <w:vAlign w:val="center"/>
                </w:tcPr>
                <w:p w14:paraId="2CA4C5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破碎锤</w:t>
                  </w:r>
                </w:p>
              </w:tc>
              <w:tc>
                <w:tcPr>
                  <w:tcW w:w="2184" w:type="pct"/>
                  <w:tcBorders>
                    <w:tl2br w:val="nil"/>
                    <w:tr2bl w:val="nil"/>
                  </w:tcBorders>
                  <w:noWrap w:val="0"/>
                  <w:vAlign w:val="center"/>
                </w:tcPr>
                <w:p w14:paraId="2FF32B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1</w:t>
                  </w:r>
                </w:p>
              </w:tc>
            </w:tr>
            <w:tr w14:paraId="0B323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tcBorders>
                    <w:tl2br w:val="nil"/>
                    <w:tr2bl w:val="nil"/>
                  </w:tcBorders>
                  <w:noWrap w:val="0"/>
                  <w:tcMar>
                    <w:top w:w="15" w:type="dxa"/>
                    <w:left w:w="15" w:type="dxa"/>
                    <w:bottom w:w="0" w:type="dxa"/>
                    <w:right w:w="15" w:type="dxa"/>
                  </w:tcMar>
                  <w:vAlign w:val="center"/>
                </w:tcPr>
                <w:p w14:paraId="721CB9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5</w:t>
                  </w:r>
                </w:p>
              </w:tc>
              <w:tc>
                <w:tcPr>
                  <w:tcW w:w="704" w:type="pct"/>
                  <w:vMerge w:val="continue"/>
                  <w:tcBorders>
                    <w:tl2br w:val="nil"/>
                    <w:tr2bl w:val="nil"/>
                  </w:tcBorders>
                  <w:noWrap w:val="0"/>
                  <w:tcMar>
                    <w:top w:w="15" w:type="dxa"/>
                    <w:left w:w="15" w:type="dxa"/>
                    <w:bottom w:w="0" w:type="dxa"/>
                    <w:right w:w="15" w:type="dxa"/>
                  </w:tcMar>
                  <w:vAlign w:val="center"/>
                </w:tcPr>
                <w:p w14:paraId="09462A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p>
              </w:tc>
              <w:tc>
                <w:tcPr>
                  <w:tcW w:w="1791" w:type="pct"/>
                  <w:tcBorders>
                    <w:tl2br w:val="nil"/>
                    <w:tr2bl w:val="nil"/>
                  </w:tcBorders>
                  <w:noWrap w:val="0"/>
                  <w:tcMar>
                    <w:top w:w="15" w:type="dxa"/>
                    <w:left w:w="15" w:type="dxa"/>
                    <w:bottom w:w="0" w:type="dxa"/>
                    <w:right w:w="15" w:type="dxa"/>
                  </w:tcMar>
                  <w:vAlign w:val="center"/>
                </w:tcPr>
                <w:p w14:paraId="212DB7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矿用自卸汽车</w:t>
                  </w:r>
                </w:p>
              </w:tc>
              <w:tc>
                <w:tcPr>
                  <w:tcW w:w="2184" w:type="pct"/>
                  <w:tcBorders>
                    <w:tl2br w:val="nil"/>
                    <w:tr2bl w:val="nil"/>
                  </w:tcBorders>
                  <w:noWrap w:val="0"/>
                  <w:vAlign w:val="center"/>
                </w:tcPr>
                <w:p w14:paraId="78F5E7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4</w:t>
                  </w:r>
                </w:p>
              </w:tc>
            </w:tr>
            <w:tr w14:paraId="05705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tcBorders>
                    <w:tl2br w:val="nil"/>
                    <w:tr2bl w:val="nil"/>
                  </w:tcBorders>
                  <w:noWrap w:val="0"/>
                  <w:tcMar>
                    <w:top w:w="15" w:type="dxa"/>
                    <w:left w:w="15" w:type="dxa"/>
                    <w:bottom w:w="0" w:type="dxa"/>
                    <w:right w:w="15" w:type="dxa"/>
                  </w:tcMar>
                  <w:vAlign w:val="center"/>
                </w:tcPr>
                <w:p w14:paraId="72C0D3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6</w:t>
                  </w:r>
                </w:p>
              </w:tc>
              <w:tc>
                <w:tcPr>
                  <w:tcW w:w="704" w:type="pct"/>
                  <w:vMerge w:val="continue"/>
                  <w:tcBorders>
                    <w:tl2br w:val="nil"/>
                    <w:tr2bl w:val="nil"/>
                  </w:tcBorders>
                  <w:noWrap w:val="0"/>
                  <w:tcMar>
                    <w:top w:w="15" w:type="dxa"/>
                    <w:left w:w="15" w:type="dxa"/>
                    <w:bottom w:w="0" w:type="dxa"/>
                    <w:right w:w="15" w:type="dxa"/>
                  </w:tcMar>
                  <w:vAlign w:val="center"/>
                </w:tcPr>
                <w:p w14:paraId="766B0D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p>
              </w:tc>
              <w:tc>
                <w:tcPr>
                  <w:tcW w:w="1791" w:type="pct"/>
                  <w:tcBorders>
                    <w:tl2br w:val="nil"/>
                    <w:tr2bl w:val="nil"/>
                  </w:tcBorders>
                  <w:shd w:val="clear" w:color="auto" w:fill="auto"/>
                  <w:noWrap w:val="0"/>
                  <w:tcMar>
                    <w:top w:w="15" w:type="dxa"/>
                    <w:left w:w="15" w:type="dxa"/>
                    <w:bottom w:w="0" w:type="dxa"/>
                    <w:right w:w="15" w:type="dxa"/>
                  </w:tcMar>
                  <w:vAlign w:val="center"/>
                </w:tcPr>
                <w:p w14:paraId="5C91C2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4"/>
                      <w:u w:val="none" w:color="auto"/>
                      <w:lang w:val="en-US" w:eastAsia="zh-CN" w:bidi="ar-SA"/>
                    </w:rPr>
                  </w:pPr>
                  <w:r>
                    <w:rPr>
                      <w:rFonts w:hint="default" w:ascii="Times New Roman" w:hAnsi="Times New Roman" w:eastAsia="宋体" w:cs="Times New Roman"/>
                      <w:u w:val="none" w:color="auto"/>
                    </w:rPr>
                    <w:t>炮雾机</w:t>
                  </w:r>
                </w:p>
              </w:tc>
              <w:tc>
                <w:tcPr>
                  <w:tcW w:w="2184" w:type="pct"/>
                  <w:tcBorders>
                    <w:tl2br w:val="nil"/>
                    <w:tr2bl w:val="nil"/>
                  </w:tcBorders>
                  <w:shd w:val="clear" w:color="auto" w:fill="auto"/>
                  <w:noWrap w:val="0"/>
                  <w:vAlign w:val="center"/>
                </w:tcPr>
                <w:p w14:paraId="642D67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position w:val="0"/>
                      <w:sz w:val="21"/>
                      <w:szCs w:val="21"/>
                      <w:u w:val="none" w:color="auto"/>
                      <w:lang w:val="en-US" w:eastAsia="zh-CN"/>
                    </w:rPr>
                    <w:t>2</w:t>
                  </w:r>
                </w:p>
              </w:tc>
            </w:tr>
            <w:tr w14:paraId="1E8D3A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tcBorders>
                    <w:tl2br w:val="nil"/>
                    <w:tr2bl w:val="nil"/>
                  </w:tcBorders>
                  <w:shd w:val="clear" w:color="auto" w:fill="auto"/>
                  <w:noWrap w:val="0"/>
                  <w:tcMar>
                    <w:top w:w="15" w:type="dxa"/>
                    <w:left w:w="15" w:type="dxa"/>
                    <w:bottom w:w="0" w:type="dxa"/>
                    <w:right w:w="15" w:type="dxa"/>
                  </w:tcMar>
                  <w:vAlign w:val="center"/>
                </w:tcPr>
                <w:p w14:paraId="190270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kern w:val="2"/>
                      <w:position w:val="0"/>
                      <w:sz w:val="21"/>
                      <w:szCs w:val="21"/>
                      <w:u w:val="none" w:color="auto"/>
                      <w:lang w:val="en-US" w:eastAsia="zh-CN" w:bidi="ar-SA"/>
                    </w:rPr>
                    <w:t>7</w:t>
                  </w:r>
                </w:p>
              </w:tc>
              <w:tc>
                <w:tcPr>
                  <w:tcW w:w="704" w:type="pct"/>
                  <w:vMerge w:val="restart"/>
                  <w:tcBorders>
                    <w:tl2br w:val="nil"/>
                    <w:tr2bl w:val="nil"/>
                  </w:tcBorders>
                  <w:noWrap w:val="0"/>
                  <w:tcMar>
                    <w:top w:w="15" w:type="dxa"/>
                    <w:left w:w="15" w:type="dxa"/>
                    <w:bottom w:w="0" w:type="dxa"/>
                    <w:right w:w="15" w:type="dxa"/>
                  </w:tcMar>
                  <w:vAlign w:val="center"/>
                </w:tcPr>
                <w:p w14:paraId="367D01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eastAsia="宋体" w:cs="Times New Roman"/>
                      <w:b w:val="0"/>
                      <w:bCs/>
                      <w:spacing w:val="11"/>
                      <w:position w:val="0"/>
                      <w:sz w:val="21"/>
                      <w:szCs w:val="21"/>
                      <w:u w:val="none" w:color="auto"/>
                      <w:lang w:val="en-US" w:eastAsia="zh-CN"/>
                    </w:rPr>
                    <w:t>碎石加工区</w:t>
                  </w:r>
                </w:p>
              </w:tc>
              <w:tc>
                <w:tcPr>
                  <w:tcW w:w="1791" w:type="pct"/>
                  <w:tcBorders>
                    <w:tl2br w:val="nil"/>
                    <w:tr2bl w:val="nil"/>
                  </w:tcBorders>
                  <w:noWrap w:val="0"/>
                  <w:tcMar>
                    <w:top w:w="15" w:type="dxa"/>
                    <w:left w:w="15" w:type="dxa"/>
                    <w:bottom w:w="0" w:type="dxa"/>
                    <w:right w:w="15" w:type="dxa"/>
                  </w:tcMar>
                  <w:vAlign w:val="center"/>
                </w:tcPr>
                <w:p w14:paraId="041A76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eastAsia="宋体" w:cs="Times New Roman"/>
                      <w:b w:val="0"/>
                      <w:bCs/>
                      <w:spacing w:val="11"/>
                      <w:position w:val="0"/>
                      <w:sz w:val="21"/>
                      <w:szCs w:val="21"/>
                      <w:u w:val="none" w:color="auto"/>
                    </w:rPr>
                    <w:t>皮带输送机</w:t>
                  </w:r>
                </w:p>
              </w:tc>
              <w:tc>
                <w:tcPr>
                  <w:tcW w:w="2184" w:type="pct"/>
                  <w:tcBorders>
                    <w:tl2br w:val="nil"/>
                    <w:tr2bl w:val="nil"/>
                  </w:tcBorders>
                  <w:noWrap w:val="0"/>
                  <w:vAlign w:val="center"/>
                </w:tcPr>
                <w:p w14:paraId="3CE425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8</w:t>
                  </w:r>
                </w:p>
              </w:tc>
            </w:tr>
            <w:tr w14:paraId="01053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tcBorders>
                    <w:tl2br w:val="nil"/>
                    <w:tr2bl w:val="nil"/>
                  </w:tcBorders>
                  <w:shd w:val="clear" w:color="auto" w:fill="auto"/>
                  <w:noWrap w:val="0"/>
                  <w:tcMar>
                    <w:top w:w="15" w:type="dxa"/>
                    <w:left w:w="15" w:type="dxa"/>
                    <w:bottom w:w="0" w:type="dxa"/>
                    <w:right w:w="15" w:type="dxa"/>
                  </w:tcMar>
                  <w:vAlign w:val="center"/>
                </w:tcPr>
                <w:p w14:paraId="794795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kern w:val="2"/>
                      <w:position w:val="0"/>
                      <w:sz w:val="21"/>
                      <w:szCs w:val="21"/>
                      <w:u w:val="none" w:color="auto"/>
                      <w:lang w:val="en-US" w:eastAsia="zh-CN" w:bidi="ar-SA"/>
                    </w:rPr>
                    <w:t>8</w:t>
                  </w:r>
                </w:p>
              </w:tc>
              <w:tc>
                <w:tcPr>
                  <w:tcW w:w="704" w:type="pct"/>
                  <w:vMerge w:val="continue"/>
                  <w:tcBorders>
                    <w:tl2br w:val="nil"/>
                    <w:tr2bl w:val="nil"/>
                  </w:tcBorders>
                  <w:noWrap w:val="0"/>
                  <w:tcMar>
                    <w:top w:w="15" w:type="dxa"/>
                    <w:left w:w="15" w:type="dxa"/>
                    <w:bottom w:w="0" w:type="dxa"/>
                    <w:right w:w="15" w:type="dxa"/>
                  </w:tcMar>
                  <w:vAlign w:val="center"/>
                </w:tcPr>
                <w:p w14:paraId="127B7B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rPr>
                  </w:pPr>
                </w:p>
              </w:tc>
              <w:tc>
                <w:tcPr>
                  <w:tcW w:w="1791" w:type="pct"/>
                  <w:tcBorders>
                    <w:tl2br w:val="nil"/>
                    <w:tr2bl w:val="nil"/>
                  </w:tcBorders>
                  <w:noWrap w:val="0"/>
                  <w:tcMar>
                    <w:top w:w="15" w:type="dxa"/>
                    <w:left w:w="15" w:type="dxa"/>
                    <w:bottom w:w="0" w:type="dxa"/>
                    <w:right w:w="15" w:type="dxa"/>
                  </w:tcMar>
                  <w:vAlign w:val="center"/>
                </w:tcPr>
                <w:p w14:paraId="16B3BC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eastAsia="宋体" w:cs="Times New Roman"/>
                      <w:b w:val="0"/>
                      <w:bCs/>
                      <w:spacing w:val="11"/>
                      <w:position w:val="0"/>
                      <w:sz w:val="21"/>
                      <w:szCs w:val="21"/>
                      <w:u w:val="none" w:color="auto"/>
                    </w:rPr>
                    <w:t>给料机</w:t>
                  </w:r>
                </w:p>
              </w:tc>
              <w:tc>
                <w:tcPr>
                  <w:tcW w:w="2184" w:type="pct"/>
                  <w:tcBorders>
                    <w:tl2br w:val="nil"/>
                    <w:tr2bl w:val="nil"/>
                  </w:tcBorders>
                  <w:noWrap w:val="0"/>
                  <w:vAlign w:val="center"/>
                </w:tcPr>
                <w:p w14:paraId="4D9840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1</w:t>
                  </w:r>
                </w:p>
              </w:tc>
            </w:tr>
            <w:tr w14:paraId="59C69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tcBorders>
                    <w:tl2br w:val="nil"/>
                    <w:tr2bl w:val="nil"/>
                  </w:tcBorders>
                  <w:shd w:val="clear" w:color="auto" w:fill="auto"/>
                  <w:noWrap w:val="0"/>
                  <w:tcMar>
                    <w:top w:w="15" w:type="dxa"/>
                    <w:left w:w="15" w:type="dxa"/>
                    <w:bottom w:w="0" w:type="dxa"/>
                    <w:right w:w="15" w:type="dxa"/>
                  </w:tcMar>
                  <w:vAlign w:val="center"/>
                </w:tcPr>
                <w:p w14:paraId="480977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kern w:val="2"/>
                      <w:position w:val="0"/>
                      <w:sz w:val="21"/>
                      <w:szCs w:val="21"/>
                      <w:u w:val="none" w:color="auto"/>
                      <w:lang w:val="en-US" w:eastAsia="zh-CN" w:bidi="ar-SA"/>
                    </w:rPr>
                    <w:t>9</w:t>
                  </w:r>
                </w:p>
              </w:tc>
              <w:tc>
                <w:tcPr>
                  <w:tcW w:w="704" w:type="pct"/>
                  <w:vMerge w:val="continue"/>
                  <w:tcBorders>
                    <w:tl2br w:val="nil"/>
                    <w:tr2bl w:val="nil"/>
                  </w:tcBorders>
                  <w:noWrap w:val="0"/>
                  <w:tcMar>
                    <w:top w:w="15" w:type="dxa"/>
                    <w:left w:w="15" w:type="dxa"/>
                    <w:bottom w:w="0" w:type="dxa"/>
                    <w:right w:w="15" w:type="dxa"/>
                  </w:tcMar>
                  <w:vAlign w:val="center"/>
                </w:tcPr>
                <w:p w14:paraId="411318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rPr>
                  </w:pPr>
                </w:p>
              </w:tc>
              <w:tc>
                <w:tcPr>
                  <w:tcW w:w="1791" w:type="pct"/>
                  <w:tcBorders>
                    <w:tl2br w:val="nil"/>
                    <w:tr2bl w:val="nil"/>
                  </w:tcBorders>
                  <w:noWrap w:val="0"/>
                  <w:tcMar>
                    <w:top w:w="15" w:type="dxa"/>
                    <w:left w:w="15" w:type="dxa"/>
                    <w:bottom w:w="0" w:type="dxa"/>
                    <w:right w:w="15" w:type="dxa"/>
                  </w:tcMar>
                  <w:vAlign w:val="center"/>
                </w:tcPr>
                <w:p w14:paraId="487958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1512锤</w:t>
                  </w:r>
                  <w:r>
                    <w:rPr>
                      <w:rFonts w:hint="default" w:ascii="Times New Roman" w:hAnsi="Times New Roman" w:eastAsia="宋体" w:cs="Times New Roman"/>
                      <w:b w:val="0"/>
                      <w:bCs/>
                      <w:spacing w:val="11"/>
                      <w:position w:val="0"/>
                      <w:sz w:val="21"/>
                      <w:szCs w:val="21"/>
                      <w:u w:val="none" w:color="auto"/>
                      <w:lang w:val="en-US" w:eastAsia="zh-CN"/>
                    </w:rPr>
                    <w:t>式破碎机</w:t>
                  </w:r>
                </w:p>
              </w:tc>
              <w:tc>
                <w:tcPr>
                  <w:tcW w:w="2184" w:type="pct"/>
                  <w:tcBorders>
                    <w:tl2br w:val="nil"/>
                    <w:tr2bl w:val="nil"/>
                  </w:tcBorders>
                  <w:noWrap w:val="0"/>
                  <w:vAlign w:val="center"/>
                </w:tcPr>
                <w:p w14:paraId="71B7DB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1</w:t>
                  </w:r>
                </w:p>
              </w:tc>
            </w:tr>
            <w:tr w14:paraId="2AE11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tcBorders>
                    <w:tl2br w:val="nil"/>
                    <w:tr2bl w:val="nil"/>
                  </w:tcBorders>
                  <w:shd w:val="clear" w:color="auto" w:fill="auto"/>
                  <w:noWrap w:val="0"/>
                  <w:tcMar>
                    <w:top w:w="15" w:type="dxa"/>
                    <w:left w:w="15" w:type="dxa"/>
                    <w:bottom w:w="0" w:type="dxa"/>
                    <w:right w:w="15" w:type="dxa"/>
                  </w:tcMar>
                  <w:vAlign w:val="center"/>
                </w:tcPr>
                <w:p w14:paraId="71065C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kern w:val="2"/>
                      <w:position w:val="0"/>
                      <w:sz w:val="21"/>
                      <w:szCs w:val="21"/>
                      <w:u w:val="none" w:color="auto"/>
                      <w:lang w:val="en-US" w:eastAsia="zh-CN" w:bidi="ar-SA"/>
                    </w:rPr>
                    <w:t>10</w:t>
                  </w:r>
                </w:p>
              </w:tc>
              <w:tc>
                <w:tcPr>
                  <w:tcW w:w="704" w:type="pct"/>
                  <w:vMerge w:val="continue"/>
                  <w:tcBorders>
                    <w:tl2br w:val="nil"/>
                    <w:tr2bl w:val="nil"/>
                  </w:tcBorders>
                  <w:noWrap w:val="0"/>
                  <w:tcMar>
                    <w:top w:w="15" w:type="dxa"/>
                    <w:left w:w="15" w:type="dxa"/>
                    <w:bottom w:w="0" w:type="dxa"/>
                    <w:right w:w="15" w:type="dxa"/>
                  </w:tcMar>
                  <w:vAlign w:val="center"/>
                </w:tcPr>
                <w:p w14:paraId="73A5F0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rPr>
                  </w:pPr>
                </w:p>
              </w:tc>
              <w:tc>
                <w:tcPr>
                  <w:tcW w:w="1791" w:type="pct"/>
                  <w:tcBorders>
                    <w:tl2br w:val="nil"/>
                    <w:tr2bl w:val="nil"/>
                  </w:tcBorders>
                  <w:noWrap w:val="0"/>
                  <w:tcMar>
                    <w:top w:w="15" w:type="dxa"/>
                    <w:left w:w="15" w:type="dxa"/>
                    <w:bottom w:w="0" w:type="dxa"/>
                    <w:right w:w="15" w:type="dxa"/>
                  </w:tcMar>
                  <w:vAlign w:val="center"/>
                </w:tcPr>
                <w:p w14:paraId="0447BE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rPr>
                  </w:pPr>
                  <w:r>
                    <w:rPr>
                      <w:rFonts w:hint="default" w:ascii="Times New Roman" w:hAnsi="Times New Roman" w:eastAsia="宋体" w:cs="Times New Roman"/>
                      <w:b w:val="0"/>
                      <w:bCs/>
                      <w:spacing w:val="11"/>
                      <w:position w:val="0"/>
                      <w:sz w:val="21"/>
                      <w:szCs w:val="21"/>
                      <w:u w:val="none" w:color="auto"/>
                    </w:rPr>
                    <w:t>振动筛</w:t>
                  </w:r>
                </w:p>
              </w:tc>
              <w:tc>
                <w:tcPr>
                  <w:tcW w:w="2184" w:type="pct"/>
                  <w:tcBorders>
                    <w:tl2br w:val="nil"/>
                    <w:tr2bl w:val="nil"/>
                  </w:tcBorders>
                  <w:noWrap w:val="0"/>
                  <w:vAlign w:val="center"/>
                </w:tcPr>
                <w:p w14:paraId="28130E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2</w:t>
                  </w:r>
                </w:p>
              </w:tc>
            </w:tr>
            <w:tr w14:paraId="3C5DC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tcBorders>
                    <w:tl2br w:val="nil"/>
                    <w:tr2bl w:val="nil"/>
                  </w:tcBorders>
                  <w:shd w:val="clear" w:color="auto" w:fill="auto"/>
                  <w:noWrap w:val="0"/>
                  <w:tcMar>
                    <w:top w:w="15" w:type="dxa"/>
                    <w:left w:w="15" w:type="dxa"/>
                    <w:bottom w:w="0" w:type="dxa"/>
                    <w:right w:w="15" w:type="dxa"/>
                  </w:tcMar>
                  <w:vAlign w:val="center"/>
                </w:tcPr>
                <w:p w14:paraId="44D2B4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kern w:val="2"/>
                      <w:position w:val="0"/>
                      <w:sz w:val="21"/>
                      <w:szCs w:val="21"/>
                      <w:u w:val="none" w:color="auto"/>
                      <w:lang w:val="en-US" w:eastAsia="zh-CN" w:bidi="ar-SA"/>
                    </w:rPr>
                    <w:t>11</w:t>
                  </w:r>
                </w:p>
              </w:tc>
              <w:tc>
                <w:tcPr>
                  <w:tcW w:w="704" w:type="pct"/>
                  <w:vMerge w:val="continue"/>
                  <w:tcBorders>
                    <w:tl2br w:val="nil"/>
                    <w:tr2bl w:val="nil"/>
                  </w:tcBorders>
                  <w:noWrap w:val="0"/>
                  <w:tcMar>
                    <w:top w:w="15" w:type="dxa"/>
                    <w:left w:w="15" w:type="dxa"/>
                    <w:bottom w:w="0" w:type="dxa"/>
                    <w:right w:w="15" w:type="dxa"/>
                  </w:tcMar>
                  <w:vAlign w:val="center"/>
                </w:tcPr>
                <w:p w14:paraId="134D63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rPr>
                  </w:pPr>
                </w:p>
              </w:tc>
              <w:tc>
                <w:tcPr>
                  <w:tcW w:w="1791" w:type="pct"/>
                  <w:tcBorders>
                    <w:tl2br w:val="nil"/>
                    <w:tr2bl w:val="nil"/>
                  </w:tcBorders>
                  <w:noWrap w:val="0"/>
                  <w:tcMar>
                    <w:top w:w="15" w:type="dxa"/>
                    <w:left w:w="15" w:type="dxa"/>
                    <w:bottom w:w="0" w:type="dxa"/>
                    <w:right w:w="15" w:type="dxa"/>
                  </w:tcMar>
                  <w:vAlign w:val="center"/>
                </w:tcPr>
                <w:p w14:paraId="7C87BE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rPr>
                  </w:pPr>
                  <w:r>
                    <w:rPr>
                      <w:rFonts w:hint="default" w:ascii="Times New Roman" w:hAnsi="Times New Roman" w:eastAsia="宋体" w:cs="Times New Roman"/>
                      <w:b w:val="0"/>
                      <w:bCs/>
                      <w:spacing w:val="11"/>
                      <w:position w:val="0"/>
                      <w:sz w:val="21"/>
                      <w:szCs w:val="21"/>
                      <w:u w:val="none" w:color="auto"/>
                    </w:rPr>
                    <w:t>反击式破碎机</w:t>
                  </w:r>
                </w:p>
              </w:tc>
              <w:tc>
                <w:tcPr>
                  <w:tcW w:w="2184" w:type="pct"/>
                  <w:tcBorders>
                    <w:tl2br w:val="nil"/>
                    <w:tr2bl w:val="nil"/>
                  </w:tcBorders>
                  <w:noWrap w:val="0"/>
                  <w:vAlign w:val="center"/>
                </w:tcPr>
                <w:p w14:paraId="14B40B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1</w:t>
                  </w:r>
                </w:p>
              </w:tc>
            </w:tr>
            <w:tr w14:paraId="02AFC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tcBorders>
                    <w:tl2br w:val="nil"/>
                    <w:tr2bl w:val="nil"/>
                  </w:tcBorders>
                  <w:shd w:val="clear" w:color="auto" w:fill="auto"/>
                  <w:noWrap w:val="0"/>
                  <w:tcMar>
                    <w:top w:w="15" w:type="dxa"/>
                    <w:left w:w="15" w:type="dxa"/>
                    <w:bottom w:w="0" w:type="dxa"/>
                    <w:right w:w="15" w:type="dxa"/>
                  </w:tcMar>
                  <w:vAlign w:val="center"/>
                </w:tcPr>
                <w:p w14:paraId="164F3D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kern w:val="2"/>
                      <w:position w:val="0"/>
                      <w:sz w:val="21"/>
                      <w:szCs w:val="21"/>
                      <w:u w:val="none" w:color="auto"/>
                      <w:lang w:val="en-US" w:eastAsia="zh-CN" w:bidi="ar-SA"/>
                    </w:rPr>
                    <w:t>12</w:t>
                  </w:r>
                </w:p>
              </w:tc>
              <w:tc>
                <w:tcPr>
                  <w:tcW w:w="704" w:type="pct"/>
                  <w:vMerge w:val="continue"/>
                  <w:tcBorders>
                    <w:tl2br w:val="nil"/>
                    <w:tr2bl w:val="nil"/>
                  </w:tcBorders>
                  <w:noWrap w:val="0"/>
                  <w:tcMar>
                    <w:top w:w="15" w:type="dxa"/>
                    <w:left w:w="15" w:type="dxa"/>
                    <w:bottom w:w="0" w:type="dxa"/>
                    <w:right w:w="15" w:type="dxa"/>
                  </w:tcMar>
                  <w:vAlign w:val="center"/>
                </w:tcPr>
                <w:p w14:paraId="7C262D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rPr>
                  </w:pPr>
                </w:p>
              </w:tc>
              <w:tc>
                <w:tcPr>
                  <w:tcW w:w="1791" w:type="pct"/>
                  <w:tcBorders>
                    <w:tl2br w:val="nil"/>
                    <w:tr2bl w:val="nil"/>
                  </w:tcBorders>
                  <w:noWrap w:val="0"/>
                  <w:tcMar>
                    <w:top w:w="15" w:type="dxa"/>
                    <w:left w:w="15" w:type="dxa"/>
                    <w:bottom w:w="0" w:type="dxa"/>
                    <w:right w:w="15" w:type="dxa"/>
                  </w:tcMar>
                  <w:vAlign w:val="center"/>
                </w:tcPr>
                <w:p w14:paraId="20181D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rPr>
                  </w:pPr>
                  <w:r>
                    <w:rPr>
                      <w:rFonts w:hint="default" w:ascii="Times New Roman" w:hAnsi="Times New Roman" w:eastAsia="宋体" w:cs="Times New Roman"/>
                      <w:b w:val="0"/>
                      <w:bCs/>
                      <w:spacing w:val="11"/>
                      <w:position w:val="0"/>
                      <w:sz w:val="21"/>
                      <w:szCs w:val="21"/>
                      <w:u w:val="none" w:color="auto"/>
                      <w:lang w:val="en-US" w:eastAsia="zh-CN"/>
                    </w:rPr>
                    <w:t>布袋除尘器</w:t>
                  </w:r>
                </w:p>
              </w:tc>
              <w:tc>
                <w:tcPr>
                  <w:tcW w:w="2184" w:type="pct"/>
                  <w:tcBorders>
                    <w:tl2br w:val="nil"/>
                    <w:tr2bl w:val="nil"/>
                  </w:tcBorders>
                  <w:noWrap w:val="0"/>
                  <w:vAlign w:val="center"/>
                </w:tcPr>
                <w:p w14:paraId="3BD6B7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highlight w:val="none"/>
                      <w:u w:val="none" w:color="auto"/>
                      <w:lang w:val="en-US" w:eastAsia="zh-CN"/>
                    </w:rPr>
                  </w:pPr>
                  <w:r>
                    <w:rPr>
                      <w:rFonts w:hint="default" w:ascii="Times New Roman" w:hAnsi="Times New Roman" w:cs="Times New Roman"/>
                      <w:b w:val="0"/>
                      <w:bCs/>
                      <w:spacing w:val="11"/>
                      <w:position w:val="0"/>
                      <w:sz w:val="21"/>
                      <w:szCs w:val="21"/>
                      <w:highlight w:val="none"/>
                      <w:u w:val="none" w:color="auto"/>
                      <w:lang w:val="en-US" w:eastAsia="zh-CN"/>
                    </w:rPr>
                    <w:t>2</w:t>
                  </w:r>
                </w:p>
              </w:tc>
            </w:tr>
            <w:tr w14:paraId="20EB9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tcBorders>
                    <w:tl2br w:val="nil"/>
                    <w:tr2bl w:val="nil"/>
                  </w:tcBorders>
                  <w:shd w:val="clear" w:color="auto" w:fill="auto"/>
                  <w:noWrap w:val="0"/>
                  <w:tcMar>
                    <w:top w:w="15" w:type="dxa"/>
                    <w:left w:w="15" w:type="dxa"/>
                    <w:bottom w:w="0" w:type="dxa"/>
                    <w:right w:w="15" w:type="dxa"/>
                  </w:tcMar>
                  <w:vAlign w:val="center"/>
                </w:tcPr>
                <w:p w14:paraId="31B9E6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kern w:val="2"/>
                      <w:position w:val="0"/>
                      <w:sz w:val="21"/>
                      <w:szCs w:val="21"/>
                      <w:u w:val="none" w:color="auto"/>
                      <w:lang w:val="en-US" w:eastAsia="zh-CN" w:bidi="ar-SA"/>
                    </w:rPr>
                    <w:t>13</w:t>
                  </w:r>
                </w:p>
              </w:tc>
              <w:tc>
                <w:tcPr>
                  <w:tcW w:w="704" w:type="pct"/>
                  <w:vMerge w:val="restart"/>
                  <w:tcBorders>
                    <w:tl2br w:val="nil"/>
                    <w:tr2bl w:val="nil"/>
                  </w:tcBorders>
                  <w:noWrap w:val="0"/>
                  <w:tcMar>
                    <w:top w:w="15" w:type="dxa"/>
                    <w:left w:w="15" w:type="dxa"/>
                    <w:bottom w:w="0" w:type="dxa"/>
                    <w:right w:w="15" w:type="dxa"/>
                  </w:tcMar>
                  <w:vAlign w:val="center"/>
                </w:tcPr>
                <w:p w14:paraId="30F557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eastAsia="宋体" w:cs="Times New Roman"/>
                      <w:b w:val="0"/>
                      <w:bCs/>
                      <w:spacing w:val="11"/>
                      <w:position w:val="0"/>
                      <w:sz w:val="21"/>
                      <w:szCs w:val="21"/>
                      <w:u w:val="none" w:color="auto"/>
                      <w:lang w:val="en-US" w:eastAsia="zh-CN"/>
                    </w:rPr>
                    <w:t>机制砂生产区</w:t>
                  </w:r>
                </w:p>
              </w:tc>
              <w:tc>
                <w:tcPr>
                  <w:tcW w:w="1791" w:type="pct"/>
                  <w:tcBorders>
                    <w:tl2br w:val="nil"/>
                    <w:tr2bl w:val="nil"/>
                  </w:tcBorders>
                  <w:noWrap w:val="0"/>
                  <w:tcMar>
                    <w:top w:w="15" w:type="dxa"/>
                    <w:left w:w="15" w:type="dxa"/>
                    <w:bottom w:w="0" w:type="dxa"/>
                    <w:right w:w="15" w:type="dxa"/>
                  </w:tcMar>
                  <w:vAlign w:val="center"/>
                </w:tcPr>
                <w:p w14:paraId="65AF4D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eastAsia="宋体" w:cs="Times New Roman"/>
                      <w:b w:val="0"/>
                      <w:bCs/>
                      <w:spacing w:val="11"/>
                      <w:position w:val="0"/>
                      <w:sz w:val="21"/>
                      <w:szCs w:val="21"/>
                      <w:u w:val="none" w:color="auto"/>
                      <w:lang w:val="en-US" w:eastAsia="zh-CN"/>
                    </w:rPr>
                    <w:t>喂料机</w:t>
                  </w:r>
                </w:p>
              </w:tc>
              <w:tc>
                <w:tcPr>
                  <w:tcW w:w="2184" w:type="pct"/>
                  <w:tcBorders>
                    <w:tl2br w:val="nil"/>
                    <w:tr2bl w:val="nil"/>
                  </w:tcBorders>
                  <w:noWrap w:val="0"/>
                  <w:vAlign w:val="center"/>
                </w:tcPr>
                <w:p w14:paraId="292E3C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1</w:t>
                  </w:r>
                </w:p>
              </w:tc>
            </w:tr>
            <w:tr w14:paraId="4A71C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tcBorders>
                    <w:tl2br w:val="nil"/>
                    <w:tr2bl w:val="nil"/>
                  </w:tcBorders>
                  <w:shd w:val="clear" w:color="auto" w:fill="auto"/>
                  <w:noWrap w:val="0"/>
                  <w:tcMar>
                    <w:top w:w="15" w:type="dxa"/>
                    <w:left w:w="15" w:type="dxa"/>
                    <w:bottom w:w="0" w:type="dxa"/>
                    <w:right w:w="15" w:type="dxa"/>
                  </w:tcMar>
                  <w:vAlign w:val="center"/>
                </w:tcPr>
                <w:p w14:paraId="62298F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14</w:t>
                  </w:r>
                </w:p>
              </w:tc>
              <w:tc>
                <w:tcPr>
                  <w:tcW w:w="704" w:type="pct"/>
                  <w:vMerge w:val="continue"/>
                  <w:tcBorders>
                    <w:tl2br w:val="nil"/>
                    <w:tr2bl w:val="nil"/>
                  </w:tcBorders>
                  <w:noWrap w:val="0"/>
                  <w:tcMar>
                    <w:top w:w="15" w:type="dxa"/>
                    <w:left w:w="15" w:type="dxa"/>
                    <w:bottom w:w="0" w:type="dxa"/>
                    <w:right w:w="15" w:type="dxa"/>
                  </w:tcMar>
                  <w:vAlign w:val="center"/>
                </w:tcPr>
                <w:p w14:paraId="6C740C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p>
              </w:tc>
              <w:tc>
                <w:tcPr>
                  <w:tcW w:w="1791" w:type="pct"/>
                  <w:tcBorders>
                    <w:tl2br w:val="nil"/>
                    <w:tr2bl w:val="nil"/>
                  </w:tcBorders>
                  <w:noWrap w:val="0"/>
                  <w:tcMar>
                    <w:top w:w="15" w:type="dxa"/>
                    <w:left w:w="15" w:type="dxa"/>
                    <w:bottom w:w="0" w:type="dxa"/>
                    <w:right w:w="15" w:type="dxa"/>
                  </w:tcMar>
                  <w:vAlign w:val="center"/>
                </w:tcPr>
                <w:p w14:paraId="42E43C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锤</w:t>
                  </w:r>
                  <w:r>
                    <w:rPr>
                      <w:rFonts w:hint="default" w:ascii="Times New Roman" w:hAnsi="Times New Roman" w:eastAsia="宋体" w:cs="Times New Roman"/>
                      <w:b w:val="0"/>
                      <w:bCs/>
                      <w:spacing w:val="11"/>
                      <w:position w:val="0"/>
                      <w:sz w:val="21"/>
                      <w:szCs w:val="21"/>
                      <w:u w:val="none" w:color="auto"/>
                      <w:lang w:val="en-US" w:eastAsia="zh-CN"/>
                    </w:rPr>
                    <w:t>式破碎机</w:t>
                  </w:r>
                </w:p>
              </w:tc>
              <w:tc>
                <w:tcPr>
                  <w:tcW w:w="2184" w:type="pct"/>
                  <w:tcBorders>
                    <w:tl2br w:val="nil"/>
                    <w:tr2bl w:val="nil"/>
                  </w:tcBorders>
                  <w:noWrap w:val="0"/>
                  <w:vAlign w:val="center"/>
                </w:tcPr>
                <w:p w14:paraId="5C2CCF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1</w:t>
                  </w:r>
                </w:p>
              </w:tc>
            </w:tr>
            <w:tr w14:paraId="4210F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tcBorders>
                    <w:tl2br w:val="nil"/>
                    <w:tr2bl w:val="nil"/>
                  </w:tcBorders>
                  <w:shd w:val="clear" w:color="auto" w:fill="auto"/>
                  <w:noWrap w:val="0"/>
                  <w:tcMar>
                    <w:top w:w="15" w:type="dxa"/>
                    <w:left w:w="15" w:type="dxa"/>
                    <w:bottom w:w="0" w:type="dxa"/>
                    <w:right w:w="15" w:type="dxa"/>
                  </w:tcMar>
                  <w:vAlign w:val="center"/>
                </w:tcPr>
                <w:p w14:paraId="6158D3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kern w:val="2"/>
                      <w:position w:val="0"/>
                      <w:sz w:val="21"/>
                      <w:szCs w:val="21"/>
                      <w:u w:val="none" w:color="auto"/>
                      <w:lang w:val="en-US" w:eastAsia="zh-CN" w:bidi="ar-SA"/>
                    </w:rPr>
                    <w:t>15</w:t>
                  </w:r>
                </w:p>
              </w:tc>
              <w:tc>
                <w:tcPr>
                  <w:tcW w:w="704" w:type="pct"/>
                  <w:vMerge w:val="continue"/>
                  <w:tcBorders>
                    <w:tl2br w:val="nil"/>
                    <w:tr2bl w:val="nil"/>
                  </w:tcBorders>
                  <w:noWrap w:val="0"/>
                  <w:tcMar>
                    <w:top w:w="15" w:type="dxa"/>
                    <w:left w:w="15" w:type="dxa"/>
                    <w:bottom w:w="0" w:type="dxa"/>
                    <w:right w:w="15" w:type="dxa"/>
                  </w:tcMar>
                  <w:vAlign w:val="center"/>
                </w:tcPr>
                <w:p w14:paraId="014D96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rPr>
                  </w:pPr>
                </w:p>
              </w:tc>
              <w:tc>
                <w:tcPr>
                  <w:tcW w:w="1791" w:type="pct"/>
                  <w:tcBorders>
                    <w:tl2br w:val="nil"/>
                    <w:tr2bl w:val="nil"/>
                  </w:tcBorders>
                  <w:noWrap w:val="0"/>
                  <w:tcMar>
                    <w:top w:w="15" w:type="dxa"/>
                    <w:left w:w="15" w:type="dxa"/>
                    <w:bottom w:w="0" w:type="dxa"/>
                    <w:right w:w="15" w:type="dxa"/>
                  </w:tcMar>
                  <w:vAlign w:val="center"/>
                </w:tcPr>
                <w:p w14:paraId="4611AA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eastAsia="宋体" w:cs="Times New Roman"/>
                      <w:b w:val="0"/>
                      <w:bCs/>
                      <w:spacing w:val="11"/>
                      <w:position w:val="0"/>
                      <w:sz w:val="21"/>
                      <w:szCs w:val="21"/>
                      <w:u w:val="none" w:color="auto"/>
                      <w:lang w:val="en-US" w:eastAsia="zh-CN"/>
                    </w:rPr>
                    <w:t>洗砂机</w:t>
                  </w:r>
                </w:p>
              </w:tc>
              <w:tc>
                <w:tcPr>
                  <w:tcW w:w="2184" w:type="pct"/>
                  <w:tcBorders>
                    <w:tl2br w:val="nil"/>
                    <w:tr2bl w:val="nil"/>
                  </w:tcBorders>
                  <w:noWrap w:val="0"/>
                  <w:vAlign w:val="center"/>
                </w:tcPr>
                <w:p w14:paraId="55435A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1</w:t>
                  </w:r>
                </w:p>
              </w:tc>
            </w:tr>
            <w:tr w14:paraId="53FD1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tcBorders>
                    <w:tl2br w:val="nil"/>
                    <w:tr2bl w:val="nil"/>
                  </w:tcBorders>
                  <w:shd w:val="clear" w:color="auto" w:fill="auto"/>
                  <w:noWrap w:val="0"/>
                  <w:tcMar>
                    <w:top w:w="15" w:type="dxa"/>
                    <w:left w:w="15" w:type="dxa"/>
                    <w:bottom w:w="0" w:type="dxa"/>
                    <w:right w:w="15" w:type="dxa"/>
                  </w:tcMar>
                  <w:vAlign w:val="center"/>
                </w:tcPr>
                <w:p w14:paraId="602360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kern w:val="2"/>
                      <w:position w:val="0"/>
                      <w:sz w:val="21"/>
                      <w:szCs w:val="21"/>
                      <w:u w:val="none" w:color="auto"/>
                      <w:lang w:val="en-US" w:eastAsia="zh-CN" w:bidi="ar-SA"/>
                    </w:rPr>
                    <w:t>16</w:t>
                  </w:r>
                </w:p>
              </w:tc>
              <w:tc>
                <w:tcPr>
                  <w:tcW w:w="704" w:type="pct"/>
                  <w:vMerge w:val="continue"/>
                  <w:tcBorders>
                    <w:tl2br w:val="nil"/>
                    <w:tr2bl w:val="nil"/>
                  </w:tcBorders>
                  <w:noWrap w:val="0"/>
                  <w:tcMar>
                    <w:top w:w="15" w:type="dxa"/>
                    <w:left w:w="15" w:type="dxa"/>
                    <w:bottom w:w="0" w:type="dxa"/>
                    <w:right w:w="15" w:type="dxa"/>
                  </w:tcMar>
                  <w:vAlign w:val="center"/>
                </w:tcPr>
                <w:p w14:paraId="25B4A9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rPr>
                  </w:pPr>
                </w:p>
              </w:tc>
              <w:tc>
                <w:tcPr>
                  <w:tcW w:w="1791" w:type="pct"/>
                  <w:tcBorders>
                    <w:tl2br w:val="nil"/>
                    <w:tr2bl w:val="nil"/>
                  </w:tcBorders>
                  <w:noWrap w:val="0"/>
                  <w:tcMar>
                    <w:top w:w="15" w:type="dxa"/>
                    <w:left w:w="15" w:type="dxa"/>
                    <w:bottom w:w="0" w:type="dxa"/>
                    <w:right w:w="15" w:type="dxa"/>
                  </w:tcMar>
                  <w:vAlign w:val="center"/>
                </w:tcPr>
                <w:p w14:paraId="7F5335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eastAsia="宋体" w:cs="Times New Roman"/>
                      <w:b w:val="0"/>
                      <w:bCs/>
                      <w:spacing w:val="11"/>
                      <w:position w:val="0"/>
                      <w:sz w:val="21"/>
                      <w:szCs w:val="21"/>
                      <w:u w:val="none" w:color="auto"/>
                      <w:lang w:val="en-US" w:eastAsia="zh-CN"/>
                    </w:rPr>
                    <w:t>皮带输送机</w:t>
                  </w:r>
                </w:p>
              </w:tc>
              <w:tc>
                <w:tcPr>
                  <w:tcW w:w="2184" w:type="pct"/>
                  <w:tcBorders>
                    <w:tl2br w:val="nil"/>
                    <w:tr2bl w:val="nil"/>
                  </w:tcBorders>
                  <w:noWrap w:val="0"/>
                  <w:vAlign w:val="center"/>
                </w:tcPr>
                <w:p w14:paraId="454724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3</w:t>
                  </w:r>
                </w:p>
              </w:tc>
            </w:tr>
            <w:tr w14:paraId="793E3B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tcBorders>
                    <w:tl2br w:val="nil"/>
                    <w:tr2bl w:val="nil"/>
                  </w:tcBorders>
                  <w:shd w:val="clear" w:color="auto" w:fill="auto"/>
                  <w:noWrap w:val="0"/>
                  <w:tcMar>
                    <w:top w:w="15" w:type="dxa"/>
                    <w:left w:w="15" w:type="dxa"/>
                    <w:bottom w:w="0" w:type="dxa"/>
                    <w:right w:w="15" w:type="dxa"/>
                  </w:tcMar>
                  <w:vAlign w:val="center"/>
                </w:tcPr>
                <w:p w14:paraId="3112C0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kern w:val="2"/>
                      <w:position w:val="0"/>
                      <w:sz w:val="21"/>
                      <w:szCs w:val="21"/>
                      <w:u w:val="none" w:color="auto"/>
                      <w:lang w:val="en-US" w:eastAsia="zh-CN" w:bidi="ar-SA"/>
                    </w:rPr>
                    <w:t>17</w:t>
                  </w:r>
                </w:p>
              </w:tc>
              <w:tc>
                <w:tcPr>
                  <w:tcW w:w="704" w:type="pct"/>
                  <w:vMerge w:val="continue"/>
                  <w:tcBorders>
                    <w:tl2br w:val="nil"/>
                    <w:tr2bl w:val="nil"/>
                  </w:tcBorders>
                  <w:noWrap w:val="0"/>
                  <w:tcMar>
                    <w:top w:w="15" w:type="dxa"/>
                    <w:left w:w="15" w:type="dxa"/>
                    <w:bottom w:w="0" w:type="dxa"/>
                    <w:right w:w="15" w:type="dxa"/>
                  </w:tcMar>
                  <w:vAlign w:val="center"/>
                </w:tcPr>
                <w:p w14:paraId="553A4F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rPr>
                  </w:pPr>
                </w:p>
              </w:tc>
              <w:tc>
                <w:tcPr>
                  <w:tcW w:w="1791" w:type="pct"/>
                  <w:tcBorders>
                    <w:tl2br w:val="nil"/>
                    <w:tr2bl w:val="nil"/>
                  </w:tcBorders>
                  <w:noWrap w:val="0"/>
                  <w:tcMar>
                    <w:top w:w="15" w:type="dxa"/>
                    <w:left w:w="15" w:type="dxa"/>
                    <w:bottom w:w="0" w:type="dxa"/>
                    <w:right w:w="15" w:type="dxa"/>
                  </w:tcMar>
                  <w:vAlign w:val="center"/>
                </w:tcPr>
                <w:p w14:paraId="5599BA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eastAsia="宋体" w:cs="Times New Roman"/>
                      <w:b w:val="0"/>
                      <w:bCs/>
                      <w:spacing w:val="11"/>
                      <w:position w:val="0"/>
                      <w:sz w:val="21"/>
                      <w:szCs w:val="21"/>
                      <w:u w:val="none" w:color="auto"/>
                      <w:lang w:val="en-US" w:eastAsia="zh-CN"/>
                    </w:rPr>
                    <w:t>装载机</w:t>
                  </w:r>
                </w:p>
              </w:tc>
              <w:tc>
                <w:tcPr>
                  <w:tcW w:w="2184" w:type="pct"/>
                  <w:tcBorders>
                    <w:tl2br w:val="nil"/>
                    <w:tr2bl w:val="nil"/>
                  </w:tcBorders>
                  <w:noWrap w:val="0"/>
                  <w:vAlign w:val="center"/>
                </w:tcPr>
                <w:p w14:paraId="76DB7C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1</w:t>
                  </w:r>
                </w:p>
              </w:tc>
            </w:tr>
            <w:tr w14:paraId="3436A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tcBorders>
                    <w:tl2br w:val="nil"/>
                    <w:tr2bl w:val="nil"/>
                  </w:tcBorders>
                  <w:shd w:val="clear" w:color="auto" w:fill="auto"/>
                  <w:noWrap w:val="0"/>
                  <w:tcMar>
                    <w:top w:w="15" w:type="dxa"/>
                    <w:left w:w="15" w:type="dxa"/>
                    <w:bottom w:w="0" w:type="dxa"/>
                    <w:right w:w="15" w:type="dxa"/>
                  </w:tcMar>
                  <w:vAlign w:val="center"/>
                </w:tcPr>
                <w:p w14:paraId="4F6C58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kern w:val="2"/>
                      <w:position w:val="0"/>
                      <w:sz w:val="21"/>
                      <w:szCs w:val="21"/>
                      <w:u w:val="none" w:color="auto"/>
                      <w:lang w:val="en-US" w:eastAsia="zh-CN" w:bidi="ar-SA"/>
                    </w:rPr>
                    <w:t>18</w:t>
                  </w:r>
                </w:p>
              </w:tc>
              <w:tc>
                <w:tcPr>
                  <w:tcW w:w="704" w:type="pct"/>
                  <w:vMerge w:val="continue"/>
                  <w:tcBorders>
                    <w:tl2br w:val="nil"/>
                    <w:tr2bl w:val="nil"/>
                  </w:tcBorders>
                  <w:noWrap w:val="0"/>
                  <w:tcMar>
                    <w:top w:w="15" w:type="dxa"/>
                    <w:left w:w="15" w:type="dxa"/>
                    <w:bottom w:w="0" w:type="dxa"/>
                    <w:right w:w="15" w:type="dxa"/>
                  </w:tcMar>
                  <w:vAlign w:val="center"/>
                </w:tcPr>
                <w:p w14:paraId="4B3F29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rPr>
                  </w:pPr>
                </w:p>
              </w:tc>
              <w:tc>
                <w:tcPr>
                  <w:tcW w:w="1791" w:type="pct"/>
                  <w:tcBorders>
                    <w:tl2br w:val="nil"/>
                    <w:tr2bl w:val="nil"/>
                  </w:tcBorders>
                  <w:noWrap w:val="0"/>
                  <w:tcMar>
                    <w:top w:w="15" w:type="dxa"/>
                    <w:left w:w="15" w:type="dxa"/>
                    <w:bottom w:w="0" w:type="dxa"/>
                    <w:right w:w="15" w:type="dxa"/>
                  </w:tcMar>
                  <w:vAlign w:val="center"/>
                </w:tcPr>
                <w:p w14:paraId="2C07F2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eastAsia="宋体" w:cs="Times New Roman"/>
                      <w:b w:val="0"/>
                      <w:bCs/>
                      <w:spacing w:val="11"/>
                      <w:position w:val="0"/>
                      <w:sz w:val="21"/>
                      <w:szCs w:val="21"/>
                      <w:u w:val="none" w:color="auto"/>
                      <w:lang w:val="en-US" w:eastAsia="zh-CN"/>
                    </w:rPr>
                    <w:t>制砂机</w:t>
                  </w:r>
                </w:p>
              </w:tc>
              <w:tc>
                <w:tcPr>
                  <w:tcW w:w="2184" w:type="pct"/>
                  <w:tcBorders>
                    <w:tl2br w:val="nil"/>
                    <w:tr2bl w:val="nil"/>
                  </w:tcBorders>
                  <w:noWrap w:val="0"/>
                  <w:vAlign w:val="center"/>
                </w:tcPr>
                <w:p w14:paraId="586F91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1</w:t>
                  </w:r>
                </w:p>
              </w:tc>
            </w:tr>
            <w:tr w14:paraId="19C2F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tcBorders>
                    <w:tl2br w:val="nil"/>
                    <w:tr2bl w:val="nil"/>
                  </w:tcBorders>
                  <w:shd w:val="clear" w:color="auto" w:fill="auto"/>
                  <w:noWrap w:val="0"/>
                  <w:tcMar>
                    <w:top w:w="15" w:type="dxa"/>
                    <w:left w:w="15" w:type="dxa"/>
                    <w:bottom w:w="0" w:type="dxa"/>
                    <w:right w:w="15" w:type="dxa"/>
                  </w:tcMar>
                  <w:vAlign w:val="center"/>
                </w:tcPr>
                <w:p w14:paraId="521713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kern w:val="2"/>
                      <w:position w:val="0"/>
                      <w:sz w:val="21"/>
                      <w:szCs w:val="21"/>
                      <w:u w:val="none" w:color="auto"/>
                      <w:lang w:val="en-US" w:eastAsia="zh-CN" w:bidi="ar-SA"/>
                    </w:rPr>
                    <w:t>19</w:t>
                  </w:r>
                </w:p>
              </w:tc>
              <w:tc>
                <w:tcPr>
                  <w:tcW w:w="704" w:type="pct"/>
                  <w:vMerge w:val="continue"/>
                  <w:tcBorders>
                    <w:tl2br w:val="nil"/>
                    <w:tr2bl w:val="nil"/>
                  </w:tcBorders>
                  <w:noWrap w:val="0"/>
                  <w:tcMar>
                    <w:top w:w="15" w:type="dxa"/>
                    <w:left w:w="15" w:type="dxa"/>
                    <w:bottom w:w="0" w:type="dxa"/>
                    <w:right w:w="15" w:type="dxa"/>
                  </w:tcMar>
                  <w:vAlign w:val="center"/>
                </w:tcPr>
                <w:p w14:paraId="1F8F05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rPr>
                  </w:pPr>
                </w:p>
              </w:tc>
              <w:tc>
                <w:tcPr>
                  <w:tcW w:w="1791" w:type="pct"/>
                  <w:tcBorders>
                    <w:tl2br w:val="nil"/>
                    <w:tr2bl w:val="nil"/>
                  </w:tcBorders>
                  <w:noWrap w:val="0"/>
                  <w:tcMar>
                    <w:top w:w="15" w:type="dxa"/>
                    <w:left w:w="15" w:type="dxa"/>
                    <w:bottom w:w="0" w:type="dxa"/>
                    <w:right w:w="15" w:type="dxa"/>
                  </w:tcMar>
                  <w:vAlign w:val="center"/>
                </w:tcPr>
                <w:p w14:paraId="75F6BC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eastAsia="宋体" w:cs="Times New Roman"/>
                      <w:b w:val="0"/>
                      <w:bCs/>
                      <w:spacing w:val="11"/>
                      <w:position w:val="0"/>
                      <w:sz w:val="21"/>
                      <w:szCs w:val="21"/>
                      <w:u w:val="none" w:color="auto"/>
                      <w:lang w:val="en-US" w:eastAsia="zh-CN"/>
                    </w:rPr>
                    <w:t>细砂回收砂水分离一体机</w:t>
                  </w:r>
                </w:p>
              </w:tc>
              <w:tc>
                <w:tcPr>
                  <w:tcW w:w="2184" w:type="pct"/>
                  <w:tcBorders>
                    <w:tl2br w:val="nil"/>
                    <w:tr2bl w:val="nil"/>
                  </w:tcBorders>
                  <w:noWrap w:val="0"/>
                  <w:vAlign w:val="center"/>
                </w:tcPr>
                <w:p w14:paraId="261551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1</w:t>
                  </w:r>
                </w:p>
              </w:tc>
            </w:tr>
            <w:tr w14:paraId="59109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tcBorders>
                    <w:tl2br w:val="nil"/>
                    <w:tr2bl w:val="nil"/>
                  </w:tcBorders>
                  <w:shd w:val="clear" w:color="auto" w:fill="auto"/>
                  <w:noWrap w:val="0"/>
                  <w:tcMar>
                    <w:top w:w="15" w:type="dxa"/>
                    <w:left w:w="15" w:type="dxa"/>
                    <w:bottom w:w="0" w:type="dxa"/>
                    <w:right w:w="15" w:type="dxa"/>
                  </w:tcMar>
                  <w:vAlign w:val="center"/>
                </w:tcPr>
                <w:p w14:paraId="44D185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kern w:val="2"/>
                      <w:position w:val="0"/>
                      <w:sz w:val="21"/>
                      <w:szCs w:val="21"/>
                      <w:u w:val="none" w:color="auto"/>
                      <w:lang w:val="en-US" w:eastAsia="zh-CN" w:bidi="ar-SA"/>
                    </w:rPr>
                    <w:t>20</w:t>
                  </w:r>
                </w:p>
              </w:tc>
              <w:tc>
                <w:tcPr>
                  <w:tcW w:w="704" w:type="pct"/>
                  <w:vMerge w:val="restart"/>
                  <w:tcBorders>
                    <w:tl2br w:val="nil"/>
                    <w:tr2bl w:val="nil"/>
                  </w:tcBorders>
                  <w:noWrap w:val="0"/>
                  <w:tcMar>
                    <w:top w:w="15" w:type="dxa"/>
                    <w:left w:w="15" w:type="dxa"/>
                    <w:bottom w:w="0" w:type="dxa"/>
                    <w:right w:w="15" w:type="dxa"/>
                  </w:tcMar>
                  <w:vAlign w:val="center"/>
                </w:tcPr>
                <w:p w14:paraId="76DDF6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eastAsia="宋体" w:cs="Times New Roman"/>
                      <w:b w:val="0"/>
                      <w:bCs/>
                      <w:spacing w:val="11"/>
                      <w:position w:val="0"/>
                      <w:sz w:val="21"/>
                      <w:szCs w:val="21"/>
                      <w:u w:val="none" w:color="auto"/>
                      <w:lang w:val="en-US" w:eastAsia="zh-CN"/>
                    </w:rPr>
                    <w:t>工业场地</w:t>
                  </w:r>
                </w:p>
              </w:tc>
              <w:tc>
                <w:tcPr>
                  <w:tcW w:w="1791" w:type="pct"/>
                  <w:tcBorders>
                    <w:tl2br w:val="nil"/>
                    <w:tr2bl w:val="nil"/>
                  </w:tcBorders>
                  <w:noWrap w:val="0"/>
                  <w:tcMar>
                    <w:top w:w="15" w:type="dxa"/>
                    <w:left w:w="15" w:type="dxa"/>
                    <w:bottom w:w="0" w:type="dxa"/>
                    <w:right w:w="15" w:type="dxa"/>
                  </w:tcMar>
                  <w:vAlign w:val="center"/>
                </w:tcPr>
                <w:p w14:paraId="71525D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eastAsia="zh-CN"/>
                    </w:rPr>
                  </w:pPr>
                  <w:r>
                    <w:rPr>
                      <w:rFonts w:hint="default" w:ascii="Times New Roman" w:hAnsi="Times New Roman" w:cs="Times New Roman"/>
                      <w:b w:val="0"/>
                      <w:bCs/>
                      <w:spacing w:val="11"/>
                      <w:position w:val="0"/>
                      <w:sz w:val="21"/>
                      <w:szCs w:val="21"/>
                      <w:u w:val="none" w:color="auto"/>
                      <w:lang w:val="en-US" w:eastAsia="zh-CN"/>
                    </w:rPr>
                    <w:t>洒水车</w:t>
                  </w:r>
                </w:p>
              </w:tc>
              <w:tc>
                <w:tcPr>
                  <w:tcW w:w="2184" w:type="pct"/>
                  <w:tcBorders>
                    <w:tl2br w:val="nil"/>
                    <w:tr2bl w:val="nil"/>
                  </w:tcBorders>
                  <w:noWrap w:val="0"/>
                  <w:vAlign w:val="center"/>
                </w:tcPr>
                <w:p w14:paraId="79FE99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1</w:t>
                  </w:r>
                </w:p>
              </w:tc>
            </w:tr>
            <w:tr w14:paraId="5D03C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tcBorders>
                    <w:tl2br w:val="nil"/>
                    <w:tr2bl w:val="nil"/>
                  </w:tcBorders>
                  <w:shd w:val="clear" w:color="auto" w:fill="auto"/>
                  <w:noWrap w:val="0"/>
                  <w:tcMar>
                    <w:top w:w="15" w:type="dxa"/>
                    <w:left w:w="15" w:type="dxa"/>
                    <w:bottom w:w="0" w:type="dxa"/>
                    <w:right w:w="15" w:type="dxa"/>
                  </w:tcMar>
                  <w:vAlign w:val="center"/>
                </w:tcPr>
                <w:p w14:paraId="6C7FF1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kern w:val="2"/>
                      <w:position w:val="0"/>
                      <w:sz w:val="21"/>
                      <w:szCs w:val="21"/>
                      <w:u w:val="none" w:color="auto"/>
                      <w:lang w:val="en-US" w:eastAsia="zh-CN" w:bidi="ar-SA"/>
                    </w:rPr>
                    <w:t>21</w:t>
                  </w:r>
                </w:p>
              </w:tc>
              <w:tc>
                <w:tcPr>
                  <w:tcW w:w="704" w:type="pct"/>
                  <w:vMerge w:val="continue"/>
                  <w:tcBorders>
                    <w:tl2br w:val="nil"/>
                    <w:tr2bl w:val="nil"/>
                  </w:tcBorders>
                  <w:noWrap w:val="0"/>
                  <w:tcMar>
                    <w:top w:w="15" w:type="dxa"/>
                    <w:left w:w="15" w:type="dxa"/>
                    <w:bottom w:w="0" w:type="dxa"/>
                    <w:right w:w="15" w:type="dxa"/>
                  </w:tcMar>
                  <w:vAlign w:val="center"/>
                </w:tcPr>
                <w:p w14:paraId="7799C2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rPr>
                  </w:pPr>
                </w:p>
              </w:tc>
              <w:tc>
                <w:tcPr>
                  <w:tcW w:w="1791" w:type="pct"/>
                  <w:tcBorders>
                    <w:tl2br w:val="nil"/>
                    <w:tr2bl w:val="nil"/>
                  </w:tcBorders>
                  <w:noWrap w:val="0"/>
                  <w:tcMar>
                    <w:top w:w="15" w:type="dxa"/>
                    <w:left w:w="15" w:type="dxa"/>
                    <w:bottom w:w="0" w:type="dxa"/>
                    <w:right w:w="15" w:type="dxa"/>
                  </w:tcMar>
                  <w:vAlign w:val="center"/>
                </w:tcPr>
                <w:p w14:paraId="412726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eastAsia="zh-CN"/>
                    </w:rPr>
                  </w:pPr>
                  <w:r>
                    <w:rPr>
                      <w:rFonts w:hint="default" w:ascii="Times New Roman" w:hAnsi="Times New Roman" w:cs="Times New Roman"/>
                      <w:b w:val="0"/>
                      <w:bCs/>
                      <w:spacing w:val="11"/>
                      <w:position w:val="0"/>
                      <w:sz w:val="21"/>
                      <w:szCs w:val="21"/>
                      <w:u w:val="none" w:color="auto"/>
                      <w:lang w:val="en-US" w:eastAsia="zh-CN"/>
                    </w:rPr>
                    <w:t>铲车</w:t>
                  </w:r>
                </w:p>
              </w:tc>
              <w:tc>
                <w:tcPr>
                  <w:tcW w:w="2184" w:type="pct"/>
                  <w:tcBorders>
                    <w:tl2br w:val="nil"/>
                    <w:tr2bl w:val="nil"/>
                  </w:tcBorders>
                  <w:noWrap w:val="0"/>
                  <w:vAlign w:val="center"/>
                </w:tcPr>
                <w:p w14:paraId="550EBB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default" w:ascii="Times New Roman" w:hAnsi="Times New Roman" w:cs="Times New Roman"/>
                      <w:b w:val="0"/>
                      <w:bCs/>
                      <w:spacing w:val="11"/>
                      <w:position w:val="0"/>
                      <w:sz w:val="21"/>
                      <w:szCs w:val="21"/>
                      <w:u w:val="none" w:color="auto"/>
                      <w:lang w:val="en-US" w:eastAsia="zh-CN"/>
                    </w:rPr>
                    <w:t>2</w:t>
                  </w:r>
                </w:p>
              </w:tc>
            </w:tr>
            <w:tr w14:paraId="41C79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9" w:type="pct"/>
                  <w:tcBorders>
                    <w:tl2br w:val="nil"/>
                    <w:tr2bl w:val="nil"/>
                  </w:tcBorders>
                  <w:shd w:val="clear" w:color="auto" w:fill="auto"/>
                  <w:noWrap w:val="0"/>
                  <w:tcMar>
                    <w:top w:w="15" w:type="dxa"/>
                    <w:left w:w="15" w:type="dxa"/>
                    <w:bottom w:w="0" w:type="dxa"/>
                    <w:right w:w="15" w:type="dxa"/>
                  </w:tcMar>
                  <w:vAlign w:val="center"/>
                </w:tcPr>
                <w:p w14:paraId="262ADB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kern w:val="2"/>
                      <w:position w:val="0"/>
                      <w:sz w:val="21"/>
                      <w:szCs w:val="21"/>
                      <w:u w:val="none" w:color="auto"/>
                      <w:lang w:val="en-US" w:eastAsia="zh-CN" w:bidi="ar-SA"/>
                    </w:rPr>
                    <w:t>22</w:t>
                  </w:r>
                </w:p>
              </w:tc>
              <w:tc>
                <w:tcPr>
                  <w:tcW w:w="704" w:type="pct"/>
                  <w:vMerge w:val="continue"/>
                  <w:tcBorders>
                    <w:tl2br w:val="nil"/>
                    <w:tr2bl w:val="nil"/>
                  </w:tcBorders>
                  <w:noWrap w:val="0"/>
                  <w:tcMar>
                    <w:top w:w="15" w:type="dxa"/>
                    <w:left w:w="15" w:type="dxa"/>
                    <w:bottom w:w="0" w:type="dxa"/>
                    <w:right w:w="15" w:type="dxa"/>
                  </w:tcMar>
                  <w:vAlign w:val="center"/>
                </w:tcPr>
                <w:p w14:paraId="165F7D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rPr>
                  </w:pPr>
                </w:p>
              </w:tc>
              <w:tc>
                <w:tcPr>
                  <w:tcW w:w="1791" w:type="pct"/>
                  <w:tcBorders>
                    <w:tl2br w:val="nil"/>
                    <w:tr2bl w:val="nil"/>
                  </w:tcBorders>
                  <w:noWrap w:val="0"/>
                  <w:tcMar>
                    <w:top w:w="15" w:type="dxa"/>
                    <w:left w:w="15" w:type="dxa"/>
                    <w:bottom w:w="0" w:type="dxa"/>
                    <w:right w:w="15" w:type="dxa"/>
                  </w:tcMar>
                  <w:vAlign w:val="center"/>
                </w:tcPr>
                <w:p w14:paraId="537A07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eastAsia="zh-CN"/>
                    </w:rPr>
                  </w:pPr>
                  <w:r>
                    <w:rPr>
                      <w:rFonts w:hint="default" w:ascii="Times New Roman" w:hAnsi="Times New Roman" w:eastAsia="宋体" w:cs="Times New Roman"/>
                      <w:b w:val="0"/>
                      <w:bCs/>
                      <w:spacing w:val="11"/>
                      <w:position w:val="0"/>
                      <w:sz w:val="21"/>
                      <w:szCs w:val="21"/>
                      <w:u w:val="none" w:color="auto"/>
                      <w:lang w:eastAsia="zh-CN"/>
                    </w:rPr>
                    <w:t>炮雾机</w:t>
                  </w:r>
                </w:p>
              </w:tc>
              <w:tc>
                <w:tcPr>
                  <w:tcW w:w="2184" w:type="pct"/>
                  <w:tcBorders>
                    <w:tl2br w:val="nil"/>
                    <w:tr2bl w:val="nil"/>
                  </w:tcBorders>
                  <w:noWrap w:val="0"/>
                  <w:vAlign w:val="center"/>
                </w:tcPr>
                <w:p w14:paraId="5A21EB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none" w:color="auto"/>
                      <w:lang w:val="en-US" w:eastAsia="zh-CN"/>
                    </w:rPr>
                  </w:pPr>
                  <w:r>
                    <w:rPr>
                      <w:rFonts w:hint="eastAsia" w:cs="Times New Roman"/>
                      <w:b w:val="0"/>
                      <w:bCs/>
                      <w:spacing w:val="11"/>
                      <w:position w:val="0"/>
                      <w:sz w:val="21"/>
                      <w:szCs w:val="21"/>
                      <w:u w:val="none" w:color="auto"/>
                      <w:lang w:val="en-US" w:eastAsia="zh-CN"/>
                    </w:rPr>
                    <w:t>2</w:t>
                  </w:r>
                </w:p>
              </w:tc>
            </w:tr>
          </w:tbl>
          <w:p w14:paraId="41A228A5">
            <w:pPr>
              <w:keepNext w:val="0"/>
              <w:keepLines w:val="0"/>
              <w:pageBreakBefore w:val="0"/>
              <w:widowControl w:val="0"/>
              <w:numPr>
                <w:ilvl w:val="0"/>
                <w:numId w:val="0"/>
              </w:numPr>
              <w:shd w:val="clear"/>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default" w:ascii="Times New Roman" w:hAnsi="Times New Roman" w:eastAsia="宋体" w:cs="Times New Roman"/>
                <w:b/>
                <w:color w:val="auto"/>
                <w:spacing w:val="11"/>
                <w:position w:val="0"/>
                <w:sz w:val="24"/>
                <w:szCs w:val="24"/>
                <w:highlight w:val="none"/>
                <w:u w:val="none" w:color="auto"/>
                <w:lang w:val="en-US" w:eastAsia="zh-CN"/>
              </w:rPr>
            </w:pPr>
            <w:r>
              <w:rPr>
                <w:rFonts w:hint="default" w:ascii="Times New Roman" w:hAnsi="Times New Roman" w:eastAsia="宋体" w:cs="Times New Roman"/>
                <w:b/>
                <w:color w:val="auto"/>
                <w:spacing w:val="11"/>
                <w:position w:val="0"/>
                <w:sz w:val="24"/>
                <w:szCs w:val="24"/>
                <w:highlight w:val="none"/>
                <w:u w:val="none" w:color="auto"/>
                <w:lang w:val="en-US" w:eastAsia="zh-CN"/>
              </w:rPr>
              <w:t xml:space="preserve">2.6公共工程 </w:t>
            </w:r>
          </w:p>
          <w:p w14:paraId="2B1EE358">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 xml:space="preserve">（1）给排水 </w:t>
            </w:r>
          </w:p>
          <w:p w14:paraId="15763FA0">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 xml:space="preserve">①给水 </w:t>
            </w:r>
          </w:p>
          <w:p w14:paraId="39E11B87">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生产用水来源于项目场区内沉淀池以及市政供水管网</w:t>
            </w:r>
            <w:r>
              <w:rPr>
                <w:rFonts w:hint="default" w:ascii="Times New Roman" w:hAnsi="Times New Roman" w:cs="Times New Roman"/>
                <w:b w:val="0"/>
                <w:bCs w:val="0"/>
                <w:color w:val="auto"/>
                <w:spacing w:val="11"/>
                <w:position w:val="0"/>
                <w:sz w:val="24"/>
                <w:szCs w:val="22"/>
                <w:highlight w:val="none"/>
                <w:u w:val="none" w:color="auto"/>
                <w:lang w:val="en-US" w:eastAsia="zh-CN"/>
              </w:rPr>
              <w:t>、厂内水井</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 xml:space="preserve">，生活用水来源于市政供水管网。 </w:t>
            </w:r>
          </w:p>
          <w:p w14:paraId="264CC5A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 xml:space="preserve">②排水 </w:t>
            </w:r>
          </w:p>
          <w:p w14:paraId="5740135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厂区内采取雨污分流措施。场区道路两旁、开采区</w:t>
            </w:r>
            <w:r>
              <w:rPr>
                <w:rFonts w:hint="eastAsia" w:cs="Times New Roman"/>
                <w:b w:val="0"/>
                <w:bCs w:val="0"/>
                <w:color w:val="auto"/>
                <w:spacing w:val="11"/>
                <w:position w:val="0"/>
                <w:sz w:val="24"/>
                <w:szCs w:val="22"/>
                <w:highlight w:val="none"/>
                <w:u w:val="none" w:color="auto"/>
                <w:lang w:val="en-US" w:eastAsia="zh-CN"/>
              </w:rPr>
              <w:t>、工业广场</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设有</w:t>
            </w:r>
            <w:r>
              <w:rPr>
                <w:rFonts w:hint="eastAsia" w:cs="Times New Roman"/>
                <w:b w:val="0"/>
                <w:bCs w:val="0"/>
                <w:color w:val="auto"/>
                <w:spacing w:val="11"/>
                <w:position w:val="0"/>
                <w:sz w:val="24"/>
                <w:szCs w:val="22"/>
                <w:highlight w:val="none"/>
                <w:u w:val="none" w:color="auto"/>
                <w:lang w:val="en-US" w:eastAsia="zh-CN"/>
              </w:rPr>
              <w:t>截</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水沟，初期雨水经截水沟汇入初期雨水池进行沉淀处理，处理后回用于洒水抑尘以及洗砂用水。洗砂废水经泥水分离脱水系统处理后进入沉淀池，回用于生产，不外排；车辆清洗废水</w:t>
            </w:r>
            <w:r>
              <w:rPr>
                <w:rFonts w:hint="eastAsia" w:cs="Times New Roman"/>
                <w:b w:val="0"/>
                <w:bCs w:val="0"/>
                <w:color w:val="auto"/>
                <w:spacing w:val="11"/>
                <w:position w:val="0"/>
                <w:sz w:val="24"/>
                <w:szCs w:val="22"/>
                <w:highlight w:val="none"/>
                <w:u w:val="none" w:color="auto"/>
                <w:lang w:val="en-US" w:eastAsia="zh-CN"/>
              </w:rPr>
              <w:t>经沉淀池处理后</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循环</w:t>
            </w:r>
            <w:r>
              <w:rPr>
                <w:rFonts w:hint="eastAsia" w:cs="Times New Roman"/>
                <w:b w:val="0"/>
                <w:bCs w:val="0"/>
                <w:color w:val="auto"/>
                <w:spacing w:val="11"/>
                <w:position w:val="0"/>
                <w:sz w:val="24"/>
                <w:szCs w:val="22"/>
                <w:highlight w:val="none"/>
                <w:u w:val="none" w:color="auto"/>
                <w:lang w:val="en-US" w:eastAsia="zh-CN"/>
              </w:rPr>
              <w:t>使用</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不外排；生活污水经化粪池处理后用于矿区</w:t>
            </w:r>
            <w:r>
              <w:rPr>
                <w:rFonts w:hint="eastAsia" w:cs="Times New Roman"/>
                <w:b w:val="0"/>
                <w:bCs w:val="0"/>
                <w:color w:val="auto"/>
                <w:spacing w:val="11"/>
                <w:position w:val="0"/>
                <w:sz w:val="24"/>
                <w:szCs w:val="22"/>
                <w:highlight w:val="none"/>
                <w:u w:val="none" w:color="auto"/>
                <w:lang w:val="en-US" w:eastAsia="zh-CN"/>
              </w:rPr>
              <w:t>内绿化用水</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 xml:space="preserve">。 </w:t>
            </w:r>
          </w:p>
          <w:p w14:paraId="74A743A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 xml:space="preserve">（2）供电 </w:t>
            </w:r>
          </w:p>
          <w:p w14:paraId="234C0C4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 xml:space="preserve">矿山生产生活用电直接从附近的农网10KV农网T接入，用于安装动力线路及设施设备。配置1台变压器，可以满足矿山生产、生活用电。 </w:t>
            </w:r>
          </w:p>
          <w:p w14:paraId="39F4C4D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b/>
                <w:bCs/>
                <w:color w:val="auto"/>
                <w:spacing w:val="11"/>
                <w:position w:val="0"/>
                <w:sz w:val="24"/>
                <w:szCs w:val="22"/>
                <w:highlight w:val="none"/>
                <w:u w:val="none" w:color="auto"/>
                <w:lang w:val="en-US" w:eastAsia="zh-CN"/>
              </w:rPr>
            </w:pPr>
            <w:r>
              <w:rPr>
                <w:rFonts w:hint="default" w:ascii="Times New Roman" w:hAnsi="Times New Roman" w:eastAsia="宋体" w:cs="Times New Roman"/>
                <w:b/>
                <w:bCs/>
                <w:color w:val="auto"/>
                <w:spacing w:val="11"/>
                <w:position w:val="0"/>
                <w:sz w:val="24"/>
                <w:szCs w:val="22"/>
                <w:highlight w:val="none"/>
                <w:u w:val="none" w:color="auto"/>
                <w:lang w:val="en-US" w:eastAsia="zh-CN"/>
              </w:rPr>
              <w:t xml:space="preserve">2.7劳动定员与生产班制 </w:t>
            </w:r>
          </w:p>
          <w:p w14:paraId="5E2DA3D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项目劳动定员20人</w:t>
            </w:r>
            <w:r>
              <w:rPr>
                <w:rFonts w:hint="eastAsia" w:cs="Times New Roman"/>
                <w:b w:val="0"/>
                <w:bCs w:val="0"/>
                <w:color w:val="auto"/>
                <w:spacing w:val="11"/>
                <w:position w:val="0"/>
                <w:sz w:val="24"/>
                <w:szCs w:val="22"/>
                <w:highlight w:val="none"/>
                <w:u w:val="none" w:color="auto"/>
                <w:lang w:val="en-US" w:eastAsia="zh-CN"/>
              </w:rPr>
              <w:t>（其中管理人员2位）</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w:t>
            </w:r>
            <w:r>
              <w:rPr>
                <w:rFonts w:hint="default" w:ascii="Times New Roman" w:hAnsi="Times New Roman" w:cs="Times New Roman"/>
                <w:b w:val="0"/>
                <w:bCs w:val="0"/>
                <w:color w:val="auto"/>
                <w:spacing w:val="11"/>
                <w:position w:val="0"/>
                <w:sz w:val="24"/>
                <w:szCs w:val="22"/>
                <w:highlight w:val="none"/>
                <w:u w:val="none" w:color="auto"/>
                <w:lang w:val="en-US" w:eastAsia="zh-CN"/>
              </w:rPr>
              <w:t>厂内设有宿舍食堂，本项目员工基本为周边居民</w:t>
            </w:r>
            <w:r>
              <w:rPr>
                <w:rFonts w:hint="eastAsia" w:cs="Times New Roman"/>
                <w:b w:val="0"/>
                <w:bCs w:val="0"/>
                <w:color w:val="auto"/>
                <w:spacing w:val="11"/>
                <w:position w:val="0"/>
                <w:sz w:val="24"/>
                <w:szCs w:val="22"/>
                <w:highlight w:val="none"/>
                <w:u w:val="none" w:color="auto"/>
                <w:lang w:val="en-US" w:eastAsia="zh-CN"/>
              </w:rPr>
              <w:t>，在厂内食堂用餐</w:t>
            </w:r>
            <w:r>
              <w:rPr>
                <w:rFonts w:hint="default" w:ascii="Times New Roman" w:hAnsi="Times New Roman" w:cs="Times New Roman"/>
                <w:b w:val="0"/>
                <w:bCs w:val="0"/>
                <w:color w:val="auto"/>
                <w:spacing w:val="11"/>
                <w:position w:val="0"/>
                <w:sz w:val="24"/>
                <w:szCs w:val="22"/>
                <w:highlight w:val="none"/>
                <w:u w:val="none" w:color="auto"/>
                <w:lang w:val="en-US" w:eastAsia="zh-CN"/>
              </w:rPr>
              <w:t>，管理人员</w:t>
            </w:r>
            <w:r>
              <w:rPr>
                <w:rFonts w:hint="eastAsia" w:cs="Times New Roman"/>
                <w:b w:val="0"/>
                <w:bCs w:val="0"/>
                <w:color w:val="auto"/>
                <w:spacing w:val="11"/>
                <w:position w:val="0"/>
                <w:sz w:val="24"/>
                <w:szCs w:val="22"/>
                <w:highlight w:val="none"/>
                <w:u w:val="none" w:color="auto"/>
                <w:lang w:val="en-US" w:eastAsia="zh-CN"/>
              </w:rPr>
              <w:t>在厂内食宿</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w:t>
            </w:r>
            <w:r>
              <w:rPr>
                <w:rFonts w:hint="default" w:ascii="Times New Roman" w:hAnsi="Times New Roman" w:cs="Times New Roman"/>
                <w:b w:val="0"/>
                <w:bCs w:val="0"/>
                <w:color w:val="auto"/>
                <w:spacing w:val="11"/>
                <w:position w:val="0"/>
                <w:sz w:val="24"/>
                <w:szCs w:val="22"/>
                <w:highlight w:val="none"/>
                <w:u w:val="none" w:color="auto"/>
                <w:lang w:val="en-US" w:eastAsia="zh-CN"/>
              </w:rPr>
              <w:t>单</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班制，每班工作8小时，年生产300天。</w:t>
            </w:r>
          </w:p>
          <w:p w14:paraId="1A55A6E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color w:val="auto"/>
                <w:spacing w:val="11"/>
                <w:position w:val="0"/>
                <w:sz w:val="24"/>
                <w:szCs w:val="22"/>
                <w:u w:val="none" w:color="auto"/>
                <w:lang w:val="en-US" w:eastAsia="zh-CN"/>
              </w:rPr>
            </w:pPr>
            <w:r>
              <w:rPr>
                <w:rFonts w:hint="default" w:ascii="Times New Roman" w:hAnsi="Times New Roman" w:eastAsia="宋体" w:cs="Times New Roman"/>
                <w:b/>
                <w:bCs/>
                <w:color w:val="auto"/>
                <w:spacing w:val="11"/>
                <w:position w:val="0"/>
                <w:sz w:val="24"/>
                <w:szCs w:val="22"/>
                <w:u w:val="none" w:color="auto"/>
                <w:lang w:val="en-US" w:eastAsia="zh-CN"/>
              </w:rPr>
              <w:t>3、矿区概况</w:t>
            </w:r>
          </w:p>
          <w:p w14:paraId="22F933E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u w:val="none" w:color="auto"/>
                <w:lang w:val="en-US" w:eastAsia="zh-CN"/>
              </w:rPr>
            </w:pPr>
            <w:r>
              <w:rPr>
                <w:rFonts w:hint="default" w:ascii="Times New Roman" w:hAnsi="Times New Roman" w:cs="Times New Roman"/>
                <w:color w:val="auto"/>
                <w:spacing w:val="11"/>
                <w:position w:val="0"/>
                <w:sz w:val="24"/>
                <w:szCs w:val="22"/>
                <w:u w:val="none" w:color="auto"/>
                <w:lang w:val="en-US" w:eastAsia="zh-CN"/>
              </w:rPr>
              <w:t>（1）矿区总体概况</w:t>
            </w:r>
          </w:p>
          <w:p w14:paraId="1B0FDF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position w:val="0"/>
                <w:sz w:val="24"/>
                <w:szCs w:val="22"/>
                <w:u w:val="none" w:color="auto"/>
                <w:lang w:val="en-US" w:eastAsia="zh-CN"/>
              </w:rPr>
            </w:pPr>
            <w:r>
              <w:rPr>
                <w:rFonts w:hint="default" w:ascii="Times New Roman" w:hAnsi="Times New Roman" w:eastAsia="宋体" w:cs="Times New Roman"/>
                <w:color w:val="auto"/>
                <w:spacing w:val="11"/>
                <w:position w:val="0"/>
                <w:sz w:val="24"/>
                <w:szCs w:val="22"/>
                <w:u w:val="none" w:color="auto"/>
                <w:lang w:val="en-US" w:eastAsia="zh-CN"/>
              </w:rPr>
              <w:t>矿区面积0.</w:t>
            </w:r>
            <w:r>
              <w:rPr>
                <w:rFonts w:hint="default" w:ascii="Times New Roman" w:hAnsi="Times New Roman" w:cs="Times New Roman"/>
                <w:color w:val="auto"/>
                <w:spacing w:val="11"/>
                <w:position w:val="0"/>
                <w:sz w:val="24"/>
                <w:szCs w:val="22"/>
                <w:u w:val="none" w:color="auto"/>
                <w:lang w:val="en-US" w:eastAsia="zh-CN"/>
              </w:rPr>
              <w:t>0633</w:t>
            </w:r>
            <w:r>
              <w:rPr>
                <w:rFonts w:hint="default" w:ascii="Times New Roman" w:hAnsi="Times New Roman" w:eastAsia="宋体" w:cs="Times New Roman"/>
                <w:color w:val="auto"/>
                <w:spacing w:val="11"/>
                <w:position w:val="0"/>
                <w:sz w:val="24"/>
                <w:szCs w:val="22"/>
                <w:u w:val="none" w:color="auto"/>
                <w:lang w:val="en-US" w:eastAsia="zh-CN"/>
              </w:rPr>
              <w:t>km</w:t>
            </w:r>
            <w:r>
              <w:rPr>
                <w:rFonts w:hint="default" w:ascii="Times New Roman" w:hAnsi="Times New Roman" w:eastAsia="宋体" w:cs="Times New Roman"/>
                <w:color w:val="auto"/>
                <w:spacing w:val="11"/>
                <w:position w:val="0"/>
                <w:sz w:val="24"/>
                <w:szCs w:val="22"/>
                <w:u w:val="none" w:color="auto"/>
                <w:vertAlign w:val="superscript"/>
                <w:lang w:val="en-US" w:eastAsia="zh-CN"/>
              </w:rPr>
              <w:t>2</w:t>
            </w:r>
            <w:r>
              <w:rPr>
                <w:rFonts w:hint="default" w:ascii="Times New Roman" w:hAnsi="Times New Roman" w:eastAsia="宋体" w:cs="Times New Roman"/>
                <w:color w:val="auto"/>
                <w:spacing w:val="11"/>
                <w:position w:val="0"/>
                <w:sz w:val="24"/>
                <w:szCs w:val="22"/>
                <w:u w:val="none" w:color="auto"/>
                <w:lang w:val="en-US" w:eastAsia="zh-CN"/>
              </w:rPr>
              <w:t>，准采标高+387m～+335m，年开采</w:t>
            </w:r>
            <w:r>
              <w:rPr>
                <w:rFonts w:hint="default" w:ascii="Times New Roman" w:hAnsi="Times New Roman" w:cs="Times New Roman"/>
                <w:color w:val="auto"/>
                <w:spacing w:val="11"/>
                <w:position w:val="0"/>
                <w:sz w:val="24"/>
                <w:szCs w:val="22"/>
                <w:u w:val="none" w:color="auto"/>
                <w:lang w:val="en-US" w:eastAsia="zh-CN"/>
              </w:rPr>
              <w:t>60</w:t>
            </w:r>
            <w:r>
              <w:rPr>
                <w:rFonts w:hint="default" w:ascii="Times New Roman" w:hAnsi="Times New Roman" w:eastAsia="宋体" w:cs="Times New Roman"/>
                <w:color w:val="auto"/>
                <w:spacing w:val="11"/>
                <w:position w:val="0"/>
                <w:sz w:val="24"/>
                <w:szCs w:val="22"/>
                <w:u w:val="none" w:color="auto"/>
                <w:lang w:val="en-US" w:eastAsia="zh-CN"/>
              </w:rPr>
              <w:t>万吨建筑石料用灰岩</w:t>
            </w:r>
            <w:r>
              <w:rPr>
                <w:rFonts w:hint="default" w:ascii="Times New Roman" w:hAnsi="Times New Roman" w:cs="Times New Roman"/>
                <w:color w:val="auto"/>
                <w:spacing w:val="11"/>
                <w:position w:val="0"/>
                <w:sz w:val="24"/>
                <w:szCs w:val="22"/>
                <w:u w:val="none" w:color="auto"/>
                <w:lang w:val="en-US" w:eastAsia="zh-CN"/>
              </w:rPr>
              <w:t>。经省自然资源事务信息中心查询，拟设采矿权范围不在《新田县矿产资源总体规划（2016-2020年）》规划的禁止开采区或限制开采区内。拟设采矿权已列入《新田县普通建筑材料用砂石土矿专项规划（2019-2025年）》，全部位于设置的“新田县龙泉街道文锋岭建筑石料用灰岩矿”开采规划区块内，该专项规划已经省市联合审查并批复。拟设采矿权周边300m范围内除扩界主体“新田县聚鑫采石场”外，无其它矿业权分布，不存在矿权冲突。聚鑫采石场将在本次拟设采矿权投放前予以关闭注销。</w:t>
            </w:r>
          </w:p>
          <w:p w14:paraId="474BED9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position w:val="0"/>
                <w:sz w:val="24"/>
                <w:szCs w:val="22"/>
                <w:u w:val="none" w:color="auto"/>
                <w:lang w:val="en-US" w:eastAsia="zh-CN"/>
              </w:rPr>
            </w:pPr>
            <w:r>
              <w:rPr>
                <w:rFonts w:hint="default" w:ascii="Times New Roman" w:hAnsi="Times New Roman" w:eastAsia="宋体" w:cs="Times New Roman"/>
                <w:color w:val="auto"/>
                <w:spacing w:val="11"/>
                <w:position w:val="0"/>
                <w:sz w:val="24"/>
                <w:szCs w:val="22"/>
                <w:u w:val="none" w:color="auto"/>
                <w:lang w:val="en-US" w:eastAsia="zh-CN"/>
              </w:rPr>
              <w:t>经省自然资源事务信息中心查询，文锋岭矿区拟设采矿权不在“三线一单”禁止开采范围，不在城乡建设和国家重大工程建设规划区内，与永久基本农田、生态保护红线、各类自然保护地和禁止开采区边界无重叠，不占公益林，区内无已查询的建设用地项目，不涉及国家开采总量控制矿种。</w:t>
            </w:r>
          </w:p>
          <w:p w14:paraId="406DD2D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position w:val="0"/>
                <w:sz w:val="24"/>
                <w:szCs w:val="22"/>
                <w:u w:val="none" w:color="auto"/>
                <w:lang w:val="en-US" w:eastAsia="zh-CN"/>
              </w:rPr>
            </w:pPr>
            <w:r>
              <w:rPr>
                <w:rFonts w:hint="default" w:ascii="Times New Roman" w:hAnsi="Times New Roman" w:eastAsia="宋体" w:cs="Times New Roman"/>
                <w:color w:val="auto"/>
                <w:spacing w:val="11"/>
                <w:position w:val="0"/>
                <w:sz w:val="24"/>
                <w:szCs w:val="22"/>
                <w:u w:val="none" w:color="auto"/>
                <w:lang w:val="en-US" w:eastAsia="zh-CN"/>
              </w:rPr>
              <w:t>矿区与铁路、通讯设施、军事设施、大型水体等工程保留有安全距离，与重要基础设施建设无冲突，矿区内及周边1000m范围内无铁路，300m范围内无高速公路、国道、县道等通过，矿区西南约300m处有S229省道经过。</w:t>
            </w:r>
          </w:p>
          <w:p w14:paraId="2715BBC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position w:val="0"/>
                <w:sz w:val="24"/>
                <w:szCs w:val="22"/>
                <w:u w:val="none" w:color="auto"/>
                <w:lang w:val="en-US" w:eastAsia="zh-CN"/>
              </w:rPr>
            </w:pPr>
            <w:r>
              <w:rPr>
                <w:rFonts w:hint="default" w:ascii="Times New Roman" w:hAnsi="Times New Roman" w:eastAsia="宋体" w:cs="Times New Roman"/>
                <w:color w:val="auto"/>
                <w:spacing w:val="11"/>
                <w:position w:val="0"/>
                <w:sz w:val="24"/>
                <w:szCs w:val="22"/>
                <w:u w:val="none" w:color="auto"/>
                <w:lang w:val="en-US" w:eastAsia="zh-CN"/>
              </w:rPr>
              <w:t>经现场调查核实，拟设采矿权及周边范围300m内有7处砖混式结构房屋，其中</w:t>
            </w:r>
            <w:r>
              <w:rPr>
                <w:rFonts w:hint="default" w:ascii="Times New Roman" w:hAnsi="Times New Roman" w:cs="Times New Roman"/>
                <w:color w:val="auto"/>
                <w:spacing w:val="11"/>
                <w:position w:val="0"/>
                <w:sz w:val="24"/>
                <w:szCs w:val="22"/>
                <w:u w:val="none" w:color="auto"/>
                <w:lang w:val="en-US" w:eastAsia="zh-CN"/>
              </w:rPr>
              <w:t>1</w:t>
            </w:r>
            <w:r>
              <w:rPr>
                <w:rFonts w:hint="default" w:ascii="Times New Roman" w:hAnsi="Times New Roman" w:eastAsia="宋体" w:cs="Times New Roman"/>
                <w:color w:val="auto"/>
                <w:spacing w:val="11"/>
                <w:position w:val="0"/>
                <w:sz w:val="24"/>
                <w:szCs w:val="22"/>
                <w:u w:val="none" w:color="auto"/>
                <w:lang w:val="en-US" w:eastAsia="zh-CN"/>
              </w:rPr>
              <w:t>处为原“新田县聚鑫采石场”工作车间及原矿部，其余</w:t>
            </w:r>
            <w:r>
              <w:rPr>
                <w:rFonts w:hint="default" w:ascii="Times New Roman" w:hAnsi="Times New Roman" w:cs="Times New Roman"/>
                <w:color w:val="auto"/>
                <w:spacing w:val="11"/>
                <w:position w:val="0"/>
                <w:sz w:val="24"/>
                <w:szCs w:val="22"/>
                <w:u w:val="none" w:color="auto"/>
                <w:lang w:val="en-US" w:eastAsia="zh-CN"/>
              </w:rPr>
              <w:t>5</w:t>
            </w:r>
            <w:r>
              <w:rPr>
                <w:rFonts w:hint="default" w:ascii="Times New Roman" w:hAnsi="Times New Roman" w:eastAsia="宋体" w:cs="Times New Roman"/>
                <w:color w:val="auto"/>
                <w:spacing w:val="11"/>
                <w:position w:val="0"/>
                <w:sz w:val="24"/>
                <w:szCs w:val="22"/>
                <w:u w:val="none" w:color="auto"/>
                <w:lang w:val="en-US" w:eastAsia="zh-CN"/>
              </w:rPr>
              <w:t>处为民房，1处为废弃房屋。新田县自然资源局已出函承诺在拟设采矿权出让前根据有关规定将上述房屋处置到位。</w:t>
            </w:r>
          </w:p>
          <w:p w14:paraId="26DB837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position w:val="0"/>
                <w:sz w:val="24"/>
                <w:szCs w:val="22"/>
                <w:u w:val="none" w:color="auto"/>
                <w:lang w:val="en-US" w:eastAsia="zh-CN"/>
              </w:rPr>
            </w:pPr>
            <w:r>
              <w:rPr>
                <w:rFonts w:hint="default" w:ascii="Times New Roman" w:hAnsi="Times New Roman" w:eastAsia="宋体" w:cs="Times New Roman"/>
                <w:color w:val="auto"/>
                <w:spacing w:val="11"/>
                <w:position w:val="0"/>
                <w:sz w:val="24"/>
                <w:szCs w:val="22"/>
                <w:u w:val="none" w:color="auto"/>
                <w:lang w:val="en-US" w:eastAsia="zh-CN"/>
              </w:rPr>
              <w:t>（2）矿石储量</w:t>
            </w:r>
          </w:p>
          <w:p w14:paraId="4DDB537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position w:val="0"/>
                <w:sz w:val="24"/>
                <w:szCs w:val="22"/>
                <w:u w:val="none" w:color="auto"/>
                <w:lang w:val="en-US" w:eastAsia="zh-CN"/>
              </w:rPr>
            </w:pPr>
            <w:r>
              <w:rPr>
                <w:rFonts w:hint="default" w:ascii="Times New Roman" w:hAnsi="Times New Roman" w:eastAsia="宋体" w:cs="Times New Roman"/>
                <w:color w:val="auto"/>
                <w:spacing w:val="11"/>
                <w:position w:val="0"/>
                <w:sz w:val="24"/>
                <w:szCs w:val="22"/>
                <w:u w:val="none" w:color="auto"/>
                <w:lang w:val="en-US" w:eastAsia="zh-CN"/>
              </w:rPr>
              <w:t>根据《湖南省新田县文锋岭矿区建筑石料用灰岩矿采矿权申请范围核查报告》，拟设采矿权范围内初步估算了建筑石料用灰岩矿控制的资源量</w:t>
            </w:r>
            <w:r>
              <w:rPr>
                <w:rFonts w:hint="default" w:ascii="Times New Roman" w:hAnsi="Times New Roman" w:cs="Times New Roman"/>
                <w:snapToGrid w:val="0"/>
                <w:color w:val="000000"/>
                <w:spacing w:val="11"/>
                <w:kern w:val="0"/>
                <w:position w:val="0"/>
                <w:sz w:val="24"/>
                <w:szCs w:val="24"/>
                <w:u w:val="none" w:color="auto"/>
                <w:lang w:val="en-US" w:eastAsia="zh-CN"/>
              </w:rPr>
              <w:t>442.0</w:t>
            </w:r>
            <w:r>
              <w:rPr>
                <w:rFonts w:hint="default" w:ascii="Times New Roman" w:hAnsi="Times New Roman" w:eastAsia="宋体" w:cs="Times New Roman"/>
                <w:snapToGrid w:val="0"/>
                <w:color w:val="000000"/>
                <w:spacing w:val="11"/>
                <w:kern w:val="0"/>
                <w:position w:val="0"/>
                <w:sz w:val="24"/>
                <w:szCs w:val="24"/>
                <w:u w:val="none" w:color="auto"/>
                <w:lang w:val="en-US" w:eastAsia="zh-CN"/>
              </w:rPr>
              <w:t>万</w:t>
            </w:r>
            <w:r>
              <w:rPr>
                <w:rFonts w:hint="default" w:ascii="Times New Roman" w:hAnsi="Times New Roman" w:cs="Times New Roman"/>
                <w:snapToGrid w:val="0"/>
                <w:color w:val="000000"/>
                <w:spacing w:val="11"/>
                <w:kern w:val="0"/>
                <w:position w:val="0"/>
                <w:sz w:val="24"/>
                <w:szCs w:val="24"/>
                <w:u w:val="none" w:color="auto"/>
                <w:lang w:val="en-US" w:eastAsia="zh-CN"/>
              </w:rPr>
              <w:t>吨</w:t>
            </w:r>
            <w:r>
              <w:rPr>
                <w:rFonts w:hint="default" w:ascii="Times New Roman" w:hAnsi="Times New Roman" w:eastAsia="宋体" w:cs="Times New Roman"/>
                <w:snapToGrid w:val="0"/>
                <w:color w:val="000000"/>
                <w:spacing w:val="11"/>
                <w:kern w:val="0"/>
                <w:position w:val="0"/>
                <w:sz w:val="24"/>
                <w:szCs w:val="24"/>
                <w:u w:val="none" w:color="auto"/>
                <w:lang w:val="en-US" w:eastAsia="zh-CN"/>
              </w:rPr>
              <w:t>（</w:t>
            </w:r>
            <w:r>
              <w:rPr>
                <w:rFonts w:hint="default" w:ascii="Times New Roman" w:hAnsi="Times New Roman" w:cs="Times New Roman"/>
                <w:snapToGrid w:val="0"/>
                <w:color w:val="000000"/>
                <w:spacing w:val="11"/>
                <w:kern w:val="0"/>
                <w:position w:val="0"/>
                <w:sz w:val="24"/>
                <w:szCs w:val="24"/>
                <w:u w:val="none" w:color="auto"/>
                <w:lang w:val="en-US" w:eastAsia="zh-CN"/>
              </w:rPr>
              <w:t>162.51</w:t>
            </w:r>
            <w:r>
              <w:rPr>
                <w:rFonts w:hint="default" w:ascii="Times New Roman" w:hAnsi="Times New Roman" w:eastAsia="宋体" w:cs="Times New Roman"/>
                <w:snapToGrid w:val="0"/>
                <w:color w:val="000000"/>
                <w:spacing w:val="11"/>
                <w:kern w:val="0"/>
                <w:position w:val="0"/>
                <w:sz w:val="24"/>
                <w:szCs w:val="24"/>
                <w:u w:val="none" w:color="auto"/>
                <w:lang w:val="en-US" w:eastAsia="zh-CN"/>
              </w:rPr>
              <w:t>万m</w:t>
            </w:r>
            <w:r>
              <w:rPr>
                <w:rFonts w:hint="default" w:ascii="Times New Roman" w:hAnsi="Times New Roman" w:eastAsia="宋体" w:cs="Times New Roman"/>
                <w:snapToGrid w:val="0"/>
                <w:color w:val="000000"/>
                <w:spacing w:val="11"/>
                <w:kern w:val="0"/>
                <w:position w:val="0"/>
                <w:sz w:val="24"/>
                <w:szCs w:val="24"/>
                <w:u w:val="none" w:color="auto"/>
                <w:vertAlign w:val="superscript"/>
                <w:lang w:val="en-US" w:eastAsia="zh-CN"/>
              </w:rPr>
              <w:t>3</w:t>
            </w:r>
            <w:r>
              <w:rPr>
                <w:rFonts w:hint="default" w:ascii="Times New Roman" w:hAnsi="Times New Roman" w:eastAsia="宋体" w:cs="Times New Roman"/>
                <w:snapToGrid w:val="0"/>
                <w:color w:val="000000"/>
                <w:spacing w:val="11"/>
                <w:kern w:val="0"/>
                <w:position w:val="0"/>
                <w:sz w:val="24"/>
                <w:szCs w:val="24"/>
                <w:u w:val="none" w:color="auto"/>
                <w:lang w:val="en-US" w:eastAsia="zh-CN"/>
              </w:rPr>
              <w:t>）</w:t>
            </w:r>
            <w:r>
              <w:rPr>
                <w:rFonts w:hint="default" w:ascii="Times New Roman" w:hAnsi="Times New Roman" w:eastAsia="宋体" w:cs="Times New Roman"/>
                <w:color w:val="auto"/>
                <w:spacing w:val="11"/>
                <w:position w:val="0"/>
                <w:sz w:val="24"/>
                <w:szCs w:val="22"/>
                <w:u w:val="none" w:color="auto"/>
                <w:lang w:val="en-US" w:eastAsia="zh-CN"/>
              </w:rPr>
              <w:t>，按年生产规模</w:t>
            </w:r>
            <w:r>
              <w:rPr>
                <w:rFonts w:hint="default" w:ascii="Times New Roman" w:hAnsi="Times New Roman" w:cs="Times New Roman"/>
                <w:color w:val="auto"/>
                <w:spacing w:val="11"/>
                <w:position w:val="0"/>
                <w:sz w:val="24"/>
                <w:szCs w:val="22"/>
                <w:u w:val="none" w:color="auto"/>
                <w:lang w:val="en-US" w:eastAsia="zh-CN"/>
              </w:rPr>
              <w:t>60</w:t>
            </w:r>
            <w:r>
              <w:rPr>
                <w:rFonts w:hint="default" w:ascii="Times New Roman" w:hAnsi="Times New Roman" w:eastAsia="宋体" w:cs="Times New Roman"/>
                <w:color w:val="auto"/>
                <w:spacing w:val="11"/>
                <w:position w:val="0"/>
                <w:sz w:val="24"/>
                <w:szCs w:val="22"/>
                <w:u w:val="none" w:color="auto"/>
                <w:lang w:val="en-US" w:eastAsia="zh-CN"/>
              </w:rPr>
              <w:t>万吨/年，回采率98%，矿山服务年限约7.2年。剥离量</w:t>
            </w:r>
            <w:r>
              <w:rPr>
                <w:rFonts w:hint="default" w:ascii="Times New Roman" w:hAnsi="Times New Roman" w:cs="Times New Roman"/>
                <w:snapToGrid w:val="0"/>
                <w:color w:val="000000"/>
                <w:spacing w:val="11"/>
                <w:kern w:val="0"/>
                <w:position w:val="0"/>
                <w:sz w:val="24"/>
                <w:szCs w:val="24"/>
                <w:u w:val="none" w:color="auto"/>
                <w:lang w:val="en-US" w:eastAsia="zh-CN"/>
              </w:rPr>
              <w:t>2.8</w:t>
            </w:r>
            <w:r>
              <w:rPr>
                <w:rFonts w:hint="default" w:ascii="Times New Roman" w:hAnsi="Times New Roman" w:eastAsia="宋体" w:cs="Times New Roman"/>
                <w:snapToGrid w:val="0"/>
                <w:color w:val="000000"/>
                <w:spacing w:val="11"/>
                <w:kern w:val="0"/>
                <w:position w:val="0"/>
                <w:sz w:val="24"/>
                <w:szCs w:val="24"/>
                <w:u w:val="none" w:color="auto"/>
                <w:lang w:val="en-US" w:eastAsia="zh-CN"/>
              </w:rPr>
              <w:t>万m</w:t>
            </w:r>
            <w:r>
              <w:rPr>
                <w:rFonts w:hint="default" w:ascii="Times New Roman" w:hAnsi="Times New Roman" w:eastAsia="宋体" w:cs="Times New Roman"/>
                <w:snapToGrid w:val="0"/>
                <w:color w:val="000000"/>
                <w:spacing w:val="11"/>
                <w:kern w:val="0"/>
                <w:position w:val="0"/>
                <w:sz w:val="24"/>
                <w:szCs w:val="24"/>
                <w:u w:val="none" w:color="auto"/>
                <w:vertAlign w:val="superscript"/>
                <w:lang w:val="en-US" w:eastAsia="zh-CN"/>
              </w:rPr>
              <w:t>3</w:t>
            </w:r>
            <w:r>
              <w:rPr>
                <w:rFonts w:hint="default" w:ascii="Times New Roman" w:hAnsi="Times New Roman" w:eastAsia="宋体" w:cs="Times New Roman"/>
                <w:color w:val="auto"/>
                <w:spacing w:val="11"/>
                <w:position w:val="0"/>
                <w:sz w:val="24"/>
                <w:szCs w:val="22"/>
                <w:u w:val="none" w:color="auto"/>
                <w:lang w:val="en-US" w:eastAsia="zh-CN"/>
              </w:rPr>
              <w:t>，矿区剥采比为</w:t>
            </w:r>
            <w:r>
              <w:rPr>
                <w:rFonts w:hint="default" w:ascii="Times New Roman" w:hAnsi="Times New Roman" w:eastAsia="宋体" w:cs="Times New Roman"/>
                <w:snapToGrid w:val="0"/>
                <w:color w:val="000000"/>
                <w:spacing w:val="11"/>
                <w:kern w:val="0"/>
                <w:position w:val="0"/>
                <w:sz w:val="24"/>
                <w:szCs w:val="24"/>
                <w:u w:val="none" w:color="auto"/>
                <w:lang w:val="en-US" w:eastAsia="zh-CN"/>
              </w:rPr>
              <w:t>0.</w:t>
            </w:r>
            <w:r>
              <w:rPr>
                <w:rFonts w:hint="default" w:ascii="Times New Roman" w:hAnsi="Times New Roman" w:cs="Times New Roman"/>
                <w:snapToGrid w:val="0"/>
                <w:color w:val="000000"/>
                <w:spacing w:val="11"/>
                <w:kern w:val="0"/>
                <w:position w:val="0"/>
                <w:sz w:val="24"/>
                <w:szCs w:val="24"/>
                <w:u w:val="none" w:color="auto"/>
                <w:lang w:val="en-US" w:eastAsia="zh-CN"/>
              </w:rPr>
              <w:t>0172</w:t>
            </w:r>
            <w:r>
              <w:rPr>
                <w:rFonts w:hint="default" w:ascii="Times New Roman" w:hAnsi="Times New Roman" w:eastAsia="宋体" w:cs="Times New Roman"/>
                <w:snapToGrid w:val="0"/>
                <w:color w:val="000000"/>
                <w:spacing w:val="11"/>
                <w:kern w:val="0"/>
                <w:position w:val="0"/>
                <w:sz w:val="24"/>
                <w:szCs w:val="24"/>
                <w:u w:val="none" w:color="auto"/>
                <w:lang w:val="en-US" w:eastAsia="zh-CN"/>
              </w:rPr>
              <w:t>︰1</w:t>
            </w:r>
            <w:r>
              <w:rPr>
                <w:rFonts w:hint="default" w:ascii="Times New Roman" w:hAnsi="Times New Roman" w:cs="Times New Roman"/>
                <w:snapToGrid w:val="0"/>
                <w:color w:val="000000"/>
                <w:spacing w:val="11"/>
                <w:kern w:val="0"/>
                <w:position w:val="0"/>
                <w:sz w:val="24"/>
                <w:szCs w:val="24"/>
                <w:u w:val="none" w:color="auto"/>
                <w:lang w:val="en-US" w:eastAsia="zh-CN"/>
              </w:rPr>
              <w:t>（</w:t>
            </w:r>
            <w:r>
              <w:rPr>
                <w:rFonts w:hint="default" w:ascii="Times New Roman" w:hAnsi="Times New Roman" w:eastAsia="宋体" w:cs="Times New Roman"/>
                <w:snapToGrid w:val="0"/>
                <w:color w:val="000000"/>
                <w:spacing w:val="11"/>
                <w:kern w:val="0"/>
                <w:position w:val="0"/>
                <w:sz w:val="24"/>
                <w:szCs w:val="24"/>
                <w:u w:val="none" w:color="auto"/>
                <w:lang w:val="en-US" w:eastAsia="zh-CN"/>
              </w:rPr>
              <w:t>m</w:t>
            </w:r>
            <w:r>
              <w:rPr>
                <w:rFonts w:hint="default" w:ascii="Times New Roman" w:hAnsi="Times New Roman" w:eastAsia="宋体" w:cs="Times New Roman"/>
                <w:snapToGrid w:val="0"/>
                <w:color w:val="000000"/>
                <w:spacing w:val="11"/>
                <w:kern w:val="0"/>
                <w:position w:val="0"/>
                <w:sz w:val="24"/>
                <w:szCs w:val="24"/>
                <w:u w:val="none" w:color="auto"/>
                <w:vertAlign w:val="superscript"/>
                <w:lang w:val="en-US" w:eastAsia="zh-CN"/>
              </w:rPr>
              <w:t>3</w:t>
            </w:r>
            <w:r>
              <w:rPr>
                <w:rFonts w:hint="default" w:ascii="Times New Roman" w:hAnsi="Times New Roman" w:eastAsia="宋体" w:cs="Times New Roman"/>
                <w:snapToGrid w:val="0"/>
                <w:color w:val="000000"/>
                <w:spacing w:val="11"/>
                <w:kern w:val="0"/>
                <w:position w:val="0"/>
                <w:sz w:val="24"/>
                <w:szCs w:val="24"/>
                <w:u w:val="none" w:color="auto"/>
                <w:lang w:val="en-US" w:eastAsia="zh-CN"/>
              </w:rPr>
              <w:t>：m</w:t>
            </w:r>
            <w:r>
              <w:rPr>
                <w:rFonts w:hint="default" w:ascii="Times New Roman" w:hAnsi="Times New Roman" w:eastAsia="宋体" w:cs="Times New Roman"/>
                <w:snapToGrid w:val="0"/>
                <w:color w:val="000000"/>
                <w:spacing w:val="11"/>
                <w:kern w:val="0"/>
                <w:position w:val="0"/>
                <w:sz w:val="24"/>
                <w:szCs w:val="24"/>
                <w:u w:val="none" w:color="auto"/>
                <w:vertAlign w:val="superscript"/>
                <w:lang w:val="en-US" w:eastAsia="zh-CN"/>
              </w:rPr>
              <w:t>3</w:t>
            </w:r>
            <w:r>
              <w:rPr>
                <w:rFonts w:hint="default" w:ascii="Times New Roman" w:hAnsi="Times New Roman" w:cs="Times New Roman"/>
                <w:snapToGrid w:val="0"/>
                <w:color w:val="000000"/>
                <w:spacing w:val="11"/>
                <w:kern w:val="0"/>
                <w:position w:val="0"/>
                <w:sz w:val="24"/>
                <w:szCs w:val="24"/>
                <w:u w:val="none" w:color="auto"/>
                <w:lang w:val="en-US" w:eastAsia="zh-CN"/>
              </w:rPr>
              <w:t>）。</w:t>
            </w:r>
          </w:p>
          <w:p w14:paraId="52F0630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position w:val="0"/>
                <w:sz w:val="24"/>
                <w:szCs w:val="22"/>
                <w:u w:val="none" w:color="auto"/>
                <w:lang w:val="en-US" w:eastAsia="zh-CN"/>
              </w:rPr>
            </w:pPr>
            <w:r>
              <w:rPr>
                <w:rFonts w:hint="default" w:ascii="Times New Roman" w:hAnsi="Times New Roman" w:eastAsia="宋体" w:cs="Times New Roman"/>
                <w:color w:val="auto"/>
                <w:spacing w:val="11"/>
                <w:position w:val="0"/>
                <w:sz w:val="24"/>
                <w:szCs w:val="22"/>
                <w:u w:val="none" w:color="auto"/>
                <w:lang w:val="en-US" w:eastAsia="zh-CN"/>
              </w:rPr>
              <w:t>（</w:t>
            </w:r>
            <w:r>
              <w:rPr>
                <w:rFonts w:hint="default" w:ascii="Times New Roman" w:hAnsi="Times New Roman" w:cs="Times New Roman"/>
                <w:color w:val="auto"/>
                <w:spacing w:val="11"/>
                <w:position w:val="0"/>
                <w:sz w:val="24"/>
                <w:szCs w:val="22"/>
                <w:u w:val="none" w:color="auto"/>
                <w:lang w:val="en-US" w:eastAsia="zh-CN"/>
              </w:rPr>
              <w:t>3</w:t>
            </w:r>
            <w:r>
              <w:rPr>
                <w:rFonts w:hint="default" w:ascii="Times New Roman" w:hAnsi="Times New Roman" w:eastAsia="宋体" w:cs="Times New Roman"/>
                <w:color w:val="auto"/>
                <w:spacing w:val="11"/>
                <w:position w:val="0"/>
                <w:sz w:val="24"/>
                <w:szCs w:val="22"/>
                <w:u w:val="none" w:color="auto"/>
                <w:lang w:val="en-US" w:eastAsia="zh-CN"/>
              </w:rPr>
              <w:t>）矿区范围</w:t>
            </w:r>
          </w:p>
          <w:p w14:paraId="21A4178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根据《湖南省新田县文锋岭矿区建筑石料用灰岩矿采矿权申请范围核查报告》中确定的采矿权范围，该报告已经永州市自然资源和规划局组织评审通过，评审号“永采矿权核查评字[2022]08号”。矿区范围由7个拐点坐标圈定，面积0.0633km</w:t>
            </w:r>
            <w:r>
              <w:rPr>
                <w:rFonts w:hint="default" w:ascii="Times New Roman" w:hAnsi="Times New Roman" w:cs="Times New Roman"/>
                <w:color w:val="auto"/>
                <w:spacing w:val="11"/>
                <w:position w:val="0"/>
                <w:sz w:val="24"/>
                <w:szCs w:val="22"/>
                <w:highlight w:val="none"/>
                <w:u w:val="none" w:color="auto"/>
                <w:vertAlign w:val="superscript"/>
                <w:lang w:val="en-US" w:eastAsia="zh-CN"/>
              </w:rPr>
              <w:t>2</w:t>
            </w:r>
            <w:r>
              <w:rPr>
                <w:rFonts w:hint="default" w:ascii="Times New Roman" w:hAnsi="Times New Roman" w:cs="Times New Roman"/>
                <w:color w:val="auto"/>
                <w:spacing w:val="11"/>
                <w:position w:val="0"/>
                <w:sz w:val="24"/>
                <w:szCs w:val="22"/>
                <w:highlight w:val="none"/>
                <w:u w:val="none" w:color="auto"/>
                <w:lang w:val="en-US" w:eastAsia="zh-CN"/>
              </w:rPr>
              <w:t>，准采标高+387m～+335m。矿区拐点坐标详见表2-6。</w:t>
            </w:r>
          </w:p>
          <w:p w14:paraId="19951BEC">
            <w:pPr>
              <w:spacing w:line="240" w:lineRule="auto"/>
              <w:ind w:left="0" w:leftChars="0" w:firstLine="0" w:firstLineChars="0"/>
              <w:jc w:val="center"/>
              <w:rPr>
                <w:rFonts w:hint="default" w:ascii="Times New Roman" w:hAnsi="Times New Roman" w:eastAsia="宋体" w:cs="Times New Roman"/>
                <w:b/>
                <w:bCs/>
                <w:color w:val="auto"/>
                <w:spacing w:val="11"/>
                <w:position w:val="0"/>
                <w:sz w:val="21"/>
                <w:szCs w:val="21"/>
                <w:u w:val="none" w:color="auto"/>
              </w:rPr>
            </w:pPr>
          </w:p>
          <w:p w14:paraId="2293CD0B">
            <w:pPr>
              <w:spacing w:line="240" w:lineRule="auto"/>
              <w:ind w:left="0" w:leftChars="0" w:firstLine="0" w:firstLineChars="0"/>
              <w:jc w:val="center"/>
              <w:rPr>
                <w:rFonts w:hint="default" w:ascii="Times New Roman" w:hAnsi="Times New Roman" w:eastAsia="宋体" w:cs="Times New Roman"/>
                <w:b/>
                <w:bCs/>
                <w:color w:val="auto"/>
                <w:spacing w:val="11"/>
                <w:position w:val="0"/>
                <w:sz w:val="21"/>
                <w:szCs w:val="21"/>
                <w:u w:val="none" w:color="auto"/>
                <w:lang w:val="en-US" w:eastAsia="zh-CN"/>
              </w:rPr>
            </w:pPr>
            <w:r>
              <w:rPr>
                <w:rFonts w:hint="default" w:ascii="Times New Roman" w:hAnsi="Times New Roman" w:eastAsia="宋体" w:cs="Times New Roman"/>
                <w:b/>
                <w:bCs/>
                <w:color w:val="auto"/>
                <w:spacing w:val="11"/>
                <w:position w:val="0"/>
                <w:sz w:val="21"/>
                <w:szCs w:val="21"/>
                <w:u w:val="none" w:color="auto"/>
              </w:rPr>
              <w:t>表</w:t>
            </w:r>
            <w:r>
              <w:rPr>
                <w:rFonts w:hint="default" w:ascii="Times New Roman" w:hAnsi="Times New Roman" w:eastAsia="宋体" w:cs="Times New Roman"/>
                <w:b/>
                <w:bCs/>
                <w:color w:val="auto"/>
                <w:spacing w:val="11"/>
                <w:position w:val="0"/>
                <w:sz w:val="21"/>
                <w:szCs w:val="21"/>
                <w:u w:val="none" w:color="auto"/>
                <w:lang w:val="en-US" w:eastAsia="zh-CN"/>
              </w:rPr>
              <w:t>2-</w:t>
            </w:r>
            <w:r>
              <w:rPr>
                <w:rFonts w:hint="default" w:ascii="Times New Roman" w:hAnsi="Times New Roman" w:cs="Times New Roman"/>
                <w:b/>
                <w:bCs/>
                <w:color w:val="auto"/>
                <w:spacing w:val="11"/>
                <w:position w:val="0"/>
                <w:sz w:val="21"/>
                <w:szCs w:val="21"/>
                <w:u w:val="none" w:color="auto"/>
                <w:lang w:val="en-US" w:eastAsia="zh-CN"/>
              </w:rPr>
              <w:t>6</w:t>
            </w:r>
            <w:r>
              <w:rPr>
                <w:rFonts w:hint="default" w:ascii="Times New Roman" w:hAnsi="Times New Roman" w:eastAsia="宋体" w:cs="Times New Roman"/>
                <w:b/>
                <w:bCs/>
                <w:color w:val="auto"/>
                <w:spacing w:val="11"/>
                <w:position w:val="0"/>
                <w:sz w:val="21"/>
                <w:szCs w:val="21"/>
                <w:u w:val="none" w:color="auto"/>
              </w:rPr>
              <w:t xml:space="preserve"> </w:t>
            </w:r>
            <w:r>
              <w:rPr>
                <w:rFonts w:hint="default" w:ascii="Times New Roman" w:hAnsi="Times New Roman" w:eastAsia="宋体" w:cs="Times New Roman"/>
                <w:b/>
                <w:bCs/>
                <w:color w:val="auto"/>
                <w:spacing w:val="11"/>
                <w:position w:val="0"/>
                <w:sz w:val="21"/>
                <w:szCs w:val="21"/>
                <w:u w:val="none" w:color="auto"/>
                <w:lang w:val="en-US" w:eastAsia="zh-CN"/>
              </w:rPr>
              <w:t xml:space="preserve"> 湖南省新田县文锋岭矿区建筑石料用灰岩矿拐点坐标表</w:t>
            </w:r>
          </w:p>
          <w:tbl>
            <w:tblPr>
              <w:tblStyle w:val="3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49"/>
              <w:gridCol w:w="1638"/>
              <w:gridCol w:w="1608"/>
              <w:gridCol w:w="937"/>
              <w:gridCol w:w="1604"/>
              <w:gridCol w:w="1672"/>
            </w:tblGrid>
            <w:tr w14:paraId="6A6DD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4" w:hRule="atLeast"/>
                <w:tblHeader/>
                <w:jc w:val="center"/>
              </w:trPr>
              <w:tc>
                <w:tcPr>
                  <w:tcW w:w="565" w:type="pct"/>
                  <w:vMerge w:val="restart"/>
                  <w:tcBorders>
                    <w:tl2br w:val="nil"/>
                    <w:tr2bl w:val="nil"/>
                  </w:tcBorders>
                  <w:vAlign w:val="center"/>
                </w:tcPr>
                <w:p w14:paraId="072D88D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拐点号</w:t>
                  </w:r>
                </w:p>
              </w:tc>
              <w:tc>
                <w:tcPr>
                  <w:tcW w:w="1930" w:type="pct"/>
                  <w:gridSpan w:val="2"/>
                  <w:tcBorders>
                    <w:tl2br w:val="nil"/>
                    <w:tr2bl w:val="nil"/>
                  </w:tcBorders>
                  <w:vAlign w:val="center"/>
                </w:tcPr>
                <w:p w14:paraId="5C7C9CB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拐点坐标（2000国家大地）</w:t>
                  </w:r>
                </w:p>
              </w:tc>
              <w:tc>
                <w:tcPr>
                  <w:tcW w:w="557" w:type="pct"/>
                  <w:vMerge w:val="restart"/>
                  <w:tcBorders>
                    <w:tl2br w:val="nil"/>
                    <w:tr2bl w:val="nil"/>
                  </w:tcBorders>
                  <w:vAlign w:val="center"/>
                </w:tcPr>
                <w:p w14:paraId="2C75402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拐点号</w:t>
                  </w:r>
                </w:p>
              </w:tc>
              <w:tc>
                <w:tcPr>
                  <w:tcW w:w="1946" w:type="pct"/>
                  <w:gridSpan w:val="2"/>
                  <w:tcBorders>
                    <w:tl2br w:val="nil"/>
                    <w:tr2bl w:val="nil"/>
                  </w:tcBorders>
                  <w:vAlign w:val="center"/>
                </w:tcPr>
                <w:p w14:paraId="653496C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拐点坐标（2000国家大地）</w:t>
                  </w:r>
                </w:p>
              </w:tc>
            </w:tr>
            <w:tr w14:paraId="6681C6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4" w:hRule="atLeast"/>
                <w:tblHeader/>
                <w:jc w:val="center"/>
              </w:trPr>
              <w:tc>
                <w:tcPr>
                  <w:tcW w:w="565" w:type="pct"/>
                  <w:vMerge w:val="continue"/>
                  <w:tcBorders>
                    <w:tl2br w:val="nil"/>
                    <w:tr2bl w:val="nil"/>
                  </w:tcBorders>
                  <w:vAlign w:val="center"/>
                </w:tcPr>
                <w:p w14:paraId="35886A4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p>
              </w:tc>
              <w:tc>
                <w:tcPr>
                  <w:tcW w:w="974" w:type="pct"/>
                  <w:tcBorders>
                    <w:tl2br w:val="nil"/>
                    <w:tr2bl w:val="nil"/>
                  </w:tcBorders>
                  <w:vAlign w:val="center"/>
                </w:tcPr>
                <w:p w14:paraId="4CF1E8C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X</w:t>
                  </w:r>
                </w:p>
              </w:tc>
              <w:tc>
                <w:tcPr>
                  <w:tcW w:w="956" w:type="pct"/>
                  <w:tcBorders>
                    <w:tl2br w:val="nil"/>
                    <w:tr2bl w:val="nil"/>
                  </w:tcBorders>
                  <w:vAlign w:val="center"/>
                </w:tcPr>
                <w:p w14:paraId="1C9A354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Y</w:t>
                  </w:r>
                </w:p>
              </w:tc>
              <w:tc>
                <w:tcPr>
                  <w:tcW w:w="557" w:type="pct"/>
                  <w:vMerge w:val="continue"/>
                  <w:tcBorders>
                    <w:tl2br w:val="nil"/>
                    <w:tr2bl w:val="nil"/>
                  </w:tcBorders>
                  <w:vAlign w:val="center"/>
                </w:tcPr>
                <w:p w14:paraId="46C8ADD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p>
              </w:tc>
              <w:tc>
                <w:tcPr>
                  <w:tcW w:w="954" w:type="pct"/>
                  <w:tcBorders>
                    <w:tl2br w:val="nil"/>
                    <w:tr2bl w:val="nil"/>
                  </w:tcBorders>
                  <w:vAlign w:val="center"/>
                </w:tcPr>
                <w:p w14:paraId="0051EDF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X</w:t>
                  </w:r>
                </w:p>
              </w:tc>
              <w:tc>
                <w:tcPr>
                  <w:tcW w:w="991" w:type="pct"/>
                  <w:tcBorders>
                    <w:tl2br w:val="nil"/>
                    <w:tr2bl w:val="nil"/>
                  </w:tcBorders>
                  <w:vAlign w:val="center"/>
                </w:tcPr>
                <w:p w14:paraId="0E22265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Y</w:t>
                  </w:r>
                </w:p>
              </w:tc>
            </w:tr>
            <w:tr w14:paraId="7CC339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565" w:type="pct"/>
                  <w:tcBorders>
                    <w:tl2br w:val="nil"/>
                    <w:tr2bl w:val="nil"/>
                  </w:tcBorders>
                  <w:vAlign w:val="center"/>
                </w:tcPr>
                <w:p w14:paraId="39D9A6C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1</w:t>
                  </w:r>
                </w:p>
              </w:tc>
              <w:tc>
                <w:tcPr>
                  <w:tcW w:w="974" w:type="pct"/>
                  <w:tcBorders>
                    <w:tl2br w:val="nil"/>
                    <w:tr2bl w:val="nil"/>
                  </w:tcBorders>
                  <w:vAlign w:val="center"/>
                </w:tcPr>
                <w:p w14:paraId="533B55A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2867004.47</w:t>
                  </w:r>
                </w:p>
              </w:tc>
              <w:tc>
                <w:tcPr>
                  <w:tcW w:w="956" w:type="pct"/>
                  <w:tcBorders>
                    <w:tl2br w:val="nil"/>
                    <w:tr2bl w:val="nil"/>
                  </w:tcBorders>
                  <w:vAlign w:val="center"/>
                </w:tcPr>
                <w:p w14:paraId="08C5994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37613922.93</w:t>
                  </w:r>
                </w:p>
              </w:tc>
              <w:tc>
                <w:tcPr>
                  <w:tcW w:w="557" w:type="pct"/>
                  <w:tcBorders>
                    <w:tl2br w:val="nil"/>
                    <w:tr2bl w:val="nil"/>
                  </w:tcBorders>
                  <w:vAlign w:val="center"/>
                </w:tcPr>
                <w:p w14:paraId="68C831C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5</w:t>
                  </w:r>
                </w:p>
              </w:tc>
              <w:tc>
                <w:tcPr>
                  <w:tcW w:w="954" w:type="pct"/>
                  <w:tcBorders>
                    <w:tl2br w:val="nil"/>
                    <w:tr2bl w:val="nil"/>
                  </w:tcBorders>
                  <w:vAlign w:val="center"/>
                </w:tcPr>
                <w:p w14:paraId="4285574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2866745.95</w:t>
                  </w:r>
                </w:p>
              </w:tc>
              <w:tc>
                <w:tcPr>
                  <w:tcW w:w="991" w:type="pct"/>
                  <w:tcBorders>
                    <w:tl2br w:val="nil"/>
                    <w:tr2bl w:val="nil"/>
                  </w:tcBorders>
                  <w:vAlign w:val="center"/>
                </w:tcPr>
                <w:p w14:paraId="7B6F13A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37613931.83</w:t>
                  </w:r>
                </w:p>
              </w:tc>
            </w:tr>
            <w:tr w14:paraId="0F48C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565" w:type="pct"/>
                  <w:tcBorders>
                    <w:tl2br w:val="nil"/>
                    <w:tr2bl w:val="nil"/>
                  </w:tcBorders>
                  <w:vAlign w:val="center"/>
                </w:tcPr>
                <w:p w14:paraId="3CE2E72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2</w:t>
                  </w:r>
                </w:p>
              </w:tc>
              <w:tc>
                <w:tcPr>
                  <w:tcW w:w="974" w:type="pct"/>
                  <w:tcBorders>
                    <w:tl2br w:val="nil"/>
                    <w:tr2bl w:val="nil"/>
                  </w:tcBorders>
                  <w:vAlign w:val="center"/>
                </w:tcPr>
                <w:p w14:paraId="79B941D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2866959.90</w:t>
                  </w:r>
                </w:p>
              </w:tc>
              <w:tc>
                <w:tcPr>
                  <w:tcW w:w="956" w:type="pct"/>
                  <w:tcBorders>
                    <w:tl2br w:val="nil"/>
                    <w:tr2bl w:val="nil"/>
                  </w:tcBorders>
                  <w:vAlign w:val="center"/>
                </w:tcPr>
                <w:p w14:paraId="64DFDB1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37614112.50</w:t>
                  </w:r>
                </w:p>
              </w:tc>
              <w:tc>
                <w:tcPr>
                  <w:tcW w:w="557" w:type="pct"/>
                  <w:tcBorders>
                    <w:tl2br w:val="nil"/>
                    <w:tr2bl w:val="nil"/>
                  </w:tcBorders>
                  <w:vAlign w:val="center"/>
                </w:tcPr>
                <w:p w14:paraId="2B63B1E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6</w:t>
                  </w:r>
                </w:p>
              </w:tc>
              <w:tc>
                <w:tcPr>
                  <w:tcW w:w="954" w:type="pct"/>
                  <w:tcBorders>
                    <w:tl2br w:val="nil"/>
                    <w:tr2bl w:val="nil"/>
                  </w:tcBorders>
                  <w:vAlign w:val="center"/>
                </w:tcPr>
                <w:p w14:paraId="0075DD3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2866837.24</w:t>
                  </w:r>
                </w:p>
              </w:tc>
              <w:tc>
                <w:tcPr>
                  <w:tcW w:w="991" w:type="pct"/>
                  <w:tcBorders>
                    <w:tl2br w:val="nil"/>
                    <w:tr2bl w:val="nil"/>
                  </w:tcBorders>
                  <w:vAlign w:val="center"/>
                </w:tcPr>
                <w:p w14:paraId="6F97C33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37613820.69</w:t>
                  </w:r>
                </w:p>
              </w:tc>
            </w:tr>
            <w:tr w14:paraId="46B99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565" w:type="pct"/>
                  <w:tcBorders>
                    <w:tl2br w:val="nil"/>
                    <w:tr2bl w:val="nil"/>
                  </w:tcBorders>
                  <w:vAlign w:val="center"/>
                </w:tcPr>
                <w:p w14:paraId="50D04B7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3</w:t>
                  </w:r>
                </w:p>
              </w:tc>
              <w:tc>
                <w:tcPr>
                  <w:tcW w:w="974" w:type="pct"/>
                  <w:tcBorders>
                    <w:tl2br w:val="nil"/>
                    <w:tr2bl w:val="nil"/>
                  </w:tcBorders>
                  <w:vAlign w:val="center"/>
                </w:tcPr>
                <w:p w14:paraId="2C527A3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2866915.07</w:t>
                  </w:r>
                </w:p>
              </w:tc>
              <w:tc>
                <w:tcPr>
                  <w:tcW w:w="956" w:type="pct"/>
                  <w:tcBorders>
                    <w:tl2br w:val="nil"/>
                    <w:tr2bl w:val="nil"/>
                  </w:tcBorders>
                  <w:vAlign w:val="center"/>
                </w:tcPr>
                <w:p w14:paraId="305EE64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37614124.40</w:t>
                  </w:r>
                </w:p>
              </w:tc>
              <w:tc>
                <w:tcPr>
                  <w:tcW w:w="557" w:type="pct"/>
                  <w:tcBorders>
                    <w:tl2br w:val="nil"/>
                    <w:tr2bl w:val="nil"/>
                  </w:tcBorders>
                  <w:vAlign w:val="center"/>
                </w:tcPr>
                <w:p w14:paraId="74A3C03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7</w:t>
                  </w:r>
                </w:p>
              </w:tc>
              <w:tc>
                <w:tcPr>
                  <w:tcW w:w="954" w:type="pct"/>
                  <w:tcBorders>
                    <w:tl2br w:val="nil"/>
                    <w:tr2bl w:val="nil"/>
                  </w:tcBorders>
                  <w:vAlign w:val="center"/>
                </w:tcPr>
                <w:p w14:paraId="6D02068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2866912.32</w:t>
                  </w:r>
                </w:p>
              </w:tc>
              <w:tc>
                <w:tcPr>
                  <w:tcW w:w="991" w:type="pct"/>
                  <w:tcBorders>
                    <w:tl2br w:val="nil"/>
                    <w:tr2bl w:val="nil"/>
                  </w:tcBorders>
                  <w:vAlign w:val="center"/>
                </w:tcPr>
                <w:p w14:paraId="200C994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37613775.87</w:t>
                  </w:r>
                </w:p>
              </w:tc>
            </w:tr>
            <w:tr w14:paraId="662DF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565" w:type="pct"/>
                  <w:tcBorders>
                    <w:tl2br w:val="nil"/>
                    <w:tr2bl w:val="nil"/>
                  </w:tcBorders>
                  <w:vAlign w:val="center"/>
                </w:tcPr>
                <w:p w14:paraId="0B949FC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4</w:t>
                  </w:r>
                </w:p>
              </w:tc>
              <w:tc>
                <w:tcPr>
                  <w:tcW w:w="974" w:type="pct"/>
                  <w:tcBorders>
                    <w:tl2br w:val="nil"/>
                    <w:tr2bl w:val="nil"/>
                  </w:tcBorders>
                  <w:vAlign w:val="center"/>
                </w:tcPr>
                <w:p w14:paraId="2AFD617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2866710.03</w:t>
                  </w:r>
                </w:p>
              </w:tc>
              <w:tc>
                <w:tcPr>
                  <w:tcW w:w="956" w:type="pct"/>
                  <w:tcBorders>
                    <w:tl2br w:val="nil"/>
                    <w:tr2bl w:val="nil"/>
                  </w:tcBorders>
                  <w:vAlign w:val="center"/>
                </w:tcPr>
                <w:p w14:paraId="438482C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37614034.72</w:t>
                  </w:r>
                </w:p>
              </w:tc>
              <w:tc>
                <w:tcPr>
                  <w:tcW w:w="2503" w:type="pct"/>
                  <w:gridSpan w:val="3"/>
                  <w:tcBorders>
                    <w:tl2br w:val="nil"/>
                    <w:tr2bl w:val="nil"/>
                  </w:tcBorders>
                  <w:vAlign w:val="center"/>
                </w:tcPr>
                <w:p w14:paraId="1414BCB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w:t>
                  </w:r>
                </w:p>
              </w:tc>
            </w:tr>
            <w:tr w14:paraId="764E5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5000" w:type="pct"/>
                  <w:gridSpan w:val="6"/>
                  <w:tcBorders>
                    <w:tl2br w:val="nil"/>
                    <w:tr2bl w:val="nil"/>
                  </w:tcBorders>
                  <w:vAlign w:val="center"/>
                </w:tcPr>
                <w:p w14:paraId="2BCAA7E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矿区面积：0.0633km</w:t>
                  </w:r>
                  <w:r>
                    <w:rPr>
                      <w:rFonts w:hint="default" w:ascii="Times New Roman" w:hAnsi="Times New Roman" w:eastAsia="宋体" w:cs="Times New Roman"/>
                      <w:spacing w:val="11"/>
                      <w:kern w:val="2"/>
                      <w:position w:val="0"/>
                      <w:sz w:val="21"/>
                      <w:szCs w:val="21"/>
                      <w:u w:val="none" w:color="auto"/>
                      <w:vertAlign w:val="superscript"/>
                      <w:lang w:val="en-US" w:eastAsia="zh-CN" w:bidi="ar-SA"/>
                    </w:rPr>
                    <w:t>2</w:t>
                  </w:r>
                  <w:r>
                    <w:rPr>
                      <w:rFonts w:hint="default" w:ascii="Times New Roman" w:hAnsi="Times New Roman" w:eastAsia="宋体" w:cs="Times New Roman"/>
                      <w:spacing w:val="11"/>
                      <w:kern w:val="2"/>
                      <w:position w:val="0"/>
                      <w:sz w:val="21"/>
                      <w:szCs w:val="21"/>
                      <w:u w:val="none" w:color="auto"/>
                      <w:lang w:val="en-US" w:eastAsia="zh-CN" w:bidi="ar-SA"/>
                    </w:rPr>
                    <w:t>；开采深度：+387m～+335m</w:t>
                  </w:r>
                </w:p>
              </w:tc>
            </w:tr>
          </w:tbl>
          <w:p w14:paraId="71218C6B">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（4）矿床地质特征</w:t>
            </w:r>
          </w:p>
          <w:p w14:paraId="6725343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524" w:firstLineChars="200"/>
              <w:jc w:val="both"/>
              <w:textAlignment w:val="auto"/>
              <w:rPr>
                <w:rFonts w:hint="default" w:ascii="Times New Roman" w:hAnsi="Times New Roman" w:cs="Times New Roman"/>
                <w:color w:val="auto"/>
                <w:spacing w:val="11"/>
                <w:position w:val="0"/>
                <w:sz w:val="24"/>
                <w:szCs w:val="24"/>
                <w:highlight w:val="none"/>
                <w:u w:val="none" w:color="auto"/>
                <w:lang w:val="en-US" w:eastAsia="zh-CN"/>
              </w:rPr>
            </w:pPr>
            <w:r>
              <w:rPr>
                <w:rFonts w:hint="default" w:ascii="Times New Roman" w:hAnsi="Times New Roman" w:cs="Times New Roman"/>
                <w:color w:val="auto"/>
                <w:spacing w:val="11"/>
                <w:position w:val="0"/>
                <w:sz w:val="24"/>
                <w:szCs w:val="24"/>
                <w:highlight w:val="none"/>
                <w:u w:val="none" w:color="auto"/>
                <w:lang w:val="en-US" w:eastAsia="zh-CN"/>
              </w:rPr>
              <w:t>1）地层</w:t>
            </w:r>
          </w:p>
          <w:p w14:paraId="5F098D7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4" w:firstLineChars="200"/>
              <w:jc w:val="both"/>
              <w:textAlignment w:val="baseline"/>
              <w:rPr>
                <w:rFonts w:hint="default" w:ascii="Times New Roman" w:hAnsi="Times New Roman" w:eastAsia="宋体" w:cs="Times New Roman"/>
                <w:snapToGrid w:val="0"/>
                <w:color w:val="000000"/>
                <w:spacing w:val="11"/>
                <w:kern w:val="0"/>
                <w:position w:val="0"/>
                <w:sz w:val="24"/>
                <w:szCs w:val="24"/>
                <w:lang w:eastAsia="en-US"/>
              </w:rPr>
            </w:pPr>
            <w:r>
              <w:rPr>
                <w:rFonts w:hint="default" w:ascii="Times New Roman" w:hAnsi="Times New Roman" w:eastAsia="宋体" w:cs="Times New Roman"/>
                <w:snapToGrid w:val="0"/>
                <w:color w:val="000000"/>
                <w:spacing w:val="11"/>
                <w:kern w:val="0"/>
                <w:position w:val="0"/>
                <w:sz w:val="24"/>
                <w:szCs w:val="24"/>
                <w:lang w:eastAsia="en-US"/>
              </w:rPr>
              <w:t>矿区及周边出露地层由老到新依次为</w:t>
            </w:r>
            <w:r>
              <w:rPr>
                <w:rFonts w:hint="default" w:ascii="Times New Roman" w:hAnsi="Times New Roman" w:eastAsia="新宋体" w:cs="Times New Roman"/>
                <w:snapToGrid w:val="0"/>
                <w:color w:val="000000"/>
                <w:spacing w:val="11"/>
                <w:kern w:val="0"/>
                <w:position w:val="0"/>
                <w:sz w:val="24"/>
                <w:szCs w:val="24"/>
                <w:lang w:eastAsia="en-US"/>
              </w:rPr>
              <w:t>泥盆系中统棋梓桥组（</w:t>
            </w:r>
            <w:r>
              <w:rPr>
                <w:rFonts w:hint="default" w:ascii="Times New Roman" w:hAnsi="Times New Roman" w:eastAsia="Times New Roman" w:cs="Times New Roman"/>
                <w:snapToGrid w:val="0"/>
                <w:color w:val="000000"/>
                <w:spacing w:val="11"/>
                <w:kern w:val="0"/>
                <w:position w:val="0"/>
                <w:sz w:val="24"/>
                <w:szCs w:val="24"/>
                <w:lang w:eastAsia="en-US"/>
              </w:rPr>
              <w:t>D</w:t>
            </w:r>
            <w:r>
              <w:rPr>
                <w:rFonts w:hint="default" w:ascii="Times New Roman" w:hAnsi="Times New Roman" w:eastAsia="Times New Roman" w:cs="Times New Roman"/>
                <w:snapToGrid w:val="0"/>
                <w:color w:val="000000"/>
                <w:spacing w:val="11"/>
                <w:kern w:val="0"/>
                <w:position w:val="0"/>
                <w:sz w:val="24"/>
                <w:szCs w:val="24"/>
                <w:vertAlign w:val="subscript"/>
                <w:lang w:eastAsia="en-US"/>
              </w:rPr>
              <w:t>2</w:t>
            </w:r>
            <w:r>
              <w:rPr>
                <w:rFonts w:hint="default" w:ascii="Times New Roman" w:hAnsi="Times New Roman" w:eastAsia="Times New Roman" w:cs="Times New Roman"/>
                <w:i/>
                <w:iCs/>
                <w:snapToGrid w:val="0"/>
                <w:color w:val="000000"/>
                <w:spacing w:val="11"/>
                <w:kern w:val="0"/>
                <w:position w:val="0"/>
                <w:sz w:val="24"/>
                <w:szCs w:val="24"/>
                <w:lang w:eastAsia="en-US"/>
              </w:rPr>
              <w:t>q</w:t>
            </w:r>
            <w:r>
              <w:rPr>
                <w:rFonts w:hint="default" w:ascii="Times New Roman" w:hAnsi="Times New Roman" w:eastAsia="新宋体" w:cs="Times New Roman"/>
                <w:snapToGrid w:val="0"/>
                <w:color w:val="000000"/>
                <w:spacing w:val="11"/>
                <w:kern w:val="0"/>
                <w:position w:val="0"/>
                <w:sz w:val="24"/>
                <w:szCs w:val="24"/>
                <w:lang w:eastAsia="en-US"/>
              </w:rPr>
              <w:t>）、泥盆系上统佘田桥组（</w:t>
            </w:r>
            <w:r>
              <w:rPr>
                <w:rFonts w:hint="default" w:ascii="Times New Roman" w:hAnsi="Times New Roman" w:eastAsia="Times New Roman" w:cs="Times New Roman"/>
                <w:snapToGrid w:val="0"/>
                <w:color w:val="000000"/>
                <w:spacing w:val="11"/>
                <w:kern w:val="0"/>
                <w:position w:val="0"/>
                <w:sz w:val="24"/>
                <w:szCs w:val="24"/>
                <w:lang w:eastAsia="en-US"/>
              </w:rPr>
              <w:t>D</w:t>
            </w:r>
            <w:r>
              <w:rPr>
                <w:rFonts w:hint="default" w:ascii="Times New Roman" w:hAnsi="Times New Roman" w:eastAsia="Times New Roman" w:cs="Times New Roman"/>
                <w:snapToGrid w:val="0"/>
                <w:color w:val="000000"/>
                <w:spacing w:val="11"/>
                <w:kern w:val="0"/>
                <w:position w:val="0"/>
                <w:sz w:val="24"/>
                <w:szCs w:val="24"/>
                <w:vertAlign w:val="subscript"/>
                <w:lang w:eastAsia="en-US"/>
              </w:rPr>
              <w:t>3</w:t>
            </w:r>
            <w:r>
              <w:rPr>
                <w:rFonts w:hint="default" w:ascii="Times New Roman" w:hAnsi="Times New Roman" w:eastAsia="Times New Roman" w:cs="Times New Roman"/>
                <w:i/>
                <w:iCs/>
                <w:snapToGrid w:val="0"/>
                <w:color w:val="000000"/>
                <w:spacing w:val="11"/>
                <w:kern w:val="0"/>
                <w:position w:val="0"/>
                <w:sz w:val="24"/>
                <w:szCs w:val="24"/>
                <w:lang w:eastAsia="en-US"/>
              </w:rPr>
              <w:t>s</w:t>
            </w:r>
            <w:r>
              <w:rPr>
                <w:rFonts w:hint="default" w:ascii="Times New Roman" w:hAnsi="Times New Roman" w:eastAsia="新宋体" w:cs="Times New Roman"/>
                <w:snapToGrid w:val="0"/>
                <w:color w:val="000000"/>
                <w:spacing w:val="11"/>
                <w:kern w:val="0"/>
                <w:position w:val="0"/>
                <w:sz w:val="24"/>
                <w:szCs w:val="24"/>
                <w:lang w:eastAsia="en-US"/>
              </w:rPr>
              <w:t>）、泥盆系上统锡矿山组（</w:t>
            </w:r>
            <w:r>
              <w:rPr>
                <w:rFonts w:hint="default" w:ascii="Times New Roman" w:hAnsi="Times New Roman" w:eastAsia="Times New Roman" w:cs="Times New Roman"/>
                <w:snapToGrid w:val="0"/>
                <w:color w:val="000000"/>
                <w:spacing w:val="11"/>
                <w:kern w:val="0"/>
                <w:position w:val="0"/>
                <w:sz w:val="24"/>
                <w:szCs w:val="24"/>
                <w:lang w:eastAsia="en-US"/>
              </w:rPr>
              <w:t>D3</w:t>
            </w:r>
            <w:r>
              <w:rPr>
                <w:rFonts w:hint="default" w:ascii="Times New Roman" w:hAnsi="Times New Roman" w:eastAsia="Times New Roman" w:cs="Times New Roman"/>
                <w:i/>
                <w:iCs/>
                <w:snapToGrid w:val="0"/>
                <w:color w:val="000000"/>
                <w:spacing w:val="11"/>
                <w:kern w:val="0"/>
                <w:position w:val="0"/>
                <w:sz w:val="24"/>
                <w:szCs w:val="24"/>
                <w:lang w:eastAsia="en-US"/>
              </w:rPr>
              <w:t>x</w:t>
            </w:r>
            <w:r>
              <w:rPr>
                <w:rFonts w:hint="default" w:ascii="Times New Roman" w:hAnsi="Times New Roman" w:eastAsia="新宋体" w:cs="Times New Roman"/>
                <w:snapToGrid w:val="0"/>
                <w:color w:val="000000"/>
                <w:spacing w:val="11"/>
                <w:kern w:val="0"/>
                <w:position w:val="0"/>
                <w:sz w:val="24"/>
                <w:szCs w:val="24"/>
                <w:lang w:eastAsia="en-US"/>
              </w:rPr>
              <w:t>）、泥盆系上统欧家冲组（</w:t>
            </w:r>
            <w:r>
              <w:rPr>
                <w:rFonts w:hint="default" w:ascii="Times New Roman" w:hAnsi="Times New Roman" w:eastAsia="Times New Roman" w:cs="Times New Roman"/>
                <w:snapToGrid w:val="0"/>
                <w:color w:val="000000"/>
                <w:spacing w:val="11"/>
                <w:kern w:val="0"/>
                <w:position w:val="0"/>
                <w:sz w:val="24"/>
                <w:szCs w:val="24"/>
                <w:lang w:eastAsia="en-US"/>
              </w:rPr>
              <w:t>D</w:t>
            </w:r>
            <w:r>
              <w:rPr>
                <w:rFonts w:hint="default" w:ascii="Times New Roman" w:hAnsi="Times New Roman" w:eastAsia="Times New Roman" w:cs="Times New Roman"/>
                <w:snapToGrid w:val="0"/>
                <w:color w:val="000000"/>
                <w:spacing w:val="11"/>
                <w:kern w:val="0"/>
                <w:position w:val="0"/>
                <w:sz w:val="24"/>
                <w:szCs w:val="24"/>
                <w:vertAlign w:val="subscript"/>
                <w:lang w:eastAsia="en-US"/>
              </w:rPr>
              <w:t>3</w:t>
            </w:r>
            <w:r>
              <w:rPr>
                <w:rFonts w:hint="default" w:ascii="Times New Roman" w:hAnsi="Times New Roman" w:eastAsia="Times New Roman" w:cs="Times New Roman"/>
                <w:i/>
                <w:iCs/>
                <w:snapToGrid w:val="0"/>
                <w:color w:val="000000"/>
                <w:spacing w:val="11"/>
                <w:kern w:val="0"/>
                <w:position w:val="0"/>
                <w:sz w:val="24"/>
                <w:szCs w:val="24"/>
                <w:lang w:eastAsia="en-US"/>
              </w:rPr>
              <w:t>o</w:t>
            </w:r>
            <w:r>
              <w:rPr>
                <w:rFonts w:hint="default" w:ascii="Times New Roman" w:hAnsi="Times New Roman" w:eastAsia="新宋体" w:cs="Times New Roman"/>
                <w:snapToGrid w:val="0"/>
                <w:color w:val="000000"/>
                <w:spacing w:val="11"/>
                <w:w w:val="89"/>
                <w:kern w:val="0"/>
                <w:position w:val="0"/>
                <w:sz w:val="24"/>
                <w:szCs w:val="24"/>
                <w:lang w:eastAsia="en-US"/>
              </w:rPr>
              <w:t>）、</w:t>
            </w:r>
            <w:r>
              <w:rPr>
                <w:rFonts w:hint="default" w:ascii="Times New Roman" w:hAnsi="Times New Roman" w:eastAsia="新宋体" w:cs="Times New Roman"/>
                <w:snapToGrid w:val="0"/>
                <w:color w:val="000000"/>
                <w:spacing w:val="11"/>
                <w:kern w:val="0"/>
                <w:position w:val="0"/>
                <w:sz w:val="24"/>
                <w:szCs w:val="24"/>
                <w:lang w:eastAsia="en-US"/>
              </w:rPr>
              <w:t>石炭系下统马栏边组（</w:t>
            </w:r>
            <w:r>
              <w:rPr>
                <w:rFonts w:hint="default" w:ascii="Times New Roman" w:hAnsi="Times New Roman" w:eastAsia="Times New Roman" w:cs="Times New Roman"/>
                <w:snapToGrid w:val="0"/>
                <w:color w:val="000000"/>
                <w:spacing w:val="11"/>
                <w:kern w:val="0"/>
                <w:position w:val="0"/>
                <w:sz w:val="24"/>
                <w:szCs w:val="24"/>
                <w:lang w:eastAsia="en-US"/>
              </w:rPr>
              <w:t>C</w:t>
            </w:r>
            <w:r>
              <w:rPr>
                <w:rFonts w:hint="default" w:ascii="Times New Roman" w:hAnsi="Times New Roman" w:eastAsia="Times New Roman" w:cs="Times New Roman"/>
                <w:snapToGrid w:val="0"/>
                <w:color w:val="000000"/>
                <w:spacing w:val="11"/>
                <w:kern w:val="0"/>
                <w:position w:val="0"/>
                <w:sz w:val="24"/>
                <w:szCs w:val="24"/>
                <w:vertAlign w:val="subscript"/>
                <w:lang w:eastAsia="en-US"/>
              </w:rPr>
              <w:t>1</w:t>
            </w:r>
            <w:r>
              <w:rPr>
                <w:rFonts w:hint="default" w:ascii="Times New Roman" w:hAnsi="Times New Roman" w:eastAsia="Times New Roman" w:cs="Times New Roman"/>
                <w:i/>
                <w:iCs/>
                <w:snapToGrid w:val="0"/>
                <w:color w:val="000000"/>
                <w:spacing w:val="11"/>
                <w:kern w:val="0"/>
                <w:position w:val="0"/>
                <w:sz w:val="24"/>
                <w:szCs w:val="24"/>
                <w:lang w:eastAsia="en-US"/>
              </w:rPr>
              <w:t>m</w:t>
            </w:r>
            <w:r>
              <w:rPr>
                <w:rFonts w:hint="default" w:ascii="Times New Roman" w:hAnsi="Times New Roman" w:eastAsia="新宋体" w:cs="Times New Roman"/>
                <w:snapToGrid w:val="0"/>
                <w:color w:val="000000"/>
                <w:spacing w:val="11"/>
                <w:kern w:val="0"/>
                <w:position w:val="0"/>
                <w:sz w:val="24"/>
                <w:szCs w:val="24"/>
                <w:lang w:eastAsia="en-US"/>
              </w:rPr>
              <w:t>）及第四系（</w:t>
            </w:r>
            <w:r>
              <w:rPr>
                <w:rFonts w:hint="default" w:ascii="Times New Roman" w:hAnsi="Times New Roman" w:eastAsia="Times New Roman" w:cs="Times New Roman"/>
                <w:snapToGrid w:val="0"/>
                <w:color w:val="000000"/>
                <w:spacing w:val="11"/>
                <w:kern w:val="0"/>
                <w:position w:val="0"/>
                <w:sz w:val="24"/>
                <w:szCs w:val="24"/>
                <w:lang w:eastAsia="en-US"/>
              </w:rPr>
              <w:t>Q</w:t>
            </w:r>
            <w:r>
              <w:rPr>
                <w:rFonts w:hint="default" w:ascii="Times New Roman" w:hAnsi="Times New Roman" w:eastAsia="新宋体" w:cs="Times New Roman"/>
                <w:snapToGrid w:val="0"/>
                <w:color w:val="000000"/>
                <w:spacing w:val="11"/>
                <w:kern w:val="0"/>
                <w:position w:val="0"/>
                <w:sz w:val="24"/>
                <w:szCs w:val="24"/>
                <w:lang w:eastAsia="en-US"/>
              </w:rPr>
              <w:t>）</w:t>
            </w:r>
            <w:r>
              <w:rPr>
                <w:rFonts w:hint="default" w:ascii="Times New Roman" w:hAnsi="Times New Roman" w:eastAsia="宋体" w:cs="Times New Roman"/>
                <w:snapToGrid w:val="0"/>
                <w:color w:val="000000"/>
                <w:spacing w:val="11"/>
                <w:kern w:val="0"/>
                <w:position w:val="0"/>
                <w:sz w:val="24"/>
                <w:szCs w:val="24"/>
                <w:lang w:eastAsia="en-US"/>
              </w:rPr>
              <w:t>，现简述如下：</w:t>
            </w:r>
          </w:p>
          <w:p w14:paraId="1865910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4" w:firstLineChars="200"/>
              <w:jc w:val="both"/>
              <w:textAlignment w:val="baseline"/>
              <w:rPr>
                <w:rFonts w:hint="default" w:ascii="Times New Roman" w:hAnsi="Times New Roman" w:eastAsia="新宋体" w:cs="Times New Roman"/>
                <w:snapToGrid w:val="0"/>
                <w:color w:val="000000"/>
                <w:spacing w:val="11"/>
                <w:kern w:val="0"/>
                <w:position w:val="0"/>
                <w:sz w:val="24"/>
                <w:szCs w:val="24"/>
                <w:lang w:eastAsia="en-US"/>
              </w:rPr>
            </w:pPr>
            <w:r>
              <w:rPr>
                <w:rFonts w:hint="default" w:ascii="Times New Roman" w:hAnsi="Times New Roman" w:eastAsia="新宋体" w:cs="Times New Roman"/>
                <w:snapToGrid w:val="0"/>
                <w:color w:val="000000"/>
                <w:spacing w:val="11"/>
                <w:kern w:val="0"/>
                <w:position w:val="0"/>
                <w:sz w:val="24"/>
                <w:szCs w:val="24"/>
                <w:lang w:val="en-US" w:eastAsia="zh-CN"/>
              </w:rPr>
              <w:t>a.</w:t>
            </w:r>
            <w:r>
              <w:rPr>
                <w:rFonts w:hint="default" w:ascii="Times New Roman" w:hAnsi="Times New Roman" w:eastAsia="新宋体" w:cs="Times New Roman"/>
                <w:snapToGrid w:val="0"/>
                <w:color w:val="000000"/>
                <w:spacing w:val="11"/>
                <w:kern w:val="0"/>
                <w:position w:val="0"/>
                <w:sz w:val="24"/>
                <w:szCs w:val="24"/>
                <w:lang w:eastAsia="en-US"/>
              </w:rPr>
              <w:t>泥盆系中统棋梓桥组（</w:t>
            </w:r>
            <w:r>
              <w:rPr>
                <w:rFonts w:hint="default" w:ascii="Times New Roman" w:hAnsi="Times New Roman" w:eastAsia="Times New Roman" w:cs="Times New Roman"/>
                <w:snapToGrid w:val="0"/>
                <w:color w:val="000000"/>
                <w:spacing w:val="11"/>
                <w:kern w:val="0"/>
                <w:position w:val="0"/>
                <w:sz w:val="24"/>
                <w:szCs w:val="24"/>
                <w:lang w:eastAsia="en-US"/>
              </w:rPr>
              <w:t>D</w:t>
            </w:r>
            <w:r>
              <w:rPr>
                <w:rFonts w:hint="default" w:ascii="Times New Roman" w:hAnsi="Times New Roman" w:eastAsia="Times New Roman" w:cs="Times New Roman"/>
                <w:snapToGrid w:val="0"/>
                <w:color w:val="000000"/>
                <w:spacing w:val="11"/>
                <w:kern w:val="0"/>
                <w:position w:val="0"/>
                <w:sz w:val="24"/>
                <w:szCs w:val="24"/>
                <w:vertAlign w:val="subscript"/>
                <w:lang w:eastAsia="en-US"/>
              </w:rPr>
              <w:t>2</w:t>
            </w:r>
            <w:r>
              <w:rPr>
                <w:rFonts w:hint="default" w:ascii="Times New Roman" w:hAnsi="Times New Roman" w:eastAsia="Times New Roman" w:cs="Times New Roman"/>
                <w:i/>
                <w:iCs/>
                <w:snapToGrid w:val="0"/>
                <w:color w:val="000000"/>
                <w:spacing w:val="11"/>
                <w:kern w:val="0"/>
                <w:position w:val="0"/>
                <w:sz w:val="24"/>
                <w:szCs w:val="24"/>
                <w:lang w:eastAsia="en-US"/>
              </w:rPr>
              <w:t>q</w:t>
            </w:r>
            <w:r>
              <w:rPr>
                <w:rFonts w:hint="default" w:ascii="Times New Roman" w:hAnsi="Times New Roman" w:eastAsia="新宋体" w:cs="Times New Roman"/>
                <w:snapToGrid w:val="0"/>
                <w:color w:val="000000"/>
                <w:spacing w:val="11"/>
                <w:kern w:val="0"/>
                <w:position w:val="0"/>
                <w:sz w:val="24"/>
                <w:szCs w:val="24"/>
                <w:lang w:eastAsia="en-US"/>
              </w:rPr>
              <w:t>）：分布于</w:t>
            </w:r>
            <w:r>
              <w:rPr>
                <w:rFonts w:hint="default" w:ascii="Times New Roman" w:hAnsi="Times New Roman" w:eastAsia="宋体" w:cs="Times New Roman"/>
                <w:snapToGrid w:val="0"/>
                <w:color w:val="000000"/>
                <w:spacing w:val="11"/>
                <w:kern w:val="0"/>
                <w:position w:val="0"/>
                <w:sz w:val="24"/>
                <w:szCs w:val="24"/>
                <w:lang w:eastAsia="en-US"/>
              </w:rPr>
              <w:t>矿</w:t>
            </w:r>
            <w:r>
              <w:rPr>
                <w:rFonts w:hint="default" w:ascii="Times New Roman" w:hAnsi="Times New Roman" w:eastAsia="新宋体" w:cs="Times New Roman"/>
                <w:snapToGrid w:val="0"/>
                <w:color w:val="000000"/>
                <w:spacing w:val="11"/>
                <w:kern w:val="0"/>
                <w:position w:val="0"/>
                <w:sz w:val="24"/>
                <w:szCs w:val="24"/>
                <w:lang w:eastAsia="en-US"/>
              </w:rPr>
              <w:t>区外围西北角，岩性主要由灰、深灰色中层</w:t>
            </w:r>
            <w:r>
              <w:rPr>
                <w:rFonts w:hint="default" w:ascii="Times New Roman" w:hAnsi="Times New Roman" w:eastAsia="Times New Roman" w:cs="Times New Roman"/>
                <w:snapToGrid w:val="0"/>
                <w:color w:val="000000"/>
                <w:spacing w:val="11"/>
                <w:kern w:val="0"/>
                <w:position w:val="0"/>
                <w:sz w:val="24"/>
                <w:szCs w:val="24"/>
                <w:lang w:eastAsia="en-US"/>
              </w:rPr>
              <w:t>-</w:t>
            </w:r>
            <w:r>
              <w:rPr>
                <w:rFonts w:hint="default" w:ascii="Times New Roman" w:hAnsi="Times New Roman" w:eastAsia="新宋体" w:cs="Times New Roman"/>
                <w:snapToGrid w:val="0"/>
                <w:color w:val="000000"/>
                <w:spacing w:val="11"/>
                <w:kern w:val="0"/>
                <w:position w:val="0"/>
                <w:sz w:val="24"/>
                <w:szCs w:val="24"/>
                <w:lang w:eastAsia="en-US"/>
              </w:rPr>
              <w:t>厚层泥晶灰岩、粒屑灰岩为主，夹白云质灰岩、灰质白云岩组成。中厚</w:t>
            </w:r>
            <w:r>
              <w:rPr>
                <w:rFonts w:hint="default" w:ascii="Times New Roman" w:hAnsi="Times New Roman" w:eastAsia="Times New Roman" w:cs="Times New Roman"/>
                <w:snapToGrid w:val="0"/>
                <w:color w:val="000000"/>
                <w:spacing w:val="11"/>
                <w:kern w:val="0"/>
                <w:position w:val="0"/>
                <w:sz w:val="24"/>
                <w:szCs w:val="24"/>
                <w:lang w:eastAsia="en-US"/>
              </w:rPr>
              <w:t>-</w:t>
            </w:r>
            <w:r>
              <w:rPr>
                <w:rFonts w:hint="default" w:ascii="Times New Roman" w:hAnsi="Times New Roman" w:eastAsia="新宋体" w:cs="Times New Roman"/>
                <w:snapToGrid w:val="0"/>
                <w:color w:val="000000"/>
                <w:spacing w:val="11"/>
                <w:kern w:val="0"/>
                <w:position w:val="0"/>
                <w:sz w:val="24"/>
                <w:szCs w:val="24"/>
                <w:lang w:eastAsia="en-US"/>
              </w:rPr>
              <w:t>巨厚层状，块状构造，厚</w:t>
            </w:r>
            <w:r>
              <w:rPr>
                <w:rFonts w:hint="default" w:ascii="Times New Roman" w:hAnsi="Times New Roman" w:eastAsia="Times New Roman" w:cs="Times New Roman"/>
                <w:snapToGrid w:val="0"/>
                <w:color w:val="000000"/>
                <w:spacing w:val="11"/>
                <w:kern w:val="0"/>
                <w:position w:val="0"/>
                <w:sz w:val="24"/>
                <w:szCs w:val="24"/>
                <w:lang w:eastAsia="en-US"/>
              </w:rPr>
              <w:t>168-265m</w:t>
            </w:r>
            <w:r>
              <w:rPr>
                <w:rFonts w:hint="default" w:ascii="Times New Roman" w:hAnsi="Times New Roman" w:eastAsia="新宋体" w:cs="Times New Roman"/>
                <w:snapToGrid w:val="0"/>
                <w:color w:val="000000"/>
                <w:spacing w:val="11"/>
                <w:kern w:val="0"/>
                <w:position w:val="0"/>
                <w:sz w:val="24"/>
                <w:szCs w:val="24"/>
                <w:lang w:eastAsia="en-US"/>
              </w:rPr>
              <w:t>。地层走向</w:t>
            </w:r>
            <w:r>
              <w:rPr>
                <w:rFonts w:hint="default" w:ascii="Times New Roman" w:hAnsi="Times New Roman" w:eastAsia="Times New Roman" w:cs="Times New Roman"/>
                <w:snapToGrid w:val="0"/>
                <w:color w:val="000000"/>
                <w:spacing w:val="11"/>
                <w:kern w:val="0"/>
                <w:position w:val="0"/>
                <w:sz w:val="24"/>
                <w:szCs w:val="24"/>
                <w:lang w:eastAsia="en-US"/>
              </w:rPr>
              <w:t>NW</w:t>
            </w:r>
            <w:r>
              <w:rPr>
                <w:rFonts w:hint="default" w:ascii="Times New Roman" w:hAnsi="Times New Roman" w:eastAsia="新宋体" w:cs="Times New Roman"/>
                <w:snapToGrid w:val="0"/>
                <w:color w:val="000000"/>
                <w:spacing w:val="11"/>
                <w:kern w:val="0"/>
                <w:position w:val="0"/>
                <w:sz w:val="24"/>
                <w:szCs w:val="24"/>
                <w:lang w:eastAsia="en-US"/>
              </w:rPr>
              <w:t>，倾向</w:t>
            </w:r>
            <w:r>
              <w:rPr>
                <w:rFonts w:hint="default" w:ascii="Times New Roman" w:hAnsi="Times New Roman" w:eastAsia="Times New Roman" w:cs="Times New Roman"/>
                <w:snapToGrid w:val="0"/>
                <w:color w:val="000000"/>
                <w:spacing w:val="11"/>
                <w:kern w:val="0"/>
                <w:position w:val="0"/>
                <w:sz w:val="24"/>
                <w:szCs w:val="24"/>
                <w:lang w:eastAsia="en-US"/>
              </w:rPr>
              <w:t>SW</w:t>
            </w:r>
            <w:r>
              <w:rPr>
                <w:rFonts w:hint="default" w:ascii="Times New Roman" w:hAnsi="Times New Roman" w:eastAsia="新宋体" w:cs="Times New Roman"/>
                <w:snapToGrid w:val="0"/>
                <w:color w:val="000000"/>
                <w:spacing w:val="11"/>
                <w:kern w:val="0"/>
                <w:position w:val="0"/>
                <w:sz w:val="24"/>
                <w:szCs w:val="24"/>
                <w:lang w:eastAsia="en-US"/>
              </w:rPr>
              <w:t>，倾角</w:t>
            </w:r>
            <w:r>
              <w:rPr>
                <w:rFonts w:hint="default" w:ascii="Times New Roman" w:hAnsi="Times New Roman" w:eastAsia="Times New Roman" w:cs="Times New Roman"/>
                <w:snapToGrid w:val="0"/>
                <w:color w:val="000000"/>
                <w:spacing w:val="11"/>
                <w:kern w:val="0"/>
                <w:position w:val="0"/>
                <w:sz w:val="24"/>
                <w:szCs w:val="24"/>
                <w:lang w:eastAsia="en-US"/>
              </w:rPr>
              <w:t>30</w:t>
            </w:r>
            <w:r>
              <w:rPr>
                <w:rFonts w:hint="default" w:ascii="Times New Roman" w:hAnsi="Times New Roman" w:eastAsia="新宋体" w:cs="Times New Roman"/>
                <w:snapToGrid w:val="0"/>
                <w:color w:val="000000"/>
                <w:spacing w:val="11"/>
                <w:kern w:val="0"/>
                <w:position w:val="0"/>
                <w:sz w:val="24"/>
                <w:szCs w:val="24"/>
                <w:lang w:eastAsia="en-US"/>
              </w:rPr>
              <w:t>°,与上覆地层整合接触。</w:t>
            </w:r>
          </w:p>
          <w:p w14:paraId="0730579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4" w:firstLineChars="200"/>
              <w:jc w:val="both"/>
              <w:textAlignment w:val="baseline"/>
              <w:rPr>
                <w:rFonts w:hint="default" w:ascii="Times New Roman" w:hAnsi="Times New Roman" w:eastAsia="新宋体" w:cs="Times New Roman"/>
                <w:snapToGrid w:val="0"/>
                <w:color w:val="000000"/>
                <w:spacing w:val="11"/>
                <w:kern w:val="0"/>
                <w:position w:val="0"/>
                <w:sz w:val="24"/>
                <w:szCs w:val="24"/>
                <w:lang w:eastAsia="en-US"/>
              </w:rPr>
            </w:pPr>
            <w:r>
              <w:rPr>
                <w:rFonts w:hint="default" w:ascii="Times New Roman" w:hAnsi="Times New Roman" w:eastAsia="新宋体" w:cs="Times New Roman"/>
                <w:snapToGrid w:val="0"/>
                <w:color w:val="000000"/>
                <w:spacing w:val="11"/>
                <w:kern w:val="0"/>
                <w:position w:val="0"/>
                <w:sz w:val="24"/>
                <w:szCs w:val="24"/>
                <w:lang w:val="en-US" w:eastAsia="zh-CN"/>
              </w:rPr>
              <w:t>b.</w:t>
            </w:r>
            <w:r>
              <w:rPr>
                <w:rFonts w:hint="default" w:ascii="Times New Roman" w:hAnsi="Times New Roman" w:eastAsia="新宋体" w:cs="Times New Roman"/>
                <w:snapToGrid w:val="0"/>
                <w:color w:val="000000"/>
                <w:spacing w:val="11"/>
                <w:kern w:val="0"/>
                <w:position w:val="0"/>
                <w:sz w:val="24"/>
                <w:szCs w:val="24"/>
                <w:lang w:eastAsia="en-US"/>
              </w:rPr>
              <w:t>泥盆系上统佘田桥组（</w:t>
            </w:r>
            <w:r>
              <w:rPr>
                <w:rFonts w:hint="default" w:ascii="Times New Roman" w:hAnsi="Times New Roman" w:eastAsia="Times New Roman" w:cs="Times New Roman"/>
                <w:snapToGrid w:val="0"/>
                <w:color w:val="000000"/>
                <w:spacing w:val="11"/>
                <w:kern w:val="0"/>
                <w:position w:val="0"/>
                <w:sz w:val="24"/>
                <w:szCs w:val="24"/>
                <w:lang w:eastAsia="en-US"/>
              </w:rPr>
              <w:t>D</w:t>
            </w:r>
            <w:r>
              <w:rPr>
                <w:rFonts w:hint="default" w:ascii="Times New Roman" w:hAnsi="Times New Roman" w:eastAsia="Times New Roman" w:cs="Times New Roman"/>
                <w:snapToGrid w:val="0"/>
                <w:color w:val="000000"/>
                <w:spacing w:val="11"/>
                <w:kern w:val="0"/>
                <w:position w:val="0"/>
                <w:sz w:val="24"/>
                <w:szCs w:val="24"/>
                <w:vertAlign w:val="subscript"/>
                <w:lang w:eastAsia="en-US"/>
              </w:rPr>
              <w:t>3</w:t>
            </w:r>
            <w:r>
              <w:rPr>
                <w:rFonts w:hint="default" w:ascii="Times New Roman" w:hAnsi="Times New Roman" w:eastAsia="Times New Roman" w:cs="Times New Roman"/>
                <w:snapToGrid w:val="0"/>
                <w:color w:val="000000"/>
                <w:spacing w:val="11"/>
                <w:kern w:val="0"/>
                <w:position w:val="0"/>
                <w:sz w:val="24"/>
                <w:szCs w:val="24"/>
                <w:lang w:eastAsia="en-US"/>
              </w:rPr>
              <w:t>s</w:t>
            </w:r>
            <w:r>
              <w:rPr>
                <w:rFonts w:hint="default" w:ascii="Times New Roman" w:hAnsi="Times New Roman" w:eastAsia="新宋体" w:cs="Times New Roman"/>
                <w:snapToGrid w:val="0"/>
                <w:color w:val="000000"/>
                <w:spacing w:val="11"/>
                <w:kern w:val="0"/>
                <w:position w:val="0"/>
                <w:sz w:val="24"/>
                <w:szCs w:val="24"/>
                <w:lang w:eastAsia="en-US"/>
              </w:rPr>
              <w:t>）：该地层分布于整个</w:t>
            </w:r>
            <w:r>
              <w:rPr>
                <w:rFonts w:hint="default" w:ascii="Times New Roman" w:hAnsi="Times New Roman" w:eastAsia="宋体" w:cs="Times New Roman"/>
                <w:snapToGrid w:val="0"/>
                <w:color w:val="000000"/>
                <w:spacing w:val="11"/>
                <w:kern w:val="0"/>
                <w:position w:val="0"/>
                <w:sz w:val="24"/>
                <w:szCs w:val="24"/>
                <w:lang w:eastAsia="en-US"/>
              </w:rPr>
              <w:t>矿</w:t>
            </w:r>
            <w:r>
              <w:rPr>
                <w:rFonts w:hint="default" w:ascii="Times New Roman" w:hAnsi="Times New Roman" w:eastAsia="新宋体" w:cs="Times New Roman"/>
                <w:snapToGrid w:val="0"/>
                <w:color w:val="000000"/>
                <w:spacing w:val="11"/>
                <w:kern w:val="0"/>
                <w:position w:val="0"/>
                <w:sz w:val="24"/>
                <w:szCs w:val="24"/>
                <w:lang w:eastAsia="en-US"/>
              </w:rPr>
              <w:t>区，为赋矿地层。岩性主要由灰岩组成，西部夹白云质灰岩、角砾状白云质灰岩，中部夹极少量含泥灰岩、钙质页岩，主要为浅灰色～深灰色，局部褐红色、肉红色，中厚</w:t>
            </w:r>
            <w:r>
              <w:rPr>
                <w:rFonts w:hint="default" w:ascii="Times New Roman" w:hAnsi="Times New Roman" w:eastAsia="Times New Roman" w:cs="Times New Roman"/>
                <w:snapToGrid w:val="0"/>
                <w:color w:val="000000"/>
                <w:spacing w:val="11"/>
                <w:kern w:val="0"/>
                <w:position w:val="0"/>
                <w:sz w:val="24"/>
                <w:szCs w:val="24"/>
                <w:lang w:eastAsia="en-US"/>
              </w:rPr>
              <w:t>-</w:t>
            </w:r>
            <w:r>
              <w:rPr>
                <w:rFonts w:hint="default" w:ascii="Times New Roman" w:hAnsi="Times New Roman" w:eastAsia="新宋体" w:cs="Times New Roman"/>
                <w:snapToGrid w:val="0"/>
                <w:color w:val="000000"/>
                <w:spacing w:val="11"/>
                <w:kern w:val="0"/>
                <w:position w:val="0"/>
                <w:sz w:val="24"/>
                <w:szCs w:val="24"/>
                <w:lang w:eastAsia="en-US"/>
              </w:rPr>
              <w:t>巨厚层状，微晶</w:t>
            </w:r>
            <w:r>
              <w:rPr>
                <w:rFonts w:hint="default" w:ascii="Times New Roman" w:hAnsi="Times New Roman" w:eastAsia="Times New Roman" w:cs="Times New Roman"/>
                <w:snapToGrid w:val="0"/>
                <w:color w:val="000000"/>
                <w:spacing w:val="11"/>
                <w:kern w:val="0"/>
                <w:position w:val="0"/>
                <w:sz w:val="24"/>
                <w:szCs w:val="24"/>
                <w:lang w:eastAsia="en-US"/>
              </w:rPr>
              <w:t>~</w:t>
            </w:r>
            <w:r>
              <w:rPr>
                <w:rFonts w:hint="default" w:ascii="Times New Roman" w:hAnsi="Times New Roman" w:eastAsia="新宋体" w:cs="Times New Roman"/>
                <w:snapToGrid w:val="0"/>
                <w:color w:val="000000"/>
                <w:spacing w:val="11"/>
                <w:kern w:val="0"/>
                <w:position w:val="0"/>
                <w:sz w:val="24"/>
                <w:szCs w:val="24"/>
                <w:lang w:eastAsia="en-US"/>
              </w:rPr>
              <w:t>中晶结构，块状构造，局部夹有较多灰岩、白云质灰岩角砾，区域厚</w:t>
            </w:r>
            <w:r>
              <w:rPr>
                <w:rFonts w:hint="default" w:ascii="Times New Roman" w:hAnsi="Times New Roman" w:eastAsia="Times New Roman" w:cs="Times New Roman"/>
                <w:snapToGrid w:val="0"/>
                <w:color w:val="000000"/>
                <w:spacing w:val="11"/>
                <w:kern w:val="0"/>
                <w:position w:val="0"/>
                <w:sz w:val="24"/>
                <w:szCs w:val="24"/>
                <w:lang w:eastAsia="en-US"/>
              </w:rPr>
              <w:t>34-436m</w:t>
            </w:r>
            <w:r>
              <w:rPr>
                <w:rFonts w:hint="default" w:ascii="Times New Roman" w:hAnsi="Times New Roman" w:eastAsia="新宋体" w:cs="Times New Roman"/>
                <w:snapToGrid w:val="0"/>
                <w:color w:val="000000"/>
                <w:spacing w:val="11"/>
                <w:kern w:val="0"/>
                <w:position w:val="0"/>
                <w:sz w:val="24"/>
                <w:szCs w:val="24"/>
                <w:lang w:eastAsia="en-US"/>
              </w:rPr>
              <w:t>。岩体坚硬</w:t>
            </w:r>
            <w:r>
              <w:rPr>
                <w:rFonts w:hint="default" w:ascii="Times New Roman" w:hAnsi="Times New Roman" w:eastAsia="Times New Roman" w:cs="Times New Roman"/>
                <w:snapToGrid w:val="0"/>
                <w:color w:val="000000"/>
                <w:spacing w:val="11"/>
                <w:kern w:val="0"/>
                <w:position w:val="0"/>
                <w:sz w:val="24"/>
                <w:szCs w:val="24"/>
                <w:lang w:eastAsia="en-US"/>
              </w:rPr>
              <w:t>-</w:t>
            </w:r>
            <w:r>
              <w:rPr>
                <w:rFonts w:hint="default" w:ascii="Times New Roman" w:hAnsi="Times New Roman" w:eastAsia="新宋体" w:cs="Times New Roman"/>
                <w:snapToGrid w:val="0"/>
                <w:color w:val="000000"/>
                <w:spacing w:val="11"/>
                <w:kern w:val="0"/>
                <w:position w:val="0"/>
                <w:sz w:val="24"/>
                <w:szCs w:val="24"/>
                <w:lang w:eastAsia="en-US"/>
              </w:rPr>
              <w:t>较坚硬，浅部节理裂隙较发育，常充填有第四系风化土。地层走向为</w:t>
            </w:r>
            <w:r>
              <w:rPr>
                <w:rFonts w:hint="default" w:ascii="Times New Roman" w:hAnsi="Times New Roman" w:eastAsia="Times New Roman" w:cs="Times New Roman"/>
                <w:snapToGrid w:val="0"/>
                <w:color w:val="000000"/>
                <w:spacing w:val="11"/>
                <w:kern w:val="0"/>
                <w:position w:val="0"/>
                <w:sz w:val="24"/>
                <w:szCs w:val="24"/>
                <w:lang w:eastAsia="en-US"/>
              </w:rPr>
              <w:t>NE</w:t>
            </w:r>
            <w:r>
              <w:rPr>
                <w:rFonts w:hint="default" w:ascii="Times New Roman" w:hAnsi="Times New Roman" w:eastAsia="新宋体" w:cs="Times New Roman"/>
                <w:snapToGrid w:val="0"/>
                <w:color w:val="000000"/>
                <w:spacing w:val="11"/>
                <w:kern w:val="0"/>
                <w:position w:val="0"/>
                <w:sz w:val="24"/>
                <w:szCs w:val="24"/>
                <w:lang w:eastAsia="en-US"/>
              </w:rPr>
              <w:t>向，倾向</w:t>
            </w:r>
            <w:r>
              <w:rPr>
                <w:rFonts w:hint="default" w:ascii="Times New Roman" w:hAnsi="Times New Roman" w:eastAsia="Times New Roman" w:cs="Times New Roman"/>
                <w:snapToGrid w:val="0"/>
                <w:color w:val="000000"/>
                <w:spacing w:val="11"/>
                <w:kern w:val="0"/>
                <w:position w:val="0"/>
                <w:sz w:val="24"/>
                <w:szCs w:val="24"/>
                <w:lang w:eastAsia="en-US"/>
              </w:rPr>
              <w:t>135~160°</w:t>
            </w:r>
            <w:r>
              <w:rPr>
                <w:rFonts w:hint="eastAsia" w:eastAsia="新宋体" w:cs="Times New Roman"/>
                <w:snapToGrid w:val="0"/>
                <w:color w:val="000000"/>
                <w:spacing w:val="11"/>
                <w:kern w:val="0"/>
                <w:position w:val="0"/>
                <w:sz w:val="24"/>
                <w:szCs w:val="24"/>
                <w:lang w:eastAsia="zh-CN"/>
              </w:rPr>
              <w:t>，</w:t>
            </w:r>
            <w:r>
              <w:rPr>
                <w:rFonts w:hint="default" w:ascii="Times New Roman" w:hAnsi="Times New Roman" w:eastAsia="新宋体" w:cs="Times New Roman"/>
                <w:snapToGrid w:val="0"/>
                <w:color w:val="000000"/>
                <w:spacing w:val="11"/>
                <w:kern w:val="0"/>
                <w:position w:val="0"/>
                <w:sz w:val="24"/>
                <w:szCs w:val="24"/>
                <w:lang w:eastAsia="en-US"/>
              </w:rPr>
              <w:t>倾角一般</w:t>
            </w:r>
            <w:r>
              <w:rPr>
                <w:rFonts w:hint="default" w:ascii="Times New Roman" w:hAnsi="Times New Roman" w:eastAsia="Times New Roman" w:cs="Times New Roman"/>
                <w:snapToGrid w:val="0"/>
                <w:color w:val="000000"/>
                <w:spacing w:val="11"/>
                <w:kern w:val="0"/>
                <w:position w:val="0"/>
                <w:sz w:val="24"/>
                <w:szCs w:val="24"/>
                <w:lang w:eastAsia="en-US"/>
              </w:rPr>
              <w:t>15~30°</w:t>
            </w:r>
            <w:r>
              <w:rPr>
                <w:rFonts w:hint="eastAsia" w:eastAsia="新宋体" w:cs="Times New Roman"/>
                <w:snapToGrid w:val="0"/>
                <w:color w:val="000000"/>
                <w:spacing w:val="11"/>
                <w:kern w:val="0"/>
                <w:position w:val="0"/>
                <w:sz w:val="24"/>
                <w:szCs w:val="24"/>
                <w:lang w:eastAsia="zh-CN"/>
              </w:rPr>
              <w:t>，</w:t>
            </w:r>
            <w:r>
              <w:rPr>
                <w:rFonts w:hint="default" w:ascii="Times New Roman" w:hAnsi="Times New Roman" w:eastAsia="新宋体" w:cs="Times New Roman"/>
                <w:snapToGrid w:val="0"/>
                <w:color w:val="000000"/>
                <w:spacing w:val="11"/>
                <w:kern w:val="0"/>
                <w:position w:val="0"/>
                <w:sz w:val="24"/>
                <w:szCs w:val="24"/>
                <w:lang w:eastAsia="en-US"/>
              </w:rPr>
              <w:t>与上覆地层呈断层接触。</w:t>
            </w:r>
          </w:p>
          <w:p w14:paraId="6275189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4" w:firstLineChars="200"/>
              <w:jc w:val="both"/>
              <w:textAlignment w:val="baseline"/>
              <w:rPr>
                <w:rFonts w:hint="default" w:ascii="Times New Roman" w:hAnsi="Times New Roman" w:eastAsia="新宋体" w:cs="Times New Roman"/>
                <w:snapToGrid w:val="0"/>
                <w:color w:val="000000"/>
                <w:spacing w:val="11"/>
                <w:kern w:val="0"/>
                <w:position w:val="0"/>
                <w:sz w:val="24"/>
                <w:szCs w:val="24"/>
                <w:lang w:eastAsia="en-US"/>
              </w:rPr>
            </w:pPr>
            <w:r>
              <w:rPr>
                <w:rFonts w:hint="default" w:ascii="Times New Roman" w:hAnsi="Times New Roman" w:eastAsia="新宋体" w:cs="Times New Roman"/>
                <w:snapToGrid w:val="0"/>
                <w:color w:val="000000"/>
                <w:spacing w:val="11"/>
                <w:kern w:val="0"/>
                <w:position w:val="0"/>
                <w:sz w:val="24"/>
                <w:szCs w:val="24"/>
                <w:lang w:val="en-US" w:eastAsia="zh-CN"/>
              </w:rPr>
              <w:t>c.</w:t>
            </w:r>
            <w:r>
              <w:rPr>
                <w:rFonts w:hint="default" w:ascii="Times New Roman" w:hAnsi="Times New Roman" w:eastAsia="新宋体" w:cs="Times New Roman"/>
                <w:snapToGrid w:val="0"/>
                <w:color w:val="000000"/>
                <w:spacing w:val="11"/>
                <w:kern w:val="0"/>
                <w:position w:val="0"/>
                <w:sz w:val="24"/>
                <w:szCs w:val="24"/>
                <w:lang w:eastAsia="en-US"/>
              </w:rPr>
              <w:t>泥盆系上统锡矿山组（</w:t>
            </w:r>
            <w:r>
              <w:rPr>
                <w:rFonts w:hint="default" w:ascii="Times New Roman" w:hAnsi="Times New Roman" w:eastAsia="Times New Roman" w:cs="Times New Roman"/>
                <w:snapToGrid w:val="0"/>
                <w:color w:val="000000"/>
                <w:spacing w:val="11"/>
                <w:kern w:val="0"/>
                <w:position w:val="0"/>
                <w:sz w:val="24"/>
                <w:szCs w:val="24"/>
                <w:lang w:eastAsia="en-US"/>
              </w:rPr>
              <w:t>D</w:t>
            </w:r>
            <w:r>
              <w:rPr>
                <w:rFonts w:hint="default" w:ascii="Times New Roman" w:hAnsi="Times New Roman" w:eastAsia="Times New Roman" w:cs="Times New Roman"/>
                <w:snapToGrid w:val="0"/>
                <w:color w:val="000000"/>
                <w:spacing w:val="11"/>
                <w:kern w:val="0"/>
                <w:position w:val="0"/>
                <w:sz w:val="24"/>
                <w:szCs w:val="24"/>
                <w:vertAlign w:val="subscript"/>
                <w:lang w:eastAsia="en-US"/>
              </w:rPr>
              <w:t>3</w:t>
            </w:r>
            <w:r>
              <w:rPr>
                <w:rFonts w:hint="default" w:ascii="Times New Roman" w:hAnsi="Times New Roman" w:eastAsia="Times New Roman" w:cs="Times New Roman"/>
                <w:snapToGrid w:val="0"/>
                <w:color w:val="000000"/>
                <w:spacing w:val="11"/>
                <w:kern w:val="0"/>
                <w:position w:val="0"/>
                <w:sz w:val="24"/>
                <w:szCs w:val="24"/>
                <w:lang w:eastAsia="en-US"/>
              </w:rPr>
              <w:t>x</w:t>
            </w:r>
            <w:r>
              <w:rPr>
                <w:rFonts w:hint="default" w:ascii="Times New Roman" w:hAnsi="Times New Roman" w:eastAsia="新宋体" w:cs="Times New Roman"/>
                <w:snapToGrid w:val="0"/>
                <w:color w:val="000000"/>
                <w:spacing w:val="11"/>
                <w:kern w:val="0"/>
                <w:position w:val="0"/>
                <w:sz w:val="24"/>
                <w:szCs w:val="24"/>
                <w:lang w:eastAsia="en-US"/>
              </w:rPr>
              <w:t>）：分布于</w:t>
            </w:r>
            <w:r>
              <w:rPr>
                <w:rFonts w:hint="default" w:ascii="Times New Roman" w:hAnsi="Times New Roman" w:eastAsia="宋体" w:cs="Times New Roman"/>
                <w:snapToGrid w:val="0"/>
                <w:color w:val="000000"/>
                <w:spacing w:val="11"/>
                <w:kern w:val="0"/>
                <w:position w:val="0"/>
                <w:sz w:val="24"/>
                <w:szCs w:val="24"/>
                <w:lang w:eastAsia="en-US"/>
              </w:rPr>
              <w:t>矿</w:t>
            </w:r>
            <w:r>
              <w:rPr>
                <w:rFonts w:hint="default" w:ascii="Times New Roman" w:hAnsi="Times New Roman" w:eastAsia="新宋体" w:cs="Times New Roman"/>
                <w:snapToGrid w:val="0"/>
                <w:color w:val="000000"/>
                <w:spacing w:val="11"/>
                <w:kern w:val="0"/>
                <w:position w:val="0"/>
                <w:sz w:val="24"/>
                <w:szCs w:val="24"/>
                <w:lang w:eastAsia="en-US"/>
              </w:rPr>
              <w:t>区外围东部，上部为灰、深灰色泥晶灰岩夹灰黑色块状泥晶灰岩，具鸟眼构造；中部为深灰、灰黄色厚层泥晶</w:t>
            </w:r>
            <w:r>
              <w:rPr>
                <w:rFonts w:hint="default" w:ascii="Times New Roman" w:hAnsi="Times New Roman" w:eastAsia="Times New Roman" w:cs="Times New Roman"/>
                <w:snapToGrid w:val="0"/>
                <w:color w:val="000000"/>
                <w:spacing w:val="11"/>
                <w:kern w:val="0"/>
                <w:position w:val="0"/>
                <w:sz w:val="24"/>
                <w:szCs w:val="24"/>
                <w:lang w:eastAsia="en-US"/>
              </w:rPr>
              <w:t>-</w:t>
            </w:r>
            <w:r>
              <w:rPr>
                <w:rFonts w:hint="default" w:ascii="Times New Roman" w:hAnsi="Times New Roman" w:eastAsia="新宋体" w:cs="Times New Roman"/>
                <w:snapToGrid w:val="0"/>
                <w:color w:val="000000"/>
                <w:spacing w:val="11"/>
                <w:kern w:val="0"/>
                <w:position w:val="0"/>
                <w:sz w:val="24"/>
                <w:szCs w:val="24"/>
                <w:lang w:eastAsia="en-US"/>
              </w:rPr>
              <w:t>粉晶灰岩夹灰黄色薄层瘤状泥灰岩；下部为深灰色厚层泥晶灰岩、泥晶含云灰岩和白云质灰岩，多含顺层分布的不规则硅质团块，区域厚</w:t>
            </w:r>
            <w:r>
              <w:rPr>
                <w:rFonts w:hint="default" w:ascii="Times New Roman" w:hAnsi="Times New Roman" w:eastAsia="Times New Roman" w:cs="Times New Roman"/>
                <w:snapToGrid w:val="0"/>
                <w:color w:val="000000"/>
                <w:spacing w:val="11"/>
                <w:kern w:val="0"/>
                <w:position w:val="0"/>
                <w:sz w:val="24"/>
                <w:szCs w:val="24"/>
                <w:lang w:eastAsia="en-US"/>
              </w:rPr>
              <w:t>397.3m</w:t>
            </w:r>
            <w:r>
              <w:rPr>
                <w:rFonts w:hint="default" w:ascii="Times New Roman" w:hAnsi="Times New Roman" w:eastAsia="新宋体" w:cs="Times New Roman"/>
                <w:snapToGrid w:val="0"/>
                <w:color w:val="000000"/>
                <w:spacing w:val="11"/>
                <w:kern w:val="0"/>
                <w:position w:val="0"/>
                <w:sz w:val="24"/>
                <w:szCs w:val="24"/>
                <w:lang w:eastAsia="en-US"/>
              </w:rPr>
              <w:t>。地层走向为</w:t>
            </w:r>
            <w:r>
              <w:rPr>
                <w:rFonts w:hint="default" w:ascii="Times New Roman" w:hAnsi="Times New Roman" w:eastAsia="Times New Roman" w:cs="Times New Roman"/>
                <w:snapToGrid w:val="0"/>
                <w:color w:val="000000"/>
                <w:spacing w:val="11"/>
                <w:kern w:val="0"/>
                <w:position w:val="0"/>
                <w:sz w:val="24"/>
                <w:szCs w:val="24"/>
                <w:lang w:eastAsia="en-US"/>
              </w:rPr>
              <w:t>NW</w:t>
            </w:r>
            <w:r>
              <w:rPr>
                <w:rFonts w:hint="default" w:ascii="Times New Roman" w:hAnsi="Times New Roman" w:eastAsia="新宋体" w:cs="Times New Roman"/>
                <w:snapToGrid w:val="0"/>
                <w:color w:val="000000"/>
                <w:spacing w:val="11"/>
                <w:kern w:val="0"/>
                <w:position w:val="0"/>
                <w:sz w:val="24"/>
                <w:szCs w:val="24"/>
                <w:lang w:eastAsia="en-US"/>
              </w:rPr>
              <w:t>向，倾向</w:t>
            </w:r>
            <w:r>
              <w:rPr>
                <w:rFonts w:hint="default" w:ascii="Times New Roman" w:hAnsi="Times New Roman" w:eastAsia="Times New Roman" w:cs="Times New Roman"/>
                <w:snapToGrid w:val="0"/>
                <w:color w:val="000000"/>
                <w:spacing w:val="11"/>
                <w:kern w:val="0"/>
                <w:position w:val="0"/>
                <w:sz w:val="24"/>
                <w:szCs w:val="24"/>
                <w:lang w:eastAsia="en-US"/>
              </w:rPr>
              <w:t>205~230°</w:t>
            </w:r>
            <w:r>
              <w:rPr>
                <w:rFonts w:hint="eastAsia" w:eastAsia="新宋体" w:cs="Times New Roman"/>
                <w:snapToGrid w:val="0"/>
                <w:color w:val="000000"/>
                <w:spacing w:val="11"/>
                <w:kern w:val="0"/>
                <w:position w:val="0"/>
                <w:sz w:val="24"/>
                <w:szCs w:val="24"/>
                <w:lang w:eastAsia="zh-CN"/>
              </w:rPr>
              <w:t>，</w:t>
            </w:r>
            <w:r>
              <w:rPr>
                <w:rFonts w:hint="default" w:ascii="Times New Roman" w:hAnsi="Times New Roman" w:eastAsia="新宋体" w:cs="Times New Roman"/>
                <w:snapToGrid w:val="0"/>
                <w:color w:val="000000"/>
                <w:spacing w:val="11"/>
                <w:kern w:val="0"/>
                <w:position w:val="0"/>
                <w:sz w:val="24"/>
                <w:szCs w:val="24"/>
                <w:lang w:eastAsia="en-US"/>
              </w:rPr>
              <w:t>倾角一般</w:t>
            </w:r>
            <w:r>
              <w:rPr>
                <w:rFonts w:hint="default" w:ascii="Times New Roman" w:hAnsi="Times New Roman" w:eastAsia="Times New Roman" w:cs="Times New Roman"/>
                <w:snapToGrid w:val="0"/>
                <w:color w:val="000000"/>
                <w:spacing w:val="11"/>
                <w:kern w:val="0"/>
                <w:position w:val="0"/>
                <w:sz w:val="24"/>
                <w:szCs w:val="24"/>
                <w:lang w:eastAsia="en-US"/>
              </w:rPr>
              <w:t>25~40°</w:t>
            </w:r>
            <w:r>
              <w:rPr>
                <w:rFonts w:hint="eastAsia" w:eastAsia="新宋体" w:cs="Times New Roman"/>
                <w:snapToGrid w:val="0"/>
                <w:color w:val="000000"/>
                <w:spacing w:val="11"/>
                <w:kern w:val="0"/>
                <w:position w:val="0"/>
                <w:sz w:val="24"/>
                <w:szCs w:val="24"/>
                <w:lang w:eastAsia="zh-CN"/>
              </w:rPr>
              <w:t>，</w:t>
            </w:r>
            <w:r>
              <w:rPr>
                <w:rFonts w:hint="default" w:ascii="Times New Roman" w:hAnsi="Times New Roman" w:eastAsia="新宋体" w:cs="Times New Roman"/>
                <w:snapToGrid w:val="0"/>
                <w:color w:val="000000"/>
                <w:spacing w:val="11"/>
                <w:kern w:val="0"/>
                <w:position w:val="0"/>
                <w:sz w:val="24"/>
                <w:szCs w:val="24"/>
                <w:lang w:eastAsia="en-US"/>
              </w:rPr>
              <w:t>与上覆地层呈断层接触。</w:t>
            </w:r>
          </w:p>
          <w:p w14:paraId="636F537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4" w:firstLineChars="200"/>
              <w:jc w:val="both"/>
              <w:textAlignment w:val="baseline"/>
              <w:rPr>
                <w:rFonts w:hint="default" w:ascii="Times New Roman" w:hAnsi="Times New Roman" w:eastAsia="新宋体" w:cs="Times New Roman"/>
                <w:snapToGrid w:val="0"/>
                <w:color w:val="000000"/>
                <w:spacing w:val="11"/>
                <w:kern w:val="0"/>
                <w:position w:val="0"/>
                <w:sz w:val="24"/>
                <w:szCs w:val="24"/>
                <w:lang w:eastAsia="en-US"/>
              </w:rPr>
            </w:pPr>
            <w:r>
              <w:rPr>
                <w:rFonts w:hint="default" w:ascii="Times New Roman" w:hAnsi="Times New Roman" w:eastAsia="新宋体" w:cs="Times New Roman"/>
                <w:snapToGrid w:val="0"/>
                <w:color w:val="000000"/>
                <w:spacing w:val="11"/>
                <w:kern w:val="0"/>
                <w:position w:val="0"/>
                <w:sz w:val="24"/>
                <w:szCs w:val="24"/>
                <w:lang w:val="en-US" w:eastAsia="zh-CN"/>
              </w:rPr>
              <w:t>d.</w:t>
            </w:r>
            <w:r>
              <w:rPr>
                <w:rFonts w:hint="default" w:ascii="Times New Roman" w:hAnsi="Times New Roman" w:eastAsia="新宋体" w:cs="Times New Roman"/>
                <w:snapToGrid w:val="0"/>
                <w:color w:val="000000"/>
                <w:spacing w:val="11"/>
                <w:kern w:val="0"/>
                <w:position w:val="0"/>
                <w:sz w:val="24"/>
                <w:szCs w:val="24"/>
                <w:lang w:eastAsia="en-US"/>
              </w:rPr>
              <w:t>泥盆系上统欧家冲组（</w:t>
            </w:r>
            <w:r>
              <w:rPr>
                <w:rFonts w:hint="default" w:ascii="Times New Roman" w:hAnsi="Times New Roman" w:eastAsia="Times New Roman" w:cs="Times New Roman"/>
                <w:snapToGrid w:val="0"/>
                <w:color w:val="000000"/>
                <w:spacing w:val="11"/>
                <w:kern w:val="0"/>
                <w:position w:val="0"/>
                <w:sz w:val="24"/>
                <w:szCs w:val="24"/>
                <w:lang w:eastAsia="en-US"/>
              </w:rPr>
              <w:t>D</w:t>
            </w:r>
            <w:r>
              <w:rPr>
                <w:rFonts w:hint="default" w:ascii="Times New Roman" w:hAnsi="Times New Roman" w:eastAsia="Times New Roman" w:cs="Times New Roman"/>
                <w:snapToGrid w:val="0"/>
                <w:color w:val="000000"/>
                <w:spacing w:val="11"/>
                <w:kern w:val="0"/>
                <w:position w:val="0"/>
                <w:sz w:val="24"/>
                <w:szCs w:val="24"/>
                <w:vertAlign w:val="subscript"/>
                <w:lang w:eastAsia="en-US"/>
              </w:rPr>
              <w:t>3</w:t>
            </w:r>
            <w:r>
              <w:rPr>
                <w:rFonts w:hint="default" w:ascii="Times New Roman" w:hAnsi="Times New Roman" w:eastAsia="Times New Roman" w:cs="Times New Roman"/>
                <w:snapToGrid w:val="0"/>
                <w:color w:val="000000"/>
                <w:spacing w:val="11"/>
                <w:kern w:val="0"/>
                <w:position w:val="0"/>
                <w:sz w:val="24"/>
                <w:szCs w:val="24"/>
                <w:lang w:eastAsia="en-US"/>
              </w:rPr>
              <w:t>o</w:t>
            </w:r>
            <w:r>
              <w:rPr>
                <w:rFonts w:hint="default" w:ascii="Times New Roman" w:hAnsi="Times New Roman" w:eastAsia="新宋体" w:cs="Times New Roman"/>
                <w:snapToGrid w:val="0"/>
                <w:color w:val="000000"/>
                <w:spacing w:val="11"/>
                <w:kern w:val="0"/>
                <w:position w:val="0"/>
                <w:sz w:val="24"/>
                <w:szCs w:val="24"/>
                <w:lang w:eastAsia="en-US"/>
              </w:rPr>
              <w:t>）：分布于</w:t>
            </w:r>
            <w:r>
              <w:rPr>
                <w:rFonts w:hint="default" w:ascii="Times New Roman" w:hAnsi="Times New Roman" w:eastAsia="宋体" w:cs="Times New Roman"/>
                <w:snapToGrid w:val="0"/>
                <w:color w:val="000000"/>
                <w:spacing w:val="11"/>
                <w:kern w:val="0"/>
                <w:position w:val="0"/>
                <w:sz w:val="24"/>
                <w:szCs w:val="24"/>
                <w:lang w:eastAsia="en-US"/>
              </w:rPr>
              <w:t>矿</w:t>
            </w:r>
            <w:r>
              <w:rPr>
                <w:rFonts w:hint="default" w:ascii="Times New Roman" w:hAnsi="Times New Roman" w:eastAsia="新宋体" w:cs="Times New Roman"/>
                <w:snapToGrid w:val="0"/>
                <w:color w:val="000000"/>
                <w:spacing w:val="11"/>
                <w:kern w:val="0"/>
                <w:position w:val="0"/>
                <w:sz w:val="24"/>
                <w:szCs w:val="24"/>
                <w:lang w:eastAsia="en-US"/>
              </w:rPr>
              <w:t>区外围东北角，上部以石英砂岩、粉砂岩为主，夹砂质页岩；下部以粉砂岩、黑色粉砂质页岩为主，厚</w:t>
            </w:r>
            <w:r>
              <w:rPr>
                <w:rFonts w:hint="default" w:ascii="Times New Roman" w:hAnsi="Times New Roman" w:eastAsia="Times New Roman" w:cs="Times New Roman"/>
                <w:snapToGrid w:val="0"/>
                <w:color w:val="000000"/>
                <w:spacing w:val="11"/>
                <w:kern w:val="0"/>
                <w:position w:val="0"/>
                <w:sz w:val="24"/>
                <w:szCs w:val="24"/>
                <w:lang w:eastAsia="en-US"/>
              </w:rPr>
              <w:t>97m</w:t>
            </w:r>
            <w:r>
              <w:rPr>
                <w:rFonts w:hint="default" w:ascii="Times New Roman" w:hAnsi="Times New Roman" w:eastAsia="新宋体" w:cs="Times New Roman"/>
                <w:snapToGrid w:val="0"/>
                <w:color w:val="000000"/>
                <w:spacing w:val="11"/>
                <w:kern w:val="0"/>
                <w:position w:val="0"/>
                <w:sz w:val="24"/>
                <w:szCs w:val="24"/>
                <w:lang w:eastAsia="en-US"/>
              </w:rPr>
              <w:t>。与上覆地层呈断层接触。</w:t>
            </w:r>
          </w:p>
          <w:p w14:paraId="74686C2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4" w:firstLineChars="200"/>
              <w:jc w:val="both"/>
              <w:textAlignment w:val="baseline"/>
              <w:rPr>
                <w:rFonts w:hint="eastAsia" w:ascii="Times New Roman" w:hAnsi="Times New Roman" w:eastAsia="新宋体" w:cs="Times New Roman"/>
                <w:color w:val="auto"/>
                <w:spacing w:val="11"/>
                <w:position w:val="0"/>
                <w:sz w:val="24"/>
                <w:szCs w:val="24"/>
                <w:highlight w:val="none"/>
                <w:u w:val="none" w:color="auto"/>
                <w:lang w:val="en-US" w:eastAsia="zh-CN"/>
              </w:rPr>
            </w:pPr>
            <w:r>
              <w:rPr>
                <w:rFonts w:hint="default" w:ascii="Times New Roman" w:hAnsi="Times New Roman" w:eastAsia="新宋体" w:cs="Times New Roman"/>
                <w:snapToGrid w:val="0"/>
                <w:color w:val="000000"/>
                <w:spacing w:val="11"/>
                <w:kern w:val="0"/>
                <w:position w:val="0"/>
                <w:sz w:val="24"/>
                <w:szCs w:val="24"/>
                <w:lang w:val="en-US" w:eastAsia="zh-CN"/>
              </w:rPr>
              <w:t>e.</w:t>
            </w:r>
            <w:r>
              <w:rPr>
                <w:rFonts w:hint="default" w:ascii="Times New Roman" w:hAnsi="Times New Roman" w:eastAsia="新宋体" w:cs="Times New Roman"/>
                <w:snapToGrid w:val="0"/>
                <w:color w:val="000000"/>
                <w:spacing w:val="11"/>
                <w:kern w:val="0"/>
                <w:position w:val="0"/>
                <w:sz w:val="24"/>
                <w:szCs w:val="24"/>
                <w:lang w:eastAsia="en-US"/>
              </w:rPr>
              <w:t>石炭系下统马栏边组（</w:t>
            </w:r>
            <w:r>
              <w:rPr>
                <w:rFonts w:hint="default" w:ascii="Times New Roman" w:hAnsi="Times New Roman" w:eastAsia="Times New Roman" w:cs="Times New Roman"/>
                <w:snapToGrid w:val="0"/>
                <w:color w:val="000000"/>
                <w:spacing w:val="11"/>
                <w:kern w:val="0"/>
                <w:position w:val="0"/>
                <w:sz w:val="24"/>
                <w:szCs w:val="24"/>
                <w:lang w:eastAsia="en-US"/>
              </w:rPr>
              <w:t>C</w:t>
            </w:r>
            <w:r>
              <w:rPr>
                <w:rFonts w:hint="default" w:ascii="Times New Roman" w:hAnsi="Times New Roman" w:eastAsia="Times New Roman" w:cs="Times New Roman"/>
                <w:snapToGrid w:val="0"/>
                <w:color w:val="000000"/>
                <w:spacing w:val="11"/>
                <w:kern w:val="0"/>
                <w:position w:val="0"/>
                <w:sz w:val="24"/>
                <w:szCs w:val="24"/>
                <w:vertAlign w:val="subscript"/>
                <w:lang w:eastAsia="en-US"/>
              </w:rPr>
              <w:t>1</w:t>
            </w:r>
            <w:r>
              <w:rPr>
                <w:rFonts w:hint="default" w:ascii="Times New Roman" w:hAnsi="Times New Roman" w:eastAsia="Times New Roman" w:cs="Times New Roman"/>
                <w:snapToGrid w:val="0"/>
                <w:color w:val="000000"/>
                <w:spacing w:val="11"/>
                <w:kern w:val="0"/>
                <w:position w:val="0"/>
                <w:sz w:val="24"/>
                <w:szCs w:val="24"/>
                <w:lang w:eastAsia="en-US"/>
              </w:rPr>
              <w:t>m</w:t>
            </w:r>
            <w:r>
              <w:rPr>
                <w:rFonts w:hint="default" w:ascii="Times New Roman" w:hAnsi="Times New Roman" w:eastAsia="新宋体" w:cs="Times New Roman"/>
                <w:snapToGrid w:val="0"/>
                <w:color w:val="000000"/>
                <w:spacing w:val="11"/>
                <w:kern w:val="0"/>
                <w:position w:val="0"/>
                <w:sz w:val="24"/>
                <w:szCs w:val="24"/>
                <w:lang w:eastAsia="en-US"/>
              </w:rPr>
              <w:t>）：分布于</w:t>
            </w:r>
            <w:r>
              <w:rPr>
                <w:rFonts w:hint="default" w:ascii="Times New Roman" w:hAnsi="Times New Roman" w:eastAsia="宋体" w:cs="Times New Roman"/>
                <w:snapToGrid w:val="0"/>
                <w:color w:val="000000"/>
                <w:spacing w:val="11"/>
                <w:kern w:val="0"/>
                <w:position w:val="0"/>
                <w:sz w:val="24"/>
                <w:szCs w:val="24"/>
                <w:lang w:eastAsia="en-US"/>
              </w:rPr>
              <w:t>矿</w:t>
            </w:r>
            <w:r>
              <w:rPr>
                <w:rFonts w:hint="default" w:ascii="Times New Roman" w:hAnsi="Times New Roman" w:eastAsia="新宋体" w:cs="Times New Roman"/>
                <w:snapToGrid w:val="0"/>
                <w:color w:val="000000"/>
                <w:spacing w:val="11"/>
                <w:kern w:val="0"/>
                <w:position w:val="0"/>
                <w:sz w:val="24"/>
                <w:szCs w:val="24"/>
                <w:lang w:eastAsia="en-US"/>
              </w:rPr>
              <w:t>区外围北部，顶部为微层泥灰岩与粉晶灰岩互层；上部以深灰色厚</w:t>
            </w:r>
            <w:r>
              <w:rPr>
                <w:rFonts w:hint="default" w:ascii="Times New Roman" w:hAnsi="Times New Roman" w:eastAsia="Times New Roman" w:cs="Times New Roman"/>
                <w:snapToGrid w:val="0"/>
                <w:color w:val="000000"/>
                <w:spacing w:val="11"/>
                <w:kern w:val="0"/>
                <w:position w:val="0"/>
                <w:sz w:val="24"/>
                <w:szCs w:val="24"/>
                <w:lang w:eastAsia="en-US"/>
              </w:rPr>
              <w:t>-</w:t>
            </w:r>
            <w:r>
              <w:rPr>
                <w:rFonts w:hint="default" w:ascii="Times New Roman" w:hAnsi="Times New Roman" w:eastAsia="新宋体" w:cs="Times New Roman"/>
                <w:snapToGrid w:val="0"/>
                <w:color w:val="000000"/>
                <w:spacing w:val="11"/>
                <w:kern w:val="0"/>
                <w:position w:val="0"/>
                <w:sz w:val="24"/>
                <w:szCs w:val="24"/>
                <w:lang w:eastAsia="en-US"/>
              </w:rPr>
              <w:t>巨厚层状白云质灰岩和粉晶灰岩为主；中部为深灰色厚层生物屑泥晶灰岩夹灰</w:t>
            </w:r>
            <w:r>
              <w:rPr>
                <w:rFonts w:hint="default" w:ascii="Times New Roman" w:hAnsi="Times New Roman" w:eastAsia="Times New Roman" w:cs="Times New Roman"/>
                <w:snapToGrid w:val="0"/>
                <w:color w:val="000000"/>
                <w:spacing w:val="11"/>
                <w:kern w:val="0"/>
                <w:position w:val="0"/>
                <w:sz w:val="24"/>
                <w:szCs w:val="24"/>
                <w:lang w:eastAsia="en-US"/>
              </w:rPr>
              <w:t>-</w:t>
            </w:r>
            <w:r>
              <w:rPr>
                <w:rFonts w:hint="default" w:ascii="Times New Roman" w:hAnsi="Times New Roman" w:eastAsia="新宋体" w:cs="Times New Roman"/>
                <w:snapToGrid w:val="0"/>
                <w:color w:val="000000"/>
                <w:spacing w:val="11"/>
                <w:kern w:val="0"/>
                <w:position w:val="0"/>
                <w:sz w:val="24"/>
                <w:szCs w:val="24"/>
                <w:lang w:eastAsia="en-US"/>
              </w:rPr>
              <w:t>深灰色厚</w:t>
            </w:r>
            <w:r>
              <w:rPr>
                <w:rFonts w:hint="default" w:ascii="Times New Roman" w:hAnsi="Times New Roman" w:eastAsia="Times New Roman" w:cs="Times New Roman"/>
                <w:snapToGrid w:val="0"/>
                <w:color w:val="000000"/>
                <w:spacing w:val="11"/>
                <w:kern w:val="0"/>
                <w:position w:val="0"/>
                <w:sz w:val="24"/>
                <w:szCs w:val="24"/>
                <w:lang w:eastAsia="en-US"/>
              </w:rPr>
              <w:t>-</w:t>
            </w:r>
            <w:r>
              <w:rPr>
                <w:rFonts w:hint="default" w:ascii="Times New Roman" w:hAnsi="Times New Roman" w:eastAsia="新宋体" w:cs="Times New Roman"/>
                <w:snapToGrid w:val="0"/>
                <w:color w:val="000000"/>
                <w:spacing w:val="11"/>
                <w:kern w:val="0"/>
                <w:position w:val="0"/>
                <w:sz w:val="24"/>
                <w:szCs w:val="24"/>
                <w:lang w:eastAsia="en-US"/>
              </w:rPr>
              <w:t>巨厚层状含云灰岩和白云质灰岩；下部以深灰色厚</w:t>
            </w:r>
            <w:r>
              <w:rPr>
                <w:rFonts w:hint="default" w:ascii="Times New Roman" w:hAnsi="Times New Roman" w:eastAsia="Times New Roman" w:cs="Times New Roman"/>
                <w:snapToGrid w:val="0"/>
                <w:color w:val="000000"/>
                <w:spacing w:val="11"/>
                <w:kern w:val="0"/>
                <w:position w:val="0"/>
                <w:sz w:val="24"/>
                <w:szCs w:val="24"/>
                <w:lang w:eastAsia="en-US"/>
              </w:rPr>
              <w:t>-</w:t>
            </w:r>
            <w:r>
              <w:rPr>
                <w:rFonts w:hint="default" w:ascii="Times New Roman" w:hAnsi="Times New Roman" w:eastAsia="新宋体" w:cs="Times New Roman"/>
                <w:snapToGrid w:val="0"/>
                <w:color w:val="000000"/>
                <w:spacing w:val="11"/>
                <w:kern w:val="0"/>
                <w:position w:val="0"/>
                <w:sz w:val="24"/>
                <w:szCs w:val="24"/>
                <w:lang w:eastAsia="en-US"/>
              </w:rPr>
              <w:t>巨厚层状生物屑泥晶灰岩、砂屑泥晶灰岩和砂屑灰岩为主</w:t>
            </w:r>
            <w:r>
              <w:rPr>
                <w:rFonts w:hint="eastAsia" w:eastAsia="新宋体" w:cs="Times New Roman"/>
                <w:snapToGrid w:val="0"/>
                <w:color w:val="000000"/>
                <w:spacing w:val="11"/>
                <w:kern w:val="0"/>
                <w:position w:val="0"/>
                <w:sz w:val="24"/>
                <w:szCs w:val="24"/>
                <w:lang w:eastAsia="zh-CN"/>
              </w:rPr>
              <w:t>。</w:t>
            </w:r>
          </w:p>
          <w:p w14:paraId="7D3C95C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2）构造</w:t>
            </w:r>
          </w:p>
          <w:p w14:paraId="373FBC3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区内为一单斜构造，地层走向NE，倾向135~160°，倾角一般15~30°。褶皱构造不发育，断裂构造较发育。</w:t>
            </w:r>
          </w:p>
          <w:p w14:paraId="65B9779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矿区外围北侧、东侧发育有F1、F2和F3三条断裂构造，其中北侧F1断层和F2断层距矿区最近约150m，东侧F3断层距矿区最近约40m。F1断层呈南北向展布，断层性质不明；F2断层呈NE向展布，属走向平移断层；F3断层呈南北向展布，属逆断层，断层面倾向SW，倾角约60°，经ZK103孔揭控，该断层深部未穿过勘查区。矿区内未见断层碎裂带，断裂构造对区内矿石质量及矿山开采无影响。</w:t>
            </w:r>
          </w:p>
          <w:p w14:paraId="60C9C38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区内岩体的构造节理裂隙发育，共发育4组节理裂隙。</w:t>
            </w:r>
          </w:p>
          <w:p w14:paraId="663401D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综上所述，本区构造复杂程度属中等类型。</w:t>
            </w:r>
          </w:p>
          <w:p w14:paraId="618C2ED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3）矿体特征</w:t>
            </w:r>
          </w:p>
          <w:p w14:paraId="4E0E47B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矿区内共查明建筑石料用灰岩矿体1个，赋存于泥盆系上统佘田桥组（D</w:t>
            </w:r>
            <w:r>
              <w:rPr>
                <w:rFonts w:hint="default" w:ascii="Times New Roman" w:hAnsi="Times New Roman" w:cs="Times New Roman"/>
                <w:color w:val="auto"/>
                <w:spacing w:val="11"/>
                <w:position w:val="0"/>
                <w:sz w:val="24"/>
                <w:szCs w:val="22"/>
                <w:highlight w:val="none"/>
                <w:u w:val="none" w:color="auto"/>
                <w:vertAlign w:val="subscript"/>
                <w:lang w:val="en-US" w:eastAsia="zh-CN"/>
              </w:rPr>
              <w:t>3</w:t>
            </w:r>
            <w:r>
              <w:rPr>
                <w:rFonts w:hint="default" w:ascii="Times New Roman" w:hAnsi="Times New Roman" w:cs="Times New Roman"/>
                <w:color w:val="auto"/>
                <w:spacing w:val="11"/>
                <w:position w:val="0"/>
                <w:sz w:val="24"/>
                <w:szCs w:val="22"/>
                <w:highlight w:val="none"/>
                <w:u w:val="none" w:color="auto"/>
                <w:lang w:val="en-US" w:eastAsia="zh-CN"/>
              </w:rPr>
              <w:t>s）。矿体岩性主要为浅灰色～深灰色中厚-巨厚层状灰岩，微晶～中晶结构，具块状构造，局部夹褐红色、肉红色厚层-巨厚层状白云质灰岩、角砾状白云质灰岩。</w:t>
            </w:r>
          </w:p>
          <w:p w14:paraId="307F343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矿体平面呈不规则多边形，矿层产状与地层产状一致，矿体走向NE，倾向135～160°</w:t>
            </w:r>
            <w:r>
              <w:rPr>
                <w:rFonts w:hint="eastAsia" w:ascii="Times New Roman" w:hAnsi="Times New Roman" w:cs="Times New Roman"/>
                <w:color w:val="auto"/>
                <w:spacing w:val="11"/>
                <w:position w:val="0"/>
                <w:sz w:val="24"/>
                <w:szCs w:val="22"/>
                <w:highlight w:val="none"/>
                <w:u w:val="none" w:color="auto"/>
                <w:lang w:val="en-US" w:eastAsia="zh-CN"/>
              </w:rPr>
              <w:t>，</w:t>
            </w:r>
            <w:r>
              <w:rPr>
                <w:rFonts w:hint="default" w:ascii="Times New Roman" w:hAnsi="Times New Roman" w:cs="Times New Roman"/>
                <w:color w:val="auto"/>
                <w:spacing w:val="11"/>
                <w:position w:val="0"/>
                <w:sz w:val="24"/>
                <w:szCs w:val="22"/>
                <w:highlight w:val="none"/>
                <w:u w:val="none" w:color="auto"/>
                <w:lang w:val="en-US" w:eastAsia="zh-CN"/>
              </w:rPr>
              <w:t>倾角一般15～30°</w:t>
            </w:r>
            <w:r>
              <w:rPr>
                <w:rFonts w:hint="eastAsia" w:ascii="Times New Roman" w:hAnsi="Times New Roman" w:cs="Times New Roman"/>
                <w:color w:val="auto"/>
                <w:spacing w:val="11"/>
                <w:position w:val="0"/>
                <w:sz w:val="24"/>
                <w:szCs w:val="22"/>
                <w:highlight w:val="none"/>
                <w:u w:val="none" w:color="auto"/>
                <w:lang w:val="en-US" w:eastAsia="zh-CN"/>
              </w:rPr>
              <w:t>，</w:t>
            </w:r>
            <w:r>
              <w:rPr>
                <w:rFonts w:hint="default" w:ascii="Times New Roman" w:hAnsi="Times New Roman" w:cs="Times New Roman"/>
                <w:color w:val="auto"/>
                <w:spacing w:val="11"/>
                <w:position w:val="0"/>
                <w:sz w:val="24"/>
                <w:szCs w:val="22"/>
                <w:highlight w:val="none"/>
                <w:u w:val="none" w:color="auto"/>
                <w:lang w:val="en-US" w:eastAsia="zh-CN"/>
              </w:rPr>
              <w:t>矿体中未见夹层。矿区内矿体走向长0～343m，倾向宽0～520m，矿体厚度0~70.0m，垂直厚度随地形变化而变化，矿体规模属小型。</w:t>
            </w:r>
          </w:p>
          <w:p w14:paraId="465506B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（5）矿石特征</w:t>
            </w:r>
          </w:p>
          <w:p w14:paraId="7B6656E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①矿石结构、构造</w:t>
            </w:r>
          </w:p>
          <w:p w14:paraId="770FCF6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矿区内矿石分为灰岩矿石和白云质灰岩矿石两类。灰岩矿石结构主要为微晶结构，局部极少量矿石结构为中晶结构；白云质灰岩矿石结构主要为粗晶结构和角砾状结构。</w:t>
            </w:r>
          </w:p>
          <w:p w14:paraId="2D1173E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矿区内的矿石构造主要有中厚～厚层状构造、块状构造。</w:t>
            </w:r>
          </w:p>
          <w:p w14:paraId="7C095F0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②矿石矿物成分</w:t>
            </w:r>
          </w:p>
          <w:p w14:paraId="32CFDAC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灰岩矿石主要由方解石(&gt;90-98%）组成，混入极少量粘土矿物、氧化铁、钙质生物屑等杂质（＜2-10%）；白云质灰岩主要由碳酸盐矿物(&gt;95%）组成，混入极少量粘土矿物、氧化铁（＜5%）；角砾状白云质灰岩主要由角砾（50%左右）和胶结物（50%左右）组成，角砾成分单一，为粗晶云质灰岩，胶结物为方解石。</w:t>
            </w:r>
          </w:p>
          <w:p w14:paraId="0E713A1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eastAsia" w:ascii="Times New Roman" w:hAnsi="Times New Roman" w:cs="Times New Roman"/>
                <w:color w:val="auto"/>
                <w:spacing w:val="11"/>
                <w:position w:val="0"/>
                <w:sz w:val="24"/>
                <w:szCs w:val="22"/>
                <w:highlight w:val="none"/>
                <w:u w:val="none" w:color="auto"/>
                <w:lang w:val="en-US" w:eastAsia="zh-CN"/>
              </w:rPr>
              <w:t>③矿石化学成分</w:t>
            </w:r>
          </w:p>
          <w:p w14:paraId="73CFC44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u w:val="none" w:color="auto"/>
                <w:lang w:val="en-US" w:eastAsia="zh-CN"/>
              </w:rPr>
            </w:pPr>
            <w:r>
              <w:rPr>
                <w:rFonts w:hint="default" w:ascii="Times New Roman" w:hAnsi="Times New Roman" w:cs="Times New Roman"/>
                <w:color w:val="auto"/>
                <w:spacing w:val="11"/>
                <w:position w:val="0"/>
                <w:sz w:val="24"/>
                <w:szCs w:val="24"/>
                <w:highlight w:val="none"/>
                <w:u w:val="none" w:color="auto"/>
                <w:lang w:val="en-US" w:eastAsia="zh-CN"/>
              </w:rPr>
              <w:t>勘查工作对区内灰岩和白云质灰岩具有代表性的9件样品作了多元素分析，测试分析结果见表</w:t>
            </w:r>
            <w:r>
              <w:rPr>
                <w:rFonts w:hint="eastAsia" w:ascii="Times New Roman" w:hAnsi="Times New Roman" w:cs="Times New Roman"/>
                <w:color w:val="auto"/>
                <w:spacing w:val="11"/>
                <w:position w:val="0"/>
                <w:sz w:val="24"/>
                <w:szCs w:val="24"/>
                <w:highlight w:val="none"/>
                <w:u w:val="none" w:color="auto"/>
                <w:lang w:val="en-US" w:eastAsia="zh-CN"/>
              </w:rPr>
              <w:t>2-7</w:t>
            </w:r>
            <w:r>
              <w:rPr>
                <w:rFonts w:hint="default" w:ascii="Times New Roman" w:hAnsi="Times New Roman" w:cs="Times New Roman"/>
                <w:color w:val="auto"/>
                <w:spacing w:val="11"/>
                <w:position w:val="0"/>
                <w:sz w:val="24"/>
                <w:szCs w:val="24"/>
                <w:highlight w:val="none"/>
                <w:u w:val="none" w:color="auto"/>
                <w:lang w:val="en-US" w:eastAsia="zh-CN"/>
              </w:rPr>
              <w:t>。建筑石料用灰岩矿符合《矿产地质勘查规范建筑石料类》(DZ/T0341—2020）中细骨料Ⅱ类质量指标要求（Ⅱ类质量等级Cl-≤0.02%）。</w:t>
            </w:r>
          </w:p>
          <w:p w14:paraId="481CD56F">
            <w:pPr>
              <w:spacing w:line="240" w:lineRule="auto"/>
              <w:ind w:left="0" w:leftChars="0" w:firstLine="0" w:firstLineChars="0"/>
              <w:jc w:val="center"/>
              <w:rPr>
                <w:rFonts w:hint="eastAsia" w:ascii="Times New Roman" w:hAnsi="Times New Roman" w:cs="Times New Roman"/>
                <w:b/>
                <w:bCs/>
                <w:color w:val="auto"/>
                <w:spacing w:val="11"/>
                <w:position w:val="0"/>
                <w:sz w:val="21"/>
                <w:szCs w:val="20"/>
                <w:highlight w:val="none"/>
                <w:u w:val="none" w:color="auto"/>
                <w:lang w:val="en-US" w:eastAsia="zh-CN"/>
              </w:rPr>
            </w:pPr>
            <w:r>
              <w:rPr>
                <w:rFonts w:hint="eastAsia" w:ascii="Times New Roman" w:hAnsi="Times New Roman" w:cs="Times New Roman"/>
                <w:b/>
                <w:bCs/>
                <w:color w:val="auto"/>
                <w:spacing w:val="11"/>
                <w:position w:val="0"/>
                <w:sz w:val="21"/>
                <w:szCs w:val="20"/>
                <w:highlight w:val="none"/>
                <w:u w:val="none" w:color="auto"/>
                <w:lang w:val="en-US" w:eastAsia="zh-CN"/>
              </w:rPr>
              <w:t>表2-7  新田县文锋岭矿区多元素分析结果表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376"/>
              <w:gridCol w:w="577"/>
              <w:gridCol w:w="577"/>
              <w:gridCol w:w="518"/>
              <w:gridCol w:w="597"/>
              <w:gridCol w:w="577"/>
              <w:gridCol w:w="577"/>
              <w:gridCol w:w="577"/>
              <w:gridCol w:w="597"/>
              <w:gridCol w:w="578"/>
              <w:gridCol w:w="578"/>
              <w:gridCol w:w="578"/>
              <w:gridCol w:w="578"/>
            </w:tblGrid>
            <w:tr w14:paraId="2DB34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8" w:type="pct"/>
                  <w:vMerge w:val="restart"/>
                  <w:tcBorders>
                    <w:tl2br w:val="nil"/>
                    <w:tr2bl w:val="nil"/>
                  </w:tcBorders>
                  <w:vAlign w:val="center"/>
                </w:tcPr>
                <w:p w14:paraId="067F2EB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样品编号</w:t>
                  </w:r>
                </w:p>
              </w:tc>
              <w:tc>
                <w:tcPr>
                  <w:tcW w:w="223" w:type="pct"/>
                  <w:vMerge w:val="restart"/>
                  <w:tcBorders>
                    <w:tl2br w:val="nil"/>
                    <w:tr2bl w:val="nil"/>
                  </w:tcBorders>
                  <w:vAlign w:val="center"/>
                </w:tcPr>
                <w:p w14:paraId="47C5173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矿石名称</w:t>
                  </w:r>
                </w:p>
              </w:tc>
              <w:tc>
                <w:tcPr>
                  <w:tcW w:w="4107" w:type="pct"/>
                  <w:gridSpan w:val="12"/>
                  <w:tcBorders>
                    <w:tl2br w:val="nil"/>
                    <w:tr2bl w:val="nil"/>
                  </w:tcBorders>
                  <w:vAlign w:val="center"/>
                </w:tcPr>
                <w:p w14:paraId="614BF77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分析元素及结果(%)</w:t>
                  </w:r>
                </w:p>
              </w:tc>
            </w:tr>
            <w:tr w14:paraId="61AE7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68" w:type="pct"/>
                  <w:vMerge w:val="continue"/>
                  <w:tcBorders>
                    <w:tl2br w:val="nil"/>
                    <w:tr2bl w:val="nil"/>
                  </w:tcBorders>
                  <w:vAlign w:val="center"/>
                </w:tcPr>
                <w:p w14:paraId="05AD353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p>
              </w:tc>
              <w:tc>
                <w:tcPr>
                  <w:tcW w:w="223" w:type="pct"/>
                  <w:vMerge w:val="continue"/>
                  <w:tcBorders>
                    <w:tl2br w:val="nil"/>
                    <w:tr2bl w:val="nil"/>
                  </w:tcBorders>
                  <w:vAlign w:val="center"/>
                </w:tcPr>
                <w:p w14:paraId="6819F6B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p>
              </w:tc>
              <w:tc>
                <w:tcPr>
                  <w:tcW w:w="343" w:type="pct"/>
                  <w:tcBorders>
                    <w:tl2br w:val="nil"/>
                    <w:tr2bl w:val="nil"/>
                  </w:tcBorders>
                  <w:vAlign w:val="center"/>
                </w:tcPr>
                <w:p w14:paraId="603A33A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CaO</w:t>
                  </w:r>
                </w:p>
              </w:tc>
              <w:tc>
                <w:tcPr>
                  <w:tcW w:w="343" w:type="pct"/>
                  <w:tcBorders>
                    <w:tl2br w:val="nil"/>
                    <w:tr2bl w:val="nil"/>
                  </w:tcBorders>
                  <w:vAlign w:val="center"/>
                </w:tcPr>
                <w:p w14:paraId="529CBB8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MgO</w:t>
                  </w:r>
                </w:p>
              </w:tc>
              <w:tc>
                <w:tcPr>
                  <w:tcW w:w="307" w:type="pct"/>
                  <w:tcBorders>
                    <w:tl2br w:val="nil"/>
                    <w:tr2bl w:val="nil"/>
                  </w:tcBorders>
                  <w:vAlign w:val="center"/>
                </w:tcPr>
                <w:p w14:paraId="23C3A5C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SiO</w:t>
                  </w:r>
                  <w:r>
                    <w:rPr>
                      <w:rFonts w:hint="default" w:ascii="Times New Roman" w:hAnsi="Times New Roman" w:eastAsia="宋体" w:cs="Times New Roman"/>
                      <w:color w:val="auto"/>
                      <w:kern w:val="0"/>
                      <w:sz w:val="21"/>
                      <w:szCs w:val="21"/>
                      <w:vertAlign w:val="subscript"/>
                      <w:lang w:bidi="ar"/>
                    </w:rPr>
                    <w:t>2</w:t>
                  </w:r>
                </w:p>
              </w:tc>
              <w:tc>
                <w:tcPr>
                  <w:tcW w:w="354" w:type="pct"/>
                  <w:tcBorders>
                    <w:tl2br w:val="nil"/>
                    <w:tr2bl w:val="nil"/>
                  </w:tcBorders>
                  <w:vAlign w:val="center"/>
                </w:tcPr>
                <w:p w14:paraId="3D43EF0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Al</w:t>
                  </w:r>
                  <w:r>
                    <w:rPr>
                      <w:rFonts w:hint="default" w:ascii="Times New Roman" w:hAnsi="Times New Roman" w:eastAsia="宋体" w:cs="Times New Roman"/>
                      <w:color w:val="auto"/>
                      <w:kern w:val="0"/>
                      <w:sz w:val="21"/>
                      <w:szCs w:val="21"/>
                      <w:vertAlign w:val="subscript"/>
                      <w:lang w:bidi="ar"/>
                    </w:rPr>
                    <w:t>2</w:t>
                  </w:r>
                  <w:r>
                    <w:rPr>
                      <w:rFonts w:hint="default" w:ascii="Times New Roman" w:hAnsi="Times New Roman" w:eastAsia="宋体" w:cs="Times New Roman"/>
                      <w:color w:val="auto"/>
                      <w:kern w:val="0"/>
                      <w:sz w:val="21"/>
                      <w:szCs w:val="21"/>
                      <w:lang w:bidi="ar"/>
                    </w:rPr>
                    <w:t>O</w:t>
                  </w:r>
                  <w:r>
                    <w:rPr>
                      <w:rFonts w:hint="default" w:ascii="Times New Roman" w:hAnsi="Times New Roman" w:eastAsia="宋体" w:cs="Times New Roman"/>
                      <w:color w:val="auto"/>
                      <w:kern w:val="0"/>
                      <w:sz w:val="21"/>
                      <w:szCs w:val="21"/>
                      <w:vertAlign w:val="subscript"/>
                      <w:lang w:bidi="ar"/>
                    </w:rPr>
                    <w:t>3</w:t>
                  </w:r>
                </w:p>
              </w:tc>
              <w:tc>
                <w:tcPr>
                  <w:tcW w:w="343" w:type="pct"/>
                  <w:tcBorders>
                    <w:tl2br w:val="nil"/>
                    <w:tr2bl w:val="nil"/>
                  </w:tcBorders>
                  <w:vAlign w:val="center"/>
                </w:tcPr>
                <w:p w14:paraId="2C9CEDE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K</w:t>
                  </w:r>
                  <w:r>
                    <w:rPr>
                      <w:rFonts w:hint="default" w:ascii="Times New Roman" w:hAnsi="Times New Roman" w:eastAsia="宋体" w:cs="Times New Roman"/>
                      <w:color w:val="auto"/>
                      <w:kern w:val="0"/>
                      <w:sz w:val="21"/>
                      <w:szCs w:val="21"/>
                      <w:vertAlign w:val="subscript"/>
                      <w:lang w:bidi="ar"/>
                    </w:rPr>
                    <w:t>2</w:t>
                  </w:r>
                  <w:r>
                    <w:rPr>
                      <w:rFonts w:hint="default" w:ascii="Times New Roman" w:hAnsi="Times New Roman" w:eastAsia="宋体" w:cs="Times New Roman"/>
                      <w:color w:val="auto"/>
                      <w:kern w:val="0"/>
                      <w:sz w:val="21"/>
                      <w:szCs w:val="21"/>
                      <w:lang w:bidi="ar"/>
                    </w:rPr>
                    <w:t>O</w:t>
                  </w:r>
                </w:p>
              </w:tc>
              <w:tc>
                <w:tcPr>
                  <w:tcW w:w="343" w:type="pct"/>
                  <w:tcBorders>
                    <w:tl2br w:val="nil"/>
                    <w:tr2bl w:val="nil"/>
                  </w:tcBorders>
                  <w:vAlign w:val="center"/>
                </w:tcPr>
                <w:p w14:paraId="5ABBE3F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Na</w:t>
                  </w:r>
                  <w:r>
                    <w:rPr>
                      <w:rFonts w:hint="default" w:ascii="Times New Roman" w:hAnsi="Times New Roman" w:eastAsia="宋体" w:cs="Times New Roman"/>
                      <w:color w:val="auto"/>
                      <w:kern w:val="0"/>
                      <w:sz w:val="21"/>
                      <w:szCs w:val="21"/>
                      <w:vertAlign w:val="subscript"/>
                      <w:lang w:bidi="ar"/>
                    </w:rPr>
                    <w:t>2</w:t>
                  </w:r>
                  <w:r>
                    <w:rPr>
                      <w:rFonts w:hint="default" w:ascii="Times New Roman" w:hAnsi="Times New Roman" w:eastAsia="宋体" w:cs="Times New Roman"/>
                      <w:color w:val="auto"/>
                      <w:kern w:val="0"/>
                      <w:sz w:val="21"/>
                      <w:szCs w:val="21"/>
                      <w:lang w:bidi="ar"/>
                    </w:rPr>
                    <w:t>O</w:t>
                  </w:r>
                </w:p>
              </w:tc>
              <w:tc>
                <w:tcPr>
                  <w:tcW w:w="343" w:type="pct"/>
                  <w:tcBorders>
                    <w:tl2br w:val="nil"/>
                    <w:tr2bl w:val="nil"/>
                  </w:tcBorders>
                  <w:vAlign w:val="center"/>
                </w:tcPr>
                <w:p w14:paraId="20FC7F4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SO</w:t>
                  </w:r>
                  <w:r>
                    <w:rPr>
                      <w:rFonts w:hint="default" w:ascii="Times New Roman" w:hAnsi="Times New Roman" w:eastAsia="宋体" w:cs="Times New Roman"/>
                      <w:color w:val="auto"/>
                      <w:kern w:val="0"/>
                      <w:sz w:val="21"/>
                      <w:szCs w:val="21"/>
                      <w:vertAlign w:val="subscript"/>
                      <w:lang w:bidi="ar"/>
                    </w:rPr>
                    <w:t>3</w:t>
                  </w:r>
                </w:p>
              </w:tc>
              <w:tc>
                <w:tcPr>
                  <w:tcW w:w="354" w:type="pct"/>
                  <w:tcBorders>
                    <w:tl2br w:val="nil"/>
                    <w:tr2bl w:val="nil"/>
                  </w:tcBorders>
                  <w:vAlign w:val="center"/>
                </w:tcPr>
                <w:p w14:paraId="6B63675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Fe</w:t>
                  </w:r>
                  <w:r>
                    <w:rPr>
                      <w:rFonts w:hint="default" w:ascii="Times New Roman" w:hAnsi="Times New Roman" w:eastAsia="宋体" w:cs="Times New Roman"/>
                      <w:color w:val="auto"/>
                      <w:kern w:val="0"/>
                      <w:sz w:val="21"/>
                      <w:szCs w:val="21"/>
                      <w:vertAlign w:val="subscript"/>
                      <w:lang w:bidi="ar"/>
                    </w:rPr>
                    <w:t>2</w:t>
                  </w:r>
                  <w:r>
                    <w:rPr>
                      <w:rFonts w:hint="default" w:ascii="Times New Roman" w:hAnsi="Times New Roman" w:eastAsia="宋体" w:cs="Times New Roman"/>
                      <w:color w:val="auto"/>
                      <w:kern w:val="0"/>
                      <w:sz w:val="21"/>
                      <w:szCs w:val="21"/>
                      <w:lang w:bidi="ar"/>
                    </w:rPr>
                    <w:t>O</w:t>
                  </w:r>
                  <w:r>
                    <w:rPr>
                      <w:rFonts w:hint="default" w:ascii="Times New Roman" w:hAnsi="Times New Roman" w:eastAsia="宋体" w:cs="Times New Roman"/>
                      <w:color w:val="auto"/>
                      <w:kern w:val="0"/>
                      <w:sz w:val="21"/>
                      <w:szCs w:val="21"/>
                      <w:vertAlign w:val="subscript"/>
                      <w:lang w:bidi="ar"/>
                    </w:rPr>
                    <w:t>3</w:t>
                  </w:r>
                </w:p>
              </w:tc>
              <w:tc>
                <w:tcPr>
                  <w:tcW w:w="343" w:type="pct"/>
                  <w:tcBorders>
                    <w:tl2br w:val="nil"/>
                    <w:tr2bl w:val="nil"/>
                  </w:tcBorders>
                  <w:vAlign w:val="center"/>
                </w:tcPr>
                <w:p w14:paraId="40AB278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TiO</w:t>
                  </w:r>
                  <w:r>
                    <w:rPr>
                      <w:rFonts w:hint="default" w:ascii="Times New Roman" w:hAnsi="Times New Roman" w:eastAsia="宋体" w:cs="Times New Roman"/>
                      <w:color w:val="auto"/>
                      <w:kern w:val="0"/>
                      <w:sz w:val="21"/>
                      <w:szCs w:val="21"/>
                      <w:vertAlign w:val="subscript"/>
                      <w:lang w:bidi="ar"/>
                    </w:rPr>
                    <w:t>2</w:t>
                  </w:r>
                </w:p>
              </w:tc>
              <w:tc>
                <w:tcPr>
                  <w:tcW w:w="343" w:type="pct"/>
                  <w:tcBorders>
                    <w:tl2br w:val="nil"/>
                    <w:tr2bl w:val="nil"/>
                  </w:tcBorders>
                  <w:vAlign w:val="center"/>
                </w:tcPr>
                <w:p w14:paraId="6C32A36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P</w:t>
                  </w:r>
                  <w:r>
                    <w:rPr>
                      <w:rFonts w:hint="default" w:ascii="Times New Roman" w:hAnsi="Times New Roman" w:eastAsia="宋体" w:cs="Times New Roman"/>
                      <w:color w:val="auto"/>
                      <w:kern w:val="0"/>
                      <w:sz w:val="21"/>
                      <w:szCs w:val="21"/>
                      <w:vertAlign w:val="subscript"/>
                      <w:lang w:bidi="ar"/>
                    </w:rPr>
                    <w:t>2</w:t>
                  </w:r>
                  <w:r>
                    <w:rPr>
                      <w:rFonts w:hint="default" w:ascii="Times New Roman" w:hAnsi="Times New Roman" w:eastAsia="宋体" w:cs="Times New Roman"/>
                      <w:color w:val="auto"/>
                      <w:kern w:val="0"/>
                      <w:sz w:val="21"/>
                      <w:szCs w:val="21"/>
                      <w:lang w:bidi="ar"/>
                    </w:rPr>
                    <w:t>O</w:t>
                  </w:r>
                  <w:r>
                    <w:rPr>
                      <w:rFonts w:hint="default" w:ascii="Times New Roman" w:hAnsi="Times New Roman" w:eastAsia="宋体" w:cs="Times New Roman"/>
                      <w:color w:val="auto"/>
                      <w:kern w:val="0"/>
                      <w:sz w:val="21"/>
                      <w:szCs w:val="21"/>
                      <w:vertAlign w:val="subscript"/>
                      <w:lang w:bidi="ar"/>
                    </w:rPr>
                    <w:t>5</w:t>
                  </w:r>
                </w:p>
              </w:tc>
              <w:tc>
                <w:tcPr>
                  <w:tcW w:w="343" w:type="pct"/>
                  <w:tcBorders>
                    <w:tl2br w:val="nil"/>
                    <w:tr2bl w:val="nil"/>
                  </w:tcBorders>
                  <w:vAlign w:val="center"/>
                </w:tcPr>
                <w:p w14:paraId="0CCA5DA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Cl</w:t>
                  </w:r>
                  <w:r>
                    <w:rPr>
                      <w:rFonts w:hint="default" w:ascii="Times New Roman" w:hAnsi="Times New Roman" w:eastAsia="宋体" w:cs="Times New Roman"/>
                      <w:color w:val="auto"/>
                      <w:kern w:val="0"/>
                      <w:sz w:val="21"/>
                      <w:szCs w:val="21"/>
                      <w:vertAlign w:val="superscript"/>
                      <w:lang w:bidi="ar"/>
                    </w:rPr>
                    <w:t>-</w:t>
                  </w:r>
                </w:p>
              </w:tc>
              <w:tc>
                <w:tcPr>
                  <w:tcW w:w="343" w:type="pct"/>
                  <w:tcBorders>
                    <w:tl2br w:val="nil"/>
                    <w:tr2bl w:val="nil"/>
                  </w:tcBorders>
                  <w:vAlign w:val="center"/>
                </w:tcPr>
                <w:p w14:paraId="0D5D645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烧失量</w:t>
                  </w:r>
                </w:p>
              </w:tc>
            </w:tr>
            <w:tr w14:paraId="0BD04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8" w:type="pct"/>
                  <w:tcBorders>
                    <w:tl2br w:val="nil"/>
                    <w:tr2bl w:val="nil"/>
                  </w:tcBorders>
                  <w:shd w:val="clear" w:color="auto" w:fill="auto"/>
                  <w:vAlign w:val="center"/>
                </w:tcPr>
                <w:p w14:paraId="06EBBC6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ZK101-WX-2</w:t>
                  </w:r>
                </w:p>
              </w:tc>
              <w:tc>
                <w:tcPr>
                  <w:tcW w:w="223" w:type="pct"/>
                  <w:vMerge w:val="restart"/>
                  <w:tcBorders>
                    <w:tl2br w:val="nil"/>
                    <w:tr2bl w:val="nil"/>
                  </w:tcBorders>
                  <w:shd w:val="clear" w:color="auto" w:fill="auto"/>
                  <w:vAlign w:val="center"/>
                </w:tcPr>
                <w:p w14:paraId="4FB5EA2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灰岩</w:t>
                  </w:r>
                </w:p>
              </w:tc>
              <w:tc>
                <w:tcPr>
                  <w:tcW w:w="343" w:type="pct"/>
                  <w:tcBorders>
                    <w:tl2br w:val="nil"/>
                    <w:tr2bl w:val="nil"/>
                  </w:tcBorders>
                  <w:shd w:val="clear" w:color="auto" w:fill="auto"/>
                  <w:vAlign w:val="center"/>
                </w:tcPr>
                <w:p w14:paraId="5797280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48.66</w:t>
                  </w:r>
                </w:p>
              </w:tc>
              <w:tc>
                <w:tcPr>
                  <w:tcW w:w="343" w:type="pct"/>
                  <w:tcBorders>
                    <w:tl2br w:val="nil"/>
                    <w:tr2bl w:val="nil"/>
                  </w:tcBorders>
                  <w:shd w:val="clear" w:color="auto" w:fill="auto"/>
                  <w:vAlign w:val="center"/>
                </w:tcPr>
                <w:p w14:paraId="57E3EE0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3.64</w:t>
                  </w:r>
                </w:p>
              </w:tc>
              <w:tc>
                <w:tcPr>
                  <w:tcW w:w="307" w:type="pct"/>
                  <w:tcBorders>
                    <w:tl2br w:val="nil"/>
                    <w:tr2bl w:val="nil"/>
                  </w:tcBorders>
                  <w:shd w:val="clear" w:color="auto" w:fill="auto"/>
                  <w:vAlign w:val="center"/>
                </w:tcPr>
                <w:p w14:paraId="48180B4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0.63</w:t>
                  </w:r>
                </w:p>
              </w:tc>
              <w:tc>
                <w:tcPr>
                  <w:tcW w:w="354" w:type="pct"/>
                  <w:tcBorders>
                    <w:tl2br w:val="nil"/>
                    <w:tr2bl w:val="nil"/>
                  </w:tcBorders>
                  <w:shd w:val="clear" w:color="auto" w:fill="auto"/>
                  <w:vAlign w:val="center"/>
                </w:tcPr>
                <w:p w14:paraId="6902127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1.34</w:t>
                  </w:r>
                </w:p>
              </w:tc>
              <w:tc>
                <w:tcPr>
                  <w:tcW w:w="343" w:type="pct"/>
                  <w:tcBorders>
                    <w:tl2br w:val="nil"/>
                    <w:tr2bl w:val="nil"/>
                  </w:tcBorders>
                  <w:shd w:val="clear" w:color="auto" w:fill="FFFFFF"/>
                  <w:vAlign w:val="center"/>
                </w:tcPr>
                <w:p w14:paraId="3376EC6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0.183</w:t>
                  </w:r>
                </w:p>
              </w:tc>
              <w:tc>
                <w:tcPr>
                  <w:tcW w:w="343" w:type="pct"/>
                  <w:tcBorders>
                    <w:tl2br w:val="nil"/>
                    <w:tr2bl w:val="nil"/>
                  </w:tcBorders>
                  <w:shd w:val="clear" w:color="auto" w:fill="FFFFFF"/>
                  <w:vAlign w:val="center"/>
                </w:tcPr>
                <w:p w14:paraId="4FB5503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0.010</w:t>
                  </w:r>
                </w:p>
              </w:tc>
              <w:tc>
                <w:tcPr>
                  <w:tcW w:w="343" w:type="pct"/>
                  <w:tcBorders>
                    <w:tl2br w:val="nil"/>
                    <w:tr2bl w:val="nil"/>
                  </w:tcBorders>
                  <w:shd w:val="clear" w:color="auto" w:fill="FFFFFF"/>
                  <w:vAlign w:val="center"/>
                </w:tcPr>
                <w:p w14:paraId="4DAE21B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0.175</w:t>
                  </w:r>
                </w:p>
              </w:tc>
              <w:tc>
                <w:tcPr>
                  <w:tcW w:w="354" w:type="pct"/>
                  <w:tcBorders>
                    <w:tl2br w:val="nil"/>
                    <w:tr2bl w:val="nil"/>
                  </w:tcBorders>
                  <w:shd w:val="clear" w:color="auto" w:fill="FFFFFF"/>
                  <w:vAlign w:val="center"/>
                </w:tcPr>
                <w:p w14:paraId="7C416B6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0.45</w:t>
                  </w:r>
                </w:p>
              </w:tc>
              <w:tc>
                <w:tcPr>
                  <w:tcW w:w="343" w:type="pct"/>
                  <w:tcBorders>
                    <w:tl2br w:val="nil"/>
                    <w:tr2bl w:val="nil"/>
                  </w:tcBorders>
                  <w:shd w:val="clear" w:color="auto" w:fill="FFFFFF"/>
                  <w:vAlign w:val="center"/>
                </w:tcPr>
                <w:p w14:paraId="471414C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0.033</w:t>
                  </w:r>
                </w:p>
              </w:tc>
              <w:tc>
                <w:tcPr>
                  <w:tcW w:w="343" w:type="pct"/>
                  <w:tcBorders>
                    <w:tl2br w:val="nil"/>
                    <w:tr2bl w:val="nil"/>
                  </w:tcBorders>
                  <w:vAlign w:val="center"/>
                </w:tcPr>
                <w:p w14:paraId="6693FA2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0.024</w:t>
                  </w:r>
                </w:p>
              </w:tc>
              <w:tc>
                <w:tcPr>
                  <w:tcW w:w="343" w:type="pct"/>
                  <w:tcBorders>
                    <w:tl2br w:val="nil"/>
                    <w:tr2bl w:val="nil"/>
                  </w:tcBorders>
                  <w:vAlign w:val="center"/>
                </w:tcPr>
                <w:p w14:paraId="3878BD8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0.012</w:t>
                  </w:r>
                </w:p>
              </w:tc>
              <w:tc>
                <w:tcPr>
                  <w:tcW w:w="343" w:type="pct"/>
                  <w:tcBorders>
                    <w:tl2br w:val="nil"/>
                    <w:tr2bl w:val="nil"/>
                  </w:tcBorders>
                  <w:vAlign w:val="center"/>
                </w:tcPr>
                <w:p w14:paraId="7A97A90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41.90</w:t>
                  </w:r>
                </w:p>
              </w:tc>
            </w:tr>
            <w:tr w14:paraId="61413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8" w:type="pct"/>
                  <w:tcBorders>
                    <w:tl2br w:val="nil"/>
                    <w:tr2bl w:val="nil"/>
                  </w:tcBorders>
                  <w:shd w:val="clear" w:color="auto" w:fill="auto"/>
                  <w:vAlign w:val="center"/>
                </w:tcPr>
                <w:p w14:paraId="457B25A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ZK103-WX-6</w:t>
                  </w:r>
                </w:p>
              </w:tc>
              <w:tc>
                <w:tcPr>
                  <w:tcW w:w="223" w:type="pct"/>
                  <w:vMerge w:val="continue"/>
                  <w:tcBorders>
                    <w:tl2br w:val="nil"/>
                    <w:tr2bl w:val="nil"/>
                  </w:tcBorders>
                  <w:shd w:val="clear" w:color="auto" w:fill="auto"/>
                  <w:vAlign w:val="center"/>
                </w:tcPr>
                <w:p w14:paraId="08CF1DD5">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p>
              </w:tc>
              <w:tc>
                <w:tcPr>
                  <w:tcW w:w="343" w:type="pct"/>
                  <w:tcBorders>
                    <w:tl2br w:val="nil"/>
                    <w:tr2bl w:val="nil"/>
                  </w:tcBorders>
                  <w:shd w:val="clear" w:color="auto" w:fill="auto"/>
                  <w:vAlign w:val="center"/>
                </w:tcPr>
                <w:p w14:paraId="783BA39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51.88</w:t>
                  </w:r>
                </w:p>
              </w:tc>
              <w:tc>
                <w:tcPr>
                  <w:tcW w:w="343" w:type="pct"/>
                  <w:tcBorders>
                    <w:tl2br w:val="nil"/>
                    <w:tr2bl w:val="nil"/>
                  </w:tcBorders>
                  <w:shd w:val="clear" w:color="auto" w:fill="auto"/>
                  <w:vAlign w:val="center"/>
                </w:tcPr>
                <w:p w14:paraId="2E4C787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0.64</w:t>
                  </w:r>
                </w:p>
              </w:tc>
              <w:tc>
                <w:tcPr>
                  <w:tcW w:w="307" w:type="pct"/>
                  <w:tcBorders>
                    <w:tl2br w:val="nil"/>
                    <w:tr2bl w:val="nil"/>
                  </w:tcBorders>
                  <w:shd w:val="clear" w:color="auto" w:fill="auto"/>
                  <w:vAlign w:val="center"/>
                </w:tcPr>
                <w:p w14:paraId="652BC4A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4.25</w:t>
                  </w:r>
                </w:p>
              </w:tc>
              <w:tc>
                <w:tcPr>
                  <w:tcW w:w="354" w:type="pct"/>
                  <w:tcBorders>
                    <w:tl2br w:val="nil"/>
                    <w:tr2bl w:val="nil"/>
                  </w:tcBorders>
                  <w:shd w:val="clear" w:color="auto" w:fill="auto"/>
                  <w:vAlign w:val="center"/>
                </w:tcPr>
                <w:p w14:paraId="2CD3CC6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1.32</w:t>
                  </w:r>
                </w:p>
              </w:tc>
              <w:tc>
                <w:tcPr>
                  <w:tcW w:w="343" w:type="pct"/>
                  <w:tcBorders>
                    <w:tl2br w:val="nil"/>
                    <w:tr2bl w:val="nil"/>
                  </w:tcBorders>
                  <w:shd w:val="clear" w:color="auto" w:fill="FFFFFF"/>
                  <w:vAlign w:val="center"/>
                </w:tcPr>
                <w:p w14:paraId="26AEA90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0.203</w:t>
                  </w:r>
                </w:p>
              </w:tc>
              <w:tc>
                <w:tcPr>
                  <w:tcW w:w="343" w:type="pct"/>
                  <w:tcBorders>
                    <w:tl2br w:val="nil"/>
                    <w:tr2bl w:val="nil"/>
                  </w:tcBorders>
                  <w:shd w:val="clear" w:color="auto" w:fill="FFFFFF"/>
                  <w:vAlign w:val="center"/>
                </w:tcPr>
                <w:p w14:paraId="7CE55CB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0.013</w:t>
                  </w:r>
                </w:p>
              </w:tc>
              <w:tc>
                <w:tcPr>
                  <w:tcW w:w="343" w:type="pct"/>
                  <w:tcBorders>
                    <w:tl2br w:val="nil"/>
                    <w:tr2bl w:val="nil"/>
                  </w:tcBorders>
                  <w:shd w:val="clear" w:color="auto" w:fill="FFFFFF"/>
                  <w:vAlign w:val="center"/>
                </w:tcPr>
                <w:p w14:paraId="5F80DBF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0.020</w:t>
                  </w:r>
                </w:p>
              </w:tc>
              <w:tc>
                <w:tcPr>
                  <w:tcW w:w="354" w:type="pct"/>
                  <w:tcBorders>
                    <w:tl2br w:val="nil"/>
                    <w:tr2bl w:val="nil"/>
                  </w:tcBorders>
                  <w:shd w:val="clear" w:color="auto" w:fill="FFFFFF"/>
                  <w:vAlign w:val="center"/>
                </w:tcPr>
                <w:p w14:paraId="6F78BAD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0.37</w:t>
                  </w:r>
                </w:p>
              </w:tc>
              <w:tc>
                <w:tcPr>
                  <w:tcW w:w="343" w:type="pct"/>
                  <w:tcBorders>
                    <w:tl2br w:val="nil"/>
                    <w:tr2bl w:val="nil"/>
                  </w:tcBorders>
                  <w:shd w:val="clear" w:color="auto" w:fill="FFFFFF"/>
                  <w:vAlign w:val="center"/>
                </w:tcPr>
                <w:p w14:paraId="358F644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0.038</w:t>
                  </w:r>
                </w:p>
              </w:tc>
              <w:tc>
                <w:tcPr>
                  <w:tcW w:w="343" w:type="pct"/>
                  <w:tcBorders>
                    <w:tl2br w:val="nil"/>
                    <w:tr2bl w:val="nil"/>
                  </w:tcBorders>
                  <w:vAlign w:val="center"/>
                </w:tcPr>
                <w:p w14:paraId="764AFD1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0.010</w:t>
                  </w:r>
                </w:p>
              </w:tc>
              <w:tc>
                <w:tcPr>
                  <w:tcW w:w="343" w:type="pct"/>
                  <w:tcBorders>
                    <w:tl2br w:val="nil"/>
                    <w:tr2bl w:val="nil"/>
                  </w:tcBorders>
                  <w:vAlign w:val="center"/>
                </w:tcPr>
                <w:p w14:paraId="6DD83FF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0.015</w:t>
                  </w:r>
                </w:p>
              </w:tc>
              <w:tc>
                <w:tcPr>
                  <w:tcW w:w="343" w:type="pct"/>
                  <w:tcBorders>
                    <w:tl2br w:val="nil"/>
                    <w:tr2bl w:val="nil"/>
                  </w:tcBorders>
                  <w:vAlign w:val="center"/>
                </w:tcPr>
                <w:p w14:paraId="3BF8B21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41.63</w:t>
                  </w:r>
                </w:p>
              </w:tc>
            </w:tr>
            <w:tr w14:paraId="4D1F2F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8" w:type="pct"/>
                  <w:tcBorders>
                    <w:tl2br w:val="nil"/>
                    <w:tr2bl w:val="nil"/>
                  </w:tcBorders>
                  <w:shd w:val="clear" w:color="auto" w:fill="auto"/>
                  <w:vAlign w:val="center"/>
                </w:tcPr>
                <w:p w14:paraId="25005DF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ZK201-WX-4</w:t>
                  </w:r>
                </w:p>
              </w:tc>
              <w:tc>
                <w:tcPr>
                  <w:tcW w:w="223" w:type="pct"/>
                  <w:vMerge w:val="continue"/>
                  <w:tcBorders>
                    <w:tl2br w:val="nil"/>
                    <w:tr2bl w:val="nil"/>
                  </w:tcBorders>
                  <w:shd w:val="clear" w:color="auto" w:fill="auto"/>
                  <w:vAlign w:val="center"/>
                </w:tcPr>
                <w:p w14:paraId="7E60276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p>
              </w:tc>
              <w:tc>
                <w:tcPr>
                  <w:tcW w:w="343" w:type="pct"/>
                  <w:tcBorders>
                    <w:tl2br w:val="nil"/>
                    <w:tr2bl w:val="nil"/>
                  </w:tcBorders>
                  <w:shd w:val="clear" w:color="auto" w:fill="auto"/>
                  <w:vAlign w:val="center"/>
                </w:tcPr>
                <w:p w14:paraId="5ABCE09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48.20</w:t>
                  </w:r>
                </w:p>
              </w:tc>
              <w:tc>
                <w:tcPr>
                  <w:tcW w:w="343" w:type="pct"/>
                  <w:tcBorders>
                    <w:tl2br w:val="nil"/>
                    <w:tr2bl w:val="nil"/>
                  </w:tcBorders>
                  <w:shd w:val="clear" w:color="auto" w:fill="auto"/>
                  <w:vAlign w:val="center"/>
                </w:tcPr>
                <w:p w14:paraId="7A42A47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5.97</w:t>
                  </w:r>
                </w:p>
              </w:tc>
              <w:tc>
                <w:tcPr>
                  <w:tcW w:w="307" w:type="pct"/>
                  <w:tcBorders>
                    <w:tl2br w:val="nil"/>
                    <w:tr2bl w:val="nil"/>
                  </w:tcBorders>
                  <w:shd w:val="clear" w:color="auto" w:fill="auto"/>
                  <w:vAlign w:val="center"/>
                </w:tcPr>
                <w:p w14:paraId="50F9557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0.74</w:t>
                  </w:r>
                </w:p>
              </w:tc>
              <w:tc>
                <w:tcPr>
                  <w:tcW w:w="354" w:type="pct"/>
                  <w:tcBorders>
                    <w:tl2br w:val="nil"/>
                    <w:tr2bl w:val="nil"/>
                  </w:tcBorders>
                  <w:shd w:val="clear" w:color="auto" w:fill="auto"/>
                  <w:vAlign w:val="center"/>
                </w:tcPr>
                <w:p w14:paraId="058B186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0.65</w:t>
                  </w:r>
                </w:p>
              </w:tc>
              <w:tc>
                <w:tcPr>
                  <w:tcW w:w="343" w:type="pct"/>
                  <w:tcBorders>
                    <w:tl2br w:val="nil"/>
                    <w:tr2bl w:val="nil"/>
                  </w:tcBorders>
                  <w:shd w:val="clear" w:color="auto" w:fill="FFFFFF"/>
                  <w:vAlign w:val="center"/>
                </w:tcPr>
                <w:p w14:paraId="186690A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0.013</w:t>
                  </w:r>
                </w:p>
              </w:tc>
              <w:tc>
                <w:tcPr>
                  <w:tcW w:w="343" w:type="pct"/>
                  <w:tcBorders>
                    <w:tl2br w:val="nil"/>
                    <w:tr2bl w:val="nil"/>
                  </w:tcBorders>
                  <w:shd w:val="clear" w:color="auto" w:fill="FFFFFF"/>
                  <w:vAlign w:val="center"/>
                </w:tcPr>
                <w:p w14:paraId="1AFF705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0.011</w:t>
                  </w:r>
                </w:p>
              </w:tc>
              <w:tc>
                <w:tcPr>
                  <w:tcW w:w="343" w:type="pct"/>
                  <w:tcBorders>
                    <w:tl2br w:val="nil"/>
                    <w:tr2bl w:val="nil"/>
                  </w:tcBorders>
                  <w:shd w:val="clear" w:color="auto" w:fill="FFFFFF"/>
                  <w:vAlign w:val="center"/>
                </w:tcPr>
                <w:p w14:paraId="6F00944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0.020</w:t>
                  </w:r>
                </w:p>
              </w:tc>
              <w:tc>
                <w:tcPr>
                  <w:tcW w:w="354" w:type="pct"/>
                  <w:tcBorders>
                    <w:tl2br w:val="nil"/>
                    <w:tr2bl w:val="nil"/>
                  </w:tcBorders>
                  <w:shd w:val="clear" w:color="auto" w:fill="FFFFFF"/>
                  <w:vAlign w:val="center"/>
                </w:tcPr>
                <w:p w14:paraId="43DE4D4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0.33</w:t>
                  </w:r>
                </w:p>
              </w:tc>
              <w:tc>
                <w:tcPr>
                  <w:tcW w:w="343" w:type="pct"/>
                  <w:tcBorders>
                    <w:tl2br w:val="nil"/>
                    <w:tr2bl w:val="nil"/>
                  </w:tcBorders>
                  <w:shd w:val="clear" w:color="auto" w:fill="FFFFFF"/>
                  <w:vAlign w:val="center"/>
                </w:tcPr>
                <w:p w14:paraId="13108A7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0.035</w:t>
                  </w:r>
                </w:p>
              </w:tc>
              <w:tc>
                <w:tcPr>
                  <w:tcW w:w="343" w:type="pct"/>
                  <w:tcBorders>
                    <w:tl2br w:val="nil"/>
                    <w:tr2bl w:val="nil"/>
                  </w:tcBorders>
                  <w:vAlign w:val="center"/>
                </w:tcPr>
                <w:p w14:paraId="076473B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0.032</w:t>
                  </w:r>
                </w:p>
              </w:tc>
              <w:tc>
                <w:tcPr>
                  <w:tcW w:w="343" w:type="pct"/>
                  <w:tcBorders>
                    <w:tl2br w:val="nil"/>
                    <w:tr2bl w:val="nil"/>
                  </w:tcBorders>
                  <w:vAlign w:val="center"/>
                </w:tcPr>
                <w:p w14:paraId="6FB045D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0.010</w:t>
                  </w:r>
                </w:p>
              </w:tc>
              <w:tc>
                <w:tcPr>
                  <w:tcW w:w="343" w:type="pct"/>
                  <w:tcBorders>
                    <w:tl2br w:val="nil"/>
                    <w:tr2bl w:val="nil"/>
                  </w:tcBorders>
                  <w:vAlign w:val="center"/>
                </w:tcPr>
                <w:p w14:paraId="4B1BF30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43.25</w:t>
                  </w:r>
                </w:p>
              </w:tc>
            </w:tr>
            <w:tr w14:paraId="08E72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8" w:type="pct"/>
                  <w:tcBorders>
                    <w:tl2br w:val="nil"/>
                    <w:tr2bl w:val="nil"/>
                  </w:tcBorders>
                  <w:shd w:val="clear" w:color="auto" w:fill="auto"/>
                  <w:vAlign w:val="center"/>
                </w:tcPr>
                <w:p w14:paraId="7978047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ZK202-WX-1</w:t>
                  </w:r>
                </w:p>
              </w:tc>
              <w:tc>
                <w:tcPr>
                  <w:tcW w:w="223" w:type="pct"/>
                  <w:vMerge w:val="continue"/>
                  <w:tcBorders>
                    <w:tl2br w:val="nil"/>
                    <w:tr2bl w:val="nil"/>
                  </w:tcBorders>
                  <w:shd w:val="clear" w:color="auto" w:fill="auto"/>
                  <w:vAlign w:val="center"/>
                </w:tcPr>
                <w:p w14:paraId="61EBBE4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p>
              </w:tc>
              <w:tc>
                <w:tcPr>
                  <w:tcW w:w="343" w:type="pct"/>
                  <w:tcBorders>
                    <w:tl2br w:val="nil"/>
                    <w:tr2bl w:val="nil"/>
                  </w:tcBorders>
                  <w:shd w:val="clear" w:color="auto" w:fill="auto"/>
                  <w:vAlign w:val="center"/>
                </w:tcPr>
                <w:p w14:paraId="2E19402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53.94</w:t>
                  </w:r>
                </w:p>
              </w:tc>
              <w:tc>
                <w:tcPr>
                  <w:tcW w:w="343" w:type="pct"/>
                  <w:tcBorders>
                    <w:tl2br w:val="nil"/>
                    <w:tr2bl w:val="nil"/>
                  </w:tcBorders>
                  <w:shd w:val="clear" w:color="auto" w:fill="auto"/>
                  <w:vAlign w:val="center"/>
                </w:tcPr>
                <w:p w14:paraId="2F260BA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0.50</w:t>
                  </w:r>
                </w:p>
              </w:tc>
              <w:tc>
                <w:tcPr>
                  <w:tcW w:w="307" w:type="pct"/>
                  <w:tcBorders>
                    <w:tl2br w:val="nil"/>
                    <w:tr2bl w:val="nil"/>
                  </w:tcBorders>
                  <w:shd w:val="clear" w:color="auto" w:fill="auto"/>
                  <w:vAlign w:val="center"/>
                </w:tcPr>
                <w:p w14:paraId="06A5D4F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1.21</w:t>
                  </w:r>
                </w:p>
              </w:tc>
              <w:tc>
                <w:tcPr>
                  <w:tcW w:w="354" w:type="pct"/>
                  <w:tcBorders>
                    <w:tl2br w:val="nil"/>
                    <w:tr2bl w:val="nil"/>
                  </w:tcBorders>
                  <w:shd w:val="clear" w:color="auto" w:fill="auto"/>
                  <w:vAlign w:val="center"/>
                </w:tcPr>
                <w:p w14:paraId="6D372D0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0.64</w:t>
                  </w:r>
                </w:p>
              </w:tc>
              <w:tc>
                <w:tcPr>
                  <w:tcW w:w="343" w:type="pct"/>
                  <w:tcBorders>
                    <w:tl2br w:val="nil"/>
                    <w:tr2bl w:val="nil"/>
                  </w:tcBorders>
                  <w:shd w:val="clear" w:color="auto" w:fill="FFFFFF"/>
                  <w:vAlign w:val="center"/>
                </w:tcPr>
                <w:p w14:paraId="7D34F8E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0.083</w:t>
                  </w:r>
                </w:p>
              </w:tc>
              <w:tc>
                <w:tcPr>
                  <w:tcW w:w="343" w:type="pct"/>
                  <w:tcBorders>
                    <w:tl2br w:val="nil"/>
                    <w:tr2bl w:val="nil"/>
                  </w:tcBorders>
                  <w:shd w:val="clear" w:color="auto" w:fill="FFFFFF"/>
                  <w:vAlign w:val="center"/>
                </w:tcPr>
                <w:p w14:paraId="227AC98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0.012</w:t>
                  </w:r>
                </w:p>
              </w:tc>
              <w:tc>
                <w:tcPr>
                  <w:tcW w:w="343" w:type="pct"/>
                  <w:tcBorders>
                    <w:tl2br w:val="nil"/>
                    <w:tr2bl w:val="nil"/>
                  </w:tcBorders>
                  <w:shd w:val="clear" w:color="auto" w:fill="FFFFFF"/>
                  <w:vAlign w:val="center"/>
                </w:tcPr>
                <w:p w14:paraId="39B0327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0.015</w:t>
                  </w:r>
                </w:p>
              </w:tc>
              <w:tc>
                <w:tcPr>
                  <w:tcW w:w="354" w:type="pct"/>
                  <w:tcBorders>
                    <w:tl2br w:val="nil"/>
                    <w:tr2bl w:val="nil"/>
                  </w:tcBorders>
                  <w:shd w:val="clear" w:color="auto" w:fill="FFFFFF"/>
                  <w:vAlign w:val="center"/>
                </w:tcPr>
                <w:p w14:paraId="5BA47FC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0.19</w:t>
                  </w:r>
                </w:p>
              </w:tc>
              <w:tc>
                <w:tcPr>
                  <w:tcW w:w="343" w:type="pct"/>
                  <w:tcBorders>
                    <w:tl2br w:val="nil"/>
                    <w:tr2bl w:val="nil"/>
                  </w:tcBorders>
                  <w:shd w:val="clear" w:color="auto" w:fill="FFFFFF"/>
                  <w:vAlign w:val="center"/>
                </w:tcPr>
                <w:p w14:paraId="19D1586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0.040</w:t>
                  </w:r>
                </w:p>
              </w:tc>
              <w:tc>
                <w:tcPr>
                  <w:tcW w:w="343" w:type="pct"/>
                  <w:tcBorders>
                    <w:tl2br w:val="nil"/>
                    <w:tr2bl w:val="nil"/>
                  </w:tcBorders>
                  <w:vAlign w:val="center"/>
                </w:tcPr>
                <w:p w14:paraId="571350F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0.008</w:t>
                  </w:r>
                </w:p>
              </w:tc>
              <w:tc>
                <w:tcPr>
                  <w:tcW w:w="343" w:type="pct"/>
                  <w:tcBorders>
                    <w:tl2br w:val="nil"/>
                    <w:tr2bl w:val="nil"/>
                  </w:tcBorders>
                  <w:vAlign w:val="center"/>
                </w:tcPr>
                <w:p w14:paraId="4FB8941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0.012</w:t>
                  </w:r>
                </w:p>
              </w:tc>
              <w:tc>
                <w:tcPr>
                  <w:tcW w:w="343" w:type="pct"/>
                  <w:tcBorders>
                    <w:tl2br w:val="nil"/>
                    <w:tr2bl w:val="nil"/>
                  </w:tcBorders>
                  <w:vAlign w:val="center"/>
                </w:tcPr>
                <w:p w14:paraId="11D73C5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42.62</w:t>
                  </w:r>
                </w:p>
              </w:tc>
            </w:tr>
            <w:tr w14:paraId="7E272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8" w:type="pct"/>
                  <w:tcBorders>
                    <w:tl2br w:val="nil"/>
                    <w:tr2bl w:val="nil"/>
                  </w:tcBorders>
                  <w:shd w:val="clear" w:color="auto" w:fill="auto"/>
                  <w:vAlign w:val="center"/>
                </w:tcPr>
                <w:p w14:paraId="07F6733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CK-WX-1</w:t>
                  </w:r>
                </w:p>
              </w:tc>
              <w:tc>
                <w:tcPr>
                  <w:tcW w:w="223" w:type="pct"/>
                  <w:vMerge w:val="continue"/>
                  <w:tcBorders>
                    <w:tl2br w:val="nil"/>
                    <w:tr2bl w:val="nil"/>
                  </w:tcBorders>
                  <w:shd w:val="clear" w:color="auto" w:fill="auto"/>
                  <w:vAlign w:val="center"/>
                </w:tcPr>
                <w:p w14:paraId="475DA1D8">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p>
              </w:tc>
              <w:tc>
                <w:tcPr>
                  <w:tcW w:w="343" w:type="pct"/>
                  <w:tcBorders>
                    <w:tl2br w:val="nil"/>
                    <w:tr2bl w:val="nil"/>
                  </w:tcBorders>
                  <w:shd w:val="clear" w:color="auto" w:fill="auto"/>
                  <w:vAlign w:val="center"/>
                </w:tcPr>
                <w:p w14:paraId="7D1EA7E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53.63</w:t>
                  </w:r>
                </w:p>
              </w:tc>
              <w:tc>
                <w:tcPr>
                  <w:tcW w:w="343" w:type="pct"/>
                  <w:tcBorders>
                    <w:tl2br w:val="nil"/>
                    <w:tr2bl w:val="nil"/>
                  </w:tcBorders>
                  <w:shd w:val="clear" w:color="auto" w:fill="auto"/>
                  <w:vAlign w:val="center"/>
                </w:tcPr>
                <w:p w14:paraId="1964C93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0.59</w:t>
                  </w:r>
                </w:p>
              </w:tc>
              <w:tc>
                <w:tcPr>
                  <w:tcW w:w="307" w:type="pct"/>
                  <w:tcBorders>
                    <w:tl2br w:val="nil"/>
                    <w:tr2bl w:val="nil"/>
                  </w:tcBorders>
                  <w:shd w:val="clear" w:color="auto" w:fill="auto"/>
                  <w:vAlign w:val="center"/>
                </w:tcPr>
                <w:p w14:paraId="213CB0B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1.02</w:t>
                  </w:r>
                </w:p>
              </w:tc>
              <w:tc>
                <w:tcPr>
                  <w:tcW w:w="354" w:type="pct"/>
                  <w:tcBorders>
                    <w:tl2br w:val="nil"/>
                    <w:tr2bl w:val="nil"/>
                  </w:tcBorders>
                  <w:shd w:val="clear" w:color="auto" w:fill="auto"/>
                  <w:vAlign w:val="center"/>
                </w:tcPr>
                <w:p w14:paraId="3A4CB45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0.61</w:t>
                  </w:r>
                </w:p>
              </w:tc>
              <w:tc>
                <w:tcPr>
                  <w:tcW w:w="343" w:type="pct"/>
                  <w:tcBorders>
                    <w:tl2br w:val="nil"/>
                    <w:tr2bl w:val="nil"/>
                  </w:tcBorders>
                  <w:shd w:val="clear" w:color="auto" w:fill="FFFFFF"/>
                  <w:vAlign w:val="center"/>
                </w:tcPr>
                <w:p w14:paraId="71D31B0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0.045</w:t>
                  </w:r>
                </w:p>
              </w:tc>
              <w:tc>
                <w:tcPr>
                  <w:tcW w:w="343" w:type="pct"/>
                  <w:tcBorders>
                    <w:tl2br w:val="nil"/>
                    <w:tr2bl w:val="nil"/>
                  </w:tcBorders>
                  <w:shd w:val="clear" w:color="auto" w:fill="FFFFFF"/>
                  <w:vAlign w:val="center"/>
                </w:tcPr>
                <w:p w14:paraId="36B61BD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0.011</w:t>
                  </w:r>
                </w:p>
              </w:tc>
              <w:tc>
                <w:tcPr>
                  <w:tcW w:w="343" w:type="pct"/>
                  <w:tcBorders>
                    <w:tl2br w:val="nil"/>
                    <w:tr2bl w:val="nil"/>
                  </w:tcBorders>
                  <w:shd w:val="clear" w:color="auto" w:fill="FFFFFF"/>
                  <w:vAlign w:val="center"/>
                </w:tcPr>
                <w:p w14:paraId="1D2DFA4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0.012</w:t>
                  </w:r>
                </w:p>
              </w:tc>
              <w:tc>
                <w:tcPr>
                  <w:tcW w:w="354" w:type="pct"/>
                  <w:tcBorders>
                    <w:tl2br w:val="nil"/>
                    <w:tr2bl w:val="nil"/>
                  </w:tcBorders>
                  <w:shd w:val="clear" w:color="auto" w:fill="FFFFFF"/>
                  <w:vAlign w:val="center"/>
                </w:tcPr>
                <w:p w14:paraId="25B30E7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0.23</w:t>
                  </w:r>
                </w:p>
              </w:tc>
              <w:tc>
                <w:tcPr>
                  <w:tcW w:w="343" w:type="pct"/>
                  <w:tcBorders>
                    <w:tl2br w:val="nil"/>
                    <w:tr2bl w:val="nil"/>
                  </w:tcBorders>
                  <w:shd w:val="clear" w:color="auto" w:fill="FFFFFF"/>
                  <w:vAlign w:val="center"/>
                </w:tcPr>
                <w:p w14:paraId="26FAE3E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0.039</w:t>
                  </w:r>
                </w:p>
              </w:tc>
              <w:tc>
                <w:tcPr>
                  <w:tcW w:w="343" w:type="pct"/>
                  <w:tcBorders>
                    <w:tl2br w:val="nil"/>
                    <w:tr2bl w:val="nil"/>
                  </w:tcBorders>
                  <w:vAlign w:val="center"/>
                </w:tcPr>
                <w:p w14:paraId="6F0649D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0.009</w:t>
                  </w:r>
                </w:p>
              </w:tc>
              <w:tc>
                <w:tcPr>
                  <w:tcW w:w="343" w:type="pct"/>
                  <w:tcBorders>
                    <w:tl2br w:val="nil"/>
                    <w:tr2bl w:val="nil"/>
                  </w:tcBorders>
                  <w:vAlign w:val="center"/>
                </w:tcPr>
                <w:p w14:paraId="5E4F542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0.014</w:t>
                  </w:r>
                </w:p>
              </w:tc>
              <w:tc>
                <w:tcPr>
                  <w:tcW w:w="343" w:type="pct"/>
                  <w:tcBorders>
                    <w:tl2br w:val="nil"/>
                    <w:tr2bl w:val="nil"/>
                  </w:tcBorders>
                  <w:vAlign w:val="center"/>
                </w:tcPr>
                <w:p w14:paraId="6F620E0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42.74</w:t>
                  </w:r>
                </w:p>
              </w:tc>
            </w:tr>
            <w:tr w14:paraId="25EE01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92" w:type="pct"/>
                  <w:gridSpan w:val="2"/>
                  <w:tcBorders>
                    <w:tl2br w:val="nil"/>
                    <w:tr2bl w:val="nil"/>
                  </w:tcBorders>
                  <w:vAlign w:val="center"/>
                </w:tcPr>
                <w:p w14:paraId="1CCAA73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最大值</w:t>
                  </w:r>
                </w:p>
              </w:tc>
              <w:tc>
                <w:tcPr>
                  <w:tcW w:w="343" w:type="pct"/>
                  <w:tcBorders>
                    <w:tl2br w:val="nil"/>
                    <w:tr2bl w:val="nil"/>
                  </w:tcBorders>
                  <w:vAlign w:val="center"/>
                </w:tcPr>
                <w:p w14:paraId="4814116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53.94</w:t>
                  </w:r>
                </w:p>
              </w:tc>
              <w:tc>
                <w:tcPr>
                  <w:tcW w:w="343" w:type="pct"/>
                  <w:tcBorders>
                    <w:tl2br w:val="nil"/>
                    <w:tr2bl w:val="nil"/>
                  </w:tcBorders>
                  <w:vAlign w:val="center"/>
                </w:tcPr>
                <w:p w14:paraId="32E1C33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5.97</w:t>
                  </w:r>
                </w:p>
              </w:tc>
              <w:tc>
                <w:tcPr>
                  <w:tcW w:w="307" w:type="pct"/>
                  <w:tcBorders>
                    <w:tl2br w:val="nil"/>
                    <w:tr2bl w:val="nil"/>
                  </w:tcBorders>
                  <w:vAlign w:val="center"/>
                </w:tcPr>
                <w:p w14:paraId="3D2EA45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4.25</w:t>
                  </w:r>
                </w:p>
              </w:tc>
              <w:tc>
                <w:tcPr>
                  <w:tcW w:w="354" w:type="pct"/>
                  <w:tcBorders>
                    <w:tl2br w:val="nil"/>
                    <w:tr2bl w:val="nil"/>
                  </w:tcBorders>
                  <w:vAlign w:val="center"/>
                </w:tcPr>
                <w:p w14:paraId="27C4956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1.34</w:t>
                  </w:r>
                </w:p>
              </w:tc>
              <w:tc>
                <w:tcPr>
                  <w:tcW w:w="343" w:type="pct"/>
                  <w:tcBorders>
                    <w:tl2br w:val="nil"/>
                    <w:tr2bl w:val="nil"/>
                  </w:tcBorders>
                  <w:vAlign w:val="center"/>
                </w:tcPr>
                <w:p w14:paraId="1D1FB36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0.203</w:t>
                  </w:r>
                </w:p>
              </w:tc>
              <w:tc>
                <w:tcPr>
                  <w:tcW w:w="343" w:type="pct"/>
                  <w:tcBorders>
                    <w:tl2br w:val="nil"/>
                    <w:tr2bl w:val="nil"/>
                  </w:tcBorders>
                  <w:vAlign w:val="center"/>
                </w:tcPr>
                <w:p w14:paraId="6CC3679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0.013</w:t>
                  </w:r>
                </w:p>
              </w:tc>
              <w:tc>
                <w:tcPr>
                  <w:tcW w:w="343" w:type="pct"/>
                  <w:tcBorders>
                    <w:tl2br w:val="nil"/>
                    <w:tr2bl w:val="nil"/>
                  </w:tcBorders>
                  <w:vAlign w:val="center"/>
                </w:tcPr>
                <w:p w14:paraId="6B27C9A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0.175</w:t>
                  </w:r>
                </w:p>
              </w:tc>
              <w:tc>
                <w:tcPr>
                  <w:tcW w:w="354" w:type="pct"/>
                  <w:tcBorders>
                    <w:tl2br w:val="nil"/>
                    <w:tr2bl w:val="nil"/>
                  </w:tcBorders>
                  <w:vAlign w:val="center"/>
                </w:tcPr>
                <w:p w14:paraId="04F169E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0.45</w:t>
                  </w:r>
                </w:p>
              </w:tc>
              <w:tc>
                <w:tcPr>
                  <w:tcW w:w="343" w:type="pct"/>
                  <w:tcBorders>
                    <w:tl2br w:val="nil"/>
                    <w:tr2bl w:val="nil"/>
                  </w:tcBorders>
                  <w:vAlign w:val="center"/>
                </w:tcPr>
                <w:p w14:paraId="692B46D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0.040</w:t>
                  </w:r>
                </w:p>
              </w:tc>
              <w:tc>
                <w:tcPr>
                  <w:tcW w:w="343" w:type="pct"/>
                  <w:tcBorders>
                    <w:tl2br w:val="nil"/>
                    <w:tr2bl w:val="nil"/>
                  </w:tcBorders>
                  <w:vAlign w:val="center"/>
                </w:tcPr>
                <w:p w14:paraId="63EFB97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0.032</w:t>
                  </w:r>
                </w:p>
              </w:tc>
              <w:tc>
                <w:tcPr>
                  <w:tcW w:w="343" w:type="pct"/>
                  <w:tcBorders>
                    <w:tl2br w:val="nil"/>
                    <w:tr2bl w:val="nil"/>
                  </w:tcBorders>
                  <w:vAlign w:val="center"/>
                </w:tcPr>
                <w:p w14:paraId="59F70D1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0.015</w:t>
                  </w:r>
                </w:p>
              </w:tc>
              <w:tc>
                <w:tcPr>
                  <w:tcW w:w="343" w:type="pct"/>
                  <w:tcBorders>
                    <w:tl2br w:val="nil"/>
                    <w:tr2bl w:val="nil"/>
                  </w:tcBorders>
                  <w:vAlign w:val="center"/>
                </w:tcPr>
                <w:p w14:paraId="3678CAF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43.25</w:t>
                  </w:r>
                </w:p>
              </w:tc>
            </w:tr>
            <w:tr w14:paraId="4600B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92" w:type="pct"/>
                  <w:gridSpan w:val="2"/>
                  <w:tcBorders>
                    <w:tl2br w:val="nil"/>
                    <w:tr2bl w:val="nil"/>
                  </w:tcBorders>
                  <w:vAlign w:val="center"/>
                </w:tcPr>
                <w:p w14:paraId="330E82B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最小值</w:t>
                  </w:r>
                </w:p>
              </w:tc>
              <w:tc>
                <w:tcPr>
                  <w:tcW w:w="343" w:type="pct"/>
                  <w:tcBorders>
                    <w:tl2br w:val="nil"/>
                    <w:tr2bl w:val="nil"/>
                  </w:tcBorders>
                  <w:vAlign w:val="center"/>
                </w:tcPr>
                <w:p w14:paraId="5F1AEDF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48.20</w:t>
                  </w:r>
                </w:p>
              </w:tc>
              <w:tc>
                <w:tcPr>
                  <w:tcW w:w="343" w:type="pct"/>
                  <w:tcBorders>
                    <w:tl2br w:val="nil"/>
                    <w:tr2bl w:val="nil"/>
                  </w:tcBorders>
                  <w:vAlign w:val="center"/>
                </w:tcPr>
                <w:p w14:paraId="3AE061C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0.50</w:t>
                  </w:r>
                </w:p>
              </w:tc>
              <w:tc>
                <w:tcPr>
                  <w:tcW w:w="307" w:type="pct"/>
                  <w:tcBorders>
                    <w:tl2br w:val="nil"/>
                    <w:tr2bl w:val="nil"/>
                  </w:tcBorders>
                  <w:vAlign w:val="center"/>
                </w:tcPr>
                <w:p w14:paraId="2D64891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0.63</w:t>
                  </w:r>
                </w:p>
              </w:tc>
              <w:tc>
                <w:tcPr>
                  <w:tcW w:w="354" w:type="pct"/>
                  <w:tcBorders>
                    <w:tl2br w:val="nil"/>
                    <w:tr2bl w:val="nil"/>
                  </w:tcBorders>
                  <w:vAlign w:val="center"/>
                </w:tcPr>
                <w:p w14:paraId="10AFE5D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0.61</w:t>
                  </w:r>
                </w:p>
              </w:tc>
              <w:tc>
                <w:tcPr>
                  <w:tcW w:w="343" w:type="pct"/>
                  <w:tcBorders>
                    <w:tl2br w:val="nil"/>
                    <w:tr2bl w:val="nil"/>
                  </w:tcBorders>
                  <w:vAlign w:val="center"/>
                </w:tcPr>
                <w:p w14:paraId="7002BD5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0.013</w:t>
                  </w:r>
                </w:p>
              </w:tc>
              <w:tc>
                <w:tcPr>
                  <w:tcW w:w="343" w:type="pct"/>
                  <w:tcBorders>
                    <w:tl2br w:val="nil"/>
                    <w:tr2bl w:val="nil"/>
                  </w:tcBorders>
                  <w:vAlign w:val="center"/>
                </w:tcPr>
                <w:p w14:paraId="0ED6FDA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0.010</w:t>
                  </w:r>
                </w:p>
              </w:tc>
              <w:tc>
                <w:tcPr>
                  <w:tcW w:w="343" w:type="pct"/>
                  <w:tcBorders>
                    <w:tl2br w:val="nil"/>
                    <w:tr2bl w:val="nil"/>
                  </w:tcBorders>
                  <w:vAlign w:val="center"/>
                </w:tcPr>
                <w:p w14:paraId="760A9B8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0.012</w:t>
                  </w:r>
                </w:p>
              </w:tc>
              <w:tc>
                <w:tcPr>
                  <w:tcW w:w="354" w:type="pct"/>
                  <w:tcBorders>
                    <w:tl2br w:val="nil"/>
                    <w:tr2bl w:val="nil"/>
                  </w:tcBorders>
                  <w:vAlign w:val="center"/>
                </w:tcPr>
                <w:p w14:paraId="75D34A8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0.19</w:t>
                  </w:r>
                </w:p>
              </w:tc>
              <w:tc>
                <w:tcPr>
                  <w:tcW w:w="343" w:type="pct"/>
                  <w:tcBorders>
                    <w:tl2br w:val="nil"/>
                    <w:tr2bl w:val="nil"/>
                  </w:tcBorders>
                  <w:vAlign w:val="center"/>
                </w:tcPr>
                <w:p w14:paraId="309B547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0.033</w:t>
                  </w:r>
                </w:p>
              </w:tc>
              <w:tc>
                <w:tcPr>
                  <w:tcW w:w="343" w:type="pct"/>
                  <w:tcBorders>
                    <w:tl2br w:val="nil"/>
                    <w:tr2bl w:val="nil"/>
                  </w:tcBorders>
                  <w:vAlign w:val="center"/>
                </w:tcPr>
                <w:p w14:paraId="4EC7B8B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0.008</w:t>
                  </w:r>
                </w:p>
              </w:tc>
              <w:tc>
                <w:tcPr>
                  <w:tcW w:w="343" w:type="pct"/>
                  <w:tcBorders>
                    <w:tl2br w:val="nil"/>
                    <w:tr2bl w:val="nil"/>
                  </w:tcBorders>
                  <w:vAlign w:val="center"/>
                </w:tcPr>
                <w:p w14:paraId="0A0A09D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0.010</w:t>
                  </w:r>
                </w:p>
              </w:tc>
              <w:tc>
                <w:tcPr>
                  <w:tcW w:w="343" w:type="pct"/>
                  <w:tcBorders>
                    <w:tl2br w:val="nil"/>
                    <w:tr2bl w:val="nil"/>
                  </w:tcBorders>
                  <w:vAlign w:val="center"/>
                </w:tcPr>
                <w:p w14:paraId="7EC8AE3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41.63</w:t>
                  </w:r>
                </w:p>
              </w:tc>
            </w:tr>
            <w:tr w14:paraId="12E7F7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92" w:type="pct"/>
                  <w:gridSpan w:val="2"/>
                  <w:tcBorders>
                    <w:tl2br w:val="nil"/>
                    <w:tr2bl w:val="nil"/>
                  </w:tcBorders>
                  <w:vAlign w:val="center"/>
                </w:tcPr>
                <w:p w14:paraId="422C29A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平均值</w:t>
                  </w:r>
                </w:p>
              </w:tc>
              <w:tc>
                <w:tcPr>
                  <w:tcW w:w="343" w:type="pct"/>
                  <w:tcBorders>
                    <w:tl2br w:val="nil"/>
                    <w:tr2bl w:val="nil"/>
                  </w:tcBorders>
                  <w:vAlign w:val="center"/>
                </w:tcPr>
                <w:p w14:paraId="3DDAED3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51.26</w:t>
                  </w:r>
                </w:p>
              </w:tc>
              <w:tc>
                <w:tcPr>
                  <w:tcW w:w="343" w:type="pct"/>
                  <w:tcBorders>
                    <w:tl2br w:val="nil"/>
                    <w:tr2bl w:val="nil"/>
                  </w:tcBorders>
                  <w:vAlign w:val="center"/>
                </w:tcPr>
                <w:p w14:paraId="19D7677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2.27</w:t>
                  </w:r>
                </w:p>
              </w:tc>
              <w:tc>
                <w:tcPr>
                  <w:tcW w:w="307" w:type="pct"/>
                  <w:tcBorders>
                    <w:tl2br w:val="nil"/>
                    <w:tr2bl w:val="nil"/>
                  </w:tcBorders>
                  <w:vAlign w:val="center"/>
                </w:tcPr>
                <w:p w14:paraId="60357F0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1.57</w:t>
                  </w:r>
                </w:p>
              </w:tc>
              <w:tc>
                <w:tcPr>
                  <w:tcW w:w="354" w:type="pct"/>
                  <w:tcBorders>
                    <w:tl2br w:val="nil"/>
                    <w:tr2bl w:val="nil"/>
                  </w:tcBorders>
                  <w:vAlign w:val="center"/>
                </w:tcPr>
                <w:p w14:paraId="3D697C3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0.91</w:t>
                  </w:r>
                </w:p>
              </w:tc>
              <w:tc>
                <w:tcPr>
                  <w:tcW w:w="343" w:type="pct"/>
                  <w:tcBorders>
                    <w:tl2br w:val="nil"/>
                    <w:tr2bl w:val="nil"/>
                  </w:tcBorders>
                  <w:vAlign w:val="center"/>
                </w:tcPr>
                <w:p w14:paraId="4583764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0.105</w:t>
                  </w:r>
                </w:p>
              </w:tc>
              <w:tc>
                <w:tcPr>
                  <w:tcW w:w="343" w:type="pct"/>
                  <w:tcBorders>
                    <w:tl2br w:val="nil"/>
                    <w:tr2bl w:val="nil"/>
                  </w:tcBorders>
                  <w:vAlign w:val="center"/>
                </w:tcPr>
                <w:p w14:paraId="376C282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0.011</w:t>
                  </w:r>
                </w:p>
              </w:tc>
              <w:tc>
                <w:tcPr>
                  <w:tcW w:w="343" w:type="pct"/>
                  <w:tcBorders>
                    <w:tl2br w:val="nil"/>
                    <w:tr2bl w:val="nil"/>
                  </w:tcBorders>
                  <w:vAlign w:val="center"/>
                </w:tcPr>
                <w:p w14:paraId="2A8BFA1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0.048</w:t>
                  </w:r>
                </w:p>
              </w:tc>
              <w:tc>
                <w:tcPr>
                  <w:tcW w:w="354" w:type="pct"/>
                  <w:tcBorders>
                    <w:tl2br w:val="nil"/>
                    <w:tr2bl w:val="nil"/>
                  </w:tcBorders>
                  <w:vAlign w:val="center"/>
                </w:tcPr>
                <w:p w14:paraId="2D6AD57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0.31</w:t>
                  </w:r>
                </w:p>
              </w:tc>
              <w:tc>
                <w:tcPr>
                  <w:tcW w:w="343" w:type="pct"/>
                  <w:tcBorders>
                    <w:tl2br w:val="nil"/>
                    <w:tr2bl w:val="nil"/>
                  </w:tcBorders>
                  <w:vAlign w:val="center"/>
                </w:tcPr>
                <w:p w14:paraId="70CFB96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0.037</w:t>
                  </w:r>
                </w:p>
              </w:tc>
              <w:tc>
                <w:tcPr>
                  <w:tcW w:w="343" w:type="pct"/>
                  <w:tcBorders>
                    <w:tl2br w:val="nil"/>
                    <w:tr2bl w:val="nil"/>
                  </w:tcBorders>
                  <w:vAlign w:val="center"/>
                </w:tcPr>
                <w:p w14:paraId="60097D6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0.017</w:t>
                  </w:r>
                </w:p>
              </w:tc>
              <w:tc>
                <w:tcPr>
                  <w:tcW w:w="343" w:type="pct"/>
                  <w:tcBorders>
                    <w:tl2br w:val="nil"/>
                    <w:tr2bl w:val="nil"/>
                  </w:tcBorders>
                  <w:vAlign w:val="center"/>
                </w:tcPr>
                <w:p w14:paraId="060AD0A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0.013</w:t>
                  </w:r>
                </w:p>
              </w:tc>
              <w:tc>
                <w:tcPr>
                  <w:tcW w:w="343" w:type="pct"/>
                  <w:tcBorders>
                    <w:tl2br w:val="nil"/>
                    <w:tr2bl w:val="nil"/>
                  </w:tcBorders>
                  <w:vAlign w:val="center"/>
                </w:tcPr>
                <w:p w14:paraId="1EDA89F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42.43</w:t>
                  </w:r>
                </w:p>
              </w:tc>
            </w:tr>
            <w:tr w14:paraId="3548A0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8" w:type="pct"/>
                  <w:tcBorders>
                    <w:tl2br w:val="nil"/>
                    <w:tr2bl w:val="nil"/>
                  </w:tcBorders>
                  <w:shd w:val="clear" w:color="auto" w:fill="auto"/>
                  <w:vAlign w:val="center"/>
                </w:tcPr>
                <w:p w14:paraId="3B6487B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ZK101-WX-1</w:t>
                  </w:r>
                </w:p>
              </w:tc>
              <w:tc>
                <w:tcPr>
                  <w:tcW w:w="223" w:type="pct"/>
                  <w:vMerge w:val="restart"/>
                  <w:tcBorders>
                    <w:tl2br w:val="nil"/>
                    <w:tr2bl w:val="nil"/>
                  </w:tcBorders>
                  <w:shd w:val="clear" w:color="auto" w:fill="auto"/>
                  <w:vAlign w:val="center"/>
                </w:tcPr>
                <w:p w14:paraId="576DAFF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白云质灰岩</w:t>
                  </w:r>
                </w:p>
              </w:tc>
              <w:tc>
                <w:tcPr>
                  <w:tcW w:w="343" w:type="pct"/>
                  <w:tcBorders>
                    <w:tl2br w:val="nil"/>
                    <w:tr2bl w:val="nil"/>
                  </w:tcBorders>
                  <w:shd w:val="clear" w:color="auto" w:fill="auto"/>
                  <w:vAlign w:val="center"/>
                </w:tcPr>
                <w:p w14:paraId="2F0800F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32.13</w:t>
                  </w:r>
                </w:p>
              </w:tc>
              <w:tc>
                <w:tcPr>
                  <w:tcW w:w="343" w:type="pct"/>
                  <w:tcBorders>
                    <w:tl2br w:val="nil"/>
                    <w:tr2bl w:val="nil"/>
                  </w:tcBorders>
                  <w:shd w:val="clear" w:color="auto" w:fill="auto"/>
                  <w:vAlign w:val="center"/>
                </w:tcPr>
                <w:p w14:paraId="7AD75A3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19.38</w:t>
                  </w:r>
                </w:p>
              </w:tc>
              <w:tc>
                <w:tcPr>
                  <w:tcW w:w="307" w:type="pct"/>
                  <w:tcBorders>
                    <w:tl2br w:val="nil"/>
                    <w:tr2bl w:val="nil"/>
                  </w:tcBorders>
                  <w:shd w:val="clear" w:color="auto" w:fill="auto"/>
                  <w:vAlign w:val="center"/>
                </w:tcPr>
                <w:p w14:paraId="3806B1E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1.44</w:t>
                  </w:r>
                </w:p>
              </w:tc>
              <w:tc>
                <w:tcPr>
                  <w:tcW w:w="354" w:type="pct"/>
                  <w:tcBorders>
                    <w:tl2br w:val="nil"/>
                    <w:tr2bl w:val="nil"/>
                  </w:tcBorders>
                  <w:shd w:val="clear" w:color="auto" w:fill="auto"/>
                  <w:vAlign w:val="center"/>
                </w:tcPr>
                <w:p w14:paraId="797C652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0.47</w:t>
                  </w:r>
                </w:p>
              </w:tc>
              <w:tc>
                <w:tcPr>
                  <w:tcW w:w="343" w:type="pct"/>
                  <w:tcBorders>
                    <w:tl2br w:val="nil"/>
                    <w:tr2bl w:val="nil"/>
                  </w:tcBorders>
                  <w:shd w:val="clear" w:color="auto" w:fill="FFFFFF"/>
                  <w:vAlign w:val="center"/>
                </w:tcPr>
                <w:p w14:paraId="009A8FE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0.009</w:t>
                  </w:r>
                </w:p>
              </w:tc>
              <w:tc>
                <w:tcPr>
                  <w:tcW w:w="343" w:type="pct"/>
                  <w:tcBorders>
                    <w:tl2br w:val="nil"/>
                    <w:tr2bl w:val="nil"/>
                  </w:tcBorders>
                  <w:shd w:val="clear" w:color="auto" w:fill="FFFFFF"/>
                  <w:vAlign w:val="center"/>
                </w:tcPr>
                <w:p w14:paraId="1AA27D1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0.010</w:t>
                  </w:r>
                </w:p>
              </w:tc>
              <w:tc>
                <w:tcPr>
                  <w:tcW w:w="343" w:type="pct"/>
                  <w:tcBorders>
                    <w:tl2br w:val="nil"/>
                    <w:tr2bl w:val="nil"/>
                  </w:tcBorders>
                  <w:shd w:val="clear" w:color="auto" w:fill="FFFFFF"/>
                  <w:vAlign w:val="center"/>
                </w:tcPr>
                <w:p w14:paraId="54AF7FE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0.100</w:t>
                  </w:r>
                </w:p>
              </w:tc>
              <w:tc>
                <w:tcPr>
                  <w:tcW w:w="354" w:type="pct"/>
                  <w:tcBorders>
                    <w:tl2br w:val="nil"/>
                    <w:tr2bl w:val="nil"/>
                  </w:tcBorders>
                  <w:shd w:val="clear" w:color="auto" w:fill="FFFFFF"/>
                  <w:vAlign w:val="center"/>
                </w:tcPr>
                <w:p w14:paraId="72345EB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0.22</w:t>
                  </w:r>
                </w:p>
              </w:tc>
              <w:tc>
                <w:tcPr>
                  <w:tcW w:w="343" w:type="pct"/>
                  <w:tcBorders>
                    <w:tl2br w:val="nil"/>
                    <w:tr2bl w:val="nil"/>
                  </w:tcBorders>
                  <w:shd w:val="clear" w:color="auto" w:fill="FFFFFF"/>
                  <w:vAlign w:val="center"/>
                </w:tcPr>
                <w:p w14:paraId="080338E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0.040</w:t>
                  </w:r>
                </w:p>
              </w:tc>
              <w:tc>
                <w:tcPr>
                  <w:tcW w:w="343" w:type="pct"/>
                  <w:tcBorders>
                    <w:tl2br w:val="nil"/>
                    <w:tr2bl w:val="nil"/>
                  </w:tcBorders>
                  <w:vAlign w:val="center"/>
                </w:tcPr>
                <w:p w14:paraId="14B1F10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0.045</w:t>
                  </w:r>
                </w:p>
              </w:tc>
              <w:tc>
                <w:tcPr>
                  <w:tcW w:w="343" w:type="pct"/>
                  <w:tcBorders>
                    <w:tl2br w:val="nil"/>
                    <w:tr2bl w:val="nil"/>
                  </w:tcBorders>
                  <w:vAlign w:val="center"/>
                </w:tcPr>
                <w:p w14:paraId="1196B8E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0.013</w:t>
                  </w:r>
                </w:p>
              </w:tc>
              <w:tc>
                <w:tcPr>
                  <w:tcW w:w="343" w:type="pct"/>
                  <w:tcBorders>
                    <w:tl2br w:val="nil"/>
                    <w:tr2bl w:val="nil"/>
                  </w:tcBorders>
                  <w:vAlign w:val="center"/>
                </w:tcPr>
                <w:p w14:paraId="06AD490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45.76</w:t>
                  </w:r>
                </w:p>
              </w:tc>
            </w:tr>
            <w:tr w14:paraId="77014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8" w:type="pct"/>
                  <w:tcBorders>
                    <w:tl2br w:val="nil"/>
                    <w:tr2bl w:val="nil"/>
                  </w:tcBorders>
                  <w:shd w:val="clear" w:color="auto" w:fill="auto"/>
                  <w:vAlign w:val="center"/>
                </w:tcPr>
                <w:p w14:paraId="5EA975F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ZK102-WX-6</w:t>
                  </w:r>
                </w:p>
              </w:tc>
              <w:tc>
                <w:tcPr>
                  <w:tcW w:w="223" w:type="pct"/>
                  <w:vMerge w:val="continue"/>
                  <w:tcBorders>
                    <w:tl2br w:val="nil"/>
                    <w:tr2bl w:val="nil"/>
                  </w:tcBorders>
                  <w:shd w:val="clear" w:color="auto" w:fill="auto"/>
                  <w:vAlign w:val="center"/>
                </w:tcPr>
                <w:p w14:paraId="3BBA1250">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p>
              </w:tc>
              <w:tc>
                <w:tcPr>
                  <w:tcW w:w="343" w:type="pct"/>
                  <w:tcBorders>
                    <w:tl2br w:val="nil"/>
                    <w:tr2bl w:val="nil"/>
                  </w:tcBorders>
                  <w:shd w:val="clear" w:color="auto" w:fill="auto"/>
                  <w:vAlign w:val="center"/>
                </w:tcPr>
                <w:p w14:paraId="4B62E10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35.13</w:t>
                  </w:r>
                </w:p>
              </w:tc>
              <w:tc>
                <w:tcPr>
                  <w:tcW w:w="343" w:type="pct"/>
                  <w:tcBorders>
                    <w:tl2br w:val="nil"/>
                    <w:tr2bl w:val="nil"/>
                  </w:tcBorders>
                  <w:shd w:val="clear" w:color="auto" w:fill="auto"/>
                  <w:vAlign w:val="center"/>
                </w:tcPr>
                <w:p w14:paraId="3C864A0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16.71</w:t>
                  </w:r>
                </w:p>
              </w:tc>
              <w:tc>
                <w:tcPr>
                  <w:tcW w:w="307" w:type="pct"/>
                  <w:tcBorders>
                    <w:tl2br w:val="nil"/>
                    <w:tr2bl w:val="nil"/>
                  </w:tcBorders>
                  <w:shd w:val="clear" w:color="auto" w:fill="auto"/>
                  <w:vAlign w:val="center"/>
                </w:tcPr>
                <w:p w14:paraId="14C9A6E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1.24</w:t>
                  </w:r>
                </w:p>
              </w:tc>
              <w:tc>
                <w:tcPr>
                  <w:tcW w:w="354" w:type="pct"/>
                  <w:tcBorders>
                    <w:tl2br w:val="nil"/>
                    <w:tr2bl w:val="nil"/>
                  </w:tcBorders>
                  <w:shd w:val="clear" w:color="auto" w:fill="auto"/>
                  <w:vAlign w:val="center"/>
                </w:tcPr>
                <w:p w14:paraId="070CD6A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0.37</w:t>
                  </w:r>
                </w:p>
              </w:tc>
              <w:tc>
                <w:tcPr>
                  <w:tcW w:w="343" w:type="pct"/>
                  <w:tcBorders>
                    <w:tl2br w:val="nil"/>
                    <w:tr2bl w:val="nil"/>
                  </w:tcBorders>
                  <w:shd w:val="clear" w:color="auto" w:fill="FFFFFF"/>
                  <w:vAlign w:val="center"/>
                </w:tcPr>
                <w:p w14:paraId="61860F5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0.010</w:t>
                  </w:r>
                </w:p>
              </w:tc>
              <w:tc>
                <w:tcPr>
                  <w:tcW w:w="343" w:type="pct"/>
                  <w:tcBorders>
                    <w:tl2br w:val="nil"/>
                    <w:tr2bl w:val="nil"/>
                  </w:tcBorders>
                  <w:shd w:val="clear" w:color="auto" w:fill="FFFFFF"/>
                  <w:vAlign w:val="center"/>
                </w:tcPr>
                <w:p w14:paraId="0234327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0.010</w:t>
                  </w:r>
                </w:p>
              </w:tc>
              <w:tc>
                <w:tcPr>
                  <w:tcW w:w="343" w:type="pct"/>
                  <w:tcBorders>
                    <w:tl2br w:val="nil"/>
                    <w:tr2bl w:val="nil"/>
                  </w:tcBorders>
                  <w:shd w:val="clear" w:color="auto" w:fill="FFFFFF"/>
                  <w:vAlign w:val="center"/>
                </w:tcPr>
                <w:p w14:paraId="7099530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0.050</w:t>
                  </w:r>
                </w:p>
              </w:tc>
              <w:tc>
                <w:tcPr>
                  <w:tcW w:w="354" w:type="pct"/>
                  <w:tcBorders>
                    <w:tl2br w:val="nil"/>
                    <w:tr2bl w:val="nil"/>
                  </w:tcBorders>
                  <w:shd w:val="clear" w:color="auto" w:fill="FFFFFF"/>
                  <w:vAlign w:val="center"/>
                </w:tcPr>
                <w:p w14:paraId="2A7BB46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0.21</w:t>
                  </w:r>
                </w:p>
              </w:tc>
              <w:tc>
                <w:tcPr>
                  <w:tcW w:w="343" w:type="pct"/>
                  <w:tcBorders>
                    <w:tl2br w:val="nil"/>
                    <w:tr2bl w:val="nil"/>
                  </w:tcBorders>
                  <w:shd w:val="clear" w:color="auto" w:fill="FFFFFF"/>
                  <w:vAlign w:val="center"/>
                </w:tcPr>
                <w:p w14:paraId="2BAA582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0.041</w:t>
                  </w:r>
                </w:p>
              </w:tc>
              <w:tc>
                <w:tcPr>
                  <w:tcW w:w="343" w:type="pct"/>
                  <w:tcBorders>
                    <w:tl2br w:val="nil"/>
                    <w:tr2bl w:val="nil"/>
                  </w:tcBorders>
                  <w:vAlign w:val="center"/>
                </w:tcPr>
                <w:p w14:paraId="7EA0EAC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0.039</w:t>
                  </w:r>
                </w:p>
              </w:tc>
              <w:tc>
                <w:tcPr>
                  <w:tcW w:w="343" w:type="pct"/>
                  <w:tcBorders>
                    <w:tl2br w:val="nil"/>
                    <w:tr2bl w:val="nil"/>
                  </w:tcBorders>
                  <w:vAlign w:val="center"/>
                </w:tcPr>
                <w:p w14:paraId="512FC66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0.011</w:t>
                  </w:r>
                </w:p>
              </w:tc>
              <w:tc>
                <w:tcPr>
                  <w:tcW w:w="343" w:type="pct"/>
                  <w:tcBorders>
                    <w:tl2br w:val="nil"/>
                    <w:tr2bl w:val="nil"/>
                  </w:tcBorders>
                  <w:vAlign w:val="center"/>
                </w:tcPr>
                <w:p w14:paraId="140841F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45.21</w:t>
                  </w:r>
                </w:p>
              </w:tc>
            </w:tr>
            <w:tr w14:paraId="49DFB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8" w:type="pct"/>
                  <w:tcBorders>
                    <w:tl2br w:val="nil"/>
                    <w:tr2bl w:val="nil"/>
                  </w:tcBorders>
                  <w:shd w:val="clear" w:color="auto" w:fill="auto"/>
                  <w:vAlign w:val="center"/>
                </w:tcPr>
                <w:p w14:paraId="4FF22F8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ZK202-WX-3</w:t>
                  </w:r>
                </w:p>
              </w:tc>
              <w:tc>
                <w:tcPr>
                  <w:tcW w:w="223" w:type="pct"/>
                  <w:vMerge w:val="continue"/>
                  <w:tcBorders>
                    <w:tl2br w:val="nil"/>
                    <w:tr2bl w:val="nil"/>
                  </w:tcBorders>
                  <w:shd w:val="clear" w:color="auto" w:fill="auto"/>
                  <w:vAlign w:val="center"/>
                </w:tcPr>
                <w:p w14:paraId="1ECE66E0">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p>
              </w:tc>
              <w:tc>
                <w:tcPr>
                  <w:tcW w:w="343" w:type="pct"/>
                  <w:tcBorders>
                    <w:tl2br w:val="nil"/>
                    <w:tr2bl w:val="nil"/>
                  </w:tcBorders>
                  <w:shd w:val="clear" w:color="auto" w:fill="auto"/>
                  <w:vAlign w:val="center"/>
                </w:tcPr>
                <w:p w14:paraId="2EAA9B4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31.50</w:t>
                  </w:r>
                </w:p>
              </w:tc>
              <w:tc>
                <w:tcPr>
                  <w:tcW w:w="343" w:type="pct"/>
                  <w:tcBorders>
                    <w:tl2br w:val="nil"/>
                    <w:tr2bl w:val="nil"/>
                  </w:tcBorders>
                  <w:shd w:val="clear" w:color="auto" w:fill="auto"/>
                  <w:vAlign w:val="center"/>
                </w:tcPr>
                <w:p w14:paraId="59E4B69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18.63</w:t>
                  </w:r>
                </w:p>
              </w:tc>
              <w:tc>
                <w:tcPr>
                  <w:tcW w:w="307" w:type="pct"/>
                  <w:tcBorders>
                    <w:tl2br w:val="nil"/>
                    <w:tr2bl w:val="nil"/>
                  </w:tcBorders>
                  <w:shd w:val="clear" w:color="auto" w:fill="auto"/>
                  <w:vAlign w:val="center"/>
                </w:tcPr>
                <w:p w14:paraId="6BF52C5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1.48</w:t>
                  </w:r>
                </w:p>
              </w:tc>
              <w:tc>
                <w:tcPr>
                  <w:tcW w:w="354" w:type="pct"/>
                  <w:tcBorders>
                    <w:tl2br w:val="nil"/>
                    <w:tr2bl w:val="nil"/>
                  </w:tcBorders>
                  <w:shd w:val="clear" w:color="auto" w:fill="auto"/>
                  <w:vAlign w:val="center"/>
                </w:tcPr>
                <w:p w14:paraId="558EFF4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0.92</w:t>
                  </w:r>
                </w:p>
              </w:tc>
              <w:tc>
                <w:tcPr>
                  <w:tcW w:w="343" w:type="pct"/>
                  <w:tcBorders>
                    <w:tl2br w:val="nil"/>
                    <w:tr2bl w:val="nil"/>
                  </w:tcBorders>
                  <w:shd w:val="clear" w:color="auto" w:fill="FFFFFF"/>
                  <w:vAlign w:val="center"/>
                </w:tcPr>
                <w:p w14:paraId="094FF50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0.009</w:t>
                  </w:r>
                </w:p>
              </w:tc>
              <w:tc>
                <w:tcPr>
                  <w:tcW w:w="343" w:type="pct"/>
                  <w:tcBorders>
                    <w:tl2br w:val="nil"/>
                    <w:tr2bl w:val="nil"/>
                  </w:tcBorders>
                  <w:shd w:val="clear" w:color="auto" w:fill="FFFFFF"/>
                  <w:vAlign w:val="center"/>
                </w:tcPr>
                <w:p w14:paraId="0CDCA4D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0.013</w:t>
                  </w:r>
                </w:p>
              </w:tc>
              <w:tc>
                <w:tcPr>
                  <w:tcW w:w="343" w:type="pct"/>
                  <w:tcBorders>
                    <w:tl2br w:val="nil"/>
                    <w:tr2bl w:val="nil"/>
                  </w:tcBorders>
                  <w:shd w:val="clear" w:color="auto" w:fill="FFFFFF"/>
                  <w:vAlign w:val="center"/>
                </w:tcPr>
                <w:p w14:paraId="25DB51A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0.025</w:t>
                  </w:r>
                </w:p>
              </w:tc>
              <w:tc>
                <w:tcPr>
                  <w:tcW w:w="354" w:type="pct"/>
                  <w:tcBorders>
                    <w:tl2br w:val="nil"/>
                    <w:tr2bl w:val="nil"/>
                  </w:tcBorders>
                  <w:shd w:val="clear" w:color="auto" w:fill="FFFFFF"/>
                  <w:vAlign w:val="center"/>
                </w:tcPr>
                <w:p w14:paraId="769D264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0.47</w:t>
                  </w:r>
                </w:p>
              </w:tc>
              <w:tc>
                <w:tcPr>
                  <w:tcW w:w="343" w:type="pct"/>
                  <w:tcBorders>
                    <w:tl2br w:val="nil"/>
                    <w:tr2bl w:val="nil"/>
                  </w:tcBorders>
                  <w:shd w:val="clear" w:color="auto" w:fill="FFFFFF"/>
                  <w:vAlign w:val="center"/>
                </w:tcPr>
                <w:p w14:paraId="59AFC19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0.041</w:t>
                  </w:r>
                </w:p>
              </w:tc>
              <w:tc>
                <w:tcPr>
                  <w:tcW w:w="343" w:type="pct"/>
                  <w:tcBorders>
                    <w:tl2br w:val="nil"/>
                    <w:tr2bl w:val="nil"/>
                  </w:tcBorders>
                  <w:vAlign w:val="center"/>
                </w:tcPr>
                <w:p w14:paraId="217D620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0.044</w:t>
                  </w:r>
                </w:p>
              </w:tc>
              <w:tc>
                <w:tcPr>
                  <w:tcW w:w="343" w:type="pct"/>
                  <w:tcBorders>
                    <w:tl2br w:val="nil"/>
                    <w:tr2bl w:val="nil"/>
                  </w:tcBorders>
                  <w:vAlign w:val="center"/>
                </w:tcPr>
                <w:p w14:paraId="16AE08B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0.013</w:t>
                  </w:r>
                </w:p>
              </w:tc>
              <w:tc>
                <w:tcPr>
                  <w:tcW w:w="343" w:type="pct"/>
                  <w:tcBorders>
                    <w:tl2br w:val="nil"/>
                    <w:tr2bl w:val="nil"/>
                  </w:tcBorders>
                  <w:vAlign w:val="center"/>
                </w:tcPr>
                <w:p w14:paraId="78EC61A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44.87</w:t>
                  </w:r>
                </w:p>
              </w:tc>
            </w:tr>
            <w:tr w14:paraId="0FBA95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92" w:type="pct"/>
                  <w:gridSpan w:val="2"/>
                  <w:tcBorders>
                    <w:tl2br w:val="nil"/>
                    <w:tr2bl w:val="nil"/>
                  </w:tcBorders>
                  <w:vAlign w:val="center"/>
                </w:tcPr>
                <w:p w14:paraId="3E58954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最大值</w:t>
                  </w:r>
                </w:p>
              </w:tc>
              <w:tc>
                <w:tcPr>
                  <w:tcW w:w="343" w:type="pct"/>
                  <w:tcBorders>
                    <w:tl2br w:val="nil"/>
                    <w:tr2bl w:val="nil"/>
                  </w:tcBorders>
                  <w:vAlign w:val="center"/>
                </w:tcPr>
                <w:p w14:paraId="4B7E015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35.13</w:t>
                  </w:r>
                </w:p>
              </w:tc>
              <w:tc>
                <w:tcPr>
                  <w:tcW w:w="343" w:type="pct"/>
                  <w:tcBorders>
                    <w:tl2br w:val="nil"/>
                    <w:tr2bl w:val="nil"/>
                  </w:tcBorders>
                  <w:vAlign w:val="center"/>
                </w:tcPr>
                <w:p w14:paraId="298FF00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19.38</w:t>
                  </w:r>
                </w:p>
              </w:tc>
              <w:tc>
                <w:tcPr>
                  <w:tcW w:w="307" w:type="pct"/>
                  <w:tcBorders>
                    <w:tl2br w:val="nil"/>
                    <w:tr2bl w:val="nil"/>
                  </w:tcBorders>
                  <w:vAlign w:val="center"/>
                </w:tcPr>
                <w:p w14:paraId="14FA8CA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1.48</w:t>
                  </w:r>
                </w:p>
              </w:tc>
              <w:tc>
                <w:tcPr>
                  <w:tcW w:w="354" w:type="pct"/>
                  <w:tcBorders>
                    <w:tl2br w:val="nil"/>
                    <w:tr2bl w:val="nil"/>
                  </w:tcBorders>
                  <w:vAlign w:val="center"/>
                </w:tcPr>
                <w:p w14:paraId="340B015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0.92</w:t>
                  </w:r>
                </w:p>
              </w:tc>
              <w:tc>
                <w:tcPr>
                  <w:tcW w:w="343" w:type="pct"/>
                  <w:tcBorders>
                    <w:tl2br w:val="nil"/>
                    <w:tr2bl w:val="nil"/>
                  </w:tcBorders>
                  <w:vAlign w:val="center"/>
                </w:tcPr>
                <w:p w14:paraId="31ACBF5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0.010</w:t>
                  </w:r>
                </w:p>
              </w:tc>
              <w:tc>
                <w:tcPr>
                  <w:tcW w:w="343" w:type="pct"/>
                  <w:tcBorders>
                    <w:tl2br w:val="nil"/>
                    <w:tr2bl w:val="nil"/>
                  </w:tcBorders>
                  <w:vAlign w:val="center"/>
                </w:tcPr>
                <w:p w14:paraId="1CC8169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0.013</w:t>
                  </w:r>
                </w:p>
              </w:tc>
              <w:tc>
                <w:tcPr>
                  <w:tcW w:w="343" w:type="pct"/>
                  <w:tcBorders>
                    <w:tl2br w:val="nil"/>
                    <w:tr2bl w:val="nil"/>
                  </w:tcBorders>
                  <w:vAlign w:val="center"/>
                </w:tcPr>
                <w:p w14:paraId="0D9FB67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0.100</w:t>
                  </w:r>
                </w:p>
              </w:tc>
              <w:tc>
                <w:tcPr>
                  <w:tcW w:w="354" w:type="pct"/>
                  <w:tcBorders>
                    <w:tl2br w:val="nil"/>
                    <w:tr2bl w:val="nil"/>
                  </w:tcBorders>
                  <w:vAlign w:val="center"/>
                </w:tcPr>
                <w:p w14:paraId="0B16AE6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0.47</w:t>
                  </w:r>
                </w:p>
              </w:tc>
              <w:tc>
                <w:tcPr>
                  <w:tcW w:w="343" w:type="pct"/>
                  <w:tcBorders>
                    <w:tl2br w:val="nil"/>
                    <w:tr2bl w:val="nil"/>
                  </w:tcBorders>
                  <w:vAlign w:val="center"/>
                </w:tcPr>
                <w:p w14:paraId="216FA58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0.041</w:t>
                  </w:r>
                </w:p>
              </w:tc>
              <w:tc>
                <w:tcPr>
                  <w:tcW w:w="343" w:type="pct"/>
                  <w:tcBorders>
                    <w:tl2br w:val="nil"/>
                    <w:tr2bl w:val="nil"/>
                  </w:tcBorders>
                  <w:vAlign w:val="center"/>
                </w:tcPr>
                <w:p w14:paraId="14DFC68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0.045</w:t>
                  </w:r>
                </w:p>
              </w:tc>
              <w:tc>
                <w:tcPr>
                  <w:tcW w:w="343" w:type="pct"/>
                  <w:tcBorders>
                    <w:tl2br w:val="nil"/>
                    <w:tr2bl w:val="nil"/>
                  </w:tcBorders>
                  <w:vAlign w:val="center"/>
                </w:tcPr>
                <w:p w14:paraId="3F5A347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0.013</w:t>
                  </w:r>
                </w:p>
              </w:tc>
              <w:tc>
                <w:tcPr>
                  <w:tcW w:w="343" w:type="pct"/>
                  <w:tcBorders>
                    <w:tl2br w:val="nil"/>
                    <w:tr2bl w:val="nil"/>
                  </w:tcBorders>
                  <w:vAlign w:val="center"/>
                </w:tcPr>
                <w:p w14:paraId="7121EC3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45.76</w:t>
                  </w:r>
                </w:p>
              </w:tc>
            </w:tr>
            <w:tr w14:paraId="1E9CD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92" w:type="pct"/>
                  <w:gridSpan w:val="2"/>
                  <w:tcBorders>
                    <w:tl2br w:val="nil"/>
                    <w:tr2bl w:val="nil"/>
                  </w:tcBorders>
                  <w:vAlign w:val="center"/>
                </w:tcPr>
                <w:p w14:paraId="17838F6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最小值</w:t>
                  </w:r>
                </w:p>
              </w:tc>
              <w:tc>
                <w:tcPr>
                  <w:tcW w:w="343" w:type="pct"/>
                  <w:tcBorders>
                    <w:tl2br w:val="nil"/>
                    <w:tr2bl w:val="nil"/>
                  </w:tcBorders>
                  <w:vAlign w:val="center"/>
                </w:tcPr>
                <w:p w14:paraId="3F71E74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31.50</w:t>
                  </w:r>
                </w:p>
              </w:tc>
              <w:tc>
                <w:tcPr>
                  <w:tcW w:w="343" w:type="pct"/>
                  <w:tcBorders>
                    <w:tl2br w:val="nil"/>
                    <w:tr2bl w:val="nil"/>
                  </w:tcBorders>
                  <w:vAlign w:val="center"/>
                </w:tcPr>
                <w:p w14:paraId="365D2D0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16.71</w:t>
                  </w:r>
                </w:p>
              </w:tc>
              <w:tc>
                <w:tcPr>
                  <w:tcW w:w="307" w:type="pct"/>
                  <w:tcBorders>
                    <w:tl2br w:val="nil"/>
                    <w:tr2bl w:val="nil"/>
                  </w:tcBorders>
                  <w:vAlign w:val="center"/>
                </w:tcPr>
                <w:p w14:paraId="191BACC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1.24</w:t>
                  </w:r>
                </w:p>
              </w:tc>
              <w:tc>
                <w:tcPr>
                  <w:tcW w:w="354" w:type="pct"/>
                  <w:tcBorders>
                    <w:tl2br w:val="nil"/>
                    <w:tr2bl w:val="nil"/>
                  </w:tcBorders>
                  <w:vAlign w:val="center"/>
                </w:tcPr>
                <w:p w14:paraId="6CD62D4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0.37</w:t>
                  </w:r>
                </w:p>
              </w:tc>
              <w:tc>
                <w:tcPr>
                  <w:tcW w:w="343" w:type="pct"/>
                  <w:tcBorders>
                    <w:tl2br w:val="nil"/>
                    <w:tr2bl w:val="nil"/>
                  </w:tcBorders>
                  <w:vAlign w:val="center"/>
                </w:tcPr>
                <w:p w14:paraId="0BFA245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0.009</w:t>
                  </w:r>
                </w:p>
              </w:tc>
              <w:tc>
                <w:tcPr>
                  <w:tcW w:w="343" w:type="pct"/>
                  <w:tcBorders>
                    <w:tl2br w:val="nil"/>
                    <w:tr2bl w:val="nil"/>
                  </w:tcBorders>
                  <w:vAlign w:val="center"/>
                </w:tcPr>
                <w:p w14:paraId="7A001CE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0.010</w:t>
                  </w:r>
                </w:p>
              </w:tc>
              <w:tc>
                <w:tcPr>
                  <w:tcW w:w="343" w:type="pct"/>
                  <w:tcBorders>
                    <w:tl2br w:val="nil"/>
                    <w:tr2bl w:val="nil"/>
                  </w:tcBorders>
                  <w:vAlign w:val="center"/>
                </w:tcPr>
                <w:p w14:paraId="544CDB2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0.025</w:t>
                  </w:r>
                </w:p>
              </w:tc>
              <w:tc>
                <w:tcPr>
                  <w:tcW w:w="354" w:type="pct"/>
                  <w:tcBorders>
                    <w:tl2br w:val="nil"/>
                    <w:tr2bl w:val="nil"/>
                  </w:tcBorders>
                  <w:vAlign w:val="center"/>
                </w:tcPr>
                <w:p w14:paraId="29BB4A1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0.21</w:t>
                  </w:r>
                </w:p>
              </w:tc>
              <w:tc>
                <w:tcPr>
                  <w:tcW w:w="343" w:type="pct"/>
                  <w:tcBorders>
                    <w:tl2br w:val="nil"/>
                    <w:tr2bl w:val="nil"/>
                  </w:tcBorders>
                  <w:vAlign w:val="center"/>
                </w:tcPr>
                <w:p w14:paraId="5A4E1C0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0.040</w:t>
                  </w:r>
                </w:p>
              </w:tc>
              <w:tc>
                <w:tcPr>
                  <w:tcW w:w="343" w:type="pct"/>
                  <w:tcBorders>
                    <w:tl2br w:val="nil"/>
                    <w:tr2bl w:val="nil"/>
                  </w:tcBorders>
                  <w:vAlign w:val="center"/>
                </w:tcPr>
                <w:p w14:paraId="75974BE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0.039</w:t>
                  </w:r>
                </w:p>
              </w:tc>
              <w:tc>
                <w:tcPr>
                  <w:tcW w:w="343" w:type="pct"/>
                  <w:tcBorders>
                    <w:tl2br w:val="nil"/>
                    <w:tr2bl w:val="nil"/>
                  </w:tcBorders>
                  <w:vAlign w:val="center"/>
                </w:tcPr>
                <w:p w14:paraId="1C8AB64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0.011</w:t>
                  </w:r>
                </w:p>
              </w:tc>
              <w:tc>
                <w:tcPr>
                  <w:tcW w:w="343" w:type="pct"/>
                  <w:tcBorders>
                    <w:tl2br w:val="nil"/>
                    <w:tr2bl w:val="nil"/>
                  </w:tcBorders>
                  <w:vAlign w:val="center"/>
                </w:tcPr>
                <w:p w14:paraId="06C17EC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44.87</w:t>
                  </w:r>
                </w:p>
              </w:tc>
            </w:tr>
            <w:tr w14:paraId="52BFE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92" w:type="pct"/>
                  <w:gridSpan w:val="2"/>
                  <w:tcBorders>
                    <w:tl2br w:val="nil"/>
                    <w:tr2bl w:val="nil"/>
                  </w:tcBorders>
                  <w:vAlign w:val="center"/>
                </w:tcPr>
                <w:p w14:paraId="595E193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平均值</w:t>
                  </w:r>
                </w:p>
              </w:tc>
              <w:tc>
                <w:tcPr>
                  <w:tcW w:w="343" w:type="pct"/>
                  <w:tcBorders>
                    <w:tl2br w:val="nil"/>
                    <w:tr2bl w:val="nil"/>
                  </w:tcBorders>
                  <w:vAlign w:val="center"/>
                </w:tcPr>
                <w:p w14:paraId="4E3A08C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32.92</w:t>
                  </w:r>
                </w:p>
              </w:tc>
              <w:tc>
                <w:tcPr>
                  <w:tcW w:w="343" w:type="pct"/>
                  <w:tcBorders>
                    <w:tl2br w:val="nil"/>
                    <w:tr2bl w:val="nil"/>
                  </w:tcBorders>
                  <w:vAlign w:val="center"/>
                </w:tcPr>
                <w:p w14:paraId="3429546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18.24</w:t>
                  </w:r>
                </w:p>
              </w:tc>
              <w:tc>
                <w:tcPr>
                  <w:tcW w:w="307" w:type="pct"/>
                  <w:tcBorders>
                    <w:tl2br w:val="nil"/>
                    <w:tr2bl w:val="nil"/>
                  </w:tcBorders>
                  <w:vAlign w:val="center"/>
                </w:tcPr>
                <w:p w14:paraId="7242089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1.39</w:t>
                  </w:r>
                </w:p>
              </w:tc>
              <w:tc>
                <w:tcPr>
                  <w:tcW w:w="354" w:type="pct"/>
                  <w:tcBorders>
                    <w:tl2br w:val="nil"/>
                    <w:tr2bl w:val="nil"/>
                  </w:tcBorders>
                  <w:vAlign w:val="center"/>
                </w:tcPr>
                <w:p w14:paraId="7FE38FF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0.59</w:t>
                  </w:r>
                </w:p>
              </w:tc>
              <w:tc>
                <w:tcPr>
                  <w:tcW w:w="343" w:type="pct"/>
                  <w:tcBorders>
                    <w:tl2br w:val="nil"/>
                    <w:tr2bl w:val="nil"/>
                  </w:tcBorders>
                  <w:vAlign w:val="center"/>
                </w:tcPr>
                <w:p w14:paraId="598D357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0.009</w:t>
                  </w:r>
                </w:p>
              </w:tc>
              <w:tc>
                <w:tcPr>
                  <w:tcW w:w="343" w:type="pct"/>
                  <w:tcBorders>
                    <w:tl2br w:val="nil"/>
                    <w:tr2bl w:val="nil"/>
                  </w:tcBorders>
                  <w:vAlign w:val="center"/>
                </w:tcPr>
                <w:p w14:paraId="649A402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0.011</w:t>
                  </w:r>
                </w:p>
              </w:tc>
              <w:tc>
                <w:tcPr>
                  <w:tcW w:w="343" w:type="pct"/>
                  <w:tcBorders>
                    <w:tl2br w:val="nil"/>
                    <w:tr2bl w:val="nil"/>
                  </w:tcBorders>
                  <w:vAlign w:val="center"/>
                </w:tcPr>
                <w:p w14:paraId="07813D8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0.058</w:t>
                  </w:r>
                </w:p>
              </w:tc>
              <w:tc>
                <w:tcPr>
                  <w:tcW w:w="354" w:type="pct"/>
                  <w:tcBorders>
                    <w:tl2br w:val="nil"/>
                    <w:tr2bl w:val="nil"/>
                  </w:tcBorders>
                  <w:vAlign w:val="center"/>
                </w:tcPr>
                <w:p w14:paraId="7A806F2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0.30</w:t>
                  </w:r>
                </w:p>
              </w:tc>
              <w:tc>
                <w:tcPr>
                  <w:tcW w:w="343" w:type="pct"/>
                  <w:tcBorders>
                    <w:tl2br w:val="nil"/>
                    <w:tr2bl w:val="nil"/>
                  </w:tcBorders>
                  <w:vAlign w:val="center"/>
                </w:tcPr>
                <w:p w14:paraId="37BD75E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0.041</w:t>
                  </w:r>
                </w:p>
              </w:tc>
              <w:tc>
                <w:tcPr>
                  <w:tcW w:w="343" w:type="pct"/>
                  <w:tcBorders>
                    <w:tl2br w:val="nil"/>
                    <w:tr2bl w:val="nil"/>
                  </w:tcBorders>
                  <w:vAlign w:val="center"/>
                </w:tcPr>
                <w:p w14:paraId="3A79104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0.043</w:t>
                  </w:r>
                </w:p>
              </w:tc>
              <w:tc>
                <w:tcPr>
                  <w:tcW w:w="343" w:type="pct"/>
                  <w:tcBorders>
                    <w:tl2br w:val="nil"/>
                    <w:tr2bl w:val="nil"/>
                  </w:tcBorders>
                  <w:vAlign w:val="center"/>
                </w:tcPr>
                <w:p w14:paraId="0CA6F42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0.012</w:t>
                  </w:r>
                </w:p>
              </w:tc>
              <w:tc>
                <w:tcPr>
                  <w:tcW w:w="343" w:type="pct"/>
                  <w:tcBorders>
                    <w:tl2br w:val="nil"/>
                    <w:tr2bl w:val="nil"/>
                  </w:tcBorders>
                  <w:vAlign w:val="center"/>
                </w:tcPr>
                <w:p w14:paraId="1DCBEE5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45.28</w:t>
                  </w:r>
                </w:p>
              </w:tc>
            </w:tr>
          </w:tbl>
          <w:p w14:paraId="406F8598">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（6）开采技术</w:t>
            </w:r>
          </w:p>
          <w:p w14:paraId="3BC3F76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①水文地质条件</w:t>
            </w:r>
          </w:p>
          <w:p w14:paraId="44AF9F2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本区属侵蚀剥蚀丘陵地貌，地势是中部稍高，四周低，有利于地表水的径排。山体坡度一般在15~35°之间，局部地段达50°。地形有利于大气降水的自然排泄，大气降水基本顺山坡流走，只有少量顺裂隙渗入地下补充地下水。矿区周边最低侵蚀基准面标高约为+290m，拟设采矿权开采标高为+387～+335m，最低开采标高位于当地最低侵蚀基准面之上。</w:t>
            </w:r>
          </w:p>
          <w:p w14:paraId="447E22B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矿区内地表水系不发育。仅在矿区北侧及西北侧山前平原分布一口季节性水塘和引水渠，水源的主要补给方式为大气降雨。水塘及小溪等地表水体、水系对矿坑充水影响小。</w:t>
            </w:r>
          </w:p>
          <w:p w14:paraId="059F1B9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矿区外围的东侧的F3断层为逆断层，主要切割了泥盆上统佘田桥组（D</w:t>
            </w:r>
            <w:r>
              <w:rPr>
                <w:rFonts w:hint="default" w:ascii="Times New Roman" w:hAnsi="Times New Roman" w:cs="Times New Roman"/>
                <w:color w:val="auto"/>
                <w:spacing w:val="11"/>
                <w:position w:val="0"/>
                <w:sz w:val="24"/>
                <w:szCs w:val="22"/>
                <w:highlight w:val="none"/>
                <w:u w:val="none" w:color="auto"/>
                <w:vertAlign w:val="subscript"/>
                <w:lang w:val="en-US" w:eastAsia="zh-CN"/>
              </w:rPr>
              <w:t>3</w:t>
            </w:r>
            <w:r>
              <w:rPr>
                <w:rFonts w:hint="default" w:ascii="Times New Roman" w:hAnsi="Times New Roman" w:cs="Times New Roman"/>
                <w:color w:val="auto"/>
                <w:spacing w:val="11"/>
                <w:position w:val="0"/>
                <w:sz w:val="24"/>
                <w:szCs w:val="22"/>
                <w:highlight w:val="none"/>
                <w:u w:val="none" w:color="auto"/>
                <w:lang w:val="en-US" w:eastAsia="zh-CN"/>
              </w:rPr>
              <w:t>s）和锡矿山组（D</w:t>
            </w:r>
            <w:r>
              <w:rPr>
                <w:rFonts w:hint="default" w:ascii="Times New Roman" w:hAnsi="Times New Roman" w:cs="Times New Roman"/>
                <w:color w:val="auto"/>
                <w:spacing w:val="11"/>
                <w:position w:val="0"/>
                <w:sz w:val="24"/>
                <w:szCs w:val="22"/>
                <w:highlight w:val="none"/>
                <w:u w:val="none" w:color="auto"/>
                <w:vertAlign w:val="subscript"/>
                <w:lang w:val="en-US" w:eastAsia="zh-CN"/>
              </w:rPr>
              <w:t>3</w:t>
            </w:r>
            <w:r>
              <w:rPr>
                <w:rFonts w:hint="default" w:ascii="Times New Roman" w:hAnsi="Times New Roman" w:cs="Times New Roman"/>
                <w:color w:val="auto"/>
                <w:spacing w:val="11"/>
                <w:position w:val="0"/>
                <w:sz w:val="24"/>
                <w:szCs w:val="22"/>
                <w:highlight w:val="none"/>
                <w:u w:val="none" w:color="auto"/>
                <w:lang w:val="en-US" w:eastAsia="zh-CN"/>
              </w:rPr>
              <w:t>x）碳酸盐岩岩溶裂隙水。该断层断距大，岩体完整性好，沿断层岩溶不发育，故断层带导水性差；在断层沿线浅部均未发现涌水点、泄水点，富水性较差；区内矿体未受此断层影响。因此，断层对未来矿床开采充水影响小。</w:t>
            </w:r>
          </w:p>
          <w:p w14:paraId="2498677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矿区内灰岩矿体地表有大小不一的不规则状或平行条带状的溶沟，往往沿构造裂隙侵蚀成溶槽；区内浅表岩溶发育程度为不发育；矿区深部岩溶和裂隙不发育，大部分裂隙被方解石脉充填，连通性较差。</w:t>
            </w:r>
          </w:p>
          <w:p w14:paraId="2083552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区内地下水的主要补给来源为大气降水，大气降水或地表水体通过松散岩类间接补给，部分为降水直接补给。地下水由补给区流向排泄区，径流形式主要为裂隙型，局部为溶隙型。大气降水通过地面水流渗透或直接补给含水层，地下水径流为岩溶裂隙水，它沿裂隙及溶隙、溶洞系统渗漏与运移，呈裂隙水的形式排泄于东北侧低洼地段或补给临近含水层。地下水主要以点状下降泉水形式向矿区东侧的低洼地带排泄。</w:t>
            </w:r>
          </w:p>
          <w:p w14:paraId="48D12FD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综上所述，区内地表水系不发育，矿界外的水库、水塘水体不能直接倒灌采场。采场充水的主要因素为大气降水，可自然排水。区内主要地下水类型为碳酸盐岩类裂隙溶洞，含水层位为泥盆统佘田桥组灰岩岩组，富水性弱，主要由大气降雨补给，补给条件差。矿区位于独立水文地质单元补给区内，水文地质边界条件简单，第四系覆盖很少，无老空水分布，矿山露天开采不会产生塌陷、沉降。本矿区的水文地质条件属简单类型。</w:t>
            </w:r>
          </w:p>
          <w:p w14:paraId="3796246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 xml:space="preserve">②工程地质条件 </w:t>
            </w:r>
          </w:p>
          <w:p w14:paraId="6E9A19A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区内地质构造中等；工程地质岩组类型简单，未来开采边坡结构以岩质为主，坡顶存在少量覆盖层。矿体围岩均为碳酸盐岩较坚硬岩类，力学强度较高，岩体节理裂隙发育，但多被后生方解石充填，岩石完整性中等-完整，无软弱夹层。在浅部溶蚀裂隙或溶蚀构造发育，对边坡稳定性有一定影响。未来开采过程中，建议岩矿层最终稳定边坡角≤55°，对存在的边坡安全隐患要采取有效措施及时进行治理。总体上，矿区边坡稳定性较差，矿区工程地质条件属中等类型。</w:t>
            </w:r>
          </w:p>
          <w:p w14:paraId="7E83DD9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2"/>
                <w:highlight w:val="none"/>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③环境地质条件</w:t>
            </w:r>
          </w:p>
          <w:p w14:paraId="1F6BB07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position w:val="0"/>
                <w:sz w:val="24"/>
                <w:szCs w:val="22"/>
                <w:u w:val="none" w:color="auto"/>
                <w:lang w:val="en-US" w:eastAsia="zh-CN"/>
              </w:rPr>
            </w:pPr>
            <w:r>
              <w:rPr>
                <w:rFonts w:hint="default" w:ascii="Times New Roman" w:hAnsi="Times New Roman" w:cs="Times New Roman"/>
                <w:color w:val="auto"/>
                <w:spacing w:val="11"/>
                <w:position w:val="0"/>
                <w:sz w:val="24"/>
                <w:szCs w:val="22"/>
                <w:highlight w:val="none"/>
                <w:u w:val="none" w:color="auto"/>
                <w:lang w:val="en-US" w:eastAsia="zh-CN"/>
              </w:rPr>
              <w:t>矿区属基本稳定区，现状地质灾害不发育，自然生态环境质量良好。未来矿山露天开采造成地表变形、占用土地资源、破坏土石环境，对土地资源和土石环境的影响严重；矿业活动引发崩塌、滑坡地质灾害的可能性中等，危险性中等，对自然景观和人居环境影响较重。其他地质环境影响及地质灾害危害较轻。矿山开采引发的地质环境问题可以通过工程措施治理恢复。因此，矿区地质环境条件属中等类型。</w:t>
            </w:r>
          </w:p>
        </w:tc>
      </w:tr>
      <w:tr w14:paraId="3939B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tcBorders>
              <w:tl2br w:val="nil"/>
              <w:tr2bl w:val="nil"/>
            </w:tcBorders>
            <w:noWrap w:val="0"/>
            <w:vAlign w:val="center"/>
          </w:tcPr>
          <w:p w14:paraId="6212A1A8">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u w:val="single" w:color="auto"/>
              </w:rPr>
            </w:pPr>
            <w:r>
              <w:rPr>
                <w:rFonts w:hint="default" w:ascii="Times New Roman" w:hAnsi="Times New Roman" w:eastAsia="宋体" w:cs="Times New Roman"/>
                <w:color w:val="auto"/>
                <w:spacing w:val="11"/>
                <w:kern w:val="0"/>
                <w:position w:val="0"/>
                <w:sz w:val="24"/>
                <w:szCs w:val="24"/>
                <w:u w:val="single" w:color="auto"/>
              </w:rPr>
              <w:t>总平面及现场布置</w:t>
            </w:r>
          </w:p>
        </w:tc>
        <w:tc>
          <w:tcPr>
            <w:tcW w:w="4580" w:type="pct"/>
            <w:tcBorders>
              <w:tl2br w:val="nil"/>
              <w:tr2bl w:val="nil"/>
            </w:tcBorders>
            <w:noWrap w:val="0"/>
            <w:vAlign w:val="top"/>
          </w:tcPr>
          <w:p w14:paraId="6E33F8CF">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hint="default" w:ascii="Times New Roman" w:hAnsi="Times New Roman" w:eastAsia="宋体" w:cs="Times New Roman"/>
                <w:color w:val="auto"/>
                <w:spacing w:val="11"/>
                <w:position w:val="0"/>
                <w:sz w:val="24"/>
                <w:szCs w:val="22"/>
                <w:u w:val="single" w:color="auto"/>
                <w:lang w:val="en-US" w:eastAsia="zh-CN"/>
              </w:rPr>
            </w:pPr>
            <w:r>
              <w:rPr>
                <w:rFonts w:hint="default" w:ascii="Times New Roman" w:hAnsi="Times New Roman" w:eastAsia="宋体" w:cs="Times New Roman"/>
                <w:color w:val="auto"/>
                <w:spacing w:val="11"/>
                <w:position w:val="0"/>
                <w:sz w:val="24"/>
                <w:szCs w:val="22"/>
                <w:u w:val="single" w:color="auto"/>
                <w:lang w:val="en-US" w:eastAsia="zh-CN"/>
              </w:rPr>
              <w:t>项目总平面布置主要分为露天开采区、工业广场、办公生活区</w:t>
            </w:r>
            <w:r>
              <w:rPr>
                <w:rFonts w:hint="default" w:ascii="Times New Roman" w:hAnsi="Times New Roman" w:cs="Times New Roman"/>
                <w:color w:val="auto"/>
                <w:spacing w:val="11"/>
                <w:position w:val="0"/>
                <w:sz w:val="24"/>
                <w:szCs w:val="22"/>
                <w:u w:val="single" w:color="auto"/>
                <w:lang w:val="en-US" w:eastAsia="zh-CN"/>
              </w:rPr>
              <w:t>以及排土场</w:t>
            </w:r>
            <w:r>
              <w:rPr>
                <w:rFonts w:hint="default" w:ascii="Times New Roman" w:hAnsi="Times New Roman" w:eastAsia="宋体" w:cs="Times New Roman"/>
                <w:color w:val="auto"/>
                <w:spacing w:val="11"/>
                <w:position w:val="0"/>
                <w:sz w:val="24"/>
                <w:szCs w:val="22"/>
                <w:u w:val="single" w:color="auto"/>
                <w:lang w:val="en-US" w:eastAsia="zh-CN"/>
              </w:rPr>
              <w:t>。露天开采位于</w:t>
            </w:r>
            <w:r>
              <w:rPr>
                <w:rFonts w:hint="default" w:ascii="Times New Roman" w:hAnsi="Times New Roman" w:cs="Times New Roman"/>
                <w:color w:val="auto"/>
                <w:spacing w:val="11"/>
                <w:position w:val="0"/>
                <w:sz w:val="24"/>
                <w:szCs w:val="22"/>
                <w:u w:val="single" w:color="auto"/>
                <w:lang w:val="en-US" w:eastAsia="zh-CN"/>
              </w:rPr>
              <w:t>项目区东</w:t>
            </w:r>
            <w:r>
              <w:rPr>
                <w:rFonts w:hint="default" w:ascii="Times New Roman" w:hAnsi="Times New Roman" w:eastAsia="宋体" w:cs="Times New Roman"/>
                <w:color w:val="auto"/>
                <w:spacing w:val="11"/>
                <w:position w:val="0"/>
                <w:sz w:val="24"/>
                <w:szCs w:val="22"/>
                <w:u w:val="single" w:color="auto"/>
                <w:lang w:val="en-US" w:eastAsia="zh-CN"/>
              </w:rPr>
              <w:t>侧，工业广场位于项目区</w:t>
            </w:r>
            <w:r>
              <w:rPr>
                <w:rFonts w:hint="default" w:ascii="Times New Roman" w:hAnsi="Times New Roman" w:cs="Times New Roman"/>
                <w:color w:val="auto"/>
                <w:spacing w:val="11"/>
                <w:position w:val="0"/>
                <w:sz w:val="24"/>
                <w:szCs w:val="22"/>
                <w:u w:val="single" w:color="auto"/>
                <w:lang w:val="en-US" w:eastAsia="zh-CN"/>
              </w:rPr>
              <w:t>西南侧的</w:t>
            </w:r>
            <w:r>
              <w:rPr>
                <w:rFonts w:hint="default" w:ascii="Times New Roman" w:hAnsi="Times New Roman" w:eastAsia="宋体" w:cs="Times New Roman"/>
                <w:color w:val="auto"/>
                <w:spacing w:val="11"/>
                <w:position w:val="0"/>
                <w:sz w:val="24"/>
                <w:szCs w:val="22"/>
                <w:u w:val="single" w:color="auto"/>
                <w:lang w:val="en-US" w:eastAsia="zh-CN"/>
              </w:rPr>
              <w:t>平缓坡地处，办公</w:t>
            </w:r>
            <w:r>
              <w:rPr>
                <w:rFonts w:hint="default" w:ascii="Times New Roman" w:hAnsi="Times New Roman" w:cs="Times New Roman"/>
                <w:color w:val="auto"/>
                <w:spacing w:val="11"/>
                <w:position w:val="0"/>
                <w:sz w:val="24"/>
                <w:szCs w:val="22"/>
                <w:u w:val="single" w:color="auto"/>
                <w:lang w:val="en-US" w:eastAsia="zh-CN"/>
              </w:rPr>
              <w:t>生活</w:t>
            </w:r>
            <w:r>
              <w:rPr>
                <w:rFonts w:hint="default" w:ascii="Times New Roman" w:hAnsi="Times New Roman" w:eastAsia="宋体" w:cs="Times New Roman"/>
                <w:color w:val="auto"/>
                <w:spacing w:val="11"/>
                <w:position w:val="0"/>
                <w:sz w:val="24"/>
                <w:szCs w:val="22"/>
                <w:u w:val="single" w:color="auto"/>
                <w:lang w:val="en-US" w:eastAsia="zh-CN"/>
              </w:rPr>
              <w:t>区位于项目区</w:t>
            </w:r>
            <w:r>
              <w:rPr>
                <w:rFonts w:hint="default" w:ascii="Times New Roman" w:hAnsi="Times New Roman" w:cs="Times New Roman"/>
                <w:color w:val="auto"/>
                <w:spacing w:val="11"/>
                <w:position w:val="0"/>
                <w:sz w:val="24"/>
                <w:szCs w:val="22"/>
                <w:u w:val="single" w:color="auto"/>
                <w:lang w:val="en-US" w:eastAsia="zh-CN"/>
              </w:rPr>
              <w:t>南</w:t>
            </w:r>
            <w:r>
              <w:rPr>
                <w:rFonts w:hint="default" w:ascii="Times New Roman" w:hAnsi="Times New Roman" w:eastAsia="宋体" w:cs="Times New Roman"/>
                <w:color w:val="auto"/>
                <w:spacing w:val="11"/>
                <w:position w:val="0"/>
                <w:sz w:val="24"/>
                <w:szCs w:val="22"/>
                <w:u w:val="single" w:color="auto"/>
                <w:lang w:val="en-US" w:eastAsia="zh-CN"/>
              </w:rPr>
              <w:t>侧</w:t>
            </w:r>
            <w:r>
              <w:rPr>
                <w:rFonts w:hint="default" w:ascii="Times New Roman" w:hAnsi="Times New Roman" w:cs="Times New Roman"/>
                <w:color w:val="auto"/>
                <w:spacing w:val="11"/>
                <w:position w:val="0"/>
                <w:sz w:val="24"/>
                <w:szCs w:val="22"/>
                <w:u w:val="single" w:color="auto"/>
                <w:lang w:val="en-US" w:eastAsia="zh-CN"/>
              </w:rPr>
              <w:t>，排土场位于项目区西侧</w:t>
            </w:r>
            <w:r>
              <w:rPr>
                <w:rFonts w:hint="default" w:ascii="Times New Roman" w:hAnsi="Times New Roman" w:eastAsia="宋体" w:cs="Times New Roman"/>
                <w:color w:val="auto"/>
                <w:spacing w:val="11"/>
                <w:position w:val="0"/>
                <w:sz w:val="24"/>
                <w:szCs w:val="22"/>
                <w:u w:val="single" w:color="auto"/>
                <w:lang w:val="en-US" w:eastAsia="zh-CN"/>
              </w:rPr>
              <w:t>。厂区入口处设有车辆过水池</w:t>
            </w:r>
            <w:r>
              <w:rPr>
                <w:rFonts w:hint="default" w:ascii="Times New Roman" w:hAnsi="Times New Roman" w:cs="Times New Roman"/>
                <w:color w:val="auto"/>
                <w:spacing w:val="11"/>
                <w:position w:val="0"/>
                <w:sz w:val="24"/>
                <w:szCs w:val="22"/>
                <w:u w:val="single" w:color="auto"/>
                <w:lang w:val="en-US" w:eastAsia="zh-CN"/>
              </w:rPr>
              <w:t>以及地磅</w:t>
            </w:r>
            <w:r>
              <w:rPr>
                <w:rFonts w:hint="default" w:ascii="Times New Roman" w:hAnsi="Times New Roman" w:eastAsia="宋体" w:cs="Times New Roman"/>
                <w:color w:val="auto"/>
                <w:spacing w:val="11"/>
                <w:position w:val="0"/>
                <w:sz w:val="24"/>
                <w:szCs w:val="22"/>
                <w:u w:val="single" w:color="auto"/>
                <w:lang w:val="en-US" w:eastAsia="zh-CN"/>
              </w:rPr>
              <w:t>。本项目不在厂区内设置炸药库，爆破工作委托有资质的爆破有限公司进行，项目具体平面布置见附图。</w:t>
            </w:r>
          </w:p>
          <w:p w14:paraId="5342507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u w:val="single" w:color="auto"/>
              </w:rPr>
            </w:pPr>
            <w:r>
              <w:rPr>
                <w:rFonts w:hint="default" w:ascii="Times New Roman" w:hAnsi="Times New Roman" w:eastAsia="宋体" w:cs="Times New Roman"/>
                <w:color w:val="000000"/>
                <w:spacing w:val="11"/>
                <w:position w:val="0"/>
                <w:sz w:val="24"/>
                <w:szCs w:val="24"/>
                <w:highlight w:val="none"/>
                <w:u w:val="single" w:color="auto"/>
                <w:lang w:val="en-US" w:eastAsia="zh-CN"/>
              </w:rPr>
              <w:t>本矿区范围由7个拐点闭合圈定，总占地面积0.</w:t>
            </w:r>
            <w:r>
              <w:rPr>
                <w:rFonts w:hint="default" w:ascii="Times New Roman" w:hAnsi="Times New Roman" w:cs="Times New Roman"/>
                <w:color w:val="000000"/>
                <w:spacing w:val="11"/>
                <w:position w:val="0"/>
                <w:sz w:val="24"/>
                <w:szCs w:val="24"/>
                <w:highlight w:val="none"/>
                <w:u w:val="single" w:color="auto"/>
                <w:lang w:val="en-US" w:eastAsia="zh-CN"/>
              </w:rPr>
              <w:t>0633</w:t>
            </w:r>
            <w:r>
              <w:rPr>
                <w:rFonts w:hint="default" w:ascii="Times New Roman" w:hAnsi="Times New Roman" w:eastAsia="宋体" w:cs="Times New Roman"/>
                <w:color w:val="000000"/>
                <w:spacing w:val="11"/>
                <w:position w:val="0"/>
                <w:sz w:val="24"/>
                <w:szCs w:val="24"/>
                <w:highlight w:val="none"/>
                <w:u w:val="single" w:color="auto"/>
                <w:lang w:val="en-US" w:eastAsia="zh-CN"/>
              </w:rPr>
              <w:t>km</w:t>
            </w:r>
            <w:r>
              <w:rPr>
                <w:rFonts w:hint="default" w:ascii="Times New Roman" w:hAnsi="Times New Roman" w:eastAsia="宋体" w:cs="Times New Roman"/>
                <w:color w:val="000000"/>
                <w:spacing w:val="11"/>
                <w:position w:val="0"/>
                <w:sz w:val="24"/>
                <w:szCs w:val="24"/>
                <w:highlight w:val="none"/>
                <w:u w:val="single" w:color="auto"/>
                <w:vertAlign w:val="superscript"/>
                <w:lang w:val="en-US" w:eastAsia="zh-CN"/>
              </w:rPr>
              <w:t>2</w:t>
            </w:r>
            <w:r>
              <w:rPr>
                <w:rFonts w:hint="default" w:ascii="Times New Roman" w:hAnsi="Times New Roman" w:eastAsia="宋体" w:cs="Times New Roman"/>
                <w:color w:val="000000"/>
                <w:spacing w:val="11"/>
                <w:position w:val="0"/>
                <w:sz w:val="24"/>
                <w:szCs w:val="24"/>
                <w:highlight w:val="none"/>
                <w:u w:val="single" w:color="auto"/>
                <w:lang w:val="en-US" w:eastAsia="zh-CN"/>
              </w:rPr>
              <w:t>，采用露天台阶式分层开采，公路运输开拓系统，设计准采高程为+387m～+335m。根据矿山地形、地质特点和现有资源赋存状况，台阶高度为15m，台阶坡面角为65°，安全平台宽度4m，清扫平台宽8m。采场按“从上而下，采剥并举，剥离先行”的原则依次逐台阶进行剥离</w:t>
            </w:r>
            <w:r>
              <w:rPr>
                <w:rFonts w:hint="default" w:ascii="Times New Roman" w:hAnsi="Times New Roman" w:eastAsia="宋体" w:cs="Times New Roman"/>
                <w:color w:val="000000"/>
                <w:spacing w:val="11"/>
                <w:position w:val="0"/>
                <w:sz w:val="24"/>
                <w:szCs w:val="24"/>
                <w:u w:val="single" w:color="auto"/>
              </w:rPr>
              <w:t>。运输采用公路开拓运输，在台阶面上直接装运。露天采场采区内水文地质条件简单，矿区充水主要为大气降水。矿区雨水经地形坡度自然排水，为防止周围山体的雨水进入采场影响边坡稳定，在矿区和排土场区域设置</w:t>
            </w:r>
            <w:r>
              <w:rPr>
                <w:rFonts w:hint="default" w:ascii="Times New Roman" w:hAnsi="Times New Roman" w:eastAsia="宋体" w:cs="Times New Roman"/>
                <w:color w:val="000000"/>
                <w:spacing w:val="11"/>
                <w:position w:val="0"/>
                <w:sz w:val="24"/>
                <w:szCs w:val="24"/>
                <w:u w:val="single" w:color="auto"/>
                <w:lang w:val="en-US" w:eastAsia="zh-CN"/>
              </w:rPr>
              <w:t>截水沟</w:t>
            </w:r>
            <w:r>
              <w:rPr>
                <w:rFonts w:hint="default" w:ascii="Times New Roman" w:hAnsi="Times New Roman" w:eastAsia="宋体" w:cs="Times New Roman"/>
                <w:color w:val="000000"/>
                <w:spacing w:val="11"/>
                <w:position w:val="0"/>
                <w:sz w:val="24"/>
                <w:szCs w:val="24"/>
                <w:u w:val="single" w:color="auto"/>
              </w:rPr>
              <w:t>，并配套完善沉淀池对此部分废水进行收集处理后再回用，从环保角度分析能满足环保要求，因此本项目总平面布置较合理。</w:t>
            </w:r>
          </w:p>
        </w:tc>
      </w:tr>
      <w:tr w14:paraId="53108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tcBorders>
              <w:tl2br w:val="nil"/>
              <w:tr2bl w:val="nil"/>
            </w:tcBorders>
            <w:noWrap w:val="0"/>
            <w:vAlign w:val="center"/>
          </w:tcPr>
          <w:p w14:paraId="084840D9">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施工方案</w:t>
            </w:r>
          </w:p>
        </w:tc>
        <w:tc>
          <w:tcPr>
            <w:tcW w:w="4580" w:type="pct"/>
            <w:tcBorders>
              <w:tl2br w:val="nil"/>
              <w:tr2bl w:val="nil"/>
            </w:tcBorders>
            <w:noWrap w:val="0"/>
            <w:vAlign w:val="top"/>
          </w:tcPr>
          <w:p w14:paraId="7A2E728F">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jc w:val="left"/>
              <w:textAlignment w:val="auto"/>
              <w:rPr>
                <w:rFonts w:hint="default" w:ascii="Times New Roman" w:hAnsi="Times New Roman" w:eastAsia="宋体" w:cs="Times New Roman"/>
                <w:snapToGrid w:val="0"/>
                <w:color w:val="auto"/>
                <w:spacing w:val="11"/>
                <w:kern w:val="0"/>
                <w:position w:val="0"/>
                <w:sz w:val="24"/>
                <w:szCs w:val="24"/>
                <w:lang w:val="en-US" w:eastAsia="zh-CN" w:bidi="ar-SA"/>
              </w:rPr>
            </w:pPr>
            <w:r>
              <w:rPr>
                <w:rFonts w:hint="default" w:ascii="Times New Roman" w:hAnsi="Times New Roman" w:eastAsia="宋体" w:cs="Times New Roman"/>
                <w:snapToGrid w:val="0"/>
                <w:color w:val="auto"/>
                <w:spacing w:val="11"/>
                <w:kern w:val="0"/>
                <w:position w:val="0"/>
                <w:sz w:val="24"/>
                <w:szCs w:val="24"/>
                <w:lang w:val="en-US" w:eastAsia="zh-CN" w:bidi="ar-SA"/>
              </w:rPr>
              <w:t>本项目施工期建设内容主要是包括场地平整和厂房的建设以及各生产设备安装、调试和其他配套设施施工建设等。</w:t>
            </w:r>
          </w:p>
          <w:p w14:paraId="19220A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auto"/>
                <w:spacing w:val="11"/>
                <w:kern w:val="0"/>
                <w:position w:val="0"/>
                <w:sz w:val="24"/>
                <w:szCs w:val="24"/>
                <w:lang w:val="en-US" w:eastAsia="zh-CN" w:bidi="ar-SA"/>
              </w:rPr>
            </w:pPr>
            <w:r>
              <w:rPr>
                <w:rFonts w:hint="default" w:ascii="Times New Roman" w:hAnsi="Times New Roman" w:eastAsia="宋体" w:cs="Times New Roman"/>
                <w:b/>
                <w:bCs/>
                <w:color w:val="auto"/>
                <w:spacing w:val="11"/>
                <w:kern w:val="0"/>
                <w:position w:val="0"/>
                <w:sz w:val="24"/>
                <w:szCs w:val="24"/>
                <w:lang w:val="en-US" w:eastAsia="zh-CN" w:bidi="ar-SA"/>
              </w:rPr>
              <w:drawing>
                <wp:inline distT="0" distB="0" distL="114300" distR="114300">
                  <wp:extent cx="3760470" cy="2066925"/>
                  <wp:effectExtent l="0" t="0" r="11430" b="9525"/>
                  <wp:docPr id="4" name="图片 178" descr="Y$9KVWJBD$88CYENBO0I1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8" descr="Y$9KVWJBD$88CYENBO0I1AL"/>
                          <pic:cNvPicPr>
                            <a:picLocks noChangeAspect="1"/>
                          </pic:cNvPicPr>
                        </pic:nvPicPr>
                        <pic:blipFill>
                          <a:blip r:embed="rId7"/>
                          <a:stretch>
                            <a:fillRect/>
                          </a:stretch>
                        </pic:blipFill>
                        <pic:spPr>
                          <a:xfrm>
                            <a:off x="0" y="0"/>
                            <a:ext cx="3760470" cy="2066925"/>
                          </a:xfrm>
                          <a:prstGeom prst="rect">
                            <a:avLst/>
                          </a:prstGeom>
                          <a:noFill/>
                          <a:ln>
                            <a:noFill/>
                          </a:ln>
                        </pic:spPr>
                      </pic:pic>
                    </a:graphicData>
                  </a:graphic>
                </wp:inline>
              </w:drawing>
            </w:r>
          </w:p>
          <w:p w14:paraId="73E9D85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bCs/>
                <w:snapToGrid w:val="0"/>
                <w:color w:val="auto"/>
                <w:spacing w:val="11"/>
                <w:kern w:val="0"/>
                <w:position w:val="0"/>
                <w:sz w:val="21"/>
                <w:szCs w:val="21"/>
                <w:lang w:val="en-US" w:eastAsia="zh-CN" w:bidi="ar-SA"/>
              </w:rPr>
            </w:pPr>
            <w:r>
              <w:rPr>
                <w:rFonts w:hint="default" w:ascii="Times New Roman" w:hAnsi="Times New Roman" w:eastAsia="宋体" w:cs="Times New Roman"/>
                <w:b/>
                <w:bCs/>
                <w:snapToGrid w:val="0"/>
                <w:color w:val="auto"/>
                <w:spacing w:val="11"/>
                <w:kern w:val="0"/>
                <w:position w:val="0"/>
                <w:sz w:val="21"/>
                <w:szCs w:val="21"/>
                <w:lang w:val="en-US" w:eastAsia="zh-CN" w:bidi="ar-SA"/>
              </w:rPr>
              <w:t>注：S1为施工渣土，S2为建筑垃圾，N为噪声，G1为施工扬尘，G2为机械设备尾气，W1为施工废水，S2为施工人员生活污水。</w:t>
            </w:r>
          </w:p>
          <w:p w14:paraId="0B3A70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auto"/>
                <w:spacing w:val="11"/>
                <w:kern w:val="0"/>
                <w:position w:val="0"/>
                <w:sz w:val="21"/>
                <w:szCs w:val="21"/>
                <w:lang w:val="en-US" w:eastAsia="zh-CN" w:bidi="ar-SA"/>
              </w:rPr>
            </w:pPr>
            <w:r>
              <w:rPr>
                <w:rFonts w:hint="default" w:ascii="Times New Roman" w:hAnsi="Times New Roman" w:eastAsia="宋体" w:cs="Times New Roman"/>
                <w:b/>
                <w:bCs/>
                <w:snapToGrid w:val="0"/>
                <w:color w:val="auto"/>
                <w:spacing w:val="11"/>
                <w:kern w:val="0"/>
                <w:position w:val="0"/>
                <w:sz w:val="21"/>
                <w:szCs w:val="21"/>
                <w:lang w:val="en-US" w:eastAsia="zh-CN" w:bidi="ar-SA"/>
              </w:rPr>
              <w:t>图2-</w:t>
            </w:r>
            <w:r>
              <w:rPr>
                <w:rFonts w:hint="default" w:ascii="Times New Roman" w:hAnsi="Times New Roman" w:cs="Times New Roman"/>
                <w:b/>
                <w:bCs/>
                <w:snapToGrid w:val="0"/>
                <w:color w:val="auto"/>
                <w:spacing w:val="11"/>
                <w:kern w:val="0"/>
                <w:position w:val="0"/>
                <w:sz w:val="21"/>
                <w:szCs w:val="21"/>
                <w:lang w:val="en-US" w:eastAsia="zh-CN" w:bidi="ar-SA"/>
              </w:rPr>
              <w:t>1</w:t>
            </w:r>
            <w:r>
              <w:rPr>
                <w:rFonts w:hint="default" w:ascii="Times New Roman" w:hAnsi="Times New Roman" w:eastAsia="宋体" w:cs="Times New Roman"/>
                <w:b/>
                <w:bCs/>
                <w:snapToGrid w:val="0"/>
                <w:color w:val="auto"/>
                <w:spacing w:val="11"/>
                <w:kern w:val="0"/>
                <w:position w:val="0"/>
                <w:sz w:val="21"/>
                <w:szCs w:val="21"/>
                <w:lang w:val="en-US" w:eastAsia="zh-CN" w:bidi="ar-SA"/>
              </w:rPr>
              <w:t xml:space="preserve">  项目施工期工艺流程及产污节点图</w:t>
            </w:r>
          </w:p>
          <w:p w14:paraId="08032CFF">
            <w:pPr>
              <w:widowControl w:val="0"/>
              <w:spacing w:line="360" w:lineRule="auto"/>
              <w:ind w:firstLine="526" w:firstLineChars="200"/>
              <w:jc w:val="left"/>
              <w:rPr>
                <w:rFonts w:hint="default" w:ascii="Times New Roman" w:hAnsi="Times New Roman" w:eastAsia="宋体" w:cs="Times New Roman"/>
                <w:b/>
                <w:bCs/>
                <w:snapToGrid w:val="0"/>
                <w:color w:val="auto"/>
                <w:spacing w:val="11"/>
                <w:kern w:val="0"/>
                <w:position w:val="0"/>
                <w:sz w:val="21"/>
                <w:szCs w:val="21"/>
                <w:lang w:val="en-US" w:eastAsia="zh-CN" w:bidi="ar-SA"/>
              </w:rPr>
            </w:pPr>
            <w:r>
              <w:rPr>
                <w:rFonts w:hint="default" w:ascii="Times New Roman" w:hAnsi="Times New Roman" w:eastAsia="宋体" w:cs="Times New Roman"/>
                <w:b/>
                <w:bCs/>
                <w:snapToGrid w:val="0"/>
                <w:color w:val="auto"/>
                <w:spacing w:val="11"/>
                <w:kern w:val="0"/>
                <w:position w:val="0"/>
                <w:sz w:val="24"/>
                <w:szCs w:val="24"/>
                <w:lang w:val="en-US" w:eastAsia="zh-CN" w:bidi="ar-SA"/>
              </w:rPr>
              <w:t>施工期工艺流程简述：</w:t>
            </w:r>
          </w:p>
          <w:p w14:paraId="49A7A288">
            <w:pPr>
              <w:widowControl w:val="0"/>
              <w:spacing w:line="360" w:lineRule="auto"/>
              <w:ind w:firstLine="524" w:firstLineChars="200"/>
              <w:jc w:val="both"/>
              <w:rPr>
                <w:rFonts w:hint="default" w:ascii="Times New Roman" w:hAnsi="Times New Roman" w:eastAsia="宋体" w:cs="Times New Roman"/>
                <w:snapToGrid w:val="0"/>
                <w:color w:val="auto"/>
                <w:spacing w:val="11"/>
                <w:kern w:val="0"/>
                <w:position w:val="0"/>
                <w:sz w:val="24"/>
                <w:szCs w:val="24"/>
                <w:lang w:val="en-US" w:eastAsia="zh-CN" w:bidi="ar-SA"/>
              </w:rPr>
            </w:pPr>
            <w:r>
              <w:rPr>
                <w:rFonts w:hint="default" w:ascii="Times New Roman" w:hAnsi="Times New Roman" w:eastAsia="宋体" w:cs="Times New Roman"/>
                <w:snapToGrid w:val="0"/>
                <w:color w:val="auto"/>
                <w:spacing w:val="11"/>
                <w:kern w:val="0"/>
                <w:position w:val="0"/>
                <w:sz w:val="24"/>
                <w:szCs w:val="24"/>
                <w:lang w:val="en-US" w:eastAsia="zh-CN" w:bidi="ar-SA"/>
              </w:rPr>
              <w:t>①基础工程</w:t>
            </w:r>
          </w:p>
          <w:p w14:paraId="530EF3B1">
            <w:pPr>
              <w:widowControl w:val="0"/>
              <w:spacing w:line="360" w:lineRule="auto"/>
              <w:ind w:firstLine="524" w:firstLineChars="200"/>
              <w:jc w:val="both"/>
              <w:rPr>
                <w:rFonts w:hint="default" w:ascii="Times New Roman" w:hAnsi="Times New Roman" w:eastAsia="宋体" w:cs="Times New Roman"/>
                <w:snapToGrid w:val="0"/>
                <w:color w:val="auto"/>
                <w:spacing w:val="11"/>
                <w:kern w:val="0"/>
                <w:position w:val="0"/>
                <w:sz w:val="24"/>
                <w:szCs w:val="24"/>
                <w:lang w:val="en-US" w:eastAsia="zh-CN" w:bidi="ar-SA"/>
              </w:rPr>
            </w:pPr>
            <w:r>
              <w:rPr>
                <w:rFonts w:hint="default" w:ascii="Times New Roman" w:hAnsi="Times New Roman" w:eastAsia="宋体" w:cs="Times New Roman"/>
                <w:snapToGrid w:val="0"/>
                <w:color w:val="auto"/>
                <w:spacing w:val="11"/>
                <w:kern w:val="0"/>
                <w:position w:val="0"/>
                <w:sz w:val="24"/>
                <w:szCs w:val="24"/>
                <w:lang w:val="en-US" w:eastAsia="zh-CN" w:bidi="ar-SA"/>
              </w:rPr>
              <w:t>建设项目基础工程主要为场地清理、场地平整等。根据现场调查，项目建设区用地现状为空地，需要对施工场地植被进行清理，此过程会产生一定量的施工渣土、施工扬尘、机械设备尾气、施工噪声及施工废水等，会破坏区域内植被，可能造成水土流失。</w:t>
            </w:r>
          </w:p>
          <w:p w14:paraId="52783EF1">
            <w:pPr>
              <w:widowControl w:val="0"/>
              <w:spacing w:line="360" w:lineRule="auto"/>
              <w:ind w:firstLine="524" w:firstLineChars="200"/>
              <w:jc w:val="both"/>
              <w:rPr>
                <w:rFonts w:hint="default" w:ascii="Times New Roman" w:hAnsi="Times New Roman" w:eastAsia="宋体" w:cs="Times New Roman"/>
                <w:snapToGrid w:val="0"/>
                <w:color w:val="auto"/>
                <w:spacing w:val="11"/>
                <w:kern w:val="0"/>
                <w:position w:val="0"/>
                <w:sz w:val="24"/>
                <w:szCs w:val="24"/>
                <w:lang w:val="en-US" w:eastAsia="zh-CN" w:bidi="ar-SA"/>
              </w:rPr>
            </w:pPr>
            <w:r>
              <w:rPr>
                <w:rFonts w:hint="default" w:ascii="Times New Roman" w:hAnsi="Times New Roman" w:eastAsia="宋体" w:cs="Times New Roman"/>
                <w:snapToGrid w:val="0"/>
                <w:color w:val="auto"/>
                <w:spacing w:val="11"/>
                <w:kern w:val="0"/>
                <w:position w:val="0"/>
                <w:sz w:val="24"/>
                <w:szCs w:val="24"/>
                <w:lang w:val="en-US" w:eastAsia="zh-CN" w:bidi="ar-SA"/>
              </w:rPr>
              <w:t>②主体工程</w:t>
            </w:r>
          </w:p>
          <w:p w14:paraId="3E3C3251">
            <w:pPr>
              <w:widowControl w:val="0"/>
              <w:spacing w:line="360" w:lineRule="auto"/>
              <w:ind w:firstLine="524" w:firstLineChars="200"/>
              <w:jc w:val="both"/>
              <w:rPr>
                <w:rFonts w:hint="default" w:ascii="Times New Roman" w:hAnsi="Times New Roman" w:eastAsia="宋体" w:cs="Times New Roman"/>
                <w:snapToGrid w:val="0"/>
                <w:color w:val="auto"/>
                <w:spacing w:val="11"/>
                <w:kern w:val="0"/>
                <w:position w:val="0"/>
                <w:sz w:val="24"/>
                <w:szCs w:val="24"/>
                <w:lang w:val="en-US" w:eastAsia="zh-CN" w:bidi="ar-SA"/>
              </w:rPr>
            </w:pPr>
            <w:r>
              <w:rPr>
                <w:rFonts w:hint="default" w:ascii="Times New Roman" w:hAnsi="Times New Roman" w:eastAsia="宋体" w:cs="Times New Roman"/>
                <w:snapToGrid w:val="0"/>
                <w:color w:val="auto"/>
                <w:spacing w:val="11"/>
                <w:kern w:val="0"/>
                <w:position w:val="0"/>
                <w:sz w:val="24"/>
                <w:szCs w:val="24"/>
                <w:lang w:val="en-US" w:eastAsia="zh-CN" w:bidi="ar-SA"/>
              </w:rPr>
              <w:t>项目主体工程施工主要厂房的修建及地面硬化，此工序会产生建筑垃圾、施工扬尘、机械设备尾气、交通运输噪声及施工废水等。</w:t>
            </w:r>
          </w:p>
          <w:p w14:paraId="1CB177D2">
            <w:pPr>
              <w:widowControl w:val="0"/>
              <w:spacing w:line="360" w:lineRule="auto"/>
              <w:ind w:firstLine="524" w:firstLineChars="200"/>
              <w:jc w:val="both"/>
              <w:rPr>
                <w:rFonts w:hint="default" w:ascii="Times New Roman" w:hAnsi="Times New Roman" w:eastAsia="宋体" w:cs="Times New Roman"/>
                <w:snapToGrid w:val="0"/>
                <w:color w:val="auto"/>
                <w:spacing w:val="11"/>
                <w:kern w:val="0"/>
                <w:position w:val="0"/>
                <w:sz w:val="24"/>
                <w:szCs w:val="24"/>
                <w:lang w:val="en-US" w:eastAsia="zh-CN" w:bidi="ar-SA"/>
              </w:rPr>
            </w:pPr>
            <w:r>
              <w:rPr>
                <w:rFonts w:hint="default" w:ascii="Times New Roman" w:hAnsi="Times New Roman" w:eastAsia="宋体" w:cs="Times New Roman"/>
                <w:snapToGrid w:val="0"/>
                <w:color w:val="auto"/>
                <w:spacing w:val="11"/>
                <w:kern w:val="0"/>
                <w:position w:val="0"/>
                <w:sz w:val="24"/>
                <w:szCs w:val="24"/>
                <w:lang w:val="en-US" w:eastAsia="zh-CN" w:bidi="ar-SA"/>
              </w:rPr>
              <w:t>③装饰工程</w:t>
            </w:r>
          </w:p>
          <w:p w14:paraId="6A05802C">
            <w:pPr>
              <w:widowControl w:val="0"/>
              <w:spacing w:line="360" w:lineRule="auto"/>
              <w:ind w:firstLine="524" w:firstLineChars="200"/>
              <w:jc w:val="both"/>
              <w:rPr>
                <w:rFonts w:hint="default" w:ascii="Times New Roman" w:hAnsi="Times New Roman" w:eastAsia="宋体" w:cs="Times New Roman"/>
                <w:snapToGrid w:val="0"/>
                <w:color w:val="auto"/>
                <w:spacing w:val="11"/>
                <w:kern w:val="0"/>
                <w:position w:val="0"/>
                <w:sz w:val="24"/>
                <w:szCs w:val="24"/>
                <w:lang w:val="en-US" w:eastAsia="zh-CN" w:bidi="ar-SA"/>
              </w:rPr>
            </w:pPr>
            <w:r>
              <w:rPr>
                <w:rFonts w:hint="default" w:ascii="Times New Roman" w:hAnsi="Times New Roman" w:eastAsia="宋体" w:cs="Times New Roman"/>
                <w:snapToGrid w:val="0"/>
                <w:color w:val="auto"/>
                <w:spacing w:val="11"/>
                <w:kern w:val="0"/>
                <w:position w:val="0"/>
                <w:sz w:val="24"/>
                <w:szCs w:val="24"/>
                <w:lang w:val="en-US" w:eastAsia="zh-CN" w:bidi="ar-SA"/>
              </w:rPr>
              <w:t>建设项目通过饰面安装、墙体粉刷等工程对建筑物内外进行简单装修。此工序会产生建筑垃圾及施工噪声等。</w:t>
            </w:r>
          </w:p>
          <w:p w14:paraId="34B9603B">
            <w:pPr>
              <w:widowControl w:val="0"/>
              <w:spacing w:line="360" w:lineRule="auto"/>
              <w:ind w:firstLine="524" w:firstLineChars="200"/>
              <w:jc w:val="both"/>
              <w:rPr>
                <w:rFonts w:hint="default" w:ascii="Times New Roman" w:hAnsi="Times New Roman" w:eastAsia="宋体" w:cs="Times New Roman"/>
                <w:snapToGrid w:val="0"/>
                <w:color w:val="auto"/>
                <w:spacing w:val="11"/>
                <w:kern w:val="0"/>
                <w:position w:val="0"/>
                <w:sz w:val="24"/>
                <w:szCs w:val="24"/>
                <w:lang w:val="en-US" w:eastAsia="zh-CN" w:bidi="ar-SA"/>
              </w:rPr>
            </w:pPr>
            <w:r>
              <w:rPr>
                <w:rFonts w:hint="default" w:ascii="Times New Roman" w:hAnsi="Times New Roman" w:eastAsia="宋体" w:cs="Times New Roman"/>
                <w:snapToGrid w:val="0"/>
                <w:color w:val="auto"/>
                <w:spacing w:val="11"/>
                <w:kern w:val="0"/>
                <w:position w:val="0"/>
                <w:sz w:val="24"/>
                <w:szCs w:val="24"/>
                <w:lang w:val="en-US" w:eastAsia="zh-CN" w:bidi="ar-SA"/>
              </w:rPr>
              <w:t xml:space="preserve">④设备工程 </w:t>
            </w:r>
          </w:p>
          <w:p w14:paraId="37885009">
            <w:pPr>
              <w:widowControl w:val="0"/>
              <w:spacing w:line="360" w:lineRule="auto"/>
              <w:ind w:firstLine="524" w:firstLineChars="200"/>
              <w:jc w:val="both"/>
              <w:rPr>
                <w:rFonts w:hint="default" w:ascii="Times New Roman" w:hAnsi="Times New Roman" w:eastAsia="宋体" w:cs="Times New Roman"/>
                <w:snapToGrid w:val="0"/>
                <w:color w:val="auto"/>
                <w:spacing w:val="11"/>
                <w:kern w:val="0"/>
                <w:position w:val="0"/>
                <w:sz w:val="24"/>
                <w:szCs w:val="24"/>
                <w:lang w:val="en-US" w:eastAsia="zh-CN" w:bidi="ar-SA"/>
              </w:rPr>
            </w:pPr>
            <w:r>
              <w:rPr>
                <w:rFonts w:hint="default" w:ascii="Times New Roman" w:hAnsi="Times New Roman" w:eastAsia="宋体" w:cs="Times New Roman"/>
                <w:snapToGrid w:val="0"/>
                <w:color w:val="auto"/>
                <w:spacing w:val="11"/>
                <w:kern w:val="0"/>
                <w:position w:val="0"/>
                <w:sz w:val="24"/>
                <w:szCs w:val="24"/>
                <w:lang w:val="en-US" w:eastAsia="zh-CN" w:bidi="ar-SA"/>
              </w:rPr>
              <w:t>主要为桅杆吊、起重机等设施进场安装。此过程会产生建筑垃圾及施工噪声等。</w:t>
            </w:r>
          </w:p>
          <w:p w14:paraId="231FAAFD">
            <w:pPr>
              <w:widowControl w:val="0"/>
              <w:spacing w:line="360" w:lineRule="auto"/>
              <w:ind w:firstLine="524" w:firstLineChars="200"/>
              <w:jc w:val="both"/>
              <w:rPr>
                <w:rFonts w:hint="default" w:ascii="Times New Roman" w:hAnsi="Times New Roman" w:eastAsia="宋体" w:cs="Times New Roman"/>
                <w:snapToGrid w:val="0"/>
                <w:color w:val="auto"/>
                <w:spacing w:val="11"/>
                <w:kern w:val="0"/>
                <w:position w:val="0"/>
                <w:sz w:val="24"/>
                <w:szCs w:val="24"/>
                <w:lang w:val="en-US" w:eastAsia="zh-CN" w:bidi="ar-SA"/>
              </w:rPr>
            </w:pPr>
            <w:r>
              <w:rPr>
                <w:rFonts w:hint="default" w:ascii="Times New Roman" w:hAnsi="Times New Roman" w:eastAsia="宋体" w:cs="Times New Roman"/>
                <w:snapToGrid w:val="0"/>
                <w:color w:val="auto"/>
                <w:spacing w:val="11"/>
                <w:kern w:val="0"/>
                <w:position w:val="0"/>
                <w:sz w:val="24"/>
                <w:szCs w:val="24"/>
                <w:lang w:val="en-US" w:eastAsia="zh-CN" w:bidi="ar-SA"/>
              </w:rPr>
              <w:t>⑤工程验收</w:t>
            </w:r>
          </w:p>
          <w:p w14:paraId="238573FB">
            <w:pPr>
              <w:widowControl w:val="0"/>
              <w:spacing w:line="360" w:lineRule="auto"/>
              <w:ind w:firstLine="524" w:firstLineChars="200"/>
              <w:jc w:val="both"/>
              <w:rPr>
                <w:rFonts w:hint="default" w:ascii="Times New Roman" w:hAnsi="Times New Roman" w:eastAsia="宋体" w:cs="Times New Roman"/>
                <w:snapToGrid w:val="0"/>
                <w:color w:val="auto"/>
                <w:spacing w:val="11"/>
                <w:kern w:val="0"/>
                <w:position w:val="0"/>
                <w:sz w:val="24"/>
                <w:szCs w:val="24"/>
                <w:lang w:val="en-US" w:eastAsia="zh-CN" w:bidi="ar-SA"/>
              </w:rPr>
            </w:pPr>
            <w:r>
              <w:rPr>
                <w:rFonts w:hint="default" w:ascii="Times New Roman" w:hAnsi="Times New Roman" w:eastAsia="宋体" w:cs="Times New Roman"/>
                <w:snapToGrid w:val="0"/>
                <w:color w:val="auto"/>
                <w:spacing w:val="11"/>
                <w:kern w:val="0"/>
                <w:position w:val="0"/>
                <w:sz w:val="24"/>
                <w:szCs w:val="24"/>
                <w:lang w:val="en-US" w:eastAsia="zh-CN" w:bidi="ar-SA"/>
              </w:rPr>
              <w:t>由专业验收人员对项目区设备、安全度、合理性进行评估验收，不合格的地方根据专业人员意见进行改善、调整。</w:t>
            </w:r>
          </w:p>
          <w:p w14:paraId="469CF730">
            <w:pPr>
              <w:widowControl w:val="0"/>
              <w:spacing w:line="360" w:lineRule="auto"/>
              <w:ind w:firstLine="524" w:firstLineChars="200"/>
              <w:jc w:val="both"/>
              <w:rPr>
                <w:rFonts w:hint="default" w:ascii="Times New Roman" w:hAnsi="Times New Roman" w:eastAsia="宋体" w:cs="Times New Roman"/>
                <w:snapToGrid w:val="0"/>
                <w:color w:val="auto"/>
                <w:spacing w:val="11"/>
                <w:kern w:val="0"/>
                <w:position w:val="0"/>
                <w:sz w:val="24"/>
                <w:szCs w:val="24"/>
                <w:lang w:val="en-US" w:eastAsia="zh-CN" w:bidi="ar-SA"/>
              </w:rPr>
            </w:pPr>
            <w:r>
              <w:rPr>
                <w:rFonts w:hint="default" w:ascii="Times New Roman" w:hAnsi="Times New Roman" w:eastAsia="宋体" w:cs="Times New Roman"/>
                <w:snapToGrid w:val="0"/>
                <w:color w:val="auto"/>
                <w:spacing w:val="11"/>
                <w:kern w:val="0"/>
                <w:position w:val="0"/>
                <w:sz w:val="24"/>
                <w:szCs w:val="24"/>
                <w:lang w:val="en-US" w:eastAsia="zh-CN" w:bidi="ar-SA"/>
              </w:rPr>
              <w:t>⑥工程运营</w:t>
            </w:r>
          </w:p>
          <w:p w14:paraId="5A5E8EBD">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snapToGrid w:val="0"/>
                <w:color w:val="auto"/>
                <w:spacing w:val="11"/>
                <w:kern w:val="0"/>
                <w:position w:val="0"/>
                <w:sz w:val="24"/>
                <w:szCs w:val="24"/>
                <w:lang w:val="en-US" w:eastAsia="zh-CN" w:bidi="ar-SA"/>
              </w:rPr>
            </w:pPr>
            <w:r>
              <w:rPr>
                <w:rFonts w:hint="default" w:ascii="Times New Roman" w:hAnsi="Times New Roman" w:eastAsia="宋体" w:cs="Times New Roman"/>
                <w:snapToGrid w:val="0"/>
                <w:color w:val="auto"/>
                <w:spacing w:val="11"/>
                <w:kern w:val="0"/>
                <w:position w:val="0"/>
                <w:sz w:val="24"/>
                <w:szCs w:val="24"/>
                <w:lang w:val="en-US" w:eastAsia="zh-CN" w:bidi="ar-SA"/>
              </w:rPr>
              <w:t>项目经验收合格后，即可开始运营。</w:t>
            </w:r>
          </w:p>
          <w:p w14:paraId="48FCBC9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snapToGrid w:val="0"/>
                <w:color w:val="auto"/>
                <w:spacing w:val="11"/>
                <w:kern w:val="0"/>
                <w:position w:val="0"/>
                <w:sz w:val="24"/>
                <w:szCs w:val="24"/>
                <w:lang w:val="en-US" w:eastAsia="zh-CN" w:bidi="ar-SA"/>
              </w:rPr>
            </w:pPr>
          </w:p>
          <w:p w14:paraId="5837DC9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snapToGrid w:val="0"/>
                <w:color w:val="auto"/>
                <w:spacing w:val="11"/>
                <w:kern w:val="0"/>
                <w:position w:val="0"/>
                <w:sz w:val="24"/>
                <w:szCs w:val="24"/>
                <w:lang w:val="en-US" w:eastAsia="zh-CN" w:bidi="ar-SA"/>
              </w:rPr>
            </w:pPr>
          </w:p>
          <w:p w14:paraId="7A79A94D">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snapToGrid w:val="0"/>
                <w:color w:val="auto"/>
                <w:spacing w:val="11"/>
                <w:kern w:val="0"/>
                <w:position w:val="0"/>
                <w:sz w:val="24"/>
                <w:szCs w:val="24"/>
                <w:lang w:val="en-US" w:eastAsia="zh-CN" w:bidi="ar-SA"/>
              </w:rPr>
            </w:pPr>
          </w:p>
          <w:p w14:paraId="56DA8A43">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snapToGrid w:val="0"/>
                <w:color w:val="auto"/>
                <w:spacing w:val="11"/>
                <w:kern w:val="0"/>
                <w:position w:val="0"/>
                <w:sz w:val="24"/>
                <w:szCs w:val="24"/>
                <w:lang w:val="en-US" w:eastAsia="zh-CN" w:bidi="ar-SA"/>
              </w:rPr>
            </w:pPr>
          </w:p>
          <w:p w14:paraId="4F14CC8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snapToGrid w:val="0"/>
                <w:color w:val="auto"/>
                <w:spacing w:val="11"/>
                <w:kern w:val="0"/>
                <w:position w:val="0"/>
                <w:sz w:val="24"/>
                <w:szCs w:val="24"/>
                <w:lang w:val="en-US" w:eastAsia="zh-CN" w:bidi="ar-SA"/>
              </w:rPr>
            </w:pPr>
          </w:p>
          <w:p w14:paraId="31B295E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snapToGrid w:val="0"/>
                <w:color w:val="auto"/>
                <w:spacing w:val="11"/>
                <w:kern w:val="0"/>
                <w:position w:val="0"/>
                <w:sz w:val="24"/>
                <w:szCs w:val="24"/>
                <w:lang w:val="en-US" w:eastAsia="zh-CN" w:bidi="ar-SA"/>
              </w:rPr>
            </w:pPr>
          </w:p>
          <w:p w14:paraId="1BBDDDC9">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snapToGrid w:val="0"/>
                <w:color w:val="auto"/>
                <w:spacing w:val="11"/>
                <w:kern w:val="0"/>
                <w:position w:val="0"/>
                <w:sz w:val="24"/>
                <w:szCs w:val="24"/>
                <w:lang w:val="en-US" w:eastAsia="zh-CN" w:bidi="ar-SA"/>
              </w:rPr>
            </w:pPr>
          </w:p>
          <w:p w14:paraId="08F5B5C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snapToGrid w:val="0"/>
                <w:color w:val="auto"/>
                <w:spacing w:val="11"/>
                <w:kern w:val="0"/>
                <w:position w:val="0"/>
                <w:sz w:val="24"/>
                <w:szCs w:val="24"/>
                <w:lang w:val="en-US" w:eastAsia="zh-CN" w:bidi="ar-SA"/>
              </w:rPr>
            </w:pPr>
          </w:p>
          <w:p w14:paraId="0B3A80B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snapToGrid w:val="0"/>
                <w:color w:val="auto"/>
                <w:spacing w:val="11"/>
                <w:kern w:val="0"/>
                <w:position w:val="0"/>
                <w:sz w:val="24"/>
                <w:szCs w:val="24"/>
                <w:lang w:val="en-US" w:eastAsia="zh-CN" w:bidi="ar-SA"/>
              </w:rPr>
            </w:pPr>
          </w:p>
          <w:p w14:paraId="78149022">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snapToGrid w:val="0"/>
                <w:color w:val="auto"/>
                <w:spacing w:val="11"/>
                <w:kern w:val="0"/>
                <w:position w:val="0"/>
                <w:sz w:val="24"/>
                <w:szCs w:val="24"/>
                <w:lang w:val="en-US" w:eastAsia="zh-CN" w:bidi="ar-SA"/>
              </w:rPr>
            </w:pPr>
          </w:p>
          <w:p w14:paraId="7DDEE29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snapToGrid w:val="0"/>
                <w:color w:val="auto"/>
                <w:spacing w:val="11"/>
                <w:kern w:val="0"/>
                <w:position w:val="0"/>
                <w:sz w:val="24"/>
                <w:szCs w:val="24"/>
                <w:lang w:val="en-US" w:eastAsia="zh-CN" w:bidi="ar-SA"/>
              </w:rPr>
            </w:pPr>
          </w:p>
          <w:p w14:paraId="71AF245F">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snapToGrid w:val="0"/>
                <w:color w:val="auto"/>
                <w:spacing w:val="11"/>
                <w:kern w:val="0"/>
                <w:position w:val="0"/>
                <w:sz w:val="24"/>
                <w:szCs w:val="24"/>
                <w:lang w:val="en-US" w:eastAsia="zh-CN" w:bidi="ar-SA"/>
              </w:rPr>
            </w:pPr>
          </w:p>
          <w:p w14:paraId="709A042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snapToGrid w:val="0"/>
                <w:color w:val="auto"/>
                <w:spacing w:val="11"/>
                <w:kern w:val="0"/>
                <w:position w:val="0"/>
                <w:sz w:val="24"/>
                <w:szCs w:val="24"/>
                <w:lang w:val="en-US" w:eastAsia="zh-CN" w:bidi="ar-SA"/>
              </w:rPr>
            </w:pPr>
          </w:p>
          <w:p w14:paraId="644017F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snapToGrid w:val="0"/>
                <w:color w:val="auto"/>
                <w:spacing w:val="11"/>
                <w:kern w:val="0"/>
                <w:position w:val="0"/>
                <w:sz w:val="24"/>
                <w:szCs w:val="24"/>
                <w:lang w:val="en-US" w:eastAsia="zh-CN" w:bidi="ar-SA"/>
              </w:rPr>
            </w:pPr>
          </w:p>
          <w:p w14:paraId="41ABF27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spacing w:val="11"/>
                <w:kern w:val="0"/>
                <w:position w:val="0"/>
                <w:sz w:val="24"/>
                <w:szCs w:val="24"/>
                <w:lang w:val="en-US"/>
              </w:rPr>
            </w:pPr>
            <w:r>
              <w:rPr>
                <w:rFonts w:hint="default" w:ascii="Times New Roman" w:hAnsi="Times New Roman" w:cs="Times New Roman"/>
                <w:snapToGrid w:val="0"/>
                <w:color w:val="auto"/>
                <w:spacing w:val="11"/>
                <w:kern w:val="0"/>
                <w:position w:val="0"/>
                <w:sz w:val="24"/>
                <w:szCs w:val="24"/>
                <w:lang w:val="en-US" w:eastAsia="zh-CN" w:bidi="ar-SA"/>
              </w:rPr>
              <w:t xml:space="preserve"> </w:t>
            </w:r>
          </w:p>
        </w:tc>
      </w:tr>
      <w:tr w14:paraId="252EB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tcBorders>
              <w:tl2br w:val="nil"/>
              <w:tr2bl w:val="nil"/>
            </w:tcBorders>
            <w:noWrap w:val="0"/>
            <w:vAlign w:val="center"/>
          </w:tcPr>
          <w:p w14:paraId="481F0FC4">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其他</w:t>
            </w:r>
          </w:p>
        </w:tc>
        <w:tc>
          <w:tcPr>
            <w:tcW w:w="4580" w:type="pct"/>
            <w:tcBorders>
              <w:tl2br w:val="nil"/>
              <w:tr2bl w:val="nil"/>
            </w:tcBorders>
            <w:noWrap w:val="0"/>
            <w:vAlign w:val="center"/>
          </w:tcPr>
          <w:p w14:paraId="447B5E6F">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rPr>
                <w:rFonts w:hint="default" w:ascii="Times New Roman" w:hAnsi="Times New Roman" w:eastAsia="宋体" w:cs="Times New Roman"/>
                <w:b/>
                <w:bCs/>
                <w:color w:val="auto"/>
                <w:spacing w:val="11"/>
                <w:kern w:val="0"/>
                <w:position w:val="0"/>
                <w:sz w:val="24"/>
                <w:szCs w:val="24"/>
                <w:lang w:val="en-US" w:eastAsia="zh-CN"/>
              </w:rPr>
            </w:pPr>
            <w:r>
              <w:rPr>
                <w:rFonts w:hint="default" w:ascii="Times New Roman" w:hAnsi="Times New Roman" w:eastAsia="宋体" w:cs="Times New Roman"/>
                <w:b/>
                <w:bCs/>
                <w:color w:val="auto"/>
                <w:spacing w:val="11"/>
                <w:kern w:val="0"/>
                <w:position w:val="0"/>
                <w:sz w:val="24"/>
                <w:szCs w:val="24"/>
                <w:lang w:val="en-US" w:eastAsia="zh-CN"/>
              </w:rPr>
              <w:t>营运期工艺流程</w:t>
            </w:r>
            <w:r>
              <w:rPr>
                <w:rFonts w:hint="default" w:ascii="Times New Roman" w:hAnsi="Times New Roman" w:cs="Times New Roman"/>
                <w:b/>
                <w:bCs/>
                <w:color w:val="auto"/>
                <w:spacing w:val="11"/>
                <w:kern w:val="0"/>
                <w:position w:val="0"/>
                <w:sz w:val="24"/>
                <w:szCs w:val="24"/>
                <w:lang w:val="en-US" w:eastAsia="zh-CN"/>
              </w:rPr>
              <w:t>：</w:t>
            </w:r>
          </w:p>
          <w:p w14:paraId="1660A74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项目营运期采矿</w:t>
            </w:r>
            <w:r>
              <w:rPr>
                <w:rFonts w:hint="default" w:ascii="Times New Roman" w:hAnsi="Times New Roman" w:cs="Times New Roman"/>
                <w:color w:val="auto"/>
                <w:spacing w:val="11"/>
                <w:kern w:val="0"/>
                <w:position w:val="0"/>
                <w:sz w:val="24"/>
                <w:szCs w:val="24"/>
                <w:lang w:val="en-US" w:eastAsia="zh-CN"/>
              </w:rPr>
              <w:t>、机制砂</w:t>
            </w:r>
            <w:r>
              <w:rPr>
                <w:rFonts w:hint="default" w:ascii="Times New Roman" w:hAnsi="Times New Roman" w:eastAsia="宋体" w:cs="Times New Roman"/>
                <w:color w:val="auto"/>
                <w:spacing w:val="11"/>
                <w:kern w:val="0"/>
                <w:position w:val="0"/>
                <w:sz w:val="24"/>
                <w:szCs w:val="24"/>
                <w:lang w:val="en-US" w:eastAsia="zh-CN"/>
              </w:rPr>
              <w:t>工艺流程及产污节点图见下图。</w:t>
            </w:r>
            <w:r>
              <w:rPr>
                <w:rFonts w:hint="default" w:ascii="Times New Roman" w:hAnsi="Times New Roman" w:cs="Times New Roman"/>
                <w:color w:val="auto"/>
                <w:spacing w:val="11"/>
                <w:kern w:val="0"/>
                <w:position w:val="0"/>
                <w:sz w:val="24"/>
                <w:szCs w:val="24"/>
                <w:lang w:val="en-US" w:eastAsia="zh-CN"/>
              </w:rPr>
              <w:t xml:space="preserve"> </w:t>
            </w:r>
          </w:p>
          <w:p w14:paraId="78B23D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11"/>
                <w:kern w:val="0"/>
                <w:position w:val="0"/>
                <w:sz w:val="24"/>
                <w:szCs w:val="24"/>
                <w:lang w:val="en-US" w:eastAsia="zh-CN"/>
              </w:rPr>
            </w:pPr>
            <w:r>
              <w:rPr>
                <w:rFonts w:hint="default" w:ascii="Times New Roman" w:hAnsi="Times New Roman" w:cs="Times New Roman"/>
                <w:color w:val="auto"/>
                <w:spacing w:val="11"/>
                <w:kern w:val="0"/>
                <w:position w:val="0"/>
                <w:sz w:val="24"/>
                <w:szCs w:val="24"/>
                <w:lang w:val="en-US" w:eastAsia="zh-CN"/>
              </w:rPr>
              <w:drawing>
                <wp:inline distT="0" distB="0" distL="114300" distR="114300">
                  <wp:extent cx="4561840" cy="7532370"/>
                  <wp:effectExtent l="0" t="0" r="0" b="0"/>
                  <wp:docPr id="1" name="ECB019B1-382A-4266-B25C-5B523AA43C14-1" descr="C:/Users/HP/AppData/Local/Temp/wps.fvnDe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HP/AppData/Local/Temp/wps.fvnDehwps"/>
                          <pic:cNvPicPr>
                            <a:picLocks noChangeAspect="1"/>
                          </pic:cNvPicPr>
                        </pic:nvPicPr>
                        <pic:blipFill>
                          <a:blip r:embed="rId8"/>
                          <a:stretch>
                            <a:fillRect/>
                          </a:stretch>
                        </pic:blipFill>
                        <pic:spPr>
                          <a:xfrm>
                            <a:off x="0" y="0"/>
                            <a:ext cx="4561840" cy="7532370"/>
                          </a:xfrm>
                          <a:prstGeom prst="rect">
                            <a:avLst/>
                          </a:prstGeom>
                        </pic:spPr>
                      </pic:pic>
                    </a:graphicData>
                  </a:graphic>
                </wp:inline>
              </w:drawing>
            </w:r>
          </w:p>
          <w:p w14:paraId="53E831B1">
            <w:pPr>
              <w:widowControl w:val="0"/>
              <w:bidi w:val="0"/>
              <w:adjustRightInd w:val="0"/>
              <w:snapToGrid w:val="0"/>
              <w:spacing w:line="360" w:lineRule="auto"/>
              <w:ind w:firstLine="0" w:firstLineChars="0"/>
              <w:jc w:val="center"/>
              <w:rPr>
                <w:rFonts w:hint="default" w:ascii="Times New Roman" w:hAnsi="Times New Roman" w:eastAsia="宋体" w:cs="Times New Roman"/>
                <w:b/>
                <w:bCs/>
                <w:color w:val="auto"/>
                <w:spacing w:val="11"/>
                <w:kern w:val="2"/>
                <w:position w:val="0"/>
                <w:sz w:val="21"/>
                <w:szCs w:val="21"/>
                <w:highlight w:val="none"/>
                <w:lang w:val="en-US" w:eastAsia="zh-CN" w:bidi="ar-SA"/>
              </w:rPr>
            </w:pPr>
            <w:r>
              <w:rPr>
                <w:rFonts w:hint="default" w:ascii="Times New Roman" w:hAnsi="Times New Roman" w:eastAsia="宋体" w:cs="Times New Roman"/>
                <w:b/>
                <w:bCs/>
                <w:color w:val="auto"/>
                <w:spacing w:val="11"/>
                <w:kern w:val="2"/>
                <w:position w:val="0"/>
                <w:sz w:val="21"/>
                <w:szCs w:val="21"/>
                <w:highlight w:val="none"/>
                <w:lang w:val="en-US" w:eastAsia="zh-CN" w:bidi="ar-SA"/>
              </w:rPr>
              <w:t>图2-2 项目生产工艺流程及产污节点图</w:t>
            </w:r>
          </w:p>
          <w:p w14:paraId="62232C1A">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cs="Times New Roman"/>
                <w:b/>
                <w:bCs/>
                <w:color w:val="auto"/>
                <w:spacing w:val="11"/>
                <w:kern w:val="0"/>
                <w:position w:val="0"/>
                <w:sz w:val="24"/>
                <w:szCs w:val="24"/>
                <w:lang w:val="en-US" w:eastAsia="zh-CN"/>
              </w:rPr>
            </w:pPr>
            <w:r>
              <w:rPr>
                <w:rFonts w:hint="default" w:ascii="Times New Roman" w:hAnsi="Times New Roman" w:cs="Times New Roman"/>
                <w:b/>
                <w:bCs/>
                <w:color w:val="auto"/>
                <w:spacing w:val="11"/>
                <w:kern w:val="0"/>
                <w:position w:val="0"/>
                <w:sz w:val="24"/>
                <w:szCs w:val="24"/>
                <w:lang w:val="en-US" w:eastAsia="zh-CN"/>
              </w:rPr>
              <w:t>（1）矿石开采工艺简述</w:t>
            </w:r>
          </w:p>
          <w:p w14:paraId="4FB06302">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kern w:val="0"/>
                <w:position w:val="0"/>
                <w:sz w:val="24"/>
                <w:szCs w:val="24"/>
                <w:lang w:val="en-US" w:eastAsia="zh-CN"/>
              </w:rPr>
            </w:pPr>
            <w:r>
              <w:rPr>
                <w:rFonts w:hint="default" w:ascii="Times New Roman" w:hAnsi="Times New Roman" w:cs="Times New Roman"/>
                <w:color w:val="auto"/>
                <w:spacing w:val="11"/>
                <w:kern w:val="0"/>
                <w:position w:val="0"/>
                <w:sz w:val="24"/>
                <w:szCs w:val="24"/>
                <w:lang w:val="en-US" w:eastAsia="zh-CN"/>
              </w:rPr>
              <w:t>①采场剥离</w:t>
            </w:r>
          </w:p>
          <w:p w14:paraId="3AF0D41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kern w:val="0"/>
                <w:position w:val="0"/>
                <w:sz w:val="24"/>
                <w:szCs w:val="24"/>
                <w:lang w:val="en-US" w:eastAsia="zh-CN"/>
              </w:rPr>
            </w:pPr>
            <w:r>
              <w:rPr>
                <w:rFonts w:hint="default" w:ascii="Times New Roman" w:hAnsi="Times New Roman" w:cs="Times New Roman"/>
                <w:color w:val="auto"/>
                <w:spacing w:val="11"/>
                <w:kern w:val="0"/>
                <w:position w:val="0"/>
                <w:sz w:val="24"/>
                <w:szCs w:val="24"/>
                <w:lang w:val="en-US" w:eastAsia="zh-CN"/>
              </w:rPr>
              <w:t>开采范围内的覆盖土，采用挖掘机直接挖掘装车外运；岩石(夹石)宜划分为单独的采掘带，采用与采矿相同的方法，单独进行穿爆和装载工作。以提高矿石回采率和降低废石混入率。该过程主要的污染物为剥离粉尘、少量的机械废气及机械噪声；</w:t>
            </w:r>
          </w:p>
          <w:p w14:paraId="593FC9FF">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kern w:val="0"/>
                <w:position w:val="0"/>
                <w:sz w:val="24"/>
                <w:szCs w:val="24"/>
                <w:lang w:val="en-US" w:eastAsia="zh-CN"/>
              </w:rPr>
            </w:pPr>
            <w:r>
              <w:rPr>
                <w:rFonts w:hint="default" w:ascii="Times New Roman" w:hAnsi="Times New Roman" w:cs="Times New Roman"/>
                <w:color w:val="auto"/>
                <w:spacing w:val="11"/>
                <w:kern w:val="0"/>
                <w:position w:val="0"/>
                <w:sz w:val="24"/>
                <w:szCs w:val="24"/>
                <w:lang w:val="en-US" w:eastAsia="zh-CN"/>
              </w:rPr>
              <w:t>②穿孔</w:t>
            </w:r>
          </w:p>
          <w:p w14:paraId="7C802DC9">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kern w:val="0"/>
                <w:position w:val="0"/>
                <w:sz w:val="24"/>
                <w:szCs w:val="24"/>
                <w:lang w:val="en-US" w:eastAsia="zh-CN"/>
              </w:rPr>
            </w:pPr>
            <w:r>
              <w:rPr>
                <w:rFonts w:hint="default" w:ascii="Times New Roman" w:hAnsi="Times New Roman" w:cs="Times New Roman"/>
                <w:color w:val="auto"/>
                <w:spacing w:val="11"/>
                <w:kern w:val="0"/>
                <w:position w:val="0"/>
                <w:sz w:val="24"/>
                <w:szCs w:val="24"/>
                <w:lang w:val="en-US" w:eastAsia="zh-CN"/>
              </w:rPr>
              <w:t>本项目选用潜孔钻机(自带布袋除尘器)进行钻孔作业。根据矿山的具体条件和现行设备确定炮孔直径为70mm，孔深11.6m，中深孔钻孔，布孔方式采用方形布置。该过程主要的污染物为钻孔粉尘和机械噪声；</w:t>
            </w:r>
          </w:p>
          <w:p w14:paraId="5C81980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kern w:val="0"/>
                <w:position w:val="0"/>
                <w:sz w:val="24"/>
                <w:szCs w:val="24"/>
                <w:lang w:val="en-US" w:eastAsia="zh-CN"/>
              </w:rPr>
            </w:pPr>
            <w:r>
              <w:rPr>
                <w:rFonts w:hint="default" w:ascii="Times New Roman" w:hAnsi="Times New Roman" w:cs="Times New Roman"/>
                <w:color w:val="auto"/>
                <w:spacing w:val="11"/>
                <w:kern w:val="0"/>
                <w:position w:val="0"/>
                <w:sz w:val="24"/>
                <w:szCs w:val="24"/>
                <w:lang w:val="en-US" w:eastAsia="zh-CN"/>
              </w:rPr>
              <w:t>③装药、爆破</w:t>
            </w:r>
          </w:p>
          <w:p w14:paraId="45C9D5E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kern w:val="0"/>
                <w:position w:val="0"/>
                <w:sz w:val="24"/>
                <w:szCs w:val="24"/>
                <w:lang w:val="en-US" w:eastAsia="zh-CN"/>
              </w:rPr>
            </w:pPr>
            <w:r>
              <w:rPr>
                <w:rFonts w:hint="default" w:ascii="Times New Roman" w:hAnsi="Times New Roman" w:cs="Times New Roman"/>
                <w:color w:val="auto"/>
                <w:spacing w:val="11"/>
                <w:kern w:val="0"/>
                <w:position w:val="0"/>
                <w:sz w:val="24"/>
                <w:szCs w:val="24"/>
                <w:lang w:val="en-US" w:eastAsia="zh-CN"/>
              </w:rPr>
              <w:t>采用自上而下分期台阶式开采，潜孔钻机(自带除尘器)中深孔凿岩微差爆破。该过程主要的污染物为爆炸粉尘、少量的爆炸废气及爆破声；</w:t>
            </w:r>
          </w:p>
          <w:p w14:paraId="4AE658E8">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kern w:val="0"/>
                <w:position w:val="0"/>
                <w:sz w:val="24"/>
                <w:szCs w:val="24"/>
                <w:lang w:val="en-US" w:eastAsia="zh-CN"/>
              </w:rPr>
            </w:pPr>
            <w:r>
              <w:rPr>
                <w:rFonts w:hint="default" w:ascii="Times New Roman" w:hAnsi="Times New Roman" w:cs="Times New Roman"/>
                <w:color w:val="auto"/>
                <w:spacing w:val="11"/>
                <w:kern w:val="0"/>
                <w:position w:val="0"/>
                <w:sz w:val="24"/>
                <w:szCs w:val="24"/>
                <w:lang w:val="en-US" w:eastAsia="zh-CN"/>
              </w:rPr>
              <w:t>④铲装</w:t>
            </w:r>
          </w:p>
          <w:p w14:paraId="1AACD583">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kern w:val="0"/>
                <w:position w:val="0"/>
                <w:sz w:val="24"/>
                <w:szCs w:val="24"/>
                <w:lang w:val="en-US" w:eastAsia="zh-CN"/>
              </w:rPr>
            </w:pPr>
            <w:r>
              <w:rPr>
                <w:rFonts w:hint="default" w:ascii="Times New Roman" w:hAnsi="Times New Roman" w:cs="Times New Roman"/>
                <w:color w:val="auto"/>
                <w:spacing w:val="11"/>
                <w:kern w:val="0"/>
                <w:position w:val="0"/>
                <w:sz w:val="24"/>
                <w:szCs w:val="24"/>
                <w:lang w:val="en-US" w:eastAsia="zh-CN"/>
              </w:rPr>
              <w:t>采矿与剥离采用挖掘机。爆破后的矿岩被装入自卸汽车</w:t>
            </w:r>
            <w:r>
              <w:rPr>
                <w:rFonts w:hint="eastAsia" w:ascii="Times New Roman" w:hAnsi="Times New Roman" w:cs="Times New Roman"/>
                <w:color w:val="auto"/>
                <w:spacing w:val="11"/>
                <w:kern w:val="0"/>
                <w:position w:val="0"/>
                <w:sz w:val="24"/>
                <w:szCs w:val="24"/>
                <w:lang w:val="en-US" w:eastAsia="zh-CN"/>
              </w:rPr>
              <w:t>，</w:t>
            </w:r>
            <w:r>
              <w:rPr>
                <w:rFonts w:hint="default" w:ascii="Times New Roman" w:hAnsi="Times New Roman" w:cs="Times New Roman"/>
                <w:color w:val="auto"/>
                <w:spacing w:val="11"/>
                <w:kern w:val="0"/>
                <w:position w:val="0"/>
                <w:sz w:val="24"/>
                <w:szCs w:val="24"/>
                <w:lang w:val="en-US" w:eastAsia="zh-CN"/>
              </w:rPr>
              <w:t>装车方式为侧向平装车。该过程主要的污染物为装卸粉尘及少量的机械废气；</w:t>
            </w:r>
          </w:p>
          <w:p w14:paraId="13D0F328">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kern w:val="0"/>
                <w:position w:val="0"/>
                <w:sz w:val="24"/>
                <w:szCs w:val="24"/>
                <w:lang w:val="en-US" w:eastAsia="zh-CN"/>
              </w:rPr>
            </w:pPr>
            <w:r>
              <w:rPr>
                <w:rFonts w:hint="default" w:ascii="Times New Roman" w:hAnsi="Times New Roman" w:cs="Times New Roman"/>
                <w:color w:val="auto"/>
                <w:spacing w:val="11"/>
                <w:kern w:val="0"/>
                <w:position w:val="0"/>
                <w:sz w:val="24"/>
                <w:szCs w:val="24"/>
                <w:lang w:val="en-US" w:eastAsia="zh-CN"/>
              </w:rPr>
              <w:t>⑤运输</w:t>
            </w:r>
          </w:p>
          <w:p w14:paraId="713646F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kern w:val="0"/>
                <w:position w:val="0"/>
                <w:sz w:val="24"/>
                <w:szCs w:val="24"/>
                <w:lang w:val="en-US" w:eastAsia="zh-CN"/>
              </w:rPr>
            </w:pPr>
            <w:r>
              <w:rPr>
                <w:rFonts w:hint="default" w:ascii="Times New Roman" w:hAnsi="Times New Roman" w:cs="Times New Roman"/>
                <w:color w:val="auto"/>
                <w:spacing w:val="11"/>
                <w:kern w:val="0"/>
                <w:position w:val="0"/>
                <w:sz w:val="24"/>
                <w:szCs w:val="24"/>
                <w:lang w:val="en-US" w:eastAsia="zh-CN"/>
              </w:rPr>
              <w:t>开采的石料由自卸汽车运输到破碎生产线加工，剥离</w:t>
            </w:r>
            <w:r>
              <w:rPr>
                <w:rFonts w:hint="eastAsia" w:cs="Times New Roman"/>
                <w:color w:val="auto"/>
                <w:spacing w:val="11"/>
                <w:kern w:val="0"/>
                <w:position w:val="0"/>
                <w:sz w:val="24"/>
                <w:szCs w:val="24"/>
                <w:lang w:val="en-US" w:eastAsia="zh-CN"/>
              </w:rPr>
              <w:t>物</w:t>
            </w:r>
            <w:r>
              <w:rPr>
                <w:rFonts w:hint="default" w:ascii="Times New Roman" w:hAnsi="Times New Roman" w:cs="Times New Roman"/>
                <w:color w:val="auto"/>
                <w:spacing w:val="11"/>
                <w:kern w:val="0"/>
                <w:position w:val="0"/>
                <w:sz w:val="24"/>
                <w:szCs w:val="24"/>
                <w:lang w:val="en-US" w:eastAsia="zh-CN"/>
              </w:rPr>
              <w:t>运至设置的排土场分类堆存处置。该过程主要的污染物为运输扬尘及少量的汽车尾气。</w:t>
            </w:r>
          </w:p>
          <w:p w14:paraId="6F9F19AA">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cs="Times New Roman"/>
                <w:b/>
                <w:bCs/>
                <w:color w:val="auto"/>
                <w:spacing w:val="11"/>
                <w:kern w:val="0"/>
                <w:position w:val="0"/>
                <w:sz w:val="24"/>
                <w:szCs w:val="24"/>
                <w:lang w:val="en-US" w:eastAsia="zh-CN"/>
              </w:rPr>
            </w:pPr>
            <w:r>
              <w:rPr>
                <w:rFonts w:hint="default" w:ascii="Times New Roman" w:hAnsi="Times New Roman" w:cs="Times New Roman"/>
                <w:b/>
                <w:bCs/>
                <w:color w:val="auto"/>
                <w:spacing w:val="11"/>
                <w:kern w:val="0"/>
                <w:position w:val="0"/>
                <w:sz w:val="24"/>
                <w:szCs w:val="24"/>
                <w:lang w:val="en-US" w:eastAsia="zh-CN"/>
              </w:rPr>
              <w:t>（2）矿石加工工艺简述</w:t>
            </w:r>
          </w:p>
          <w:p w14:paraId="41C5F189">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kern w:val="0"/>
                <w:position w:val="0"/>
                <w:sz w:val="24"/>
                <w:szCs w:val="24"/>
                <w:lang w:val="en-US" w:eastAsia="zh-CN"/>
              </w:rPr>
            </w:pPr>
            <w:r>
              <w:rPr>
                <w:rFonts w:hint="default" w:ascii="Times New Roman" w:hAnsi="Times New Roman" w:cs="Times New Roman"/>
                <w:color w:val="auto"/>
                <w:spacing w:val="11"/>
                <w:kern w:val="0"/>
                <w:position w:val="0"/>
                <w:sz w:val="24"/>
                <w:szCs w:val="24"/>
                <w:lang w:val="en-US" w:eastAsia="zh-CN"/>
              </w:rPr>
              <w:t>项目爆破产生的片石用装载机</w:t>
            </w:r>
            <w:r>
              <w:rPr>
                <w:rFonts w:hint="eastAsia" w:cs="Times New Roman"/>
                <w:color w:val="auto"/>
                <w:spacing w:val="11"/>
                <w:kern w:val="0"/>
                <w:position w:val="0"/>
                <w:sz w:val="24"/>
                <w:szCs w:val="24"/>
                <w:lang w:val="en-US" w:eastAsia="zh-CN"/>
              </w:rPr>
              <w:t>直接</w:t>
            </w:r>
            <w:r>
              <w:rPr>
                <w:rFonts w:hint="default" w:ascii="Times New Roman" w:hAnsi="Times New Roman" w:cs="Times New Roman"/>
                <w:color w:val="auto"/>
                <w:spacing w:val="11"/>
                <w:kern w:val="0"/>
                <w:position w:val="0"/>
                <w:sz w:val="24"/>
                <w:szCs w:val="24"/>
                <w:lang w:val="en-US" w:eastAsia="zh-CN"/>
              </w:rPr>
              <w:t>转运至加工生产区，经一级破碎机的进料斗进行一破，一破得到的碎品经过皮带输送机运送到二级破碎机进行二破，二破破得到的碎石经过皮带输送机运至振动筛进行一筛，筛上料通过皮带输送机返回二级破碎工序继续进行破碎，筛下料进入振动筛进行二筛，二筛的筛上料通过皮带输送机返回二级破碎工序继续进行破碎，筛下料5-10mm碎石、10-20mm碎石、16-31.5mm碎石、石粉一部分作为产品外售，一部分进行深加工，通过皮带输送机运至</w:t>
            </w:r>
            <w:r>
              <w:rPr>
                <w:rFonts w:hint="eastAsia" w:cs="Times New Roman"/>
                <w:color w:val="auto"/>
                <w:spacing w:val="11"/>
                <w:kern w:val="0"/>
                <w:position w:val="0"/>
                <w:sz w:val="24"/>
                <w:szCs w:val="24"/>
                <w:lang w:val="en-US" w:eastAsia="zh-CN"/>
              </w:rPr>
              <w:t>机制砂生产线进行细碎，细碎后进入</w:t>
            </w:r>
            <w:r>
              <w:rPr>
                <w:rFonts w:hint="default" w:ascii="Times New Roman" w:hAnsi="Times New Roman" w:cs="Times New Roman"/>
                <w:color w:val="auto"/>
                <w:spacing w:val="11"/>
                <w:kern w:val="0"/>
                <w:position w:val="0"/>
                <w:sz w:val="24"/>
                <w:szCs w:val="24"/>
                <w:lang w:val="en-US" w:eastAsia="zh-CN"/>
              </w:rPr>
              <w:t>制砂机制砂，制砂完成后作为机制砂产品外售。</w:t>
            </w:r>
          </w:p>
          <w:p w14:paraId="6FC08B1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cs="Times New Roman"/>
                <w:color w:val="auto"/>
                <w:spacing w:val="11"/>
                <w:kern w:val="0"/>
                <w:position w:val="0"/>
                <w:sz w:val="24"/>
                <w:szCs w:val="24"/>
                <w:lang w:val="en-US" w:eastAsia="zh-CN"/>
              </w:rPr>
              <w:t xml:space="preserve"> </w:t>
            </w:r>
          </w:p>
        </w:tc>
      </w:tr>
    </w:tbl>
    <w:p w14:paraId="25F637A6">
      <w:pPr>
        <w:pStyle w:val="2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pacing w:val="11"/>
          <w:position w:val="0"/>
          <w:sz w:val="30"/>
          <w:szCs w:val="30"/>
        </w:rPr>
      </w:pPr>
      <w:r>
        <w:rPr>
          <w:rFonts w:hint="default" w:ascii="Times New Roman" w:hAnsi="Times New Roman" w:eastAsia="宋体" w:cs="Times New Roman"/>
          <w:b/>
          <w:bCs/>
          <w:color w:val="auto"/>
          <w:spacing w:val="11"/>
          <w:position w:val="0"/>
        </w:rPr>
        <w:br w:type="page"/>
      </w:r>
      <w:bookmarkStart w:id="29" w:name="_Toc30224"/>
      <w:bookmarkStart w:id="30" w:name="_Toc28992"/>
      <w:r>
        <w:rPr>
          <w:rFonts w:hint="default" w:ascii="Times New Roman" w:hAnsi="Times New Roman" w:eastAsia="宋体" w:cs="Times New Roman"/>
          <w:b/>
          <w:bCs/>
          <w:snapToGrid w:val="0"/>
          <w:color w:val="auto"/>
          <w:spacing w:val="11"/>
          <w:position w:val="0"/>
          <w:sz w:val="30"/>
          <w:szCs w:val="30"/>
        </w:rPr>
        <w:t>三、生态环境现状、保护目标及评价标准</w:t>
      </w:r>
      <w:bookmarkEnd w:id="29"/>
      <w:bookmarkEnd w:id="30"/>
    </w:p>
    <w:tbl>
      <w:tblPr>
        <w:tblStyle w:val="3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3"/>
        <w:gridCol w:w="8496"/>
      </w:tblGrid>
      <w:tr w14:paraId="15179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3" w:type="pct"/>
            <w:tcBorders>
              <w:tl2br w:val="nil"/>
              <w:tr2bl w:val="nil"/>
            </w:tcBorders>
            <w:noWrap w:val="0"/>
            <w:vAlign w:val="center"/>
          </w:tcPr>
          <w:p w14:paraId="0B50C857">
            <w:pPr>
              <w:adjustRightInd w:val="0"/>
              <w:snapToGrid w:val="0"/>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生态环境现状</w:t>
            </w:r>
          </w:p>
        </w:tc>
        <w:tc>
          <w:tcPr>
            <w:tcW w:w="4506" w:type="pct"/>
            <w:tcBorders>
              <w:tl2br w:val="nil"/>
              <w:tr2bl w:val="nil"/>
            </w:tcBorders>
            <w:noWrap w:val="0"/>
            <w:vAlign w:val="center"/>
          </w:tcPr>
          <w:p w14:paraId="545D3781">
            <w:pPr>
              <w:keepNext/>
              <w:keepLines/>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6" w:firstLineChars="200"/>
              <w:jc w:val="both"/>
              <w:textAlignment w:val="auto"/>
              <w:outlineLvl w:val="2"/>
              <w:rPr>
                <w:rFonts w:hint="default" w:ascii="Times New Roman" w:hAnsi="Times New Roman" w:eastAsia="宋体" w:cs="Times New Roman"/>
                <w:b/>
                <w:bCs/>
                <w:color w:val="auto"/>
                <w:spacing w:val="11"/>
                <w:kern w:val="2"/>
                <w:position w:val="0"/>
                <w:sz w:val="24"/>
                <w:szCs w:val="22"/>
                <w:lang w:val="en-US" w:eastAsia="zh-CN" w:bidi="ar-SA"/>
              </w:rPr>
            </w:pPr>
            <w:r>
              <w:rPr>
                <w:rFonts w:hint="default" w:ascii="Times New Roman" w:hAnsi="Times New Roman" w:eastAsia="宋体" w:cs="Times New Roman"/>
                <w:b/>
                <w:bCs/>
                <w:color w:val="auto"/>
                <w:spacing w:val="11"/>
                <w:kern w:val="2"/>
                <w:position w:val="0"/>
                <w:sz w:val="24"/>
                <w:szCs w:val="22"/>
                <w:lang w:val="en-US" w:eastAsia="zh-CN" w:bidi="ar-SA"/>
              </w:rPr>
              <w:t>1、大气环境质量现状</w:t>
            </w:r>
          </w:p>
          <w:p w14:paraId="0C4B93BD">
            <w:pPr>
              <w:keepNext w:val="0"/>
              <w:keepLines w:val="0"/>
              <w:pageBreakBefore w:val="0"/>
              <w:widowControl w:val="0"/>
              <w:kinsoku/>
              <w:wordWrap/>
              <w:overflowPunct/>
              <w:topLinePunct w:val="0"/>
              <w:autoSpaceDE/>
              <w:autoSpaceDN/>
              <w:bidi w:val="0"/>
              <w:adjustRightInd w:val="0"/>
              <w:snapToGrid w:val="0"/>
              <w:spacing w:line="360" w:lineRule="auto"/>
              <w:ind w:right="0" w:firstLine="524" w:firstLineChars="200"/>
              <w:textAlignment w:val="auto"/>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lang w:eastAsia="zh-CN"/>
              </w:rPr>
              <w:t>（</w:t>
            </w:r>
            <w:r>
              <w:rPr>
                <w:rFonts w:hint="default" w:ascii="Times New Roman" w:hAnsi="Times New Roman" w:eastAsia="宋体" w:cs="Times New Roman"/>
                <w:color w:val="auto"/>
                <w:spacing w:val="11"/>
                <w:position w:val="0"/>
                <w:sz w:val="24"/>
                <w:szCs w:val="24"/>
                <w:highlight w:val="none"/>
                <w:lang w:val="en-US" w:eastAsia="zh-CN"/>
              </w:rPr>
              <w:t>1</w:t>
            </w:r>
            <w:r>
              <w:rPr>
                <w:rFonts w:hint="default" w:ascii="Times New Roman" w:hAnsi="Times New Roman" w:eastAsia="宋体" w:cs="Times New Roman"/>
                <w:color w:val="auto"/>
                <w:spacing w:val="11"/>
                <w:position w:val="0"/>
                <w:sz w:val="24"/>
                <w:szCs w:val="24"/>
                <w:highlight w:val="none"/>
                <w:lang w:eastAsia="zh-CN"/>
              </w:rPr>
              <w:t>）</w:t>
            </w:r>
            <w:r>
              <w:rPr>
                <w:rFonts w:hint="default" w:ascii="Times New Roman" w:hAnsi="Times New Roman" w:eastAsia="宋体" w:cs="Times New Roman"/>
                <w:color w:val="auto"/>
                <w:spacing w:val="11"/>
                <w:position w:val="0"/>
                <w:sz w:val="24"/>
                <w:szCs w:val="24"/>
                <w:highlight w:val="none"/>
              </w:rPr>
              <w:t>区域空气环境常规监测数据</w:t>
            </w:r>
          </w:p>
          <w:p w14:paraId="22FCE79E">
            <w:pPr>
              <w:keepNext w:val="0"/>
              <w:keepLines w:val="0"/>
              <w:pageBreakBefore w:val="0"/>
              <w:widowControl w:val="0"/>
              <w:kinsoku/>
              <w:wordWrap/>
              <w:overflowPunct/>
              <w:topLinePunct w:val="0"/>
              <w:autoSpaceDE/>
              <w:autoSpaceDN/>
              <w:bidi w:val="0"/>
              <w:adjustRightInd w:val="0"/>
              <w:snapToGrid w:val="0"/>
              <w:spacing w:line="360" w:lineRule="auto"/>
              <w:ind w:right="0" w:firstLine="524" w:firstLineChars="200"/>
              <w:textAlignment w:val="auto"/>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rPr>
              <w:t>根据永州市生态环境局发布的《关于202</w:t>
            </w:r>
            <w:r>
              <w:rPr>
                <w:rFonts w:hint="default" w:ascii="Times New Roman" w:hAnsi="Times New Roman" w:eastAsia="宋体" w:cs="Times New Roman"/>
                <w:color w:val="auto"/>
                <w:spacing w:val="11"/>
                <w:position w:val="0"/>
                <w:sz w:val="24"/>
                <w:szCs w:val="24"/>
                <w:highlight w:val="none"/>
                <w:lang w:val="en-US" w:eastAsia="zh-CN"/>
              </w:rPr>
              <w:t>4</w:t>
            </w:r>
            <w:r>
              <w:rPr>
                <w:rFonts w:hint="default" w:ascii="Times New Roman" w:hAnsi="Times New Roman" w:eastAsia="宋体" w:cs="Times New Roman"/>
                <w:color w:val="auto"/>
                <w:spacing w:val="11"/>
                <w:position w:val="0"/>
                <w:sz w:val="24"/>
                <w:szCs w:val="24"/>
                <w:highlight w:val="none"/>
              </w:rPr>
              <w:t>年12月份全市环境质量状况的通报》</w:t>
            </w:r>
            <w:r>
              <w:rPr>
                <w:rFonts w:hint="default" w:ascii="Times New Roman" w:hAnsi="Times New Roman" w:eastAsia="宋体" w:cs="Times New Roman"/>
                <w:color w:val="auto"/>
                <w:spacing w:val="11"/>
                <w:position w:val="0"/>
                <w:sz w:val="24"/>
                <w:szCs w:val="24"/>
                <w:highlight w:val="none"/>
                <w:lang w:eastAsia="zh-CN"/>
              </w:rPr>
              <w:t>（</w:t>
            </w:r>
            <w:r>
              <w:rPr>
                <w:rFonts w:hint="default" w:ascii="Times New Roman" w:hAnsi="Times New Roman" w:eastAsia="宋体" w:cs="Times New Roman"/>
                <w:color w:val="auto"/>
                <w:spacing w:val="11"/>
                <w:position w:val="0"/>
                <w:sz w:val="24"/>
                <w:szCs w:val="24"/>
                <w:highlight w:val="none"/>
                <w:lang w:val="en-US" w:eastAsia="zh-CN"/>
              </w:rPr>
              <w:t>永环函[2025]26号</w:t>
            </w:r>
            <w:r>
              <w:rPr>
                <w:rFonts w:hint="default" w:ascii="Times New Roman" w:hAnsi="Times New Roman" w:eastAsia="宋体" w:cs="Times New Roman"/>
                <w:color w:val="auto"/>
                <w:spacing w:val="11"/>
                <w:position w:val="0"/>
                <w:sz w:val="24"/>
                <w:szCs w:val="24"/>
                <w:highlight w:val="none"/>
                <w:lang w:eastAsia="zh-CN"/>
              </w:rPr>
              <w:t>）</w:t>
            </w:r>
            <w:r>
              <w:rPr>
                <w:rFonts w:hint="default" w:ascii="Times New Roman" w:hAnsi="Times New Roman" w:eastAsia="宋体" w:cs="Times New Roman"/>
                <w:color w:val="auto"/>
                <w:spacing w:val="11"/>
                <w:position w:val="0"/>
                <w:sz w:val="24"/>
                <w:szCs w:val="24"/>
                <w:highlight w:val="none"/>
                <w:lang w:val="en-US" w:eastAsia="zh-CN"/>
              </w:rPr>
              <w:t>中</w:t>
            </w:r>
            <w:r>
              <w:rPr>
                <w:rFonts w:hint="default" w:ascii="Times New Roman" w:hAnsi="Times New Roman" w:eastAsia="宋体" w:cs="Times New Roman"/>
                <w:color w:val="auto"/>
                <w:spacing w:val="11"/>
                <w:position w:val="0"/>
                <w:sz w:val="24"/>
                <w:szCs w:val="24"/>
                <w:highlight w:val="none"/>
              </w:rPr>
              <w:t>的环境监测结果来判定县域大气环境质量达标情况，统计数据显示环境空气中各污染因子浓度值均能够达到《环境空气质量标准》（GB</w:t>
            </w:r>
            <w:r>
              <w:rPr>
                <w:rFonts w:hint="default" w:ascii="Times New Roman" w:hAnsi="Times New Roman" w:eastAsia="宋体" w:cs="Times New Roman"/>
                <w:color w:val="auto"/>
                <w:spacing w:val="11"/>
                <w:position w:val="0"/>
                <w:sz w:val="24"/>
                <w:szCs w:val="24"/>
                <w:highlight w:val="none"/>
                <w:lang w:val="en-US" w:eastAsia="zh-CN"/>
              </w:rPr>
              <w:t xml:space="preserve"> </w:t>
            </w:r>
            <w:r>
              <w:rPr>
                <w:rFonts w:hint="default" w:ascii="Times New Roman" w:hAnsi="Times New Roman" w:eastAsia="宋体" w:cs="Times New Roman"/>
                <w:color w:val="auto"/>
                <w:spacing w:val="11"/>
                <w:position w:val="0"/>
                <w:sz w:val="24"/>
                <w:szCs w:val="24"/>
                <w:highlight w:val="none"/>
              </w:rPr>
              <w:t>3095-2012）中二级标准及修改单要求，新田县属于202</w:t>
            </w:r>
            <w:r>
              <w:rPr>
                <w:rFonts w:hint="default" w:ascii="Times New Roman" w:hAnsi="Times New Roman" w:eastAsia="宋体" w:cs="Times New Roman"/>
                <w:color w:val="auto"/>
                <w:spacing w:val="11"/>
                <w:position w:val="0"/>
                <w:sz w:val="24"/>
                <w:szCs w:val="24"/>
                <w:highlight w:val="none"/>
                <w:lang w:val="en-US" w:eastAsia="zh-CN"/>
              </w:rPr>
              <w:t>4</w:t>
            </w:r>
            <w:r>
              <w:rPr>
                <w:rFonts w:hint="default" w:ascii="Times New Roman" w:hAnsi="Times New Roman" w:eastAsia="宋体" w:cs="Times New Roman"/>
                <w:color w:val="auto"/>
                <w:spacing w:val="11"/>
                <w:position w:val="0"/>
                <w:sz w:val="24"/>
                <w:szCs w:val="24"/>
                <w:highlight w:val="none"/>
              </w:rPr>
              <w:t>年度环境质量达标区。具体情况详见表</w:t>
            </w:r>
            <w:r>
              <w:rPr>
                <w:rFonts w:hint="default" w:ascii="Times New Roman" w:hAnsi="Times New Roman" w:eastAsia="宋体" w:cs="Times New Roman"/>
                <w:color w:val="auto"/>
                <w:spacing w:val="11"/>
                <w:position w:val="0"/>
                <w:sz w:val="24"/>
                <w:szCs w:val="24"/>
                <w:highlight w:val="none"/>
                <w:lang w:val="en-US" w:eastAsia="zh-CN"/>
              </w:rPr>
              <w:t>3-1</w:t>
            </w:r>
            <w:r>
              <w:rPr>
                <w:rFonts w:hint="default" w:ascii="Times New Roman" w:hAnsi="Times New Roman" w:eastAsia="宋体" w:cs="Times New Roman"/>
                <w:color w:val="auto"/>
                <w:spacing w:val="11"/>
                <w:position w:val="0"/>
                <w:sz w:val="24"/>
                <w:szCs w:val="24"/>
                <w:highlight w:val="none"/>
              </w:rPr>
              <w:t>。</w:t>
            </w:r>
          </w:p>
          <w:p w14:paraId="38BEABE2">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spacing w:val="11"/>
                <w:kern w:val="2"/>
                <w:position w:val="0"/>
                <w:sz w:val="21"/>
                <w:szCs w:val="21"/>
                <w:highlight w:val="none"/>
                <w:lang w:val="en-US" w:eastAsia="zh-CN" w:bidi="ar-SA"/>
              </w:rPr>
            </w:pPr>
            <w:r>
              <w:rPr>
                <w:rFonts w:hint="default" w:ascii="Times New Roman" w:hAnsi="Times New Roman" w:eastAsia="宋体" w:cs="Times New Roman"/>
                <w:b/>
                <w:bCs/>
                <w:color w:val="auto"/>
                <w:spacing w:val="11"/>
                <w:kern w:val="2"/>
                <w:position w:val="0"/>
                <w:sz w:val="21"/>
                <w:szCs w:val="21"/>
                <w:highlight w:val="none"/>
                <w:lang w:val="en-US" w:eastAsia="zh-CN" w:bidi="ar-SA"/>
              </w:rPr>
              <w:t>表3-1 新田县空气质量现状评价表</w:t>
            </w:r>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941"/>
              <w:gridCol w:w="1939"/>
              <w:gridCol w:w="1565"/>
              <w:gridCol w:w="1244"/>
              <w:gridCol w:w="910"/>
              <w:gridCol w:w="887"/>
            </w:tblGrid>
            <w:tr w14:paraId="0EF2A5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tcBorders>
                    <w:tl2br w:val="nil"/>
                    <w:tr2bl w:val="nil"/>
                  </w:tcBorders>
                  <w:noWrap w:val="0"/>
                  <w:vAlign w:val="center"/>
                </w:tcPr>
                <w:p w14:paraId="08D1FB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shd w:val="clear" w:color="auto" w:fill="auto"/>
                    </w:rPr>
                  </w:pPr>
                  <w:r>
                    <w:rPr>
                      <w:rFonts w:hint="default" w:ascii="Times New Roman" w:hAnsi="Times New Roman" w:eastAsia="宋体" w:cs="Times New Roman"/>
                      <w:caps w:val="0"/>
                      <w:smallCaps w:val="0"/>
                      <w:color w:val="auto"/>
                      <w:spacing w:val="11"/>
                      <w:kern w:val="21"/>
                      <w:position w:val="0"/>
                      <w:sz w:val="21"/>
                      <w:szCs w:val="21"/>
                      <w:shd w:val="clear" w:color="auto" w:fill="auto"/>
                    </w:rPr>
                    <w:t>市县</w:t>
                  </w:r>
                </w:p>
              </w:tc>
              <w:tc>
                <w:tcPr>
                  <w:tcW w:w="570" w:type="pct"/>
                  <w:tcBorders>
                    <w:tl2br w:val="nil"/>
                    <w:tr2bl w:val="nil"/>
                  </w:tcBorders>
                  <w:noWrap w:val="0"/>
                  <w:vAlign w:val="center"/>
                </w:tcPr>
                <w:p w14:paraId="1C19C2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shd w:val="clear" w:color="auto" w:fill="auto"/>
                    </w:rPr>
                  </w:pPr>
                  <w:r>
                    <w:rPr>
                      <w:rFonts w:hint="default" w:ascii="Times New Roman" w:hAnsi="Times New Roman" w:eastAsia="宋体" w:cs="Times New Roman"/>
                      <w:caps w:val="0"/>
                      <w:smallCaps w:val="0"/>
                      <w:color w:val="auto"/>
                      <w:spacing w:val="11"/>
                      <w:kern w:val="21"/>
                      <w:position w:val="0"/>
                      <w:sz w:val="21"/>
                      <w:szCs w:val="21"/>
                      <w:shd w:val="clear" w:color="auto" w:fill="auto"/>
                    </w:rPr>
                    <w:t>污染物</w:t>
                  </w:r>
                </w:p>
              </w:tc>
              <w:tc>
                <w:tcPr>
                  <w:tcW w:w="1173" w:type="pct"/>
                  <w:tcBorders>
                    <w:tl2br w:val="nil"/>
                    <w:tr2bl w:val="nil"/>
                  </w:tcBorders>
                  <w:noWrap w:val="0"/>
                  <w:vAlign w:val="center"/>
                </w:tcPr>
                <w:p w14:paraId="1EC7D4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shd w:val="clear" w:color="auto" w:fill="auto"/>
                    </w:rPr>
                  </w:pPr>
                  <w:r>
                    <w:rPr>
                      <w:rFonts w:hint="default" w:ascii="Times New Roman" w:hAnsi="Times New Roman" w:eastAsia="宋体" w:cs="Times New Roman"/>
                      <w:caps w:val="0"/>
                      <w:smallCaps w:val="0"/>
                      <w:color w:val="auto"/>
                      <w:spacing w:val="11"/>
                      <w:kern w:val="21"/>
                      <w:position w:val="0"/>
                      <w:sz w:val="21"/>
                      <w:szCs w:val="21"/>
                      <w:shd w:val="clear" w:color="auto" w:fill="auto"/>
                    </w:rPr>
                    <w:t>年评价指标</w:t>
                  </w:r>
                </w:p>
              </w:tc>
              <w:tc>
                <w:tcPr>
                  <w:tcW w:w="947" w:type="pct"/>
                  <w:tcBorders>
                    <w:tl2br w:val="nil"/>
                    <w:tr2bl w:val="nil"/>
                  </w:tcBorders>
                  <w:noWrap w:val="0"/>
                  <w:vAlign w:val="center"/>
                </w:tcPr>
                <w:p w14:paraId="76F4D9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shd w:val="clear" w:color="auto" w:fill="auto"/>
                    </w:rPr>
                  </w:pPr>
                  <w:r>
                    <w:rPr>
                      <w:rFonts w:hint="default" w:ascii="Times New Roman" w:hAnsi="Times New Roman" w:eastAsia="宋体" w:cs="Times New Roman"/>
                      <w:caps w:val="0"/>
                      <w:smallCaps w:val="0"/>
                      <w:color w:val="auto"/>
                      <w:spacing w:val="11"/>
                      <w:kern w:val="21"/>
                      <w:position w:val="0"/>
                      <w:sz w:val="21"/>
                      <w:szCs w:val="21"/>
                      <w:shd w:val="clear" w:color="auto" w:fill="auto"/>
                    </w:rPr>
                    <w:t>现状浓度/（μg/m</w:t>
                  </w:r>
                  <w:r>
                    <w:rPr>
                      <w:rFonts w:hint="default" w:ascii="Times New Roman" w:hAnsi="Times New Roman" w:eastAsia="宋体" w:cs="Times New Roman"/>
                      <w:caps w:val="0"/>
                      <w:smallCaps w:val="0"/>
                      <w:color w:val="auto"/>
                      <w:spacing w:val="11"/>
                      <w:kern w:val="21"/>
                      <w:position w:val="0"/>
                      <w:sz w:val="21"/>
                      <w:szCs w:val="21"/>
                      <w:shd w:val="clear" w:color="auto" w:fill="auto"/>
                      <w:vertAlign w:val="superscript"/>
                    </w:rPr>
                    <w:t>3</w:t>
                  </w:r>
                  <w:r>
                    <w:rPr>
                      <w:rFonts w:hint="default" w:ascii="Times New Roman" w:hAnsi="Times New Roman" w:eastAsia="宋体" w:cs="Times New Roman"/>
                      <w:caps w:val="0"/>
                      <w:smallCaps w:val="0"/>
                      <w:color w:val="auto"/>
                      <w:spacing w:val="11"/>
                      <w:kern w:val="21"/>
                      <w:position w:val="0"/>
                      <w:sz w:val="21"/>
                      <w:szCs w:val="21"/>
                      <w:shd w:val="clear" w:color="auto" w:fill="auto"/>
                    </w:rPr>
                    <w:t>）</w:t>
                  </w:r>
                </w:p>
              </w:tc>
              <w:tc>
                <w:tcPr>
                  <w:tcW w:w="741" w:type="pct"/>
                  <w:tcBorders>
                    <w:tl2br w:val="nil"/>
                    <w:tr2bl w:val="nil"/>
                  </w:tcBorders>
                  <w:noWrap w:val="0"/>
                  <w:vAlign w:val="center"/>
                </w:tcPr>
                <w:p w14:paraId="5B3A3C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shd w:val="clear" w:color="auto" w:fill="auto"/>
                    </w:rPr>
                  </w:pPr>
                  <w:r>
                    <w:rPr>
                      <w:rFonts w:hint="default" w:ascii="Times New Roman" w:hAnsi="Times New Roman" w:eastAsia="宋体" w:cs="Times New Roman"/>
                      <w:caps w:val="0"/>
                      <w:smallCaps w:val="0"/>
                      <w:color w:val="auto"/>
                      <w:spacing w:val="11"/>
                      <w:kern w:val="21"/>
                      <w:position w:val="0"/>
                      <w:sz w:val="21"/>
                      <w:szCs w:val="21"/>
                      <w:shd w:val="clear" w:color="auto" w:fill="auto"/>
                    </w:rPr>
                    <w:t>标准值/（μg/m</w:t>
                  </w:r>
                  <w:r>
                    <w:rPr>
                      <w:rFonts w:hint="default" w:ascii="Times New Roman" w:hAnsi="Times New Roman" w:eastAsia="宋体" w:cs="Times New Roman"/>
                      <w:caps w:val="0"/>
                      <w:smallCaps w:val="0"/>
                      <w:color w:val="auto"/>
                      <w:spacing w:val="11"/>
                      <w:kern w:val="21"/>
                      <w:position w:val="0"/>
                      <w:sz w:val="21"/>
                      <w:szCs w:val="21"/>
                      <w:shd w:val="clear" w:color="auto" w:fill="auto"/>
                      <w:vertAlign w:val="superscript"/>
                    </w:rPr>
                    <w:t>3</w:t>
                  </w:r>
                  <w:r>
                    <w:rPr>
                      <w:rFonts w:hint="default" w:ascii="Times New Roman" w:hAnsi="Times New Roman" w:eastAsia="宋体" w:cs="Times New Roman"/>
                      <w:caps w:val="0"/>
                      <w:smallCaps w:val="0"/>
                      <w:color w:val="auto"/>
                      <w:spacing w:val="11"/>
                      <w:kern w:val="21"/>
                      <w:position w:val="0"/>
                      <w:sz w:val="21"/>
                      <w:szCs w:val="21"/>
                      <w:shd w:val="clear" w:color="auto" w:fill="auto"/>
                    </w:rPr>
                    <w:t>）</w:t>
                  </w:r>
                </w:p>
              </w:tc>
              <w:tc>
                <w:tcPr>
                  <w:tcW w:w="551" w:type="pct"/>
                  <w:tcBorders>
                    <w:tl2br w:val="nil"/>
                    <w:tr2bl w:val="nil"/>
                  </w:tcBorders>
                  <w:noWrap w:val="0"/>
                  <w:vAlign w:val="center"/>
                </w:tcPr>
                <w:p w14:paraId="6BF5F2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highlight w:val="none"/>
                      <w:shd w:val="clear" w:color="auto" w:fill="auto"/>
                    </w:rPr>
                  </w:pPr>
                  <w:r>
                    <w:rPr>
                      <w:rFonts w:hint="default" w:ascii="Times New Roman" w:hAnsi="Times New Roman" w:eastAsia="宋体" w:cs="Times New Roman"/>
                      <w:color w:val="auto"/>
                      <w:spacing w:val="11"/>
                      <w:position w:val="0"/>
                      <w:sz w:val="21"/>
                      <w:szCs w:val="21"/>
                      <w:highlight w:val="none"/>
                      <w:u w:val="none" w:color="auto"/>
                    </w:rPr>
                    <w:t>占标率（%）</w:t>
                  </w:r>
                </w:p>
              </w:tc>
              <w:tc>
                <w:tcPr>
                  <w:tcW w:w="537" w:type="pct"/>
                  <w:tcBorders>
                    <w:tl2br w:val="nil"/>
                    <w:tr2bl w:val="nil"/>
                  </w:tcBorders>
                  <w:noWrap w:val="0"/>
                  <w:vAlign w:val="center"/>
                </w:tcPr>
                <w:p w14:paraId="4E94E3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shd w:val="clear" w:color="auto" w:fill="auto"/>
                    </w:rPr>
                  </w:pPr>
                  <w:r>
                    <w:rPr>
                      <w:rFonts w:hint="default" w:ascii="Times New Roman" w:hAnsi="Times New Roman" w:eastAsia="宋体" w:cs="Times New Roman"/>
                      <w:caps w:val="0"/>
                      <w:smallCaps w:val="0"/>
                      <w:color w:val="auto"/>
                      <w:spacing w:val="11"/>
                      <w:kern w:val="21"/>
                      <w:position w:val="0"/>
                      <w:sz w:val="21"/>
                      <w:szCs w:val="21"/>
                      <w:shd w:val="clear" w:color="auto" w:fill="auto"/>
                    </w:rPr>
                    <w:t>达标情况</w:t>
                  </w:r>
                </w:p>
              </w:tc>
            </w:tr>
            <w:tr w14:paraId="1D6ABD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restart"/>
                  <w:tcBorders>
                    <w:tl2br w:val="nil"/>
                    <w:tr2bl w:val="nil"/>
                  </w:tcBorders>
                  <w:noWrap w:val="0"/>
                  <w:vAlign w:val="center"/>
                </w:tcPr>
                <w:p w14:paraId="70FCF2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shd w:val="clear" w:color="auto" w:fill="auto"/>
                    </w:rPr>
                  </w:pPr>
                  <w:r>
                    <w:rPr>
                      <w:rFonts w:hint="default" w:ascii="Times New Roman" w:hAnsi="Times New Roman" w:eastAsia="宋体" w:cs="Times New Roman"/>
                      <w:caps w:val="0"/>
                      <w:smallCaps w:val="0"/>
                      <w:color w:val="auto"/>
                      <w:spacing w:val="11"/>
                      <w:kern w:val="21"/>
                      <w:position w:val="0"/>
                      <w:sz w:val="21"/>
                      <w:szCs w:val="21"/>
                      <w:shd w:val="clear" w:color="auto" w:fill="auto"/>
                    </w:rPr>
                    <w:t>永州市新田县</w:t>
                  </w:r>
                </w:p>
              </w:tc>
              <w:tc>
                <w:tcPr>
                  <w:tcW w:w="570" w:type="pct"/>
                  <w:tcBorders>
                    <w:tl2br w:val="nil"/>
                    <w:tr2bl w:val="nil"/>
                  </w:tcBorders>
                  <w:shd w:val="clear" w:color="auto" w:fill="auto"/>
                  <w:noWrap w:val="0"/>
                  <w:vAlign w:val="center"/>
                </w:tcPr>
                <w:p w14:paraId="70C0E5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SO</w:t>
                  </w:r>
                  <w:r>
                    <w:rPr>
                      <w:rFonts w:hint="default" w:ascii="Times New Roman" w:hAnsi="Times New Roman" w:eastAsia="宋体" w:cs="Times New Roman"/>
                      <w:caps w:val="0"/>
                      <w:smallCaps w:val="0"/>
                      <w:spacing w:val="11"/>
                      <w:kern w:val="21"/>
                      <w:position w:val="0"/>
                      <w:sz w:val="21"/>
                      <w:szCs w:val="21"/>
                      <w:u w:val="none" w:color="auto"/>
                      <w:shd w:val="clear" w:color="auto" w:fill="auto"/>
                      <w:vertAlign w:val="subscript"/>
                    </w:rPr>
                    <w:t>2</w:t>
                  </w:r>
                </w:p>
              </w:tc>
              <w:tc>
                <w:tcPr>
                  <w:tcW w:w="1173" w:type="pct"/>
                  <w:tcBorders>
                    <w:tl2br w:val="nil"/>
                    <w:tr2bl w:val="nil"/>
                  </w:tcBorders>
                  <w:shd w:val="clear" w:color="auto" w:fill="auto"/>
                  <w:noWrap w:val="0"/>
                  <w:vAlign w:val="center"/>
                </w:tcPr>
                <w:p w14:paraId="3C4C7B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lang w:val="en-US" w:eastAsia="zh-CN" w:bidi="ar-SA"/>
                    </w:rPr>
                  </w:pPr>
                  <w:r>
                    <w:rPr>
                      <w:rFonts w:hint="default" w:ascii="宋体" w:hAnsi="宋体" w:eastAsia="宋体" w:cs="Times New Roman"/>
                      <w:caps w:val="0"/>
                      <w:smallCaps w:val="0"/>
                      <w:spacing w:val="11"/>
                      <w:kern w:val="21"/>
                      <w:position w:val="0"/>
                      <w:sz w:val="21"/>
                      <w:szCs w:val="21"/>
                      <w:u w:val="none" w:color="auto"/>
                      <w:shd w:val="clear" w:color="auto" w:fill="auto"/>
                    </w:rPr>
                    <w:t>年平均质量浓度</w:t>
                  </w:r>
                </w:p>
              </w:tc>
              <w:tc>
                <w:tcPr>
                  <w:tcW w:w="947" w:type="pct"/>
                  <w:tcBorders>
                    <w:tl2br w:val="nil"/>
                    <w:tr2bl w:val="nil"/>
                  </w:tcBorders>
                  <w:shd w:val="clear" w:color="auto" w:fill="auto"/>
                  <w:noWrap w:val="0"/>
                  <w:vAlign w:val="center"/>
                </w:tcPr>
                <w:p w14:paraId="4A4FB5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eastAsia" w:cs="Times New Roman"/>
                      <w:caps w:val="0"/>
                      <w:smallCaps w:val="0"/>
                      <w:spacing w:val="11"/>
                      <w:kern w:val="21"/>
                      <w:position w:val="0"/>
                      <w:sz w:val="21"/>
                      <w:szCs w:val="21"/>
                      <w:u w:val="none" w:color="auto"/>
                      <w:shd w:val="clear" w:color="auto" w:fill="auto"/>
                      <w:lang w:val="en-US" w:eastAsia="zh-CN"/>
                    </w:rPr>
                    <w:t>6</w:t>
                  </w:r>
                </w:p>
              </w:tc>
              <w:tc>
                <w:tcPr>
                  <w:tcW w:w="741" w:type="pct"/>
                  <w:tcBorders>
                    <w:tl2br w:val="nil"/>
                    <w:tr2bl w:val="nil"/>
                  </w:tcBorders>
                  <w:shd w:val="clear" w:color="auto" w:fill="auto"/>
                  <w:noWrap w:val="0"/>
                  <w:vAlign w:val="center"/>
                </w:tcPr>
                <w:p w14:paraId="0E46E5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60</w:t>
                  </w:r>
                </w:p>
              </w:tc>
              <w:tc>
                <w:tcPr>
                  <w:tcW w:w="551" w:type="pct"/>
                  <w:tcBorders>
                    <w:tl2br w:val="nil"/>
                    <w:tr2bl w:val="nil"/>
                  </w:tcBorders>
                  <w:shd w:val="clear" w:color="auto" w:fill="auto"/>
                  <w:noWrap w:val="0"/>
                  <w:vAlign w:val="center"/>
                </w:tcPr>
                <w:p w14:paraId="44951D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eastAsia" w:ascii="Times New Roman" w:hAnsi="Times New Roman" w:eastAsia="宋体" w:cs="Times New Roman"/>
                      <w:caps w:val="0"/>
                      <w:smallCaps w:val="0"/>
                      <w:spacing w:val="11"/>
                      <w:kern w:val="21"/>
                      <w:position w:val="0"/>
                      <w:sz w:val="21"/>
                      <w:szCs w:val="21"/>
                      <w:u w:val="none" w:color="auto"/>
                      <w:shd w:val="clear" w:color="auto" w:fill="auto"/>
                      <w:lang w:val="en-US" w:eastAsia="zh-CN"/>
                    </w:rPr>
                    <w:t>1</w:t>
                  </w:r>
                  <w:r>
                    <w:rPr>
                      <w:rFonts w:hint="eastAsia" w:cs="Times New Roman"/>
                      <w:caps w:val="0"/>
                      <w:smallCaps w:val="0"/>
                      <w:spacing w:val="11"/>
                      <w:kern w:val="21"/>
                      <w:position w:val="0"/>
                      <w:sz w:val="21"/>
                      <w:szCs w:val="21"/>
                      <w:u w:val="none" w:color="auto"/>
                      <w:shd w:val="clear" w:color="auto" w:fill="auto"/>
                      <w:lang w:val="en-US" w:eastAsia="zh-CN"/>
                    </w:rPr>
                    <w:t>0.0</w:t>
                  </w:r>
                </w:p>
              </w:tc>
              <w:tc>
                <w:tcPr>
                  <w:tcW w:w="537" w:type="pct"/>
                  <w:tcBorders>
                    <w:tl2br w:val="nil"/>
                    <w:tr2bl w:val="nil"/>
                  </w:tcBorders>
                  <w:noWrap w:val="0"/>
                  <w:vAlign w:val="center"/>
                </w:tcPr>
                <w:p w14:paraId="71D48D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shd w:val="clear" w:color="auto" w:fill="auto"/>
                    </w:rPr>
                  </w:pPr>
                  <w:r>
                    <w:rPr>
                      <w:rFonts w:hint="default" w:ascii="Times New Roman" w:hAnsi="Times New Roman" w:eastAsia="宋体" w:cs="Times New Roman"/>
                      <w:caps w:val="0"/>
                      <w:smallCaps w:val="0"/>
                      <w:color w:val="auto"/>
                      <w:spacing w:val="11"/>
                      <w:kern w:val="21"/>
                      <w:position w:val="0"/>
                      <w:sz w:val="21"/>
                      <w:szCs w:val="21"/>
                      <w:shd w:val="clear" w:color="auto" w:fill="auto"/>
                    </w:rPr>
                    <w:t>达标</w:t>
                  </w:r>
                </w:p>
              </w:tc>
            </w:tr>
            <w:tr w14:paraId="0DFD2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noWrap w:val="0"/>
                  <w:vAlign w:val="center"/>
                </w:tcPr>
                <w:p w14:paraId="4F2C65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shd w:val="clear" w:color="auto" w:fill="auto"/>
                    </w:rPr>
                  </w:pPr>
                </w:p>
              </w:tc>
              <w:tc>
                <w:tcPr>
                  <w:tcW w:w="570" w:type="pct"/>
                  <w:tcBorders>
                    <w:tl2br w:val="nil"/>
                    <w:tr2bl w:val="nil"/>
                  </w:tcBorders>
                  <w:shd w:val="clear" w:color="auto" w:fill="auto"/>
                  <w:noWrap w:val="0"/>
                  <w:vAlign w:val="center"/>
                </w:tcPr>
                <w:p w14:paraId="4B8571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NO</w:t>
                  </w:r>
                  <w:r>
                    <w:rPr>
                      <w:rFonts w:hint="default" w:ascii="Times New Roman" w:hAnsi="Times New Roman" w:eastAsia="宋体" w:cs="Times New Roman"/>
                      <w:caps w:val="0"/>
                      <w:smallCaps w:val="0"/>
                      <w:spacing w:val="11"/>
                      <w:kern w:val="21"/>
                      <w:position w:val="0"/>
                      <w:sz w:val="21"/>
                      <w:szCs w:val="21"/>
                      <w:u w:val="none" w:color="auto"/>
                      <w:shd w:val="clear" w:color="auto" w:fill="auto"/>
                      <w:vertAlign w:val="subscript"/>
                    </w:rPr>
                    <w:t>2</w:t>
                  </w:r>
                </w:p>
              </w:tc>
              <w:tc>
                <w:tcPr>
                  <w:tcW w:w="1173" w:type="pct"/>
                  <w:tcBorders>
                    <w:tl2br w:val="nil"/>
                    <w:tr2bl w:val="nil"/>
                  </w:tcBorders>
                  <w:shd w:val="clear" w:color="auto" w:fill="auto"/>
                  <w:noWrap w:val="0"/>
                  <w:vAlign w:val="center"/>
                </w:tcPr>
                <w:p w14:paraId="7A8231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lang w:val="en-US" w:eastAsia="zh-CN" w:bidi="ar-SA"/>
                    </w:rPr>
                  </w:pPr>
                  <w:r>
                    <w:rPr>
                      <w:rFonts w:hint="default" w:ascii="宋体" w:hAnsi="宋体" w:eastAsia="宋体" w:cs="Times New Roman"/>
                      <w:caps w:val="0"/>
                      <w:smallCaps w:val="0"/>
                      <w:spacing w:val="11"/>
                      <w:kern w:val="21"/>
                      <w:position w:val="0"/>
                      <w:sz w:val="21"/>
                      <w:szCs w:val="21"/>
                      <w:u w:val="none" w:color="auto"/>
                      <w:shd w:val="clear" w:color="auto" w:fill="auto"/>
                    </w:rPr>
                    <w:t>年平均质量浓度</w:t>
                  </w:r>
                </w:p>
              </w:tc>
              <w:tc>
                <w:tcPr>
                  <w:tcW w:w="947" w:type="pct"/>
                  <w:tcBorders>
                    <w:tl2br w:val="nil"/>
                    <w:tr2bl w:val="nil"/>
                  </w:tcBorders>
                  <w:shd w:val="clear" w:color="auto" w:fill="auto"/>
                  <w:noWrap w:val="0"/>
                  <w:vAlign w:val="center"/>
                </w:tcPr>
                <w:p w14:paraId="1C66AD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eastAsia" w:cs="Times New Roman"/>
                      <w:caps w:val="0"/>
                      <w:smallCaps w:val="0"/>
                      <w:spacing w:val="11"/>
                      <w:kern w:val="21"/>
                      <w:position w:val="0"/>
                      <w:sz w:val="21"/>
                      <w:szCs w:val="21"/>
                      <w:u w:val="none" w:color="auto"/>
                      <w:shd w:val="clear" w:color="auto" w:fill="auto"/>
                      <w:lang w:val="en-US" w:eastAsia="zh-CN"/>
                    </w:rPr>
                    <w:t>9</w:t>
                  </w:r>
                </w:p>
              </w:tc>
              <w:tc>
                <w:tcPr>
                  <w:tcW w:w="741" w:type="pct"/>
                  <w:tcBorders>
                    <w:tl2br w:val="nil"/>
                    <w:tr2bl w:val="nil"/>
                  </w:tcBorders>
                  <w:shd w:val="clear" w:color="auto" w:fill="auto"/>
                  <w:noWrap w:val="0"/>
                  <w:vAlign w:val="center"/>
                </w:tcPr>
                <w:p w14:paraId="4DD0F1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40</w:t>
                  </w:r>
                </w:p>
              </w:tc>
              <w:tc>
                <w:tcPr>
                  <w:tcW w:w="551" w:type="pct"/>
                  <w:tcBorders>
                    <w:tl2br w:val="nil"/>
                    <w:tr2bl w:val="nil"/>
                  </w:tcBorders>
                  <w:shd w:val="clear" w:color="auto" w:fill="auto"/>
                  <w:noWrap w:val="0"/>
                  <w:vAlign w:val="center"/>
                </w:tcPr>
                <w:p w14:paraId="7D0CEA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eastAsia" w:ascii="Times New Roman" w:hAnsi="Times New Roman" w:eastAsia="宋体" w:cs="Times New Roman"/>
                      <w:caps w:val="0"/>
                      <w:smallCaps w:val="0"/>
                      <w:spacing w:val="11"/>
                      <w:kern w:val="21"/>
                      <w:position w:val="0"/>
                      <w:sz w:val="21"/>
                      <w:szCs w:val="21"/>
                      <w:u w:val="none" w:color="auto"/>
                      <w:shd w:val="clear" w:color="auto" w:fill="auto"/>
                      <w:lang w:val="en-US" w:eastAsia="zh-CN"/>
                    </w:rPr>
                    <w:t>2</w:t>
                  </w:r>
                  <w:r>
                    <w:rPr>
                      <w:rFonts w:hint="eastAsia" w:cs="Times New Roman"/>
                      <w:caps w:val="0"/>
                      <w:smallCaps w:val="0"/>
                      <w:spacing w:val="11"/>
                      <w:kern w:val="21"/>
                      <w:position w:val="0"/>
                      <w:sz w:val="21"/>
                      <w:szCs w:val="21"/>
                      <w:u w:val="none" w:color="auto"/>
                      <w:shd w:val="clear" w:color="auto" w:fill="auto"/>
                      <w:lang w:val="en-US" w:eastAsia="zh-CN"/>
                    </w:rPr>
                    <w:t>2.5</w:t>
                  </w:r>
                </w:p>
              </w:tc>
              <w:tc>
                <w:tcPr>
                  <w:tcW w:w="537" w:type="pct"/>
                  <w:tcBorders>
                    <w:tl2br w:val="nil"/>
                    <w:tr2bl w:val="nil"/>
                  </w:tcBorders>
                  <w:noWrap w:val="0"/>
                  <w:vAlign w:val="center"/>
                </w:tcPr>
                <w:p w14:paraId="4528FE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shd w:val="clear" w:color="auto" w:fill="auto"/>
                    </w:rPr>
                  </w:pPr>
                  <w:r>
                    <w:rPr>
                      <w:rFonts w:hint="default" w:ascii="Times New Roman" w:hAnsi="Times New Roman" w:eastAsia="宋体" w:cs="Times New Roman"/>
                      <w:caps w:val="0"/>
                      <w:smallCaps w:val="0"/>
                      <w:color w:val="auto"/>
                      <w:spacing w:val="11"/>
                      <w:kern w:val="21"/>
                      <w:position w:val="0"/>
                      <w:sz w:val="21"/>
                      <w:szCs w:val="21"/>
                      <w:shd w:val="clear" w:color="auto" w:fill="auto"/>
                    </w:rPr>
                    <w:t>达标</w:t>
                  </w:r>
                </w:p>
              </w:tc>
            </w:tr>
            <w:tr w14:paraId="1DAE6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noWrap w:val="0"/>
                  <w:vAlign w:val="center"/>
                </w:tcPr>
                <w:p w14:paraId="0F4FF2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shd w:val="clear" w:color="auto" w:fill="auto"/>
                    </w:rPr>
                  </w:pPr>
                </w:p>
              </w:tc>
              <w:tc>
                <w:tcPr>
                  <w:tcW w:w="570" w:type="pct"/>
                  <w:tcBorders>
                    <w:tl2br w:val="nil"/>
                    <w:tr2bl w:val="nil"/>
                  </w:tcBorders>
                  <w:shd w:val="clear" w:color="auto" w:fill="auto"/>
                  <w:noWrap w:val="0"/>
                  <w:vAlign w:val="center"/>
                </w:tcPr>
                <w:p w14:paraId="27936B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PM</w:t>
                  </w:r>
                  <w:r>
                    <w:rPr>
                      <w:rFonts w:hint="default" w:ascii="Times New Roman" w:hAnsi="Times New Roman" w:eastAsia="宋体" w:cs="Times New Roman"/>
                      <w:caps w:val="0"/>
                      <w:smallCaps w:val="0"/>
                      <w:spacing w:val="11"/>
                      <w:kern w:val="21"/>
                      <w:position w:val="0"/>
                      <w:sz w:val="21"/>
                      <w:szCs w:val="21"/>
                      <w:u w:val="none" w:color="auto"/>
                      <w:shd w:val="clear" w:color="auto" w:fill="auto"/>
                      <w:vertAlign w:val="subscript"/>
                    </w:rPr>
                    <w:t>10</w:t>
                  </w:r>
                </w:p>
              </w:tc>
              <w:tc>
                <w:tcPr>
                  <w:tcW w:w="1173" w:type="pct"/>
                  <w:tcBorders>
                    <w:tl2br w:val="nil"/>
                    <w:tr2bl w:val="nil"/>
                  </w:tcBorders>
                  <w:shd w:val="clear" w:color="auto" w:fill="auto"/>
                  <w:noWrap w:val="0"/>
                  <w:vAlign w:val="center"/>
                </w:tcPr>
                <w:p w14:paraId="06B8D0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lang w:val="en-US" w:eastAsia="zh-CN" w:bidi="ar-SA"/>
                    </w:rPr>
                  </w:pPr>
                  <w:r>
                    <w:rPr>
                      <w:rFonts w:hint="default" w:ascii="宋体" w:hAnsi="宋体" w:eastAsia="宋体" w:cs="Times New Roman"/>
                      <w:caps w:val="0"/>
                      <w:smallCaps w:val="0"/>
                      <w:spacing w:val="11"/>
                      <w:kern w:val="21"/>
                      <w:position w:val="0"/>
                      <w:sz w:val="21"/>
                      <w:szCs w:val="21"/>
                      <w:u w:val="none" w:color="auto"/>
                      <w:shd w:val="clear" w:color="auto" w:fill="auto"/>
                    </w:rPr>
                    <w:t>年平均质量浓度</w:t>
                  </w:r>
                </w:p>
              </w:tc>
              <w:tc>
                <w:tcPr>
                  <w:tcW w:w="947" w:type="pct"/>
                  <w:tcBorders>
                    <w:tl2br w:val="nil"/>
                    <w:tr2bl w:val="nil"/>
                  </w:tcBorders>
                  <w:shd w:val="clear" w:color="auto" w:fill="auto"/>
                  <w:noWrap w:val="0"/>
                  <w:vAlign w:val="center"/>
                </w:tcPr>
                <w:p w14:paraId="521C76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eastAsia" w:cs="Times New Roman"/>
                      <w:caps w:val="0"/>
                      <w:smallCaps w:val="0"/>
                      <w:spacing w:val="11"/>
                      <w:kern w:val="21"/>
                      <w:position w:val="0"/>
                      <w:sz w:val="21"/>
                      <w:szCs w:val="21"/>
                      <w:u w:val="none" w:color="auto"/>
                      <w:shd w:val="clear" w:color="auto" w:fill="auto"/>
                      <w:lang w:val="en-US" w:eastAsia="zh-CN"/>
                    </w:rPr>
                    <w:t>41</w:t>
                  </w:r>
                </w:p>
              </w:tc>
              <w:tc>
                <w:tcPr>
                  <w:tcW w:w="741" w:type="pct"/>
                  <w:tcBorders>
                    <w:tl2br w:val="nil"/>
                    <w:tr2bl w:val="nil"/>
                  </w:tcBorders>
                  <w:shd w:val="clear" w:color="auto" w:fill="auto"/>
                  <w:noWrap w:val="0"/>
                  <w:vAlign w:val="center"/>
                </w:tcPr>
                <w:p w14:paraId="2C8B61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70</w:t>
                  </w:r>
                </w:p>
              </w:tc>
              <w:tc>
                <w:tcPr>
                  <w:tcW w:w="551" w:type="pct"/>
                  <w:tcBorders>
                    <w:tl2br w:val="nil"/>
                    <w:tr2bl w:val="nil"/>
                  </w:tcBorders>
                  <w:shd w:val="clear" w:color="auto" w:fill="auto"/>
                  <w:noWrap w:val="0"/>
                  <w:vAlign w:val="center"/>
                </w:tcPr>
                <w:p w14:paraId="3447EF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eastAsia" w:cs="Times New Roman"/>
                      <w:caps w:val="0"/>
                      <w:smallCaps w:val="0"/>
                      <w:spacing w:val="11"/>
                      <w:kern w:val="21"/>
                      <w:position w:val="0"/>
                      <w:sz w:val="21"/>
                      <w:szCs w:val="21"/>
                      <w:u w:val="none" w:color="auto"/>
                      <w:shd w:val="clear" w:color="auto" w:fill="auto"/>
                      <w:lang w:val="en-US" w:eastAsia="zh-CN"/>
                    </w:rPr>
                    <w:t>58.57</w:t>
                  </w:r>
                </w:p>
              </w:tc>
              <w:tc>
                <w:tcPr>
                  <w:tcW w:w="537" w:type="pct"/>
                  <w:tcBorders>
                    <w:tl2br w:val="nil"/>
                    <w:tr2bl w:val="nil"/>
                  </w:tcBorders>
                  <w:noWrap w:val="0"/>
                  <w:vAlign w:val="center"/>
                </w:tcPr>
                <w:p w14:paraId="682CAE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shd w:val="clear" w:color="auto" w:fill="auto"/>
                    </w:rPr>
                  </w:pPr>
                  <w:r>
                    <w:rPr>
                      <w:rFonts w:hint="default" w:ascii="Times New Roman" w:hAnsi="Times New Roman" w:eastAsia="宋体" w:cs="Times New Roman"/>
                      <w:caps w:val="0"/>
                      <w:smallCaps w:val="0"/>
                      <w:color w:val="auto"/>
                      <w:spacing w:val="11"/>
                      <w:kern w:val="21"/>
                      <w:position w:val="0"/>
                      <w:sz w:val="21"/>
                      <w:szCs w:val="21"/>
                      <w:shd w:val="clear" w:color="auto" w:fill="auto"/>
                    </w:rPr>
                    <w:t>达标</w:t>
                  </w:r>
                </w:p>
              </w:tc>
            </w:tr>
            <w:tr w14:paraId="4DC9E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noWrap w:val="0"/>
                  <w:vAlign w:val="center"/>
                </w:tcPr>
                <w:p w14:paraId="14B92E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shd w:val="clear" w:color="auto" w:fill="auto"/>
                    </w:rPr>
                  </w:pPr>
                </w:p>
              </w:tc>
              <w:tc>
                <w:tcPr>
                  <w:tcW w:w="570" w:type="pct"/>
                  <w:tcBorders>
                    <w:tl2br w:val="nil"/>
                    <w:tr2bl w:val="nil"/>
                  </w:tcBorders>
                  <w:shd w:val="clear" w:color="auto" w:fill="auto"/>
                  <w:noWrap w:val="0"/>
                  <w:vAlign w:val="center"/>
                </w:tcPr>
                <w:p w14:paraId="7C70BA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PM</w:t>
                  </w:r>
                  <w:r>
                    <w:rPr>
                      <w:rFonts w:hint="default" w:ascii="Times New Roman" w:hAnsi="Times New Roman" w:eastAsia="宋体" w:cs="Times New Roman"/>
                      <w:caps w:val="0"/>
                      <w:smallCaps w:val="0"/>
                      <w:spacing w:val="11"/>
                      <w:kern w:val="21"/>
                      <w:position w:val="0"/>
                      <w:sz w:val="21"/>
                      <w:szCs w:val="21"/>
                      <w:u w:val="none" w:color="auto"/>
                      <w:shd w:val="clear" w:color="auto" w:fill="auto"/>
                      <w:vertAlign w:val="subscript"/>
                    </w:rPr>
                    <w:t>2.5</w:t>
                  </w:r>
                </w:p>
              </w:tc>
              <w:tc>
                <w:tcPr>
                  <w:tcW w:w="1173" w:type="pct"/>
                  <w:tcBorders>
                    <w:tl2br w:val="nil"/>
                    <w:tr2bl w:val="nil"/>
                  </w:tcBorders>
                  <w:shd w:val="clear" w:color="auto" w:fill="auto"/>
                  <w:noWrap w:val="0"/>
                  <w:vAlign w:val="center"/>
                </w:tcPr>
                <w:p w14:paraId="42C9FE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lang w:val="en-US" w:eastAsia="zh-CN" w:bidi="ar-SA"/>
                    </w:rPr>
                  </w:pPr>
                  <w:r>
                    <w:rPr>
                      <w:rFonts w:hint="default" w:ascii="宋体" w:hAnsi="宋体" w:eastAsia="宋体" w:cs="Times New Roman"/>
                      <w:caps w:val="0"/>
                      <w:smallCaps w:val="0"/>
                      <w:spacing w:val="11"/>
                      <w:kern w:val="21"/>
                      <w:position w:val="0"/>
                      <w:sz w:val="21"/>
                      <w:szCs w:val="21"/>
                      <w:u w:val="none" w:color="auto"/>
                      <w:shd w:val="clear" w:color="auto" w:fill="auto"/>
                    </w:rPr>
                    <w:t>年平均质量浓度</w:t>
                  </w:r>
                </w:p>
              </w:tc>
              <w:tc>
                <w:tcPr>
                  <w:tcW w:w="947" w:type="pct"/>
                  <w:tcBorders>
                    <w:tl2br w:val="nil"/>
                    <w:tr2bl w:val="nil"/>
                  </w:tcBorders>
                  <w:shd w:val="clear" w:color="auto" w:fill="auto"/>
                  <w:noWrap w:val="0"/>
                  <w:vAlign w:val="center"/>
                </w:tcPr>
                <w:p w14:paraId="7AD36B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eastAsia" w:cs="Times New Roman"/>
                      <w:caps w:val="0"/>
                      <w:smallCaps w:val="0"/>
                      <w:spacing w:val="11"/>
                      <w:kern w:val="21"/>
                      <w:position w:val="0"/>
                      <w:sz w:val="21"/>
                      <w:szCs w:val="21"/>
                      <w:u w:val="none" w:color="auto"/>
                      <w:shd w:val="clear" w:color="auto" w:fill="auto"/>
                      <w:lang w:val="en-US" w:eastAsia="zh-CN"/>
                    </w:rPr>
                    <w:t>28</w:t>
                  </w:r>
                </w:p>
              </w:tc>
              <w:tc>
                <w:tcPr>
                  <w:tcW w:w="741" w:type="pct"/>
                  <w:tcBorders>
                    <w:tl2br w:val="nil"/>
                    <w:tr2bl w:val="nil"/>
                  </w:tcBorders>
                  <w:shd w:val="clear" w:color="auto" w:fill="auto"/>
                  <w:noWrap w:val="0"/>
                  <w:vAlign w:val="center"/>
                </w:tcPr>
                <w:p w14:paraId="015065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35</w:t>
                  </w:r>
                </w:p>
              </w:tc>
              <w:tc>
                <w:tcPr>
                  <w:tcW w:w="551" w:type="pct"/>
                  <w:tcBorders>
                    <w:tl2br w:val="nil"/>
                    <w:tr2bl w:val="nil"/>
                  </w:tcBorders>
                  <w:shd w:val="clear" w:color="auto" w:fill="auto"/>
                  <w:noWrap w:val="0"/>
                  <w:vAlign w:val="center"/>
                </w:tcPr>
                <w:p w14:paraId="4C8792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eastAsia" w:cs="Times New Roman"/>
                      <w:caps w:val="0"/>
                      <w:smallCaps w:val="0"/>
                      <w:spacing w:val="11"/>
                      <w:kern w:val="21"/>
                      <w:position w:val="0"/>
                      <w:sz w:val="21"/>
                      <w:szCs w:val="21"/>
                      <w:u w:val="none" w:color="auto"/>
                      <w:shd w:val="clear" w:color="auto" w:fill="auto"/>
                      <w:lang w:val="en-US" w:eastAsia="zh-CN"/>
                    </w:rPr>
                    <w:t>80.0</w:t>
                  </w:r>
                </w:p>
              </w:tc>
              <w:tc>
                <w:tcPr>
                  <w:tcW w:w="537" w:type="pct"/>
                  <w:tcBorders>
                    <w:tl2br w:val="nil"/>
                    <w:tr2bl w:val="nil"/>
                  </w:tcBorders>
                  <w:noWrap w:val="0"/>
                  <w:vAlign w:val="center"/>
                </w:tcPr>
                <w:p w14:paraId="3AE85E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shd w:val="clear" w:color="auto" w:fill="auto"/>
                    </w:rPr>
                  </w:pPr>
                  <w:r>
                    <w:rPr>
                      <w:rFonts w:hint="default" w:ascii="Times New Roman" w:hAnsi="Times New Roman" w:eastAsia="宋体" w:cs="Times New Roman"/>
                      <w:caps w:val="0"/>
                      <w:smallCaps w:val="0"/>
                      <w:color w:val="auto"/>
                      <w:spacing w:val="11"/>
                      <w:kern w:val="21"/>
                      <w:position w:val="0"/>
                      <w:sz w:val="21"/>
                      <w:szCs w:val="21"/>
                      <w:shd w:val="clear" w:color="auto" w:fill="auto"/>
                    </w:rPr>
                    <w:t>达标</w:t>
                  </w:r>
                </w:p>
              </w:tc>
            </w:tr>
            <w:tr w14:paraId="5DB24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noWrap w:val="0"/>
                  <w:vAlign w:val="center"/>
                </w:tcPr>
                <w:p w14:paraId="614511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shd w:val="clear" w:color="auto" w:fill="auto"/>
                    </w:rPr>
                  </w:pPr>
                </w:p>
              </w:tc>
              <w:tc>
                <w:tcPr>
                  <w:tcW w:w="570" w:type="pct"/>
                  <w:tcBorders>
                    <w:tl2br w:val="nil"/>
                    <w:tr2bl w:val="nil"/>
                  </w:tcBorders>
                  <w:shd w:val="clear" w:color="auto" w:fill="auto"/>
                  <w:noWrap w:val="0"/>
                  <w:vAlign w:val="center"/>
                </w:tcPr>
                <w:p w14:paraId="374A77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CO</w:t>
                  </w:r>
                </w:p>
              </w:tc>
              <w:tc>
                <w:tcPr>
                  <w:tcW w:w="1173" w:type="pct"/>
                  <w:tcBorders>
                    <w:tl2br w:val="nil"/>
                    <w:tr2bl w:val="nil"/>
                  </w:tcBorders>
                  <w:shd w:val="clear" w:color="auto" w:fill="auto"/>
                  <w:noWrap w:val="0"/>
                  <w:vAlign w:val="center"/>
                </w:tcPr>
                <w:p w14:paraId="7A6D93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highlight w:val="none"/>
                      <w:u w:val="none" w:color="auto"/>
                      <w:shd w:val="clear" w:color="auto" w:fill="auto"/>
                      <w:lang w:val="en-US" w:eastAsia="zh-CN" w:bidi="ar-SA"/>
                    </w:rPr>
                  </w:pPr>
                  <w:r>
                    <w:rPr>
                      <w:rFonts w:hint="default" w:ascii="宋体" w:hAnsi="宋体" w:eastAsia="宋体" w:cs="Times New Roman"/>
                      <w:caps w:val="0"/>
                      <w:smallCaps w:val="0"/>
                      <w:spacing w:val="11"/>
                      <w:kern w:val="21"/>
                      <w:position w:val="0"/>
                      <w:sz w:val="21"/>
                      <w:szCs w:val="21"/>
                      <w:highlight w:val="none"/>
                      <w:u w:val="none" w:color="auto"/>
                      <w:shd w:val="clear" w:color="auto" w:fill="auto"/>
                    </w:rPr>
                    <w:t>第</w:t>
                  </w:r>
                  <w:r>
                    <w:rPr>
                      <w:rFonts w:hint="default" w:ascii="Times New Roman" w:hAnsi="Times New Roman" w:eastAsia="宋体" w:cs="Times New Roman"/>
                      <w:caps w:val="0"/>
                      <w:smallCaps w:val="0"/>
                      <w:spacing w:val="11"/>
                      <w:kern w:val="21"/>
                      <w:position w:val="0"/>
                      <w:sz w:val="21"/>
                      <w:szCs w:val="21"/>
                      <w:highlight w:val="none"/>
                      <w:u w:val="none" w:color="auto"/>
                      <w:shd w:val="clear" w:color="auto" w:fill="auto"/>
                    </w:rPr>
                    <w:t>95</w:t>
                  </w:r>
                  <w:r>
                    <w:rPr>
                      <w:rFonts w:hint="default" w:ascii="宋体" w:hAnsi="宋体" w:eastAsia="宋体" w:cs="Times New Roman"/>
                      <w:caps w:val="0"/>
                      <w:smallCaps w:val="0"/>
                      <w:spacing w:val="11"/>
                      <w:kern w:val="21"/>
                      <w:position w:val="0"/>
                      <w:sz w:val="21"/>
                      <w:szCs w:val="21"/>
                      <w:highlight w:val="none"/>
                      <w:u w:val="none" w:color="auto"/>
                      <w:shd w:val="clear" w:color="auto" w:fill="auto"/>
                    </w:rPr>
                    <w:t>百分位数日平均浓度</w:t>
                  </w:r>
                </w:p>
              </w:tc>
              <w:tc>
                <w:tcPr>
                  <w:tcW w:w="947" w:type="pct"/>
                  <w:tcBorders>
                    <w:tl2br w:val="nil"/>
                    <w:tr2bl w:val="nil"/>
                  </w:tcBorders>
                  <w:shd w:val="clear" w:color="auto" w:fill="auto"/>
                  <w:noWrap w:val="0"/>
                  <w:vAlign w:val="center"/>
                </w:tcPr>
                <w:p w14:paraId="6A51F0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highlight w:val="none"/>
                      <w:u w:val="none" w:color="auto"/>
                      <w:shd w:val="clear" w:color="auto" w:fill="auto"/>
                      <w:lang w:val="en-US" w:eastAsia="zh-CN" w:bidi="ar-SA"/>
                    </w:rPr>
                  </w:pPr>
                  <w:r>
                    <w:rPr>
                      <w:rFonts w:hint="eastAsia" w:cs="Times New Roman"/>
                      <w:caps w:val="0"/>
                      <w:smallCaps w:val="0"/>
                      <w:spacing w:val="11"/>
                      <w:kern w:val="21"/>
                      <w:position w:val="0"/>
                      <w:sz w:val="21"/>
                      <w:szCs w:val="21"/>
                      <w:highlight w:val="none"/>
                      <w:u w:val="none" w:color="auto"/>
                      <w:shd w:val="clear" w:color="auto" w:fill="auto"/>
                      <w:lang w:val="en-US" w:eastAsia="zh-CN"/>
                    </w:rPr>
                    <w:t>1000</w:t>
                  </w:r>
                </w:p>
              </w:tc>
              <w:tc>
                <w:tcPr>
                  <w:tcW w:w="741" w:type="pct"/>
                  <w:tcBorders>
                    <w:tl2br w:val="nil"/>
                    <w:tr2bl w:val="nil"/>
                  </w:tcBorders>
                  <w:shd w:val="clear" w:color="auto" w:fill="auto"/>
                  <w:noWrap w:val="0"/>
                  <w:vAlign w:val="center"/>
                </w:tcPr>
                <w:p w14:paraId="03B6DD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4000</w:t>
                  </w:r>
                </w:p>
              </w:tc>
              <w:tc>
                <w:tcPr>
                  <w:tcW w:w="551" w:type="pct"/>
                  <w:tcBorders>
                    <w:tl2br w:val="nil"/>
                    <w:tr2bl w:val="nil"/>
                  </w:tcBorders>
                  <w:shd w:val="clear" w:color="auto" w:fill="auto"/>
                  <w:noWrap w:val="0"/>
                  <w:vAlign w:val="center"/>
                </w:tcPr>
                <w:p w14:paraId="56C7A8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eastAsia" w:cs="Times New Roman"/>
                      <w:caps w:val="0"/>
                      <w:smallCaps w:val="0"/>
                      <w:spacing w:val="11"/>
                      <w:kern w:val="21"/>
                      <w:position w:val="0"/>
                      <w:sz w:val="21"/>
                      <w:szCs w:val="21"/>
                      <w:u w:val="none" w:color="auto"/>
                      <w:shd w:val="clear" w:color="auto" w:fill="auto"/>
                      <w:lang w:val="en-US" w:eastAsia="zh-CN"/>
                    </w:rPr>
                    <w:t>25.0</w:t>
                  </w:r>
                </w:p>
              </w:tc>
              <w:tc>
                <w:tcPr>
                  <w:tcW w:w="537" w:type="pct"/>
                  <w:tcBorders>
                    <w:tl2br w:val="nil"/>
                    <w:tr2bl w:val="nil"/>
                  </w:tcBorders>
                  <w:noWrap w:val="0"/>
                  <w:vAlign w:val="center"/>
                </w:tcPr>
                <w:p w14:paraId="559855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shd w:val="clear" w:color="auto" w:fill="auto"/>
                    </w:rPr>
                  </w:pPr>
                  <w:r>
                    <w:rPr>
                      <w:rFonts w:hint="default" w:ascii="Times New Roman" w:hAnsi="Times New Roman" w:eastAsia="宋体" w:cs="Times New Roman"/>
                      <w:caps w:val="0"/>
                      <w:smallCaps w:val="0"/>
                      <w:color w:val="auto"/>
                      <w:spacing w:val="11"/>
                      <w:kern w:val="21"/>
                      <w:position w:val="0"/>
                      <w:sz w:val="21"/>
                      <w:szCs w:val="21"/>
                      <w:shd w:val="clear" w:color="auto" w:fill="auto"/>
                    </w:rPr>
                    <w:t>达标</w:t>
                  </w:r>
                </w:p>
              </w:tc>
            </w:tr>
            <w:tr w14:paraId="0E87A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8" w:type="pct"/>
                  <w:vMerge w:val="continue"/>
                  <w:tcBorders>
                    <w:tl2br w:val="nil"/>
                    <w:tr2bl w:val="nil"/>
                  </w:tcBorders>
                  <w:noWrap w:val="0"/>
                  <w:vAlign w:val="center"/>
                </w:tcPr>
                <w:p w14:paraId="612E91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shd w:val="clear" w:color="auto" w:fill="auto"/>
                    </w:rPr>
                  </w:pPr>
                </w:p>
              </w:tc>
              <w:tc>
                <w:tcPr>
                  <w:tcW w:w="570" w:type="pct"/>
                  <w:tcBorders>
                    <w:tl2br w:val="nil"/>
                    <w:tr2bl w:val="nil"/>
                  </w:tcBorders>
                  <w:shd w:val="clear" w:color="auto" w:fill="auto"/>
                  <w:noWrap w:val="0"/>
                  <w:vAlign w:val="center"/>
                </w:tcPr>
                <w:p w14:paraId="4E4F5A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O</w:t>
                  </w:r>
                  <w:r>
                    <w:rPr>
                      <w:rFonts w:hint="default" w:ascii="Times New Roman" w:hAnsi="Times New Roman" w:eastAsia="宋体" w:cs="Times New Roman"/>
                      <w:caps w:val="0"/>
                      <w:smallCaps w:val="0"/>
                      <w:spacing w:val="11"/>
                      <w:kern w:val="21"/>
                      <w:position w:val="0"/>
                      <w:sz w:val="21"/>
                      <w:szCs w:val="21"/>
                      <w:u w:val="none" w:color="auto"/>
                      <w:shd w:val="clear" w:color="auto" w:fill="auto"/>
                      <w:vertAlign w:val="subscript"/>
                    </w:rPr>
                    <w:t>3</w:t>
                  </w:r>
                </w:p>
              </w:tc>
              <w:tc>
                <w:tcPr>
                  <w:tcW w:w="1173" w:type="pct"/>
                  <w:tcBorders>
                    <w:tl2br w:val="nil"/>
                    <w:tr2bl w:val="nil"/>
                  </w:tcBorders>
                  <w:shd w:val="clear" w:color="auto" w:fill="auto"/>
                  <w:noWrap w:val="0"/>
                  <w:vAlign w:val="center"/>
                </w:tcPr>
                <w:p w14:paraId="67EF96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highlight w:val="none"/>
                      <w:u w:val="none" w:color="auto"/>
                      <w:shd w:val="clear" w:color="auto" w:fill="auto"/>
                      <w:lang w:val="en-US" w:eastAsia="zh-CN" w:bidi="ar-SA"/>
                    </w:rPr>
                  </w:pPr>
                  <w:r>
                    <w:rPr>
                      <w:rFonts w:hint="default" w:ascii="宋体" w:hAnsi="宋体" w:eastAsia="宋体" w:cs="Times New Roman"/>
                      <w:caps w:val="0"/>
                      <w:smallCaps w:val="0"/>
                      <w:spacing w:val="11"/>
                      <w:kern w:val="21"/>
                      <w:position w:val="0"/>
                      <w:sz w:val="21"/>
                      <w:szCs w:val="21"/>
                      <w:highlight w:val="none"/>
                      <w:u w:val="none" w:color="auto"/>
                      <w:shd w:val="clear" w:color="auto" w:fill="auto"/>
                    </w:rPr>
                    <w:t>第</w:t>
                  </w:r>
                  <w:r>
                    <w:rPr>
                      <w:rFonts w:hint="default" w:ascii="Times New Roman" w:hAnsi="Times New Roman" w:eastAsia="宋体" w:cs="Times New Roman"/>
                      <w:caps w:val="0"/>
                      <w:smallCaps w:val="0"/>
                      <w:spacing w:val="11"/>
                      <w:kern w:val="21"/>
                      <w:position w:val="0"/>
                      <w:sz w:val="21"/>
                      <w:szCs w:val="21"/>
                      <w:highlight w:val="none"/>
                      <w:u w:val="none" w:color="auto"/>
                      <w:shd w:val="clear" w:color="auto" w:fill="auto"/>
                    </w:rPr>
                    <w:t>90</w:t>
                  </w:r>
                  <w:r>
                    <w:rPr>
                      <w:rFonts w:hint="default" w:ascii="宋体" w:hAnsi="宋体" w:eastAsia="宋体" w:cs="Times New Roman"/>
                      <w:caps w:val="0"/>
                      <w:smallCaps w:val="0"/>
                      <w:spacing w:val="11"/>
                      <w:kern w:val="21"/>
                      <w:position w:val="0"/>
                      <w:sz w:val="21"/>
                      <w:szCs w:val="21"/>
                      <w:highlight w:val="none"/>
                      <w:u w:val="none" w:color="auto"/>
                      <w:shd w:val="clear" w:color="auto" w:fill="auto"/>
                    </w:rPr>
                    <w:t>百分位数日最大</w:t>
                  </w:r>
                  <w:r>
                    <w:rPr>
                      <w:rFonts w:hint="default" w:ascii="Times New Roman" w:hAnsi="Times New Roman" w:eastAsia="宋体" w:cs="Times New Roman"/>
                      <w:caps w:val="0"/>
                      <w:smallCaps w:val="0"/>
                      <w:spacing w:val="11"/>
                      <w:kern w:val="21"/>
                      <w:position w:val="0"/>
                      <w:sz w:val="21"/>
                      <w:szCs w:val="21"/>
                      <w:highlight w:val="none"/>
                      <w:u w:val="none" w:color="auto"/>
                      <w:shd w:val="clear" w:color="auto" w:fill="auto"/>
                    </w:rPr>
                    <w:t>8h</w:t>
                  </w:r>
                  <w:r>
                    <w:rPr>
                      <w:rFonts w:hint="default" w:ascii="宋体" w:hAnsi="宋体" w:eastAsia="宋体" w:cs="Times New Roman"/>
                      <w:caps w:val="0"/>
                      <w:smallCaps w:val="0"/>
                      <w:spacing w:val="11"/>
                      <w:kern w:val="21"/>
                      <w:position w:val="0"/>
                      <w:sz w:val="21"/>
                      <w:szCs w:val="21"/>
                      <w:highlight w:val="none"/>
                      <w:u w:val="none" w:color="auto"/>
                      <w:shd w:val="clear" w:color="auto" w:fill="auto"/>
                    </w:rPr>
                    <w:t>平均浓度</w:t>
                  </w:r>
                </w:p>
              </w:tc>
              <w:tc>
                <w:tcPr>
                  <w:tcW w:w="947" w:type="pct"/>
                  <w:tcBorders>
                    <w:tl2br w:val="nil"/>
                    <w:tr2bl w:val="nil"/>
                  </w:tcBorders>
                  <w:shd w:val="clear" w:color="auto" w:fill="auto"/>
                  <w:noWrap w:val="0"/>
                  <w:vAlign w:val="center"/>
                </w:tcPr>
                <w:p w14:paraId="258AD9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highlight w:val="none"/>
                      <w:u w:val="none" w:color="auto"/>
                      <w:shd w:val="clear" w:color="auto" w:fill="auto"/>
                      <w:lang w:val="en-US" w:eastAsia="zh-CN" w:bidi="ar-SA"/>
                    </w:rPr>
                  </w:pPr>
                  <w:r>
                    <w:rPr>
                      <w:rFonts w:hint="eastAsia" w:cs="Times New Roman"/>
                      <w:caps w:val="0"/>
                      <w:smallCaps w:val="0"/>
                      <w:spacing w:val="11"/>
                      <w:kern w:val="21"/>
                      <w:position w:val="0"/>
                      <w:sz w:val="21"/>
                      <w:szCs w:val="21"/>
                      <w:highlight w:val="none"/>
                      <w:u w:val="none" w:color="auto"/>
                      <w:shd w:val="clear" w:color="auto" w:fill="auto"/>
                      <w:lang w:val="en-US" w:eastAsia="zh-CN"/>
                    </w:rPr>
                    <w:t>117</w:t>
                  </w:r>
                </w:p>
              </w:tc>
              <w:tc>
                <w:tcPr>
                  <w:tcW w:w="741" w:type="pct"/>
                  <w:tcBorders>
                    <w:tl2br w:val="nil"/>
                    <w:tr2bl w:val="nil"/>
                  </w:tcBorders>
                  <w:shd w:val="clear" w:color="auto" w:fill="auto"/>
                  <w:noWrap w:val="0"/>
                  <w:vAlign w:val="center"/>
                </w:tcPr>
                <w:p w14:paraId="30CB8A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160</w:t>
                  </w:r>
                </w:p>
              </w:tc>
              <w:tc>
                <w:tcPr>
                  <w:tcW w:w="551" w:type="pct"/>
                  <w:tcBorders>
                    <w:tl2br w:val="nil"/>
                    <w:tr2bl w:val="nil"/>
                  </w:tcBorders>
                  <w:shd w:val="clear" w:color="auto" w:fill="auto"/>
                  <w:noWrap w:val="0"/>
                  <w:vAlign w:val="center"/>
                </w:tcPr>
                <w:p w14:paraId="18A752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bidi="ar-SA"/>
                    </w:rPr>
                  </w:pPr>
                  <w:r>
                    <w:rPr>
                      <w:rFonts w:hint="eastAsia" w:cs="Times New Roman"/>
                      <w:caps w:val="0"/>
                      <w:smallCaps w:val="0"/>
                      <w:spacing w:val="11"/>
                      <w:kern w:val="21"/>
                      <w:position w:val="0"/>
                      <w:sz w:val="21"/>
                      <w:szCs w:val="21"/>
                      <w:u w:val="none" w:color="auto"/>
                      <w:shd w:val="clear" w:color="auto" w:fill="auto"/>
                      <w:lang w:val="en-US" w:eastAsia="zh-CN"/>
                    </w:rPr>
                    <w:t>73.13</w:t>
                  </w:r>
                </w:p>
              </w:tc>
              <w:tc>
                <w:tcPr>
                  <w:tcW w:w="537" w:type="pct"/>
                  <w:tcBorders>
                    <w:tl2br w:val="nil"/>
                    <w:tr2bl w:val="nil"/>
                  </w:tcBorders>
                  <w:noWrap w:val="0"/>
                  <w:vAlign w:val="center"/>
                </w:tcPr>
                <w:p w14:paraId="2658CF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shd w:val="clear" w:color="auto" w:fill="auto"/>
                    </w:rPr>
                  </w:pPr>
                  <w:r>
                    <w:rPr>
                      <w:rFonts w:hint="default" w:ascii="Times New Roman" w:hAnsi="Times New Roman" w:eastAsia="宋体" w:cs="Times New Roman"/>
                      <w:caps w:val="0"/>
                      <w:smallCaps w:val="0"/>
                      <w:color w:val="auto"/>
                      <w:spacing w:val="11"/>
                      <w:kern w:val="21"/>
                      <w:position w:val="0"/>
                      <w:sz w:val="21"/>
                      <w:szCs w:val="21"/>
                      <w:shd w:val="clear" w:color="auto" w:fill="auto"/>
                    </w:rPr>
                    <w:t>达标</w:t>
                  </w:r>
                </w:p>
              </w:tc>
            </w:tr>
          </w:tbl>
          <w:p w14:paraId="6D0D1FA7">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524" w:firstLineChars="200"/>
              <w:textAlignment w:val="baseline"/>
              <w:rPr>
                <w:rFonts w:hint="default" w:ascii="Times New Roman" w:hAnsi="Times New Roman" w:eastAsia="宋体" w:cs="Times New Roman"/>
                <w:color w:val="auto"/>
                <w:spacing w:val="11"/>
                <w:position w:val="0"/>
                <w:sz w:val="24"/>
                <w:szCs w:val="24"/>
                <w:highlight w:val="none"/>
                <w:lang w:val="en-US"/>
              </w:rPr>
            </w:pPr>
            <w:r>
              <w:rPr>
                <w:rFonts w:hint="default" w:ascii="Times New Roman" w:hAnsi="Times New Roman" w:eastAsia="宋体" w:cs="Times New Roman"/>
                <w:color w:val="auto"/>
                <w:spacing w:val="11"/>
                <w:position w:val="0"/>
                <w:sz w:val="24"/>
                <w:szCs w:val="24"/>
                <w:highlight w:val="none"/>
                <w:u w:val="none" w:color="auto"/>
                <w:lang w:val="en-US"/>
              </w:rPr>
              <w:t>上表可知，20</w:t>
            </w:r>
            <w:r>
              <w:rPr>
                <w:rFonts w:hint="eastAsia" w:ascii="Times New Roman" w:hAnsi="Times New Roman" w:eastAsia="宋体" w:cs="Times New Roman"/>
                <w:color w:val="auto"/>
                <w:spacing w:val="11"/>
                <w:position w:val="0"/>
                <w:sz w:val="24"/>
                <w:szCs w:val="24"/>
                <w:highlight w:val="none"/>
                <w:u w:val="none" w:color="auto"/>
                <w:lang w:val="en-US" w:eastAsia="zh-CN"/>
              </w:rPr>
              <w:t>2</w:t>
            </w:r>
            <w:r>
              <w:rPr>
                <w:rFonts w:hint="eastAsia" w:cs="Times New Roman"/>
                <w:color w:val="auto"/>
                <w:spacing w:val="11"/>
                <w:position w:val="0"/>
                <w:sz w:val="24"/>
                <w:szCs w:val="24"/>
                <w:highlight w:val="none"/>
                <w:u w:val="none" w:color="auto"/>
                <w:lang w:val="en-US" w:eastAsia="zh-CN"/>
              </w:rPr>
              <w:t>4</w:t>
            </w:r>
            <w:r>
              <w:rPr>
                <w:rFonts w:hint="default" w:ascii="Times New Roman" w:hAnsi="Times New Roman" w:eastAsia="宋体" w:cs="Times New Roman"/>
                <w:color w:val="auto"/>
                <w:spacing w:val="11"/>
                <w:position w:val="0"/>
                <w:sz w:val="24"/>
                <w:szCs w:val="24"/>
                <w:highlight w:val="none"/>
                <w:u w:val="none" w:color="auto"/>
                <w:lang w:val="en-US"/>
              </w:rPr>
              <w:t>年</w:t>
            </w:r>
            <w:r>
              <w:rPr>
                <w:rFonts w:hint="eastAsia" w:ascii="Times New Roman" w:hAnsi="Times New Roman" w:eastAsia="宋体" w:cs="Times New Roman"/>
                <w:color w:val="auto"/>
                <w:spacing w:val="11"/>
                <w:position w:val="0"/>
                <w:sz w:val="24"/>
                <w:szCs w:val="24"/>
                <w:highlight w:val="none"/>
                <w:u w:val="none" w:color="auto"/>
                <w:lang w:val="en-US" w:eastAsia="zh-CN"/>
              </w:rPr>
              <w:t>新田</w:t>
            </w:r>
            <w:r>
              <w:rPr>
                <w:rFonts w:hint="default" w:ascii="Times New Roman" w:hAnsi="Times New Roman" w:eastAsia="宋体" w:cs="Times New Roman"/>
                <w:color w:val="auto"/>
                <w:spacing w:val="11"/>
                <w:position w:val="0"/>
                <w:sz w:val="24"/>
                <w:szCs w:val="24"/>
                <w:highlight w:val="none"/>
                <w:u w:val="none" w:color="auto"/>
                <w:lang w:val="en-US" w:eastAsia="zh-CN"/>
              </w:rPr>
              <w:t>县</w:t>
            </w:r>
            <w:r>
              <w:rPr>
                <w:rFonts w:hint="default" w:ascii="Times New Roman" w:hAnsi="Times New Roman" w:eastAsia="宋体" w:cs="Times New Roman"/>
                <w:color w:val="auto"/>
                <w:spacing w:val="11"/>
                <w:position w:val="0"/>
                <w:sz w:val="24"/>
                <w:szCs w:val="24"/>
                <w:highlight w:val="none"/>
                <w:u w:val="none" w:color="auto"/>
                <w:lang w:val="en-US"/>
              </w:rPr>
              <w:t>SO</w:t>
            </w:r>
            <w:r>
              <w:rPr>
                <w:rFonts w:hint="default" w:ascii="Times New Roman" w:hAnsi="Times New Roman" w:eastAsia="宋体" w:cs="Times New Roman"/>
                <w:color w:val="auto"/>
                <w:spacing w:val="11"/>
                <w:position w:val="0"/>
                <w:sz w:val="24"/>
                <w:szCs w:val="24"/>
                <w:highlight w:val="none"/>
                <w:u w:val="none" w:color="auto"/>
                <w:vertAlign w:val="subscript"/>
                <w:lang w:val="en-US"/>
              </w:rPr>
              <w:t>2</w:t>
            </w:r>
            <w:r>
              <w:rPr>
                <w:rFonts w:hint="default" w:ascii="Times New Roman" w:hAnsi="Times New Roman" w:eastAsia="宋体" w:cs="Times New Roman"/>
                <w:color w:val="auto"/>
                <w:spacing w:val="11"/>
                <w:position w:val="0"/>
                <w:sz w:val="24"/>
                <w:szCs w:val="24"/>
                <w:highlight w:val="none"/>
                <w:u w:val="none" w:color="auto"/>
                <w:lang w:val="en-US"/>
              </w:rPr>
              <w:t>、NO</w:t>
            </w:r>
            <w:r>
              <w:rPr>
                <w:rFonts w:hint="default" w:ascii="Times New Roman" w:hAnsi="Times New Roman" w:eastAsia="宋体" w:cs="Times New Roman"/>
                <w:color w:val="auto"/>
                <w:spacing w:val="11"/>
                <w:position w:val="0"/>
                <w:sz w:val="24"/>
                <w:szCs w:val="24"/>
                <w:highlight w:val="none"/>
                <w:u w:val="none" w:color="auto"/>
                <w:vertAlign w:val="subscript"/>
                <w:lang w:val="en-US"/>
              </w:rPr>
              <w:t>2</w:t>
            </w:r>
            <w:r>
              <w:rPr>
                <w:rFonts w:hint="default" w:ascii="Times New Roman" w:hAnsi="Times New Roman" w:eastAsia="宋体" w:cs="Times New Roman"/>
                <w:color w:val="auto"/>
                <w:spacing w:val="11"/>
                <w:position w:val="0"/>
                <w:sz w:val="24"/>
                <w:szCs w:val="24"/>
                <w:highlight w:val="none"/>
                <w:u w:val="none" w:color="auto"/>
                <w:lang w:val="en-US"/>
              </w:rPr>
              <w:t>、CO、O</w:t>
            </w:r>
            <w:r>
              <w:rPr>
                <w:rFonts w:hint="default" w:ascii="Times New Roman" w:hAnsi="Times New Roman" w:eastAsia="宋体" w:cs="Times New Roman"/>
                <w:color w:val="auto"/>
                <w:spacing w:val="11"/>
                <w:position w:val="0"/>
                <w:sz w:val="24"/>
                <w:szCs w:val="24"/>
                <w:highlight w:val="none"/>
                <w:u w:val="none" w:color="auto"/>
                <w:vertAlign w:val="subscript"/>
                <w:lang w:val="en-US"/>
              </w:rPr>
              <w:t>3</w:t>
            </w:r>
            <w:r>
              <w:rPr>
                <w:rFonts w:hint="default" w:ascii="Times New Roman" w:hAnsi="Times New Roman" w:eastAsia="宋体" w:cs="Times New Roman"/>
                <w:color w:val="auto"/>
                <w:spacing w:val="11"/>
                <w:position w:val="0"/>
                <w:sz w:val="24"/>
                <w:szCs w:val="24"/>
                <w:highlight w:val="none"/>
                <w:u w:val="none" w:color="auto"/>
                <w:lang w:val="en-US"/>
              </w:rPr>
              <w:t>、PM</w:t>
            </w:r>
            <w:r>
              <w:rPr>
                <w:rFonts w:hint="default" w:ascii="Times New Roman" w:hAnsi="Times New Roman" w:eastAsia="宋体" w:cs="Times New Roman"/>
                <w:color w:val="auto"/>
                <w:spacing w:val="11"/>
                <w:position w:val="0"/>
                <w:sz w:val="24"/>
                <w:szCs w:val="24"/>
                <w:highlight w:val="none"/>
                <w:u w:val="none" w:color="auto"/>
                <w:vertAlign w:val="subscript"/>
                <w:lang w:val="en-US"/>
              </w:rPr>
              <w:t>2.5</w:t>
            </w:r>
            <w:r>
              <w:rPr>
                <w:rFonts w:hint="default" w:ascii="Times New Roman" w:hAnsi="Times New Roman" w:eastAsia="宋体"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rPr>
              <w:t>PM</w:t>
            </w:r>
            <w:r>
              <w:rPr>
                <w:rFonts w:hint="default" w:ascii="Times New Roman" w:hAnsi="Times New Roman" w:eastAsia="宋体" w:cs="Times New Roman"/>
                <w:color w:val="auto"/>
                <w:spacing w:val="11"/>
                <w:position w:val="0"/>
                <w:sz w:val="24"/>
                <w:szCs w:val="24"/>
                <w:highlight w:val="none"/>
                <w:u w:val="none" w:color="auto"/>
                <w:vertAlign w:val="subscript"/>
                <w:lang w:val="en-US"/>
              </w:rPr>
              <w:t>10</w:t>
            </w:r>
            <w:r>
              <w:rPr>
                <w:rFonts w:hint="default" w:ascii="Times New Roman" w:hAnsi="Times New Roman" w:eastAsia="宋体" w:cs="Times New Roman"/>
                <w:color w:val="auto"/>
                <w:spacing w:val="11"/>
                <w:position w:val="0"/>
                <w:sz w:val="24"/>
                <w:szCs w:val="24"/>
                <w:highlight w:val="none"/>
                <w:u w:val="none" w:color="auto"/>
                <w:lang w:val="en-US"/>
              </w:rPr>
              <w:t>质量浓度满足《环境空</w:t>
            </w:r>
            <w:r>
              <w:rPr>
                <w:rFonts w:hint="default" w:ascii="Times New Roman" w:hAnsi="Times New Roman" w:eastAsia="宋体" w:cs="Times New Roman"/>
                <w:color w:val="000000"/>
                <w:spacing w:val="11"/>
                <w:position w:val="0"/>
                <w:sz w:val="24"/>
                <w:szCs w:val="24"/>
                <w:highlight w:val="none"/>
                <w:u w:val="none" w:color="auto"/>
                <w:lang w:val="en-US"/>
              </w:rPr>
              <w:t>气质量标准》（GB3095-2012）及其</w:t>
            </w:r>
            <w:r>
              <w:rPr>
                <w:rFonts w:hint="default" w:ascii="Times New Roman" w:hAnsi="Times New Roman" w:eastAsia="宋体" w:cs="Times New Roman"/>
                <w:color w:val="000000"/>
                <w:spacing w:val="11"/>
                <w:position w:val="0"/>
                <w:sz w:val="24"/>
                <w:szCs w:val="24"/>
                <w:highlight w:val="none"/>
                <w:u w:val="none" w:color="auto"/>
                <w:lang w:val="en-US" w:eastAsia="zh-CN"/>
              </w:rPr>
              <w:t>2018年</w:t>
            </w:r>
            <w:r>
              <w:rPr>
                <w:rFonts w:hint="default" w:ascii="Times New Roman" w:hAnsi="Times New Roman" w:eastAsia="宋体" w:cs="Times New Roman"/>
                <w:color w:val="000000"/>
                <w:spacing w:val="11"/>
                <w:position w:val="0"/>
                <w:sz w:val="24"/>
                <w:szCs w:val="24"/>
                <w:highlight w:val="none"/>
                <w:u w:val="none" w:color="auto"/>
                <w:lang w:val="en-US"/>
              </w:rPr>
              <w:t>修改单二级标准要求，故环境空气为达标区</w:t>
            </w:r>
            <w:r>
              <w:rPr>
                <w:rFonts w:hint="default" w:ascii="Times New Roman" w:hAnsi="Times New Roman" w:eastAsia="宋体" w:cs="Times New Roman"/>
                <w:color w:val="auto"/>
                <w:spacing w:val="11"/>
                <w:position w:val="0"/>
                <w:sz w:val="24"/>
                <w:szCs w:val="24"/>
                <w:highlight w:val="none"/>
                <w:lang w:val="en-US"/>
              </w:rPr>
              <w:t>。</w:t>
            </w:r>
          </w:p>
          <w:p w14:paraId="238C88B9">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outlineLvl w:val="2"/>
              <w:rPr>
                <w:rFonts w:hint="default" w:ascii="Times New Roman" w:hAnsi="Times New Roman" w:eastAsia="宋体" w:cs="Times New Roman"/>
                <w:b w:val="0"/>
                <w:bCs w:val="0"/>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b w:val="0"/>
                <w:bCs w:val="0"/>
                <w:color w:val="auto"/>
                <w:spacing w:val="11"/>
                <w:kern w:val="2"/>
                <w:position w:val="0"/>
                <w:sz w:val="24"/>
                <w:szCs w:val="24"/>
                <w:highlight w:val="none"/>
                <w:u w:val="none" w:color="auto"/>
                <w:lang w:val="en-US" w:eastAsia="zh-CN" w:bidi="ar-SA"/>
              </w:rPr>
              <w:t>（2）特征因子监测数据</w:t>
            </w:r>
          </w:p>
          <w:p w14:paraId="1C0A6D93">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outlineLvl w:val="2"/>
              <w:rPr>
                <w:rFonts w:hint="default" w:ascii="Times New Roman" w:hAnsi="Times New Roman" w:eastAsia="宋体" w:cs="Times New Roman"/>
                <w:b w:val="0"/>
                <w:bCs w:val="0"/>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b w:val="0"/>
                <w:bCs w:val="0"/>
                <w:color w:val="auto"/>
                <w:spacing w:val="11"/>
                <w:kern w:val="2"/>
                <w:position w:val="0"/>
                <w:sz w:val="24"/>
                <w:szCs w:val="24"/>
                <w:highlight w:val="none"/>
                <w:u w:val="none" w:color="auto"/>
                <w:lang w:val="en-US" w:eastAsia="zh-CN" w:bidi="ar-SA"/>
              </w:rPr>
              <w:t>本次评价委托湖南中额环保科技有限公司于2025年</w:t>
            </w:r>
            <w:r>
              <w:rPr>
                <w:rFonts w:hint="eastAsia" w:cs="Times New Roman"/>
                <w:b w:val="0"/>
                <w:bCs w:val="0"/>
                <w:color w:val="auto"/>
                <w:spacing w:val="11"/>
                <w:kern w:val="2"/>
                <w:position w:val="0"/>
                <w:sz w:val="24"/>
                <w:szCs w:val="24"/>
                <w:highlight w:val="none"/>
                <w:u w:val="none" w:color="auto"/>
                <w:lang w:val="en-US" w:eastAsia="zh-CN" w:bidi="ar-SA"/>
              </w:rPr>
              <w:t>5</w:t>
            </w:r>
            <w:r>
              <w:rPr>
                <w:rFonts w:hint="default" w:ascii="Times New Roman" w:hAnsi="Times New Roman" w:eastAsia="宋体" w:cs="Times New Roman"/>
                <w:b w:val="0"/>
                <w:bCs w:val="0"/>
                <w:color w:val="auto"/>
                <w:spacing w:val="11"/>
                <w:kern w:val="2"/>
                <w:position w:val="0"/>
                <w:sz w:val="24"/>
                <w:szCs w:val="24"/>
                <w:highlight w:val="none"/>
                <w:u w:val="none" w:color="auto"/>
                <w:lang w:val="en-US" w:eastAsia="zh-CN" w:bidi="ar-SA"/>
              </w:rPr>
              <w:t>月</w:t>
            </w:r>
            <w:r>
              <w:rPr>
                <w:rFonts w:hint="eastAsia" w:cs="Times New Roman"/>
                <w:b w:val="0"/>
                <w:bCs w:val="0"/>
                <w:color w:val="auto"/>
                <w:spacing w:val="11"/>
                <w:kern w:val="2"/>
                <w:position w:val="0"/>
                <w:sz w:val="24"/>
                <w:szCs w:val="24"/>
                <w:highlight w:val="none"/>
                <w:u w:val="none" w:color="auto"/>
                <w:lang w:val="en-US" w:eastAsia="zh-CN" w:bidi="ar-SA"/>
              </w:rPr>
              <w:t>18</w:t>
            </w:r>
            <w:r>
              <w:rPr>
                <w:rFonts w:hint="default" w:ascii="Times New Roman" w:hAnsi="Times New Roman" w:eastAsia="宋体" w:cs="Times New Roman"/>
                <w:b w:val="0"/>
                <w:bCs w:val="0"/>
                <w:color w:val="auto"/>
                <w:spacing w:val="11"/>
                <w:kern w:val="2"/>
                <w:position w:val="0"/>
                <w:sz w:val="24"/>
                <w:szCs w:val="24"/>
                <w:highlight w:val="none"/>
                <w:u w:val="none" w:color="auto"/>
                <w:lang w:val="en-US" w:eastAsia="zh-CN" w:bidi="ar-SA"/>
              </w:rPr>
              <w:t>日-</w:t>
            </w:r>
            <w:r>
              <w:rPr>
                <w:rFonts w:hint="eastAsia" w:cs="Times New Roman"/>
                <w:b w:val="0"/>
                <w:bCs w:val="0"/>
                <w:color w:val="auto"/>
                <w:spacing w:val="11"/>
                <w:kern w:val="2"/>
                <w:position w:val="0"/>
                <w:sz w:val="24"/>
                <w:szCs w:val="24"/>
                <w:highlight w:val="none"/>
                <w:u w:val="none" w:color="auto"/>
                <w:lang w:val="en-US" w:eastAsia="zh-CN" w:bidi="ar-SA"/>
              </w:rPr>
              <w:t>5</w:t>
            </w:r>
            <w:r>
              <w:rPr>
                <w:rFonts w:hint="default" w:ascii="Times New Roman" w:hAnsi="Times New Roman" w:eastAsia="宋体" w:cs="Times New Roman"/>
                <w:b w:val="0"/>
                <w:bCs w:val="0"/>
                <w:color w:val="auto"/>
                <w:spacing w:val="11"/>
                <w:kern w:val="2"/>
                <w:position w:val="0"/>
                <w:sz w:val="24"/>
                <w:szCs w:val="24"/>
                <w:highlight w:val="none"/>
                <w:u w:val="none" w:color="auto"/>
                <w:lang w:val="en-US" w:eastAsia="zh-CN" w:bidi="ar-SA"/>
              </w:rPr>
              <w:t>月</w:t>
            </w:r>
            <w:r>
              <w:rPr>
                <w:rFonts w:hint="eastAsia" w:cs="Times New Roman"/>
                <w:b w:val="0"/>
                <w:bCs w:val="0"/>
                <w:color w:val="auto"/>
                <w:spacing w:val="11"/>
                <w:kern w:val="2"/>
                <w:position w:val="0"/>
                <w:sz w:val="24"/>
                <w:szCs w:val="24"/>
                <w:highlight w:val="none"/>
                <w:u w:val="none" w:color="auto"/>
                <w:lang w:val="en-US" w:eastAsia="zh-CN" w:bidi="ar-SA"/>
              </w:rPr>
              <w:t>20</w:t>
            </w:r>
            <w:r>
              <w:rPr>
                <w:rFonts w:hint="default" w:ascii="Times New Roman" w:hAnsi="Times New Roman" w:eastAsia="宋体" w:cs="Times New Roman"/>
                <w:b w:val="0"/>
                <w:bCs w:val="0"/>
                <w:color w:val="auto"/>
                <w:spacing w:val="11"/>
                <w:kern w:val="2"/>
                <w:position w:val="0"/>
                <w:sz w:val="24"/>
                <w:szCs w:val="24"/>
                <w:highlight w:val="none"/>
                <w:u w:val="none" w:color="auto"/>
                <w:lang w:val="en-US" w:eastAsia="zh-CN" w:bidi="ar-SA"/>
              </w:rPr>
              <w:t>日在项目区域对特征污染因子TSP进行了环境空气质量现状监测，监测结果如下表所示</w:t>
            </w:r>
            <w:r>
              <w:rPr>
                <w:rFonts w:hint="eastAsia" w:cs="Times New Roman"/>
                <w:b w:val="0"/>
                <w:bCs w:val="0"/>
                <w:color w:val="auto"/>
                <w:spacing w:val="11"/>
                <w:kern w:val="2"/>
                <w:position w:val="0"/>
                <w:sz w:val="24"/>
                <w:szCs w:val="24"/>
                <w:highlight w:val="none"/>
                <w:u w:val="none" w:color="auto"/>
                <w:lang w:val="en-US" w:eastAsia="zh-CN" w:bidi="ar-SA"/>
              </w:rPr>
              <w:t>：</w:t>
            </w:r>
          </w:p>
          <w:p w14:paraId="22C46D79">
            <w:pPr>
              <w:adjustRightInd w:val="0"/>
              <w:snapToGrid w:val="0"/>
              <w:spacing w:line="240" w:lineRule="auto"/>
              <w:ind w:firstLine="0" w:firstLineChars="0"/>
              <w:jc w:val="center"/>
              <w:rPr>
                <w:rFonts w:hint="default" w:ascii="Times New Roman" w:hAnsi="Times New Roman" w:eastAsia="宋体" w:cs="Times New Roman"/>
                <w:b/>
                <w:bCs/>
                <w:caps w:val="0"/>
                <w:smallCaps w:val="0"/>
                <w:color w:val="auto"/>
                <w:spacing w:val="11"/>
                <w:kern w:val="21"/>
                <w:position w:val="0"/>
                <w:sz w:val="21"/>
                <w:szCs w:val="21"/>
                <w:highlight w:val="none"/>
                <w:shd w:val="clear" w:color="auto" w:fill="auto"/>
                <w:lang w:val="en-US" w:eastAsia="zh-CN"/>
              </w:rPr>
            </w:pPr>
            <w:r>
              <w:rPr>
                <w:rFonts w:hint="default" w:ascii="Times New Roman" w:hAnsi="Times New Roman" w:eastAsia="宋体" w:cs="Times New Roman"/>
                <w:b/>
                <w:bCs/>
                <w:caps w:val="0"/>
                <w:smallCaps w:val="0"/>
                <w:color w:val="auto"/>
                <w:spacing w:val="11"/>
                <w:kern w:val="21"/>
                <w:position w:val="0"/>
                <w:sz w:val="21"/>
                <w:szCs w:val="21"/>
                <w:highlight w:val="none"/>
                <w:shd w:val="clear" w:color="auto" w:fill="auto"/>
              </w:rPr>
              <w:t>表</w:t>
            </w:r>
            <w:r>
              <w:rPr>
                <w:rFonts w:hint="default" w:ascii="Times New Roman" w:hAnsi="Times New Roman" w:eastAsia="宋体" w:cs="Times New Roman"/>
                <w:b/>
                <w:bCs/>
                <w:caps w:val="0"/>
                <w:smallCaps w:val="0"/>
                <w:color w:val="auto"/>
                <w:spacing w:val="11"/>
                <w:kern w:val="21"/>
                <w:position w:val="0"/>
                <w:sz w:val="21"/>
                <w:szCs w:val="21"/>
                <w:highlight w:val="none"/>
                <w:shd w:val="clear" w:color="auto" w:fill="auto"/>
                <w:lang w:val="en-US" w:eastAsia="zh-CN"/>
              </w:rPr>
              <w:t>3-2</w:t>
            </w:r>
            <w:r>
              <w:rPr>
                <w:rFonts w:hint="default" w:ascii="Times New Roman" w:hAnsi="Times New Roman" w:eastAsia="宋体" w:cs="Times New Roman"/>
                <w:b/>
                <w:bCs/>
                <w:caps w:val="0"/>
                <w:smallCaps w:val="0"/>
                <w:color w:val="auto"/>
                <w:spacing w:val="11"/>
                <w:kern w:val="21"/>
                <w:position w:val="0"/>
                <w:sz w:val="21"/>
                <w:szCs w:val="21"/>
                <w:highlight w:val="none"/>
                <w:shd w:val="clear" w:color="auto" w:fill="auto"/>
              </w:rPr>
              <w:t xml:space="preserve"> </w:t>
            </w:r>
            <w:r>
              <w:rPr>
                <w:rFonts w:hint="default" w:ascii="Times New Roman" w:hAnsi="Times New Roman" w:eastAsia="宋体" w:cs="Times New Roman"/>
                <w:b/>
                <w:bCs/>
                <w:caps w:val="0"/>
                <w:smallCaps w:val="0"/>
                <w:color w:val="auto"/>
                <w:spacing w:val="11"/>
                <w:kern w:val="21"/>
                <w:position w:val="0"/>
                <w:sz w:val="21"/>
                <w:szCs w:val="21"/>
                <w:highlight w:val="none"/>
                <w:shd w:val="clear" w:color="auto" w:fill="auto"/>
                <w:lang w:val="en-US" w:eastAsia="zh-CN"/>
              </w:rPr>
              <w:t xml:space="preserve"> 环境空气</w:t>
            </w:r>
            <w:r>
              <w:rPr>
                <w:rFonts w:hint="eastAsia" w:cs="Times New Roman"/>
                <w:b/>
                <w:bCs/>
                <w:caps w:val="0"/>
                <w:smallCaps w:val="0"/>
                <w:color w:val="auto"/>
                <w:spacing w:val="11"/>
                <w:kern w:val="21"/>
                <w:position w:val="0"/>
                <w:sz w:val="21"/>
                <w:szCs w:val="21"/>
                <w:highlight w:val="none"/>
                <w:shd w:val="clear" w:color="auto" w:fill="auto"/>
                <w:lang w:val="en-US" w:eastAsia="zh-CN"/>
              </w:rPr>
              <w:t>检测</w:t>
            </w:r>
            <w:r>
              <w:rPr>
                <w:rFonts w:hint="default" w:ascii="Times New Roman" w:hAnsi="Times New Roman" w:eastAsia="宋体" w:cs="Times New Roman"/>
                <w:b/>
                <w:bCs/>
                <w:caps w:val="0"/>
                <w:smallCaps w:val="0"/>
                <w:color w:val="auto"/>
                <w:spacing w:val="11"/>
                <w:kern w:val="21"/>
                <w:position w:val="0"/>
                <w:sz w:val="21"/>
                <w:szCs w:val="21"/>
                <w:highlight w:val="none"/>
                <w:shd w:val="clear" w:color="auto" w:fill="auto"/>
                <w:lang w:val="en-US" w:eastAsia="zh-CN"/>
              </w:rPr>
              <w:t>结果</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1244"/>
              <w:gridCol w:w="1992"/>
              <w:gridCol w:w="1271"/>
              <w:gridCol w:w="1271"/>
              <w:gridCol w:w="1255"/>
            </w:tblGrid>
            <w:tr w14:paraId="34800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6" w:type="pct"/>
                  <w:vMerge w:val="restart"/>
                  <w:tcBorders>
                    <w:tl2br w:val="nil"/>
                    <w:tr2bl w:val="nil"/>
                  </w:tcBorders>
                  <w:vAlign w:val="center"/>
                </w:tcPr>
                <w:p w14:paraId="53320E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lang w:val="en-US" w:eastAsia="zh-CN"/>
                    </w:rPr>
                  </w:pPr>
                  <w:r>
                    <w:rPr>
                      <w:rFonts w:hint="eastAsia" w:cs="Times New Roman"/>
                      <w:color w:val="auto"/>
                      <w:spacing w:val="11"/>
                      <w:position w:val="0"/>
                      <w:sz w:val="21"/>
                      <w:szCs w:val="21"/>
                      <w:highlight w:val="none"/>
                      <w:lang w:val="en-US" w:eastAsia="zh-CN"/>
                    </w:rPr>
                    <w:t>点位名称</w:t>
                  </w:r>
                </w:p>
              </w:tc>
              <w:tc>
                <w:tcPr>
                  <w:tcW w:w="756" w:type="pct"/>
                  <w:vMerge w:val="restart"/>
                  <w:tcBorders>
                    <w:tl2br w:val="nil"/>
                    <w:tr2bl w:val="nil"/>
                  </w:tcBorders>
                  <w:vAlign w:val="center"/>
                </w:tcPr>
                <w:p w14:paraId="5F36EB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lang w:val="en-US" w:eastAsia="zh-CN"/>
                    </w:rPr>
                  </w:pPr>
                  <w:r>
                    <w:rPr>
                      <w:rFonts w:hint="eastAsia" w:cs="Times New Roman"/>
                      <w:color w:val="auto"/>
                      <w:spacing w:val="11"/>
                      <w:position w:val="0"/>
                      <w:sz w:val="21"/>
                      <w:szCs w:val="21"/>
                      <w:highlight w:val="none"/>
                      <w:lang w:val="en-US" w:eastAsia="zh-CN"/>
                    </w:rPr>
                    <w:t>检测项目</w:t>
                  </w:r>
                </w:p>
              </w:tc>
              <w:tc>
                <w:tcPr>
                  <w:tcW w:w="3486" w:type="pct"/>
                  <w:gridSpan w:val="4"/>
                  <w:tcBorders>
                    <w:tl2br w:val="nil"/>
                    <w:tr2bl w:val="nil"/>
                  </w:tcBorders>
                  <w:vAlign w:val="center"/>
                </w:tcPr>
                <w:p w14:paraId="67014E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lang w:val="en-US" w:eastAsia="zh-CN"/>
                    </w:rPr>
                  </w:pPr>
                  <w:r>
                    <w:rPr>
                      <w:rFonts w:hint="eastAsia" w:cs="Times New Roman"/>
                      <w:color w:val="auto"/>
                      <w:spacing w:val="11"/>
                      <w:position w:val="0"/>
                      <w:sz w:val="21"/>
                      <w:szCs w:val="21"/>
                      <w:highlight w:val="none"/>
                      <w:lang w:val="en-US" w:eastAsia="zh-CN"/>
                    </w:rPr>
                    <w:t>采样日期及检测结果（单位：</w:t>
                  </w:r>
                  <w:r>
                    <w:rPr>
                      <w:rFonts w:hint="default" w:ascii="Times New Roman" w:hAnsi="Times New Roman" w:eastAsia="宋体" w:cs="Times New Roman"/>
                      <w:color w:val="auto"/>
                      <w:spacing w:val="11"/>
                      <w:position w:val="0"/>
                      <w:sz w:val="21"/>
                      <w:szCs w:val="21"/>
                      <w:highlight w:val="none"/>
                      <w:lang w:val="en-US" w:eastAsia="zh-CN"/>
                    </w:rPr>
                    <w:t>mg/m</w:t>
                  </w:r>
                  <w:r>
                    <w:rPr>
                      <w:rFonts w:hint="default" w:ascii="Times New Roman" w:hAnsi="Times New Roman" w:eastAsia="宋体" w:cs="Times New Roman"/>
                      <w:color w:val="auto"/>
                      <w:spacing w:val="11"/>
                      <w:position w:val="0"/>
                      <w:sz w:val="21"/>
                      <w:szCs w:val="21"/>
                      <w:highlight w:val="none"/>
                      <w:vertAlign w:val="superscript"/>
                      <w:lang w:val="en-US" w:eastAsia="zh-CN"/>
                    </w:rPr>
                    <w:t>3</w:t>
                  </w:r>
                  <w:r>
                    <w:rPr>
                      <w:rFonts w:hint="eastAsia" w:cs="Times New Roman"/>
                      <w:color w:val="auto"/>
                      <w:spacing w:val="11"/>
                      <w:position w:val="0"/>
                      <w:sz w:val="21"/>
                      <w:szCs w:val="21"/>
                      <w:highlight w:val="none"/>
                      <w:lang w:val="en-US" w:eastAsia="zh-CN"/>
                    </w:rPr>
                    <w:t>）</w:t>
                  </w:r>
                </w:p>
              </w:tc>
            </w:tr>
            <w:tr w14:paraId="54D35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6" w:type="pct"/>
                  <w:vMerge w:val="continue"/>
                  <w:tcBorders>
                    <w:tl2br w:val="nil"/>
                    <w:tr2bl w:val="nil"/>
                  </w:tcBorders>
                  <w:vAlign w:val="center"/>
                </w:tcPr>
                <w:p w14:paraId="7D2BE1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lang w:val="en-US" w:eastAsia="zh-CN"/>
                    </w:rPr>
                  </w:pPr>
                </w:p>
              </w:tc>
              <w:tc>
                <w:tcPr>
                  <w:tcW w:w="756" w:type="pct"/>
                  <w:vMerge w:val="continue"/>
                  <w:tcBorders>
                    <w:tl2br w:val="nil"/>
                    <w:tr2bl w:val="nil"/>
                  </w:tcBorders>
                  <w:vAlign w:val="center"/>
                </w:tcPr>
                <w:p w14:paraId="5832D4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lang w:val="en-US" w:eastAsia="zh-CN"/>
                    </w:rPr>
                  </w:pPr>
                </w:p>
              </w:tc>
              <w:tc>
                <w:tcPr>
                  <w:tcW w:w="1208" w:type="pct"/>
                  <w:tcBorders>
                    <w:tl2br w:val="nil"/>
                    <w:tr2bl w:val="nil"/>
                  </w:tcBorders>
                  <w:vAlign w:val="center"/>
                </w:tcPr>
                <w:p w14:paraId="36CC63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lang w:val="en-US" w:eastAsia="zh-CN"/>
                    </w:rPr>
                  </w:pPr>
                  <w:r>
                    <w:rPr>
                      <w:rFonts w:hint="eastAsia" w:cs="Times New Roman"/>
                      <w:color w:val="auto"/>
                      <w:spacing w:val="11"/>
                      <w:position w:val="0"/>
                      <w:sz w:val="21"/>
                      <w:szCs w:val="21"/>
                      <w:highlight w:val="none"/>
                      <w:lang w:val="en-US" w:eastAsia="zh-CN"/>
                    </w:rPr>
                    <w:t>2025.05.18</w:t>
                  </w:r>
                </w:p>
              </w:tc>
              <w:tc>
                <w:tcPr>
                  <w:tcW w:w="758" w:type="pct"/>
                  <w:tcBorders>
                    <w:tl2br w:val="nil"/>
                    <w:tr2bl w:val="nil"/>
                  </w:tcBorders>
                  <w:vAlign w:val="center"/>
                </w:tcPr>
                <w:p w14:paraId="7C7BF3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lang w:val="en-US" w:eastAsia="zh-CN"/>
                    </w:rPr>
                  </w:pPr>
                  <w:r>
                    <w:rPr>
                      <w:rFonts w:hint="eastAsia" w:cs="Times New Roman"/>
                      <w:color w:val="auto"/>
                      <w:spacing w:val="11"/>
                      <w:position w:val="0"/>
                      <w:sz w:val="21"/>
                      <w:szCs w:val="21"/>
                      <w:highlight w:val="none"/>
                      <w:lang w:val="en-US" w:eastAsia="zh-CN"/>
                    </w:rPr>
                    <w:t>2025.05.19</w:t>
                  </w:r>
                </w:p>
              </w:tc>
              <w:tc>
                <w:tcPr>
                  <w:tcW w:w="758" w:type="pct"/>
                  <w:tcBorders>
                    <w:tl2br w:val="nil"/>
                    <w:tr2bl w:val="nil"/>
                  </w:tcBorders>
                  <w:vAlign w:val="center"/>
                </w:tcPr>
                <w:p w14:paraId="70E240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lang w:val="en-US" w:eastAsia="zh-CN"/>
                    </w:rPr>
                  </w:pPr>
                  <w:r>
                    <w:rPr>
                      <w:rFonts w:hint="eastAsia" w:cs="Times New Roman"/>
                      <w:color w:val="auto"/>
                      <w:spacing w:val="11"/>
                      <w:position w:val="0"/>
                      <w:sz w:val="21"/>
                      <w:szCs w:val="21"/>
                      <w:highlight w:val="none"/>
                      <w:lang w:val="en-US" w:eastAsia="zh-CN"/>
                    </w:rPr>
                    <w:t>2025.05.20</w:t>
                  </w:r>
                </w:p>
              </w:tc>
              <w:tc>
                <w:tcPr>
                  <w:tcW w:w="762" w:type="pct"/>
                  <w:tcBorders>
                    <w:tl2br w:val="nil"/>
                    <w:tr2bl w:val="nil"/>
                  </w:tcBorders>
                  <w:vAlign w:val="center"/>
                </w:tcPr>
                <w:p w14:paraId="42D710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lang w:val="en-US" w:eastAsia="zh-CN"/>
                    </w:rPr>
                  </w:pPr>
                  <w:r>
                    <w:rPr>
                      <w:rFonts w:hint="eastAsia" w:cs="Times New Roman"/>
                      <w:color w:val="auto"/>
                      <w:spacing w:val="11"/>
                      <w:position w:val="0"/>
                      <w:sz w:val="21"/>
                      <w:szCs w:val="21"/>
                      <w:highlight w:val="none"/>
                      <w:lang w:val="en-US" w:eastAsia="zh-CN"/>
                    </w:rPr>
                    <w:t>限值</w:t>
                  </w:r>
                </w:p>
              </w:tc>
            </w:tr>
            <w:tr w14:paraId="3BFABA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6" w:type="pct"/>
                  <w:tcBorders>
                    <w:tl2br w:val="nil"/>
                    <w:tr2bl w:val="nil"/>
                  </w:tcBorders>
                  <w:vAlign w:val="center"/>
                </w:tcPr>
                <w:p w14:paraId="20DF3A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lang w:val="en-US" w:eastAsia="zh-CN"/>
                    </w:rPr>
                  </w:pPr>
                  <w:r>
                    <w:rPr>
                      <w:rFonts w:hint="eastAsia" w:cs="Times New Roman"/>
                      <w:color w:val="auto"/>
                      <w:spacing w:val="11"/>
                      <w:position w:val="0"/>
                      <w:sz w:val="21"/>
                      <w:szCs w:val="21"/>
                      <w:highlight w:val="none"/>
                      <w:lang w:val="en-US" w:eastAsia="zh-CN"/>
                    </w:rPr>
                    <w:t>G1项目区域边界下风向</w:t>
                  </w:r>
                </w:p>
              </w:tc>
              <w:tc>
                <w:tcPr>
                  <w:tcW w:w="756" w:type="pct"/>
                  <w:tcBorders>
                    <w:tl2br w:val="nil"/>
                    <w:tr2bl w:val="nil"/>
                  </w:tcBorders>
                  <w:vAlign w:val="center"/>
                </w:tcPr>
                <w:p w14:paraId="3815EE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lang w:val="en-US" w:eastAsia="zh-CN"/>
                    </w:rPr>
                  </w:pPr>
                  <w:r>
                    <w:rPr>
                      <w:rFonts w:hint="eastAsia" w:cs="Times New Roman"/>
                      <w:color w:val="auto"/>
                      <w:spacing w:val="11"/>
                      <w:position w:val="0"/>
                      <w:sz w:val="21"/>
                      <w:szCs w:val="21"/>
                      <w:highlight w:val="none"/>
                      <w:lang w:val="en-US" w:eastAsia="zh-CN"/>
                    </w:rPr>
                    <w:t>TSP</w:t>
                  </w:r>
                </w:p>
              </w:tc>
              <w:tc>
                <w:tcPr>
                  <w:tcW w:w="1208" w:type="pct"/>
                  <w:tcBorders>
                    <w:tl2br w:val="nil"/>
                    <w:tr2bl w:val="nil"/>
                  </w:tcBorders>
                  <w:vAlign w:val="center"/>
                </w:tcPr>
                <w:p w14:paraId="545279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lang w:val="en-US" w:eastAsia="zh-CN"/>
                    </w:rPr>
                  </w:pPr>
                  <w:r>
                    <w:rPr>
                      <w:rFonts w:hint="eastAsia" w:cs="Times New Roman"/>
                      <w:color w:val="auto"/>
                      <w:spacing w:val="11"/>
                      <w:position w:val="0"/>
                      <w:sz w:val="21"/>
                      <w:szCs w:val="21"/>
                      <w:highlight w:val="none"/>
                      <w:lang w:val="en-US" w:eastAsia="zh-CN"/>
                    </w:rPr>
                    <w:t>0.110</w:t>
                  </w:r>
                </w:p>
              </w:tc>
              <w:tc>
                <w:tcPr>
                  <w:tcW w:w="758" w:type="pct"/>
                  <w:tcBorders>
                    <w:tl2br w:val="nil"/>
                    <w:tr2bl w:val="nil"/>
                  </w:tcBorders>
                  <w:vAlign w:val="center"/>
                </w:tcPr>
                <w:p w14:paraId="75937E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lang w:val="en-US" w:eastAsia="zh-CN"/>
                    </w:rPr>
                  </w:pPr>
                  <w:r>
                    <w:rPr>
                      <w:rFonts w:hint="eastAsia" w:cs="Times New Roman"/>
                      <w:color w:val="auto"/>
                      <w:spacing w:val="11"/>
                      <w:position w:val="0"/>
                      <w:sz w:val="21"/>
                      <w:szCs w:val="21"/>
                      <w:highlight w:val="none"/>
                      <w:lang w:val="en-US" w:eastAsia="zh-CN"/>
                    </w:rPr>
                    <w:t>0.099</w:t>
                  </w:r>
                </w:p>
              </w:tc>
              <w:tc>
                <w:tcPr>
                  <w:tcW w:w="758" w:type="pct"/>
                  <w:tcBorders>
                    <w:tl2br w:val="nil"/>
                    <w:tr2bl w:val="nil"/>
                  </w:tcBorders>
                  <w:vAlign w:val="center"/>
                </w:tcPr>
                <w:p w14:paraId="635054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lang w:val="en-US" w:eastAsia="zh-CN"/>
                    </w:rPr>
                  </w:pPr>
                  <w:r>
                    <w:rPr>
                      <w:rFonts w:hint="eastAsia" w:cs="Times New Roman"/>
                      <w:color w:val="auto"/>
                      <w:spacing w:val="11"/>
                      <w:position w:val="0"/>
                      <w:sz w:val="21"/>
                      <w:szCs w:val="21"/>
                      <w:highlight w:val="none"/>
                      <w:lang w:val="en-US" w:eastAsia="zh-CN"/>
                    </w:rPr>
                    <w:t>0.095</w:t>
                  </w:r>
                </w:p>
              </w:tc>
              <w:tc>
                <w:tcPr>
                  <w:tcW w:w="762" w:type="pct"/>
                  <w:tcBorders>
                    <w:tl2br w:val="nil"/>
                    <w:tr2bl w:val="nil"/>
                  </w:tcBorders>
                  <w:vAlign w:val="center"/>
                </w:tcPr>
                <w:p w14:paraId="526D0B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lang w:val="en-US" w:eastAsia="zh-CN"/>
                    </w:rPr>
                  </w:pPr>
                  <w:r>
                    <w:rPr>
                      <w:rFonts w:hint="eastAsia" w:cs="Times New Roman"/>
                      <w:color w:val="auto"/>
                      <w:spacing w:val="11"/>
                      <w:position w:val="0"/>
                      <w:sz w:val="21"/>
                      <w:szCs w:val="21"/>
                      <w:highlight w:val="none"/>
                      <w:lang w:val="en-US" w:eastAsia="zh-CN"/>
                    </w:rPr>
                    <w:t>0.3</w:t>
                  </w:r>
                </w:p>
              </w:tc>
            </w:tr>
            <w:tr w14:paraId="46B18F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6" w:type="pct"/>
                  <w:tcBorders>
                    <w:tl2br w:val="nil"/>
                    <w:tr2bl w:val="nil"/>
                  </w:tcBorders>
                  <w:vAlign w:val="center"/>
                </w:tcPr>
                <w:p w14:paraId="578B05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lang w:val="en-US" w:eastAsia="zh-CN"/>
                    </w:rPr>
                  </w:pPr>
                  <w:r>
                    <w:rPr>
                      <w:rFonts w:hint="eastAsia" w:cs="Times New Roman"/>
                      <w:color w:val="auto"/>
                      <w:spacing w:val="11"/>
                      <w:position w:val="0"/>
                      <w:sz w:val="21"/>
                      <w:szCs w:val="21"/>
                      <w:highlight w:val="none"/>
                      <w:lang w:val="en-US" w:eastAsia="zh-CN"/>
                    </w:rPr>
                    <w:t>备注</w:t>
                  </w:r>
                </w:p>
              </w:tc>
              <w:tc>
                <w:tcPr>
                  <w:tcW w:w="4243" w:type="pct"/>
                  <w:gridSpan w:val="5"/>
                  <w:tcBorders>
                    <w:tl2br w:val="nil"/>
                    <w:tr2bl w:val="nil"/>
                  </w:tcBorders>
                  <w:vAlign w:val="center"/>
                </w:tcPr>
                <w:p w14:paraId="31D6D1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lang w:val="en-US" w:eastAsia="zh-CN"/>
                    </w:rPr>
                  </w:pPr>
                  <w:r>
                    <w:rPr>
                      <w:rFonts w:hint="eastAsia" w:cs="Times New Roman"/>
                      <w:color w:val="auto"/>
                      <w:spacing w:val="11"/>
                      <w:position w:val="0"/>
                      <w:sz w:val="21"/>
                      <w:szCs w:val="21"/>
                      <w:highlight w:val="none"/>
                      <w:lang w:val="en-US" w:eastAsia="zh-CN"/>
                    </w:rPr>
                    <w:t>执行</w:t>
                  </w:r>
                  <w:r>
                    <w:rPr>
                      <w:rFonts w:hint="default" w:ascii="Times New Roman" w:hAnsi="Times New Roman" w:eastAsia="宋体" w:cs="Times New Roman"/>
                      <w:b w:val="0"/>
                      <w:bCs w:val="0"/>
                      <w:color w:val="auto"/>
                      <w:spacing w:val="11"/>
                      <w:kern w:val="2"/>
                      <w:position w:val="0"/>
                      <w:sz w:val="24"/>
                      <w:szCs w:val="22"/>
                      <w:highlight w:val="none"/>
                      <w:u w:val="none" w:color="auto"/>
                      <w:lang w:val="en-US" w:eastAsia="zh-CN" w:bidi="ar-SA"/>
                    </w:rPr>
                    <w:t>《环境空气质量标准》（GB3095-2012）</w:t>
                  </w:r>
                  <w:r>
                    <w:rPr>
                      <w:rFonts w:hint="eastAsia" w:cs="Times New Roman"/>
                      <w:b w:val="0"/>
                      <w:bCs w:val="0"/>
                      <w:color w:val="auto"/>
                      <w:spacing w:val="11"/>
                      <w:kern w:val="2"/>
                      <w:position w:val="0"/>
                      <w:sz w:val="24"/>
                      <w:szCs w:val="22"/>
                      <w:highlight w:val="none"/>
                      <w:u w:val="none" w:color="auto"/>
                      <w:lang w:val="en-US" w:eastAsia="zh-CN" w:bidi="ar-SA"/>
                    </w:rPr>
                    <w:t>（含2018年修改单）中表2的</w:t>
                  </w:r>
                  <w:r>
                    <w:rPr>
                      <w:rFonts w:hint="default" w:ascii="Times New Roman" w:hAnsi="Times New Roman" w:eastAsia="宋体" w:cs="Times New Roman"/>
                      <w:b w:val="0"/>
                      <w:bCs w:val="0"/>
                      <w:color w:val="auto"/>
                      <w:spacing w:val="11"/>
                      <w:kern w:val="2"/>
                      <w:position w:val="0"/>
                      <w:sz w:val="24"/>
                      <w:szCs w:val="22"/>
                      <w:highlight w:val="none"/>
                      <w:u w:val="none" w:color="auto"/>
                      <w:lang w:val="en-US" w:eastAsia="zh-CN" w:bidi="ar-SA"/>
                    </w:rPr>
                    <w:t>二级标准</w:t>
                  </w:r>
                  <w:r>
                    <w:rPr>
                      <w:rFonts w:hint="eastAsia" w:cs="Times New Roman"/>
                      <w:b w:val="0"/>
                      <w:bCs w:val="0"/>
                      <w:color w:val="auto"/>
                      <w:spacing w:val="11"/>
                      <w:kern w:val="2"/>
                      <w:position w:val="0"/>
                      <w:sz w:val="24"/>
                      <w:szCs w:val="22"/>
                      <w:highlight w:val="none"/>
                      <w:u w:val="none" w:color="auto"/>
                      <w:lang w:val="en-US" w:eastAsia="zh-CN" w:bidi="ar-SA"/>
                    </w:rPr>
                    <w:t>浓度限值</w:t>
                  </w:r>
                  <w:r>
                    <w:rPr>
                      <w:rFonts w:hint="default" w:ascii="Times New Roman" w:hAnsi="Times New Roman" w:eastAsia="宋体" w:cs="Times New Roman"/>
                      <w:b w:val="0"/>
                      <w:bCs w:val="0"/>
                      <w:color w:val="auto"/>
                      <w:spacing w:val="11"/>
                      <w:kern w:val="2"/>
                      <w:position w:val="0"/>
                      <w:sz w:val="24"/>
                      <w:szCs w:val="22"/>
                      <w:highlight w:val="none"/>
                      <w:u w:val="none" w:color="auto"/>
                      <w:lang w:val="en-US" w:eastAsia="zh-CN" w:bidi="ar-SA"/>
                    </w:rPr>
                    <w:t>要求</w:t>
                  </w:r>
                </w:p>
              </w:tc>
            </w:tr>
          </w:tbl>
          <w:p w14:paraId="5D49EE41">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firstLine="524" w:firstLineChars="200"/>
              <w:textAlignment w:val="auto"/>
              <w:rPr>
                <w:rFonts w:hint="default" w:ascii="Times New Roman" w:hAnsi="Times New Roman" w:eastAsia="宋体" w:cs="Times New Roman"/>
                <w:color w:val="000000"/>
                <w:spacing w:val="11"/>
                <w:position w:val="0"/>
                <w:sz w:val="24"/>
                <w:szCs w:val="24"/>
                <w:highlight w:val="none"/>
                <w:lang w:val="en-US"/>
              </w:rPr>
            </w:pPr>
            <w:r>
              <w:rPr>
                <w:rFonts w:hint="default" w:ascii="Times New Roman" w:hAnsi="Times New Roman" w:eastAsia="宋体" w:cs="Times New Roman"/>
                <w:b w:val="0"/>
                <w:bCs w:val="0"/>
                <w:color w:val="auto"/>
                <w:spacing w:val="11"/>
                <w:kern w:val="2"/>
                <w:position w:val="0"/>
                <w:sz w:val="24"/>
                <w:szCs w:val="22"/>
                <w:highlight w:val="none"/>
                <w:u w:val="none" w:color="auto"/>
                <w:lang w:val="en-US" w:eastAsia="zh-CN" w:bidi="ar-SA"/>
              </w:rPr>
              <w:t>根据上述内容可知，项目所在区域 TSP 环境质量浓度符合《环境空气质量标准》（GB3095-2012）（含2018年修改单）中表2的二级标准浓度限值要求。</w:t>
            </w:r>
          </w:p>
          <w:p w14:paraId="603C03EB">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outlineLvl w:val="2"/>
              <w:rPr>
                <w:rFonts w:hint="default" w:ascii="Times New Roman" w:hAnsi="Times New Roman" w:eastAsia="宋体" w:cs="Times New Roman"/>
                <w:b/>
                <w:bCs/>
                <w:color w:val="000000"/>
                <w:spacing w:val="11"/>
                <w:kern w:val="2"/>
                <w:position w:val="0"/>
                <w:sz w:val="24"/>
                <w:szCs w:val="22"/>
                <w:highlight w:val="none"/>
                <w:u w:val="none" w:color="auto"/>
                <w:lang w:val="en-US" w:eastAsia="zh-CN" w:bidi="ar-SA"/>
              </w:rPr>
            </w:pPr>
            <w:r>
              <w:rPr>
                <w:rFonts w:hint="default" w:ascii="Times New Roman" w:hAnsi="Times New Roman" w:eastAsia="宋体" w:cs="Times New Roman"/>
                <w:b/>
                <w:bCs/>
                <w:color w:val="000000"/>
                <w:spacing w:val="11"/>
                <w:kern w:val="2"/>
                <w:position w:val="0"/>
                <w:sz w:val="24"/>
                <w:szCs w:val="22"/>
                <w:highlight w:val="none"/>
                <w:u w:val="none" w:color="auto"/>
                <w:lang w:val="en-US" w:eastAsia="zh-CN" w:bidi="ar-SA"/>
              </w:rPr>
              <w:t>2、地表水环境质量现状</w:t>
            </w:r>
          </w:p>
          <w:p w14:paraId="332B45A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524" w:firstLineChars="200"/>
              <w:rPr>
                <w:rFonts w:hint="default" w:ascii="Times New Roman" w:hAnsi="Times New Roman" w:eastAsia="宋体" w:cs="Times New Roman"/>
                <w:b/>
                <w:color w:val="000000"/>
                <w:spacing w:val="11"/>
                <w:position w:val="0"/>
                <w:sz w:val="24"/>
                <w:szCs w:val="21"/>
                <w:highlight w:val="none"/>
                <w:u w:val="none" w:color="auto"/>
                <w:lang w:val="en-US"/>
              </w:rPr>
            </w:pPr>
            <w:r>
              <w:rPr>
                <w:rFonts w:hint="default" w:ascii="Times New Roman" w:hAnsi="Times New Roman" w:eastAsia="宋体" w:cs="Times New Roman"/>
                <w:color w:val="000000"/>
                <w:spacing w:val="11"/>
                <w:kern w:val="0"/>
                <w:position w:val="0"/>
                <w:sz w:val="24"/>
                <w:szCs w:val="24"/>
                <w:highlight w:val="none"/>
                <w:u w:val="none" w:color="auto"/>
              </w:rPr>
              <w:t>为了解项目附近地表水水质现状，本次评价地表水环境质量监测数据引用于永州市生态环境局发布的《关于202</w:t>
            </w:r>
            <w:r>
              <w:rPr>
                <w:rFonts w:hint="default" w:ascii="Times New Roman" w:hAnsi="Times New Roman" w:eastAsia="宋体" w:cs="Times New Roman"/>
                <w:color w:val="000000"/>
                <w:spacing w:val="11"/>
                <w:kern w:val="0"/>
                <w:position w:val="0"/>
                <w:sz w:val="24"/>
                <w:szCs w:val="24"/>
                <w:highlight w:val="none"/>
                <w:u w:val="none" w:color="auto"/>
                <w:lang w:val="en-US" w:eastAsia="zh-CN"/>
              </w:rPr>
              <w:t>4</w:t>
            </w:r>
            <w:r>
              <w:rPr>
                <w:rFonts w:hint="default" w:ascii="Times New Roman" w:hAnsi="Times New Roman" w:eastAsia="宋体" w:cs="Times New Roman"/>
                <w:color w:val="000000"/>
                <w:spacing w:val="11"/>
                <w:kern w:val="0"/>
                <w:position w:val="0"/>
                <w:sz w:val="24"/>
                <w:szCs w:val="24"/>
                <w:highlight w:val="none"/>
                <w:u w:val="none" w:color="auto"/>
              </w:rPr>
              <w:t>年12月份全市环境质量状况的通报》</w:t>
            </w:r>
            <w:r>
              <w:rPr>
                <w:rFonts w:hint="default" w:ascii="Times New Roman" w:hAnsi="Times New Roman" w:eastAsia="宋体" w:cs="Times New Roman"/>
                <w:color w:val="000000"/>
                <w:spacing w:val="11"/>
                <w:kern w:val="0"/>
                <w:position w:val="0"/>
                <w:sz w:val="24"/>
                <w:szCs w:val="24"/>
                <w:highlight w:val="none"/>
                <w:u w:val="none" w:color="auto"/>
                <w:lang w:eastAsia="zh-CN"/>
              </w:rPr>
              <w:t>（</w:t>
            </w:r>
            <w:r>
              <w:rPr>
                <w:rFonts w:hint="default" w:ascii="Times New Roman" w:hAnsi="Times New Roman" w:eastAsia="宋体" w:cs="Times New Roman"/>
                <w:color w:val="000000"/>
                <w:spacing w:val="11"/>
                <w:kern w:val="0"/>
                <w:position w:val="0"/>
                <w:sz w:val="24"/>
                <w:szCs w:val="24"/>
                <w:highlight w:val="none"/>
                <w:u w:val="none" w:color="auto"/>
                <w:lang w:val="en-US" w:eastAsia="zh-CN"/>
              </w:rPr>
              <w:t>永环函[2025]26号</w:t>
            </w:r>
            <w:r>
              <w:rPr>
                <w:rFonts w:hint="default" w:ascii="Times New Roman" w:hAnsi="Times New Roman" w:eastAsia="宋体" w:cs="Times New Roman"/>
                <w:color w:val="000000"/>
                <w:spacing w:val="11"/>
                <w:kern w:val="0"/>
                <w:position w:val="0"/>
                <w:sz w:val="24"/>
                <w:szCs w:val="24"/>
                <w:highlight w:val="none"/>
                <w:u w:val="none" w:color="auto"/>
                <w:lang w:eastAsia="zh-CN"/>
              </w:rPr>
              <w:t>）</w:t>
            </w:r>
            <w:r>
              <w:rPr>
                <w:rFonts w:hint="default" w:ascii="Times New Roman" w:hAnsi="Times New Roman" w:eastAsia="宋体" w:cs="Times New Roman"/>
                <w:color w:val="000000"/>
                <w:spacing w:val="11"/>
                <w:kern w:val="0"/>
                <w:position w:val="0"/>
                <w:sz w:val="24"/>
                <w:szCs w:val="24"/>
                <w:highlight w:val="none"/>
                <w:u w:val="none" w:color="auto"/>
                <w:lang w:val="en-US" w:eastAsia="zh-CN"/>
              </w:rPr>
              <w:t>中</w:t>
            </w:r>
            <w:r>
              <w:rPr>
                <w:rFonts w:hint="default" w:ascii="Times New Roman" w:hAnsi="Times New Roman" w:eastAsia="宋体" w:cs="Times New Roman"/>
                <w:color w:val="000000"/>
                <w:spacing w:val="11"/>
                <w:kern w:val="0"/>
                <w:position w:val="0"/>
                <w:sz w:val="24"/>
                <w:szCs w:val="24"/>
                <w:highlight w:val="none"/>
                <w:u w:val="none" w:color="auto"/>
              </w:rPr>
              <w:t>统计的环境监测结果，新田河大历县村监测断面与本项目</w:t>
            </w:r>
            <w:r>
              <w:rPr>
                <w:rFonts w:hint="default" w:ascii="Times New Roman" w:hAnsi="Times New Roman" w:eastAsia="宋体" w:cs="Times New Roman"/>
                <w:color w:val="000000"/>
                <w:spacing w:val="11"/>
                <w:kern w:val="0"/>
                <w:position w:val="0"/>
                <w:sz w:val="24"/>
                <w:szCs w:val="24"/>
                <w:highlight w:val="none"/>
                <w:u w:val="none" w:color="auto"/>
                <w:lang w:val="en-US" w:eastAsia="zh-CN"/>
              </w:rPr>
              <w:t>直线</w:t>
            </w:r>
            <w:r>
              <w:rPr>
                <w:rFonts w:hint="default" w:ascii="Times New Roman" w:hAnsi="Times New Roman" w:eastAsia="宋体" w:cs="Times New Roman"/>
                <w:color w:val="000000"/>
                <w:spacing w:val="11"/>
                <w:kern w:val="0"/>
                <w:position w:val="0"/>
                <w:sz w:val="24"/>
                <w:szCs w:val="24"/>
                <w:highlight w:val="none"/>
                <w:u w:val="none" w:color="auto"/>
              </w:rPr>
              <w:t>距离约</w:t>
            </w:r>
            <w:r>
              <w:rPr>
                <w:rFonts w:hint="default" w:ascii="Times New Roman" w:hAnsi="Times New Roman" w:eastAsia="宋体" w:cs="Times New Roman"/>
                <w:color w:val="000000"/>
                <w:spacing w:val="11"/>
                <w:kern w:val="0"/>
                <w:position w:val="0"/>
                <w:sz w:val="24"/>
                <w:szCs w:val="24"/>
                <w:highlight w:val="none"/>
                <w:u w:val="none" w:color="auto"/>
                <w:lang w:val="en-US" w:eastAsia="zh-CN"/>
              </w:rPr>
              <w:t>1.2</w:t>
            </w:r>
            <w:r>
              <w:rPr>
                <w:rFonts w:hint="default" w:ascii="Times New Roman" w:hAnsi="Times New Roman" w:eastAsia="宋体" w:cs="Times New Roman"/>
                <w:color w:val="000000"/>
                <w:spacing w:val="11"/>
                <w:kern w:val="0"/>
                <w:position w:val="0"/>
                <w:sz w:val="24"/>
                <w:szCs w:val="24"/>
                <w:highlight w:val="none"/>
                <w:u w:val="none" w:color="auto"/>
              </w:rPr>
              <w:t>km，能有效代表本项目周边水环境质量现状。具体水质情况详见下图。</w:t>
            </w:r>
            <w:r>
              <w:rPr>
                <w:rFonts w:hint="default" w:ascii="Times New Roman" w:hAnsi="Times New Roman" w:eastAsia="宋体" w:cs="Times New Roman"/>
                <w:color w:val="000000"/>
                <w:spacing w:val="11"/>
                <w:kern w:val="0"/>
                <w:position w:val="0"/>
                <w:sz w:val="24"/>
                <w:szCs w:val="24"/>
                <w:highlight w:val="none"/>
                <w:u w:val="none" w:color="auto"/>
                <w:lang w:val="en-US" w:eastAsia="zh-CN"/>
              </w:rPr>
              <w:t xml:space="preserve"> </w:t>
            </w:r>
          </w:p>
          <w:p w14:paraId="5F672CA7">
            <w:pPr>
              <w:kinsoku/>
              <w:wordWrap/>
              <w:overflowPunct/>
              <w:topLinePunct w:val="0"/>
              <w:autoSpaceDE/>
              <w:autoSpaceDN/>
              <w:bidi w:val="0"/>
              <w:adjustRightInd/>
              <w:snapToGrid w:val="0"/>
              <w:spacing w:before="0" w:after="0" w:line="240" w:lineRule="auto"/>
              <w:ind w:left="0" w:right="0" w:firstLine="0" w:firstLineChars="0"/>
              <w:jc w:val="center"/>
              <w:rPr>
                <w:rFonts w:hint="default" w:ascii="Times New Roman" w:hAnsi="Times New Roman" w:eastAsia="宋体" w:cs="Times New Roman"/>
                <w:b/>
                <w:bCs/>
                <w:color w:val="auto"/>
                <w:spacing w:val="11"/>
                <w:kern w:val="2"/>
                <w:position w:val="0"/>
                <w:sz w:val="24"/>
                <w:szCs w:val="24"/>
                <w:highlight w:val="none"/>
                <w:u w:val="none" w:color="auto"/>
                <w:lang w:val="en-US" w:bidi="ar-SA"/>
              </w:rPr>
            </w:pPr>
            <w:r>
              <w:rPr>
                <w:rFonts w:hint="default" w:ascii="Times New Roman" w:hAnsi="Times New Roman" w:eastAsia="宋体" w:cs="Times New Roman"/>
                <w:b/>
                <w:bCs/>
                <w:color w:val="auto"/>
                <w:spacing w:val="11"/>
                <w:kern w:val="2"/>
                <w:position w:val="0"/>
                <w:sz w:val="24"/>
                <w:szCs w:val="24"/>
                <w:highlight w:val="none"/>
                <w:u w:val="none" w:color="auto"/>
                <w:lang w:val="en-US" w:bidi="ar-SA"/>
              </w:rPr>
              <w:drawing>
                <wp:inline distT="0" distB="0" distL="114300" distR="114300">
                  <wp:extent cx="5245100" cy="1861820"/>
                  <wp:effectExtent l="0" t="0" r="1270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45100" cy="1861820"/>
                          </a:xfrm>
                          <a:prstGeom prst="rect">
                            <a:avLst/>
                          </a:prstGeom>
                          <a:noFill/>
                          <a:ln>
                            <a:noFill/>
                          </a:ln>
                        </pic:spPr>
                      </pic:pic>
                    </a:graphicData>
                  </a:graphic>
                </wp:inline>
              </w:drawing>
            </w:r>
          </w:p>
          <w:p w14:paraId="240AF4D1">
            <w:pPr>
              <w:adjustRightInd w:val="0"/>
              <w:snapToGrid w:val="0"/>
              <w:spacing w:line="360" w:lineRule="auto"/>
              <w:ind w:firstLine="0" w:firstLineChars="0"/>
              <w:jc w:val="center"/>
              <w:rPr>
                <w:rFonts w:hint="default" w:ascii="Times New Roman" w:hAnsi="Times New Roman" w:eastAsia="宋体" w:cs="Times New Roman"/>
                <w:color w:val="auto"/>
                <w:spacing w:val="11"/>
                <w:kern w:val="0"/>
                <w:position w:val="0"/>
                <w:sz w:val="24"/>
                <w:szCs w:val="24"/>
                <w:highlight w:val="none"/>
                <w:u w:val="none" w:color="auto"/>
              </w:rPr>
            </w:pPr>
            <w:r>
              <w:rPr>
                <w:rFonts w:hint="default" w:ascii="Times New Roman" w:hAnsi="Times New Roman" w:eastAsia="宋体" w:cs="Times New Roman"/>
                <w:b/>
                <w:bCs/>
                <w:color w:val="auto"/>
                <w:spacing w:val="11"/>
                <w:position w:val="0"/>
                <w:sz w:val="21"/>
                <w:szCs w:val="21"/>
                <w:u w:val="none" w:color="auto"/>
                <w:lang w:val="en-US" w:eastAsia="zh-CN"/>
              </w:rPr>
              <w:t>图3-1</w:t>
            </w:r>
            <w:r>
              <w:rPr>
                <w:rFonts w:hint="default" w:ascii="Times New Roman" w:hAnsi="Times New Roman" w:eastAsia="宋体" w:cs="Times New Roman"/>
                <w:b/>
                <w:bCs/>
                <w:color w:val="auto"/>
                <w:spacing w:val="11"/>
                <w:position w:val="0"/>
                <w:sz w:val="21"/>
                <w:szCs w:val="21"/>
                <w:u w:val="none" w:color="auto"/>
              </w:rPr>
              <w:t xml:space="preserve">  </w:t>
            </w:r>
            <w:r>
              <w:rPr>
                <w:rFonts w:hint="default" w:ascii="Times New Roman" w:hAnsi="Times New Roman" w:eastAsia="宋体" w:cs="Times New Roman"/>
                <w:b/>
                <w:bCs/>
                <w:color w:val="auto"/>
                <w:spacing w:val="11"/>
                <w:position w:val="0"/>
                <w:sz w:val="21"/>
                <w:szCs w:val="21"/>
                <w:u w:val="none" w:color="auto"/>
                <w:lang w:val="en-US" w:eastAsia="zh-CN"/>
              </w:rPr>
              <w:t>地表水环境质量现状图</w:t>
            </w:r>
          </w:p>
          <w:p w14:paraId="666C749A">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524" w:firstLineChars="200"/>
              <w:jc w:val="both"/>
              <w:textAlignment w:val="auto"/>
              <w:rPr>
                <w:rFonts w:hint="default" w:ascii="Times New Roman" w:hAnsi="Times New Roman" w:eastAsia="宋体" w:cs="Times New Roman"/>
                <w:color w:val="000000"/>
                <w:spacing w:val="11"/>
                <w:kern w:val="0"/>
                <w:position w:val="0"/>
                <w:sz w:val="24"/>
                <w:szCs w:val="24"/>
                <w:highlight w:val="none"/>
                <w:u w:val="none" w:color="auto"/>
                <w:lang w:val="en-US" w:eastAsia="zh-CN"/>
              </w:rPr>
            </w:pPr>
            <w:r>
              <w:rPr>
                <w:rFonts w:hint="default" w:ascii="Times New Roman" w:hAnsi="Times New Roman" w:eastAsia="宋体" w:cs="Times New Roman"/>
                <w:color w:val="auto"/>
                <w:spacing w:val="11"/>
                <w:kern w:val="0"/>
                <w:position w:val="0"/>
                <w:sz w:val="24"/>
                <w:szCs w:val="24"/>
                <w:highlight w:val="none"/>
                <w:u w:val="none" w:color="auto"/>
              </w:rPr>
              <w:t>由上图可知，新田河大历县村断面水质可达到《地表水环境质量标准》</w:t>
            </w:r>
            <w:r>
              <w:rPr>
                <w:rFonts w:hint="default" w:ascii="Times New Roman" w:hAnsi="Times New Roman" w:eastAsia="宋体" w:cs="Times New Roman"/>
                <w:color w:val="auto"/>
                <w:spacing w:val="11"/>
                <w:kern w:val="0"/>
                <w:position w:val="0"/>
                <w:sz w:val="24"/>
                <w:szCs w:val="24"/>
                <w:highlight w:val="none"/>
                <w:u w:val="none" w:color="auto"/>
                <w:lang w:eastAsia="zh-CN"/>
              </w:rPr>
              <w:t>（</w:t>
            </w:r>
            <w:r>
              <w:rPr>
                <w:rFonts w:hint="default" w:ascii="Times New Roman" w:hAnsi="Times New Roman" w:eastAsia="宋体" w:cs="Times New Roman"/>
                <w:color w:val="auto"/>
                <w:spacing w:val="11"/>
                <w:kern w:val="0"/>
                <w:position w:val="0"/>
                <w:sz w:val="24"/>
                <w:szCs w:val="24"/>
                <w:highlight w:val="none"/>
                <w:u w:val="none" w:color="auto"/>
              </w:rPr>
              <w:t>GB3838-2002</w:t>
            </w:r>
            <w:r>
              <w:rPr>
                <w:rFonts w:hint="default" w:ascii="Times New Roman" w:hAnsi="Times New Roman" w:eastAsia="宋体" w:cs="Times New Roman"/>
                <w:color w:val="auto"/>
                <w:spacing w:val="11"/>
                <w:kern w:val="0"/>
                <w:position w:val="0"/>
                <w:sz w:val="24"/>
                <w:szCs w:val="24"/>
                <w:highlight w:val="none"/>
                <w:u w:val="none" w:color="auto"/>
                <w:lang w:eastAsia="zh-CN"/>
              </w:rPr>
              <w:t>）</w:t>
            </w:r>
            <w:r>
              <w:rPr>
                <w:rFonts w:hint="default" w:ascii="Times New Roman" w:hAnsi="Times New Roman" w:eastAsia="宋体" w:cs="Times New Roman"/>
                <w:color w:val="auto"/>
                <w:spacing w:val="11"/>
                <w:kern w:val="0"/>
                <w:position w:val="0"/>
                <w:sz w:val="24"/>
                <w:szCs w:val="24"/>
                <w:highlight w:val="none"/>
                <w:u w:val="none" w:color="auto"/>
              </w:rPr>
              <w:t>II类标准，由此可判断新田河水质环境质量良好。</w:t>
            </w:r>
          </w:p>
          <w:p w14:paraId="79ED32C9">
            <w:pPr>
              <w:keepNext/>
              <w:keepLines/>
              <w:pageBreakBefore w:val="0"/>
              <w:widowControl w:val="0"/>
              <w:numPr>
                <w:ilvl w:val="0"/>
                <w:numId w:val="0"/>
              </w:numPr>
              <w:kinsoku/>
              <w:wordWrap/>
              <w:overflowPunct/>
              <w:topLinePunct w:val="0"/>
              <w:autoSpaceDE/>
              <w:autoSpaceDN/>
              <w:bidi w:val="0"/>
              <w:adjustRightInd w:val="0"/>
              <w:snapToGrid w:val="0"/>
              <w:spacing w:line="360" w:lineRule="auto"/>
              <w:jc w:val="both"/>
              <w:outlineLvl w:val="2"/>
              <w:rPr>
                <w:rFonts w:hint="default" w:ascii="Times New Roman" w:hAnsi="Times New Roman" w:eastAsia="宋体" w:cs="Times New Roman"/>
                <w:b/>
                <w:bCs/>
                <w:color w:val="auto"/>
                <w:spacing w:val="11"/>
                <w:kern w:val="2"/>
                <w:position w:val="0"/>
                <w:sz w:val="24"/>
                <w:szCs w:val="22"/>
                <w:lang w:val="en-US" w:eastAsia="zh-CN" w:bidi="ar-SA"/>
              </w:rPr>
            </w:pPr>
            <w:bookmarkStart w:id="31" w:name="_Toc411767824"/>
            <w:bookmarkStart w:id="32" w:name="_Toc411767825"/>
            <w:bookmarkStart w:id="33" w:name="OLE_LINK6"/>
            <w:r>
              <w:rPr>
                <w:rFonts w:hint="default" w:ascii="Times New Roman" w:hAnsi="Times New Roman" w:eastAsia="宋体" w:cs="Times New Roman"/>
                <w:b/>
                <w:bCs/>
                <w:color w:val="auto"/>
                <w:spacing w:val="11"/>
                <w:kern w:val="2"/>
                <w:position w:val="0"/>
                <w:sz w:val="24"/>
                <w:szCs w:val="22"/>
                <w:lang w:val="en-US" w:eastAsia="zh-CN" w:bidi="ar-SA"/>
              </w:rPr>
              <w:t>3、声环境质量现状</w:t>
            </w:r>
            <w:bookmarkEnd w:id="31"/>
          </w:p>
          <w:p w14:paraId="4D237717">
            <w:pPr>
              <w:pageBreakBefore w:val="0"/>
              <w:widowControl w:val="0"/>
              <w:kinsoku/>
              <w:wordWrap/>
              <w:overflowPunct/>
              <w:topLinePunct w:val="0"/>
              <w:autoSpaceDE/>
              <w:autoSpaceDN/>
              <w:bidi w:val="0"/>
              <w:adjustRightInd w:val="0"/>
              <w:snapToGrid w:val="0"/>
              <w:spacing w:line="360" w:lineRule="auto"/>
              <w:ind w:firstLine="524" w:firstLineChars="200"/>
              <w:textAlignment w:val="baseline"/>
              <w:rPr>
                <w:rFonts w:hint="default" w:ascii="Times New Roman" w:hAnsi="Times New Roman" w:eastAsia="宋体" w:cs="Times New Roman"/>
                <w:color w:val="000000"/>
                <w:spacing w:val="11"/>
                <w:position w:val="0"/>
                <w:sz w:val="24"/>
                <w:szCs w:val="24"/>
                <w:highlight w:val="none"/>
                <w:u w:val="none" w:color="auto"/>
              </w:rPr>
            </w:pPr>
            <w:r>
              <w:rPr>
                <w:rFonts w:hint="default" w:ascii="Times New Roman" w:hAnsi="Times New Roman" w:eastAsia="宋体" w:cs="Times New Roman"/>
                <w:color w:val="000000"/>
                <w:spacing w:val="11"/>
                <w:position w:val="0"/>
                <w:sz w:val="24"/>
                <w:szCs w:val="24"/>
                <w:highlight w:val="none"/>
                <w:u w:val="none" w:color="auto"/>
                <w:lang w:val="en-US" w:eastAsia="zh-CN"/>
              </w:rPr>
              <w:t>根据现场调查，本项目厂界外周边50m范围内存在声环境敏感目标，根据《建设项目环境影响报告表（污染影响类）编制指南》中规定，本次特委托湖南中额环保科技有限公司于2025年</w:t>
            </w:r>
            <w:r>
              <w:rPr>
                <w:rFonts w:hint="eastAsia" w:cs="Times New Roman"/>
                <w:color w:val="000000"/>
                <w:spacing w:val="11"/>
                <w:position w:val="0"/>
                <w:sz w:val="24"/>
                <w:szCs w:val="24"/>
                <w:highlight w:val="none"/>
                <w:u w:val="none" w:color="auto"/>
                <w:lang w:val="en-US" w:eastAsia="zh-CN"/>
              </w:rPr>
              <w:t>5</w:t>
            </w:r>
            <w:r>
              <w:rPr>
                <w:rFonts w:hint="default" w:ascii="Times New Roman" w:hAnsi="Times New Roman" w:eastAsia="宋体" w:cs="Times New Roman"/>
                <w:color w:val="000000"/>
                <w:spacing w:val="11"/>
                <w:position w:val="0"/>
                <w:sz w:val="24"/>
                <w:szCs w:val="24"/>
                <w:highlight w:val="none"/>
                <w:u w:val="none" w:color="auto"/>
                <w:lang w:val="en-US" w:eastAsia="zh-CN"/>
              </w:rPr>
              <w:t>月</w:t>
            </w:r>
            <w:r>
              <w:rPr>
                <w:rFonts w:hint="eastAsia" w:cs="Times New Roman"/>
                <w:color w:val="000000"/>
                <w:spacing w:val="11"/>
                <w:position w:val="0"/>
                <w:sz w:val="24"/>
                <w:szCs w:val="24"/>
                <w:highlight w:val="none"/>
                <w:u w:val="none" w:color="auto"/>
                <w:lang w:val="en-US" w:eastAsia="zh-CN"/>
              </w:rPr>
              <w:t>18</w:t>
            </w:r>
            <w:r>
              <w:rPr>
                <w:rFonts w:hint="default" w:ascii="Times New Roman" w:hAnsi="Times New Roman" w:eastAsia="宋体" w:cs="Times New Roman"/>
                <w:color w:val="000000"/>
                <w:spacing w:val="11"/>
                <w:position w:val="0"/>
                <w:sz w:val="24"/>
                <w:szCs w:val="24"/>
                <w:highlight w:val="none"/>
                <w:u w:val="none" w:color="auto"/>
                <w:lang w:val="en-US" w:eastAsia="zh-CN"/>
              </w:rPr>
              <w:t>日~</w:t>
            </w:r>
            <w:r>
              <w:rPr>
                <w:rFonts w:hint="eastAsia" w:cs="Times New Roman"/>
                <w:color w:val="000000"/>
                <w:spacing w:val="11"/>
                <w:position w:val="0"/>
                <w:sz w:val="24"/>
                <w:szCs w:val="24"/>
                <w:highlight w:val="none"/>
                <w:u w:val="none" w:color="auto"/>
                <w:lang w:val="en-US" w:eastAsia="zh-CN"/>
              </w:rPr>
              <w:t>5</w:t>
            </w:r>
            <w:r>
              <w:rPr>
                <w:rFonts w:hint="default" w:ascii="Times New Roman" w:hAnsi="Times New Roman" w:eastAsia="宋体" w:cs="Times New Roman"/>
                <w:color w:val="000000"/>
                <w:spacing w:val="11"/>
                <w:position w:val="0"/>
                <w:sz w:val="24"/>
                <w:szCs w:val="24"/>
                <w:highlight w:val="none"/>
                <w:u w:val="none" w:color="auto"/>
                <w:lang w:val="en-US" w:eastAsia="zh-CN"/>
              </w:rPr>
              <w:t>月</w:t>
            </w:r>
            <w:r>
              <w:rPr>
                <w:rFonts w:hint="eastAsia" w:cs="Times New Roman"/>
                <w:color w:val="000000"/>
                <w:spacing w:val="11"/>
                <w:position w:val="0"/>
                <w:sz w:val="24"/>
                <w:szCs w:val="24"/>
                <w:highlight w:val="none"/>
                <w:u w:val="none" w:color="auto"/>
                <w:lang w:val="en-US" w:eastAsia="zh-CN"/>
              </w:rPr>
              <w:t>19</w:t>
            </w:r>
            <w:r>
              <w:rPr>
                <w:rFonts w:hint="default" w:ascii="Times New Roman" w:hAnsi="Times New Roman" w:eastAsia="宋体" w:cs="Times New Roman"/>
                <w:color w:val="000000"/>
                <w:spacing w:val="11"/>
                <w:position w:val="0"/>
                <w:sz w:val="24"/>
                <w:szCs w:val="24"/>
                <w:highlight w:val="none"/>
                <w:u w:val="none" w:color="auto"/>
                <w:lang w:val="en-US" w:eastAsia="zh-CN"/>
              </w:rPr>
              <w:t>日对项目南侧居民点声环境质量进行了现状监测</w:t>
            </w:r>
          </w:p>
          <w:p w14:paraId="22375E4D">
            <w:pPr>
              <w:pageBreakBefore w:val="0"/>
              <w:widowControl w:val="0"/>
              <w:kinsoku/>
              <w:wordWrap/>
              <w:overflowPunct/>
              <w:topLinePunct w:val="0"/>
              <w:autoSpaceDE/>
              <w:autoSpaceDN/>
              <w:bidi w:val="0"/>
              <w:adjustRightInd w:val="0"/>
              <w:snapToGrid w:val="0"/>
              <w:spacing w:line="360" w:lineRule="auto"/>
              <w:ind w:firstLine="524" w:firstLineChars="200"/>
              <w:textAlignment w:val="baseline"/>
              <w:rPr>
                <w:rFonts w:hint="eastAsia" w:ascii="Times New Roman" w:hAnsi="Times New Roman" w:eastAsia="宋体" w:cs="Times New Roman"/>
                <w:color w:val="000000"/>
                <w:spacing w:val="11"/>
                <w:position w:val="0"/>
                <w:sz w:val="24"/>
                <w:szCs w:val="24"/>
                <w:highlight w:val="none"/>
                <w:u w:val="none" w:color="auto"/>
                <w:lang w:val="en-US" w:eastAsia="zh-CN"/>
              </w:rPr>
            </w:pPr>
            <w:r>
              <w:rPr>
                <w:rFonts w:hint="eastAsia" w:ascii="Times New Roman" w:hAnsi="Times New Roman" w:eastAsia="宋体" w:cs="Times New Roman"/>
                <w:color w:val="000000"/>
                <w:spacing w:val="11"/>
                <w:position w:val="0"/>
                <w:sz w:val="24"/>
                <w:szCs w:val="24"/>
                <w:highlight w:val="none"/>
                <w:u w:val="none" w:color="auto"/>
                <w:lang w:val="en-US" w:eastAsia="zh-CN"/>
              </w:rPr>
              <w:t>声环境质量现状监测及评价结果见下表。</w:t>
            </w:r>
          </w:p>
          <w:p w14:paraId="37E8983A">
            <w:pPr>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position w:val="0"/>
                <w:sz w:val="21"/>
                <w:szCs w:val="21"/>
                <w:highlight w:val="none"/>
                <w:u w:val="none" w:color="auto"/>
              </w:rPr>
            </w:pPr>
            <w:r>
              <w:rPr>
                <w:rFonts w:hint="default" w:ascii="Times New Roman" w:hAnsi="Times New Roman" w:eastAsia="宋体" w:cs="Times New Roman"/>
                <w:b/>
                <w:caps w:val="0"/>
                <w:smallCaps w:val="0"/>
                <w:color w:val="auto"/>
                <w:spacing w:val="11"/>
                <w:position w:val="0"/>
                <w:sz w:val="21"/>
                <w:szCs w:val="21"/>
                <w:highlight w:val="none"/>
                <w:u w:val="none" w:color="auto"/>
              </w:rPr>
              <w:t>表</w:t>
            </w:r>
            <w:r>
              <w:rPr>
                <w:rFonts w:hint="eastAsia" w:ascii="Times New Roman" w:hAnsi="Times New Roman" w:cs="Times New Roman"/>
                <w:b/>
                <w:caps w:val="0"/>
                <w:smallCaps w:val="0"/>
                <w:color w:val="auto"/>
                <w:spacing w:val="11"/>
                <w:position w:val="0"/>
                <w:sz w:val="21"/>
                <w:szCs w:val="21"/>
                <w:highlight w:val="none"/>
                <w:u w:val="none" w:color="auto"/>
                <w:lang w:val="en-US" w:eastAsia="zh-CN"/>
              </w:rPr>
              <w:t>3-3</w:t>
            </w:r>
            <w:r>
              <w:rPr>
                <w:rFonts w:hint="default" w:ascii="Times New Roman" w:hAnsi="Times New Roman" w:eastAsia="宋体" w:cs="Times New Roman"/>
                <w:b/>
                <w:caps w:val="0"/>
                <w:smallCaps w:val="0"/>
                <w:color w:val="auto"/>
                <w:spacing w:val="11"/>
                <w:position w:val="0"/>
                <w:sz w:val="21"/>
                <w:szCs w:val="21"/>
                <w:highlight w:val="none"/>
                <w:u w:val="none" w:color="auto"/>
              </w:rPr>
              <w:t xml:space="preserve">  声环境质量现状监测统计结果</w:t>
            </w:r>
          </w:p>
          <w:tbl>
            <w:tblPr>
              <w:tblStyle w:val="32"/>
              <w:tblW w:w="4996"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361"/>
              <w:gridCol w:w="1478"/>
              <w:gridCol w:w="1478"/>
              <w:gridCol w:w="1478"/>
              <w:gridCol w:w="1478"/>
            </w:tblGrid>
            <w:tr w14:paraId="3523B5C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427" w:type="pct"/>
                  <w:vMerge w:val="restart"/>
                  <w:tcBorders>
                    <w:tl2br w:val="nil"/>
                    <w:tr2bl w:val="nil"/>
                  </w:tcBorders>
                  <w:noWrap w:val="0"/>
                  <w:vAlign w:val="center"/>
                </w:tcPr>
                <w:p w14:paraId="72417DD9">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检测点位</w:t>
                  </w:r>
                </w:p>
              </w:tc>
              <w:tc>
                <w:tcPr>
                  <w:tcW w:w="3572" w:type="pct"/>
                  <w:gridSpan w:val="4"/>
                  <w:tcBorders>
                    <w:tl2br w:val="nil"/>
                    <w:tr2bl w:val="nil"/>
                  </w:tcBorders>
                  <w:noWrap w:val="0"/>
                  <w:vAlign w:val="center"/>
                </w:tcPr>
                <w:p w14:paraId="078C416C">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检测结果（单位：dB(A)）</w:t>
                  </w:r>
                </w:p>
              </w:tc>
            </w:tr>
            <w:tr w14:paraId="305C78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427" w:type="pct"/>
                  <w:vMerge w:val="continue"/>
                  <w:tcBorders>
                    <w:tl2br w:val="nil"/>
                    <w:tr2bl w:val="nil"/>
                  </w:tcBorders>
                  <w:noWrap w:val="0"/>
                  <w:vAlign w:val="center"/>
                </w:tcPr>
                <w:p w14:paraId="223C1552">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p>
              </w:tc>
              <w:tc>
                <w:tcPr>
                  <w:tcW w:w="1786" w:type="pct"/>
                  <w:gridSpan w:val="2"/>
                  <w:tcBorders>
                    <w:tl2br w:val="nil"/>
                    <w:tr2bl w:val="nil"/>
                  </w:tcBorders>
                  <w:noWrap w:val="0"/>
                  <w:vAlign w:val="center"/>
                </w:tcPr>
                <w:p w14:paraId="4CCEC7D0">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2025.05.18</w:t>
                  </w:r>
                </w:p>
              </w:tc>
              <w:tc>
                <w:tcPr>
                  <w:tcW w:w="1786" w:type="pct"/>
                  <w:gridSpan w:val="2"/>
                  <w:tcBorders>
                    <w:tl2br w:val="nil"/>
                    <w:tr2bl w:val="nil"/>
                  </w:tcBorders>
                  <w:noWrap w:val="0"/>
                  <w:vAlign w:val="center"/>
                </w:tcPr>
                <w:p w14:paraId="19B151AC">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2025.05.19</w:t>
                  </w:r>
                </w:p>
              </w:tc>
            </w:tr>
            <w:tr w14:paraId="64882AD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427" w:type="pct"/>
                  <w:vMerge w:val="continue"/>
                  <w:tcBorders>
                    <w:tl2br w:val="nil"/>
                    <w:tr2bl w:val="nil"/>
                  </w:tcBorders>
                  <w:noWrap w:val="0"/>
                  <w:vAlign w:val="center"/>
                </w:tcPr>
                <w:p w14:paraId="28C3CBCD">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p>
              </w:tc>
              <w:tc>
                <w:tcPr>
                  <w:tcW w:w="893" w:type="pct"/>
                  <w:tcBorders>
                    <w:tl2br w:val="nil"/>
                    <w:tr2bl w:val="nil"/>
                  </w:tcBorders>
                  <w:noWrap w:val="0"/>
                  <w:vAlign w:val="center"/>
                </w:tcPr>
                <w:p w14:paraId="13669CA3">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昼间</w:t>
                  </w:r>
                </w:p>
              </w:tc>
              <w:tc>
                <w:tcPr>
                  <w:tcW w:w="893" w:type="pct"/>
                  <w:tcBorders>
                    <w:tl2br w:val="nil"/>
                    <w:tr2bl w:val="nil"/>
                  </w:tcBorders>
                  <w:noWrap w:val="0"/>
                  <w:vAlign w:val="center"/>
                </w:tcPr>
                <w:p w14:paraId="7A36069B">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夜间</w:t>
                  </w:r>
                </w:p>
              </w:tc>
              <w:tc>
                <w:tcPr>
                  <w:tcW w:w="893" w:type="pct"/>
                  <w:tcBorders>
                    <w:tl2br w:val="nil"/>
                    <w:tr2bl w:val="nil"/>
                  </w:tcBorders>
                  <w:shd w:val="clear" w:color="auto" w:fill="auto"/>
                  <w:noWrap w:val="0"/>
                  <w:vAlign w:val="center"/>
                </w:tcPr>
                <w:p w14:paraId="51BF1523">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昼间</w:t>
                  </w:r>
                </w:p>
              </w:tc>
              <w:tc>
                <w:tcPr>
                  <w:tcW w:w="893" w:type="pct"/>
                  <w:tcBorders>
                    <w:tl2br w:val="nil"/>
                    <w:tr2bl w:val="nil"/>
                  </w:tcBorders>
                  <w:shd w:val="clear" w:color="auto" w:fill="auto"/>
                  <w:noWrap w:val="0"/>
                  <w:vAlign w:val="center"/>
                </w:tcPr>
                <w:p w14:paraId="1FF355B0">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夜间</w:t>
                  </w:r>
                </w:p>
              </w:tc>
            </w:tr>
            <w:tr w14:paraId="08BF491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427" w:type="pct"/>
                  <w:tcBorders>
                    <w:tl2br w:val="nil"/>
                    <w:tr2bl w:val="nil"/>
                  </w:tcBorders>
                  <w:shd w:val="clear" w:color="auto" w:fill="auto"/>
                  <w:noWrap w:val="0"/>
                  <w:vAlign w:val="center"/>
                </w:tcPr>
                <w:p w14:paraId="0ACBB8EF">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N1</w:t>
                  </w: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项目南侧居民点</w:t>
                  </w:r>
                </w:p>
              </w:tc>
              <w:tc>
                <w:tcPr>
                  <w:tcW w:w="893" w:type="pct"/>
                  <w:tcBorders>
                    <w:tl2br w:val="nil"/>
                    <w:tr2bl w:val="nil"/>
                  </w:tcBorders>
                  <w:noWrap w:val="0"/>
                  <w:vAlign w:val="center"/>
                </w:tcPr>
                <w:p w14:paraId="55970F91">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52</w:t>
                  </w:r>
                </w:p>
              </w:tc>
              <w:tc>
                <w:tcPr>
                  <w:tcW w:w="893" w:type="pct"/>
                  <w:tcBorders>
                    <w:tl2br w:val="nil"/>
                    <w:tr2bl w:val="nil"/>
                  </w:tcBorders>
                  <w:noWrap w:val="0"/>
                  <w:vAlign w:val="center"/>
                </w:tcPr>
                <w:p w14:paraId="79A1B844">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43</w:t>
                  </w:r>
                </w:p>
              </w:tc>
              <w:tc>
                <w:tcPr>
                  <w:tcW w:w="893" w:type="pct"/>
                  <w:tcBorders>
                    <w:tl2br w:val="nil"/>
                    <w:tr2bl w:val="nil"/>
                  </w:tcBorders>
                  <w:noWrap w:val="0"/>
                  <w:vAlign w:val="center"/>
                </w:tcPr>
                <w:p w14:paraId="3374E77F">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50</w:t>
                  </w:r>
                </w:p>
              </w:tc>
              <w:tc>
                <w:tcPr>
                  <w:tcW w:w="893" w:type="pct"/>
                  <w:tcBorders>
                    <w:tl2br w:val="nil"/>
                    <w:tr2bl w:val="nil"/>
                  </w:tcBorders>
                  <w:noWrap w:val="0"/>
                  <w:vAlign w:val="center"/>
                </w:tcPr>
                <w:p w14:paraId="5AC387F6">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41</w:t>
                  </w:r>
                </w:p>
              </w:tc>
            </w:tr>
            <w:tr w14:paraId="30B5EF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427" w:type="pct"/>
                  <w:tcBorders>
                    <w:tl2br w:val="nil"/>
                    <w:tr2bl w:val="nil"/>
                  </w:tcBorders>
                  <w:noWrap w:val="0"/>
                  <w:vAlign w:val="center"/>
                </w:tcPr>
                <w:p w14:paraId="4DD689F0">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限值</w:t>
                  </w:r>
                </w:p>
              </w:tc>
              <w:tc>
                <w:tcPr>
                  <w:tcW w:w="893" w:type="pct"/>
                  <w:tcBorders>
                    <w:tl2br w:val="nil"/>
                    <w:tr2bl w:val="nil"/>
                  </w:tcBorders>
                  <w:noWrap w:val="0"/>
                  <w:vAlign w:val="center"/>
                </w:tcPr>
                <w:p w14:paraId="3B090402">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cs="Times New Roman"/>
                      <w:caps w:val="0"/>
                      <w:smallCaps w:val="0"/>
                      <w:color w:val="auto"/>
                      <w:spacing w:val="11"/>
                      <w:position w:val="0"/>
                      <w:sz w:val="21"/>
                      <w:szCs w:val="21"/>
                      <w:highlight w:val="none"/>
                      <w:u w:val="none" w:color="auto"/>
                      <w:lang w:val="en-US" w:eastAsia="zh-CN" w:bidi="ar-SA"/>
                    </w:rPr>
                    <w:t>60</w:t>
                  </w:r>
                </w:p>
              </w:tc>
              <w:tc>
                <w:tcPr>
                  <w:tcW w:w="893" w:type="pct"/>
                  <w:tcBorders>
                    <w:tl2br w:val="nil"/>
                    <w:tr2bl w:val="nil"/>
                  </w:tcBorders>
                  <w:noWrap w:val="0"/>
                  <w:vAlign w:val="center"/>
                </w:tcPr>
                <w:p w14:paraId="5DBA15F8">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cs="Times New Roman"/>
                      <w:caps w:val="0"/>
                      <w:smallCaps w:val="0"/>
                      <w:color w:val="auto"/>
                      <w:spacing w:val="11"/>
                      <w:position w:val="0"/>
                      <w:sz w:val="21"/>
                      <w:szCs w:val="21"/>
                      <w:highlight w:val="none"/>
                      <w:u w:val="none" w:color="auto"/>
                      <w:lang w:val="en-US" w:eastAsia="zh-CN" w:bidi="ar-SA"/>
                    </w:rPr>
                    <w:t>50</w:t>
                  </w:r>
                </w:p>
              </w:tc>
              <w:tc>
                <w:tcPr>
                  <w:tcW w:w="893" w:type="pct"/>
                  <w:tcBorders>
                    <w:tl2br w:val="nil"/>
                    <w:tr2bl w:val="nil"/>
                  </w:tcBorders>
                  <w:shd w:val="clear" w:color="auto" w:fill="auto"/>
                  <w:noWrap w:val="0"/>
                  <w:vAlign w:val="center"/>
                </w:tcPr>
                <w:p w14:paraId="6024C5F6">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kern w:val="2"/>
                      <w:position w:val="0"/>
                      <w:sz w:val="21"/>
                      <w:szCs w:val="21"/>
                      <w:highlight w:val="none"/>
                      <w:u w:val="none" w:color="auto"/>
                      <w:lang w:val="en-US" w:eastAsia="zh-CN" w:bidi="ar-SA"/>
                    </w:rPr>
                  </w:pPr>
                  <w:r>
                    <w:rPr>
                      <w:rFonts w:hint="eastAsia" w:ascii="Times New Roman" w:hAnsi="Times New Roman" w:cs="Times New Roman"/>
                      <w:caps w:val="0"/>
                      <w:smallCaps w:val="0"/>
                      <w:color w:val="auto"/>
                      <w:spacing w:val="11"/>
                      <w:position w:val="0"/>
                      <w:sz w:val="21"/>
                      <w:szCs w:val="21"/>
                      <w:highlight w:val="none"/>
                      <w:u w:val="none" w:color="auto"/>
                      <w:lang w:val="en-US" w:eastAsia="zh-CN" w:bidi="ar-SA"/>
                    </w:rPr>
                    <w:t>60</w:t>
                  </w:r>
                </w:p>
              </w:tc>
              <w:tc>
                <w:tcPr>
                  <w:tcW w:w="893" w:type="pct"/>
                  <w:tcBorders>
                    <w:tl2br w:val="nil"/>
                    <w:tr2bl w:val="nil"/>
                  </w:tcBorders>
                  <w:shd w:val="clear" w:color="auto" w:fill="auto"/>
                  <w:noWrap w:val="0"/>
                  <w:vAlign w:val="center"/>
                </w:tcPr>
                <w:p w14:paraId="460A9A03">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kern w:val="2"/>
                      <w:position w:val="0"/>
                      <w:sz w:val="21"/>
                      <w:szCs w:val="21"/>
                      <w:highlight w:val="none"/>
                      <w:u w:val="none" w:color="auto"/>
                      <w:lang w:val="en-US" w:eastAsia="zh-CN" w:bidi="ar-SA"/>
                    </w:rPr>
                  </w:pPr>
                  <w:r>
                    <w:rPr>
                      <w:rFonts w:hint="eastAsia" w:ascii="Times New Roman" w:hAnsi="Times New Roman" w:cs="Times New Roman"/>
                      <w:caps w:val="0"/>
                      <w:smallCaps w:val="0"/>
                      <w:color w:val="auto"/>
                      <w:spacing w:val="11"/>
                      <w:position w:val="0"/>
                      <w:sz w:val="21"/>
                      <w:szCs w:val="21"/>
                      <w:highlight w:val="none"/>
                      <w:u w:val="none" w:color="auto"/>
                      <w:lang w:val="en-US" w:eastAsia="zh-CN" w:bidi="ar-SA"/>
                    </w:rPr>
                    <w:t>50</w:t>
                  </w:r>
                </w:p>
              </w:tc>
            </w:tr>
            <w:tr w14:paraId="50C593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427" w:type="pct"/>
                  <w:tcBorders>
                    <w:tl2br w:val="nil"/>
                    <w:tr2bl w:val="nil"/>
                  </w:tcBorders>
                  <w:noWrap w:val="0"/>
                  <w:vAlign w:val="center"/>
                </w:tcPr>
                <w:p w14:paraId="044E09A4">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备注</w:t>
                  </w:r>
                </w:p>
              </w:tc>
              <w:tc>
                <w:tcPr>
                  <w:tcW w:w="3572" w:type="pct"/>
                  <w:gridSpan w:val="4"/>
                  <w:tcBorders>
                    <w:tl2br w:val="nil"/>
                    <w:tr2bl w:val="nil"/>
                  </w:tcBorders>
                  <w:noWrap w:val="0"/>
                  <w:vAlign w:val="center"/>
                </w:tcPr>
                <w:p w14:paraId="5AC6B3B3">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执行《声环境质量标准》（GB3096-2008）</w:t>
                  </w:r>
                  <w:r>
                    <w:rPr>
                      <w:rFonts w:hint="eastAsia" w:cs="Times New Roman"/>
                      <w:caps w:val="0"/>
                      <w:smallCaps w:val="0"/>
                      <w:color w:val="auto"/>
                      <w:spacing w:val="11"/>
                      <w:position w:val="0"/>
                      <w:sz w:val="21"/>
                      <w:szCs w:val="21"/>
                      <w:highlight w:val="none"/>
                      <w:u w:val="none" w:color="auto"/>
                      <w:lang w:val="en-US" w:eastAsia="zh-CN" w:bidi="ar-SA"/>
                    </w:rPr>
                    <w:t>表1中</w:t>
                  </w: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2类标准</w:t>
                  </w:r>
                  <w:r>
                    <w:rPr>
                      <w:rFonts w:hint="eastAsia" w:cs="Times New Roman"/>
                      <w:caps w:val="0"/>
                      <w:smallCaps w:val="0"/>
                      <w:color w:val="auto"/>
                      <w:spacing w:val="11"/>
                      <w:position w:val="0"/>
                      <w:sz w:val="21"/>
                      <w:szCs w:val="21"/>
                      <w:highlight w:val="none"/>
                      <w:u w:val="none" w:color="auto"/>
                      <w:lang w:val="en-US" w:eastAsia="zh-CN" w:bidi="ar-SA"/>
                    </w:rPr>
                    <w:t>要求</w:t>
                  </w:r>
                </w:p>
              </w:tc>
            </w:tr>
          </w:tbl>
          <w:p w14:paraId="0A1F9F0B">
            <w:pPr>
              <w:keepNext/>
              <w:keepLines/>
              <w:pageBreakBefore w:val="0"/>
              <w:widowControl w:val="0"/>
              <w:numPr>
                <w:ilvl w:val="0"/>
                <w:numId w:val="0"/>
              </w:numPr>
              <w:kinsoku/>
              <w:wordWrap/>
              <w:overflowPunct/>
              <w:topLinePunct w:val="0"/>
              <w:autoSpaceDE/>
              <w:autoSpaceDN/>
              <w:bidi w:val="0"/>
              <w:adjustRightInd w:val="0"/>
              <w:snapToGrid w:val="0"/>
              <w:spacing w:after="0" w:line="360" w:lineRule="auto"/>
              <w:jc w:val="both"/>
              <w:outlineLvl w:val="2"/>
              <w:rPr>
                <w:rFonts w:hint="default" w:ascii="Times New Roman" w:hAnsi="Times New Roman" w:eastAsia="宋体" w:cs="Times New Roman"/>
                <w:b/>
                <w:bCs/>
                <w:color w:val="auto"/>
                <w:spacing w:val="11"/>
                <w:kern w:val="2"/>
                <w:position w:val="0"/>
                <w:sz w:val="24"/>
                <w:szCs w:val="22"/>
                <w:lang w:val="en-US" w:eastAsia="zh-CN" w:bidi="ar-SA"/>
              </w:rPr>
            </w:pPr>
            <w:r>
              <w:rPr>
                <w:rFonts w:hint="default" w:ascii="Times New Roman" w:hAnsi="Times New Roman" w:eastAsia="宋体" w:cs="Times New Roman"/>
                <w:b/>
                <w:bCs/>
                <w:color w:val="auto"/>
                <w:spacing w:val="11"/>
                <w:kern w:val="2"/>
                <w:position w:val="0"/>
                <w:sz w:val="24"/>
                <w:szCs w:val="22"/>
                <w:lang w:val="en-US" w:eastAsia="zh-CN" w:bidi="ar-SA"/>
              </w:rPr>
              <w:t>4、地下水环境</w:t>
            </w:r>
          </w:p>
          <w:p w14:paraId="3BC526E7">
            <w:pPr>
              <w:pageBreakBefore w:val="0"/>
              <w:widowControl w:val="0"/>
              <w:kinsoku/>
              <w:wordWrap/>
              <w:overflowPunct/>
              <w:topLinePunct w:val="0"/>
              <w:autoSpaceDE/>
              <w:autoSpaceDN/>
              <w:bidi w:val="0"/>
              <w:adjustRightInd w:val="0"/>
              <w:snapToGrid w:val="0"/>
              <w:spacing w:line="360" w:lineRule="auto"/>
              <w:ind w:firstLine="524" w:firstLineChars="200"/>
              <w:rPr>
                <w:rFonts w:hint="default" w:ascii="Times New Roman" w:hAnsi="Times New Roman" w:eastAsia="宋体" w:cs="Times New Roman"/>
                <w:color w:val="auto"/>
                <w:spacing w:val="11"/>
                <w:position w:val="0"/>
                <w:sz w:val="24"/>
                <w:szCs w:val="22"/>
              </w:rPr>
            </w:pPr>
            <w:r>
              <w:rPr>
                <w:rFonts w:hint="default" w:ascii="Times New Roman" w:hAnsi="Times New Roman" w:eastAsia="宋体" w:cs="Times New Roman"/>
                <w:color w:val="auto"/>
                <w:spacing w:val="11"/>
                <w:position w:val="0"/>
                <w:sz w:val="24"/>
                <w:szCs w:val="22"/>
              </w:rPr>
              <w:t>根据《环境影响评价技术导则</w:t>
            </w:r>
            <w:r>
              <w:rPr>
                <w:rFonts w:hint="default" w:ascii="Times New Roman" w:hAnsi="Times New Roman" w:eastAsia="宋体" w:cs="Times New Roman"/>
                <w:color w:val="auto"/>
                <w:spacing w:val="11"/>
                <w:position w:val="0"/>
                <w:sz w:val="24"/>
                <w:szCs w:val="22"/>
                <w:lang w:val="en-US" w:eastAsia="zh-CN"/>
              </w:rPr>
              <w:t>-</w:t>
            </w:r>
            <w:r>
              <w:rPr>
                <w:rFonts w:hint="default" w:ascii="Times New Roman" w:hAnsi="Times New Roman" w:eastAsia="宋体" w:cs="Times New Roman"/>
                <w:color w:val="auto"/>
                <w:spacing w:val="11"/>
                <w:position w:val="0"/>
                <w:sz w:val="24"/>
                <w:szCs w:val="22"/>
              </w:rPr>
              <w:t>地下水》（HJ 610-2016），附录A地下水环境影响评价行业分类表规定，本项目编制报告表属于</w:t>
            </w:r>
            <w:r>
              <w:rPr>
                <w:rFonts w:hint="default" w:ascii="Times New Roman" w:hAnsi="Times New Roman" w:eastAsia="宋体" w:cs="Times New Roman"/>
                <w:color w:val="auto"/>
                <w:spacing w:val="11"/>
                <w:position w:val="0"/>
                <w:sz w:val="24"/>
                <w:szCs w:val="22"/>
                <w:lang w:val="en-US" w:eastAsia="zh-CN"/>
              </w:rPr>
              <w:t>Ⅳ</w:t>
            </w:r>
            <w:r>
              <w:rPr>
                <w:rFonts w:hint="default" w:ascii="Times New Roman" w:hAnsi="Times New Roman" w:eastAsia="宋体" w:cs="Times New Roman"/>
                <w:color w:val="auto"/>
                <w:spacing w:val="11"/>
                <w:position w:val="0"/>
                <w:sz w:val="24"/>
                <w:szCs w:val="22"/>
              </w:rPr>
              <w:t>类建设项目，不开展地下水环境影响评价。</w:t>
            </w:r>
          </w:p>
          <w:p w14:paraId="77278B6F">
            <w:pPr>
              <w:keepNext/>
              <w:keepLines/>
              <w:pageBreakBefore w:val="0"/>
              <w:widowControl w:val="0"/>
              <w:numPr>
                <w:ilvl w:val="0"/>
                <w:numId w:val="0"/>
              </w:numPr>
              <w:kinsoku/>
              <w:wordWrap/>
              <w:overflowPunct/>
              <w:topLinePunct w:val="0"/>
              <w:autoSpaceDE/>
              <w:autoSpaceDN/>
              <w:bidi w:val="0"/>
              <w:adjustRightInd w:val="0"/>
              <w:snapToGrid w:val="0"/>
              <w:spacing w:after="0" w:line="360" w:lineRule="auto"/>
              <w:jc w:val="both"/>
              <w:outlineLvl w:val="2"/>
              <w:rPr>
                <w:rFonts w:hint="default" w:ascii="Times New Roman" w:hAnsi="Times New Roman" w:eastAsia="宋体" w:cs="Times New Roman"/>
                <w:b/>
                <w:bCs/>
                <w:color w:val="auto"/>
                <w:spacing w:val="11"/>
                <w:kern w:val="2"/>
                <w:position w:val="0"/>
                <w:sz w:val="24"/>
                <w:szCs w:val="22"/>
                <w:lang w:val="en-US" w:eastAsia="zh-CN" w:bidi="ar-SA"/>
              </w:rPr>
            </w:pPr>
            <w:r>
              <w:rPr>
                <w:rFonts w:hint="default" w:ascii="Times New Roman" w:hAnsi="Times New Roman" w:eastAsia="宋体" w:cs="Times New Roman"/>
                <w:b/>
                <w:bCs/>
                <w:color w:val="auto"/>
                <w:spacing w:val="11"/>
                <w:kern w:val="2"/>
                <w:position w:val="0"/>
                <w:sz w:val="24"/>
                <w:szCs w:val="22"/>
                <w:lang w:val="en-US" w:eastAsia="zh-CN" w:bidi="ar-SA"/>
              </w:rPr>
              <w:t>5、土壤环境</w:t>
            </w:r>
          </w:p>
          <w:p w14:paraId="6BC4432F">
            <w:pPr>
              <w:pageBreakBefore w:val="0"/>
              <w:widowControl w:val="0"/>
              <w:kinsoku/>
              <w:wordWrap/>
              <w:overflowPunct/>
              <w:topLinePunct w:val="0"/>
              <w:autoSpaceDE/>
              <w:autoSpaceDN/>
              <w:bidi w:val="0"/>
              <w:adjustRightInd w:val="0"/>
              <w:snapToGrid w:val="0"/>
              <w:spacing w:after="0" w:line="360" w:lineRule="auto"/>
              <w:ind w:firstLine="524" w:firstLineChars="200"/>
              <w:jc w:val="both"/>
              <w:rPr>
                <w:rFonts w:hint="default" w:ascii="Times New Roman" w:hAnsi="Times New Roman" w:eastAsia="宋体" w:cs="Times New Roman"/>
                <w:color w:val="auto"/>
                <w:spacing w:val="11"/>
                <w:kern w:val="2"/>
                <w:position w:val="0"/>
                <w:sz w:val="24"/>
                <w:szCs w:val="22"/>
                <w:lang w:val="en-US" w:eastAsia="zh-CN" w:bidi="ar-SA"/>
              </w:rPr>
            </w:pPr>
            <w:r>
              <w:rPr>
                <w:rFonts w:hint="default" w:ascii="Times New Roman" w:hAnsi="Times New Roman" w:eastAsia="宋体" w:cs="Times New Roman"/>
                <w:color w:val="auto"/>
                <w:spacing w:val="11"/>
                <w:kern w:val="2"/>
                <w:position w:val="0"/>
                <w:sz w:val="24"/>
                <w:szCs w:val="22"/>
                <w:lang w:val="en-US" w:eastAsia="zh-CN" w:bidi="ar-SA"/>
              </w:rPr>
              <w:t>根据《环境影响评价技术导则-土壤环境（试行）》（HJ 964-2018）附录A，本项目土壤环境影响评价项目类别为其他行业，属于Ⅲ类建设项目，不开展土壤环境影响评价。</w:t>
            </w:r>
          </w:p>
          <w:p w14:paraId="04D1F3ED">
            <w:pPr>
              <w:pageBreakBefore w:val="0"/>
              <w:widowControl w:val="0"/>
              <w:kinsoku/>
              <w:wordWrap/>
              <w:overflowPunct/>
              <w:topLinePunct w:val="0"/>
              <w:autoSpaceDE/>
              <w:autoSpaceDN/>
              <w:bidi w:val="0"/>
              <w:adjustRightInd w:val="0"/>
              <w:snapToGrid w:val="0"/>
              <w:spacing w:after="0" w:line="360" w:lineRule="auto"/>
              <w:jc w:val="both"/>
              <w:rPr>
                <w:rFonts w:hint="default" w:ascii="Times New Roman" w:hAnsi="Times New Roman" w:eastAsia="宋体" w:cs="Times New Roman"/>
                <w:b/>
                <w:bCs/>
                <w:color w:val="auto"/>
                <w:spacing w:val="11"/>
                <w:kern w:val="2"/>
                <w:position w:val="0"/>
                <w:sz w:val="24"/>
                <w:szCs w:val="22"/>
                <w:lang w:val="en-US" w:eastAsia="zh-CN" w:bidi="ar-SA"/>
              </w:rPr>
            </w:pPr>
            <w:r>
              <w:rPr>
                <w:rFonts w:hint="default" w:ascii="Times New Roman" w:hAnsi="Times New Roman" w:eastAsia="宋体" w:cs="Times New Roman"/>
                <w:b/>
                <w:bCs/>
                <w:color w:val="auto"/>
                <w:spacing w:val="11"/>
                <w:kern w:val="2"/>
                <w:position w:val="0"/>
                <w:sz w:val="24"/>
                <w:szCs w:val="22"/>
                <w:lang w:val="en-US" w:eastAsia="zh-CN" w:bidi="ar-SA"/>
              </w:rPr>
              <w:t>6、电磁辐射</w:t>
            </w:r>
          </w:p>
          <w:p w14:paraId="2AEDFF76">
            <w:pPr>
              <w:pageBreakBefore w:val="0"/>
              <w:widowControl w:val="0"/>
              <w:kinsoku/>
              <w:wordWrap/>
              <w:overflowPunct/>
              <w:topLinePunct w:val="0"/>
              <w:autoSpaceDE/>
              <w:autoSpaceDN/>
              <w:bidi w:val="0"/>
              <w:adjustRightInd w:val="0"/>
              <w:snapToGrid w:val="0"/>
              <w:spacing w:after="0" w:line="360" w:lineRule="auto"/>
              <w:ind w:firstLine="524" w:firstLineChars="200"/>
              <w:jc w:val="both"/>
              <w:rPr>
                <w:rFonts w:hint="default" w:ascii="Times New Roman" w:hAnsi="Times New Roman" w:eastAsia="宋体" w:cs="Times New Roman"/>
                <w:color w:val="auto"/>
                <w:spacing w:val="11"/>
                <w:kern w:val="2"/>
                <w:position w:val="0"/>
                <w:sz w:val="24"/>
                <w:szCs w:val="22"/>
                <w:lang w:val="en-US" w:eastAsia="zh-CN" w:bidi="ar-SA"/>
              </w:rPr>
            </w:pPr>
            <w:r>
              <w:rPr>
                <w:rFonts w:hint="default" w:ascii="Times New Roman" w:hAnsi="Times New Roman" w:eastAsia="宋体" w:cs="Times New Roman"/>
                <w:color w:val="auto"/>
                <w:spacing w:val="11"/>
                <w:kern w:val="2"/>
                <w:position w:val="0"/>
                <w:sz w:val="24"/>
                <w:szCs w:val="22"/>
                <w:lang w:val="en-US" w:eastAsia="zh-CN" w:bidi="ar-SA"/>
              </w:rPr>
              <w:t>本项目不涉及电磁辐射设备，不进行电磁辐射影响评价，因此无需进行电磁辐射环境现状调查。</w:t>
            </w:r>
          </w:p>
          <w:p w14:paraId="67688C88">
            <w:pPr>
              <w:keepNext/>
              <w:keepLines/>
              <w:pageBreakBefore w:val="0"/>
              <w:widowControl w:val="0"/>
              <w:numPr>
                <w:ilvl w:val="0"/>
                <w:numId w:val="0"/>
              </w:numPr>
              <w:kinsoku/>
              <w:wordWrap/>
              <w:overflowPunct/>
              <w:topLinePunct w:val="0"/>
              <w:autoSpaceDE/>
              <w:autoSpaceDN/>
              <w:bidi w:val="0"/>
              <w:adjustRightInd w:val="0"/>
              <w:snapToGrid w:val="0"/>
              <w:spacing w:after="0" w:line="360" w:lineRule="auto"/>
              <w:jc w:val="both"/>
              <w:outlineLvl w:val="2"/>
              <w:rPr>
                <w:rFonts w:hint="default" w:ascii="Times New Roman" w:hAnsi="Times New Roman" w:eastAsia="宋体" w:cs="Times New Roman"/>
                <w:b/>
                <w:bCs/>
                <w:color w:val="auto"/>
                <w:spacing w:val="11"/>
                <w:kern w:val="2"/>
                <w:position w:val="0"/>
                <w:sz w:val="24"/>
                <w:szCs w:val="22"/>
                <w:u w:val="none"/>
                <w:lang w:val="en-US" w:eastAsia="zh-CN" w:bidi="ar-SA"/>
              </w:rPr>
            </w:pPr>
            <w:r>
              <w:rPr>
                <w:rFonts w:hint="default" w:ascii="Times New Roman" w:hAnsi="Times New Roman" w:eastAsia="宋体" w:cs="Times New Roman"/>
                <w:b/>
                <w:bCs/>
                <w:color w:val="auto"/>
                <w:spacing w:val="11"/>
                <w:kern w:val="2"/>
                <w:position w:val="0"/>
                <w:sz w:val="24"/>
                <w:szCs w:val="22"/>
                <w:u w:val="none"/>
                <w:lang w:val="en-US" w:eastAsia="zh-CN" w:bidi="ar-SA"/>
              </w:rPr>
              <w:t>7、生态环境质量现状</w:t>
            </w:r>
            <w:bookmarkEnd w:id="32"/>
          </w:p>
          <w:bookmarkEnd w:id="33"/>
          <w:p w14:paraId="51BA274B">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（1）主体功能区划和生态功能区划情况</w:t>
            </w:r>
          </w:p>
          <w:p w14:paraId="19373C7B">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根据《全国主体功能区规划》，将国土空间划分为优化开发、重点开发、限制开发和禁止开发四类。《湖南省主体功能区规划》在对全省国土空间进行综合评价的基础上，以是否适宜或如何进行大规模高强度工业化城镇化为基础，以县级行政区为基本单元，按开发内容分为城市化地区、农产品主产区和重点生态功能区，按开发方式和强度分为重点开发区域、限制开发区域和禁止开发区域。</w:t>
            </w:r>
          </w:p>
          <w:p w14:paraId="0B0679C6">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新田县的功能定位属于重点生态功能区，重点生态功能区是指生态系统十分重要，关系到国家或省内较大范围的生态安全，资源环境承载能力较弱、大规模集聚经济和人口条件不够好，需要在国土空间开发中限制进行大规模高强度工业化城镇化开发，以保持并提高生态产品供给能力的区域。为限制开发区域，发展方向为涵养水源、保持水土、调蓄洪水、维护生物多样性，在不损害生态功能的前提下，因地制宜发展适度资源开采、农林产品生产加工等资源环境可承载的适宜产业，积极发展第三产业。严格限制高污染、高能耗、高物耗产业，淘汰污染环境、破坏生态、浪费资源的产业；合理布局城镇和产业园区，把城镇建设和工业开发严格限制在资源环境能够承受的特定区域，加大已有产业园区的提升改造。</w:t>
            </w:r>
          </w:p>
          <w:p w14:paraId="3B33544C">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本项目为建筑石料开采项目，不属于大规模高强度工业化城镇化开发项目，不属于高污染、高能耗、高物耗产业，本项目建设与主体功能区规划要求不冲突。</w:t>
            </w:r>
          </w:p>
          <w:p w14:paraId="1A45AB85">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（2）区域土地利用现状</w:t>
            </w:r>
          </w:p>
          <w:p w14:paraId="08C375CA">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项目用地总面0.</w:t>
            </w:r>
            <w:r>
              <w:rPr>
                <w:rFonts w:hint="eastAsia" w:cs="Times New Roman"/>
                <w:b w:val="0"/>
                <w:bCs w:val="0"/>
                <w:color w:val="000000"/>
                <w:spacing w:val="11"/>
                <w:position w:val="0"/>
                <w:sz w:val="24"/>
                <w:szCs w:val="24"/>
                <w:highlight w:val="none"/>
                <w:u w:val="none" w:color="auto"/>
                <w:lang w:val="en-US" w:eastAsia="zh-CN"/>
              </w:rPr>
              <w:t>0633</w:t>
            </w: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km</w:t>
            </w:r>
            <w:r>
              <w:rPr>
                <w:rFonts w:hint="default" w:ascii="Times New Roman" w:hAnsi="Times New Roman" w:eastAsia="宋体" w:cs="Times New Roman"/>
                <w:b w:val="0"/>
                <w:bCs w:val="0"/>
                <w:color w:val="000000"/>
                <w:spacing w:val="11"/>
                <w:position w:val="0"/>
                <w:sz w:val="24"/>
                <w:szCs w:val="24"/>
                <w:highlight w:val="none"/>
                <w:u w:val="none" w:color="auto"/>
                <w:vertAlign w:val="superscript"/>
                <w:lang w:val="en-US" w:eastAsia="zh-CN"/>
              </w:rPr>
              <w:t>2</w:t>
            </w: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2"/>
                <w:u w:val="none" w:color="auto"/>
                <w:lang w:val="en-US" w:eastAsia="zh-CN"/>
              </w:rPr>
              <w:t>拟设矿山范围地表主要为林地，没有占用基本农田</w:t>
            </w: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w:t>
            </w:r>
          </w:p>
          <w:p w14:paraId="6B35F458">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（3）植物现状</w:t>
            </w:r>
          </w:p>
          <w:p w14:paraId="623116F9">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根据现场勘查，场址周边因自然植被受人为活动干扰较重，地带性原生植被现存量较少，现状植被主要为次生灌木草丛为主，零星分布有少量乔木，矿区的植被绿化以桂花树、柏树为主，但其它植被也较为丰富。现场调查主要常见的林木有：杉木、马尾松、樟树、桂花、构树、油茶、杜英、春杜鹃、月月桂、红继木等，常见的灌草类植物有：毛竹、狗尾草、高羊茅、裂叶月见草、小蓬草、蕨灌草、苍耳草等，本项目占地范围内未见重点保护植物分布。</w:t>
            </w:r>
          </w:p>
          <w:p w14:paraId="0F4D72CF">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（4）动物现状</w:t>
            </w:r>
          </w:p>
          <w:p w14:paraId="7D74DAE1">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根据现场勘查，评价范围内未发现有重要野生动物或鸟类的栖息或繁殖地，亦未发现有珍稀濒危野生动物或鸟类分布。由于人类开垦和密集的生产生活活动的深刻影响，可见的陆生动物主要为家庭喂养的禽畜，野生动物以蛙类、蛇类、雀形目鸟类和小型兽类为主，其它动物资源及生态分布相对贫乏。根据现场调查时走访，一般常见的野生动物兽类仅有鼠、蛙、蛇、鸟类常见，家畜家禽饲养猪、牛、羊、马、犬及鸡、鸭、鹅等；水生动物常见水虾、蚌壳、田螺、蛙类，鱼类则以四大家鱼为主。由于矿区人类活动频繁，野生动物罕见，矿区未见国家重点保护的野生动物物种，矿山范围界线不涉及河流和滩涂，不涉及鱼类三场（鱼类产卵场、索饵场、越冬场）。</w:t>
            </w:r>
          </w:p>
          <w:p w14:paraId="53C5FC5B">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（5）生态环境现状结论</w:t>
            </w:r>
          </w:p>
          <w:p w14:paraId="3CDFE89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工程建设区域现状以农村环境为主，项目区域内未发现珍稀植物物种和古树，野生珍稀濒危动物种类，无风景名胜区、自然保护区、森林公园、</w:t>
            </w:r>
            <w:r>
              <w:rPr>
                <w:rFonts w:hint="default" w:ascii="Times New Roman" w:hAnsi="Times New Roman" w:eastAsia="宋体" w:cs="Times New Roman"/>
                <w:color w:val="auto"/>
                <w:spacing w:val="11"/>
                <w:kern w:val="0"/>
                <w:position w:val="0"/>
                <w:sz w:val="24"/>
                <w:szCs w:val="24"/>
                <w:u w:val="none" w:color="auto"/>
                <w:lang w:val="en-US" w:eastAsia="zh-CN" w:bidi="ar"/>
              </w:rPr>
              <w:t>世界文化和自然遗产等需要特殊保护的生态敏感区，无森林公园、地质公园、重要湿地等重要生态敏感区等特殊环境敏感目标。植被类型主要为灌木、杂草，植被覆盖率较高；由于人类活动的影响较大，该区动物种类及数量较少，并未发现珍稀动物、植物，区域内也没有发现大型野生动物，仅有如蛇类、鸟类，鼠类等小型动物出没。</w:t>
            </w:r>
            <w:r>
              <w:rPr>
                <w:rFonts w:hint="default" w:ascii="Times New Roman" w:hAnsi="Times New Roman" w:eastAsia="宋体" w:cs="Times New Roman"/>
                <w:color w:val="000000"/>
                <w:spacing w:val="11"/>
                <w:kern w:val="0"/>
                <w:position w:val="0"/>
                <w:sz w:val="24"/>
                <w:szCs w:val="24"/>
                <w:u w:val="none" w:color="auto"/>
                <w:lang w:val="en-US" w:eastAsia="zh-CN"/>
              </w:rPr>
              <w:t>生态</w:t>
            </w:r>
            <w:r>
              <w:rPr>
                <w:rFonts w:hint="default" w:ascii="Times New Roman" w:hAnsi="Times New Roman" w:eastAsia="宋体" w:cs="Times New Roman"/>
                <w:b w:val="0"/>
                <w:bCs w:val="0"/>
                <w:color w:val="000000"/>
                <w:spacing w:val="11"/>
                <w:kern w:val="0"/>
                <w:position w:val="0"/>
                <w:sz w:val="24"/>
                <w:szCs w:val="24"/>
                <w:u w:val="none" w:color="auto"/>
                <w:lang w:val="en-US" w:eastAsia="zh-CN"/>
              </w:rPr>
              <w:t>环境质量一般</w:t>
            </w:r>
            <w:r>
              <w:rPr>
                <w:rFonts w:hint="default" w:ascii="Times New Roman" w:hAnsi="Times New Roman" w:eastAsia="宋体" w:cs="Times New Roman"/>
                <w:b w:val="0"/>
                <w:bCs w:val="0"/>
                <w:color w:val="000000"/>
                <w:spacing w:val="11"/>
                <w:kern w:val="0"/>
                <w:position w:val="0"/>
                <w:sz w:val="24"/>
                <w:szCs w:val="24"/>
                <w:u w:val="none" w:color="auto"/>
              </w:rPr>
              <w:t>。</w:t>
            </w:r>
          </w:p>
        </w:tc>
      </w:tr>
      <w:tr w14:paraId="55B22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27" w:hRule="atLeast"/>
          <w:jc w:val="center"/>
        </w:trPr>
        <w:tc>
          <w:tcPr>
            <w:tcW w:w="493" w:type="pct"/>
            <w:tcBorders>
              <w:tl2br w:val="nil"/>
              <w:tr2bl w:val="nil"/>
            </w:tcBorders>
            <w:noWrap w:val="0"/>
            <w:vAlign w:val="center"/>
          </w:tcPr>
          <w:p w14:paraId="3A2ABD7E">
            <w:pPr>
              <w:adjustRightInd w:val="0"/>
              <w:snapToGrid w:val="0"/>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bCs/>
                <w:color w:val="auto"/>
                <w:spacing w:val="11"/>
                <w:position w:val="0"/>
                <w:sz w:val="24"/>
                <w:szCs w:val="24"/>
              </w:rPr>
              <w:t>与项目有关的原有环境污染和生态破坏问题</w:t>
            </w:r>
          </w:p>
        </w:tc>
        <w:tc>
          <w:tcPr>
            <w:tcW w:w="4506" w:type="pct"/>
            <w:tcBorders>
              <w:tl2br w:val="nil"/>
              <w:tr2bl w:val="nil"/>
            </w:tcBorders>
            <w:noWrap w:val="0"/>
            <w:vAlign w:val="center"/>
          </w:tcPr>
          <w:p w14:paraId="7052EA0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本项目为新建矿山项目。</w:t>
            </w:r>
          </w:p>
          <w:p w14:paraId="797B23B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湖南省新田县文锋岭矿区建筑石料用灰</w:t>
            </w:r>
            <w:r>
              <w:rPr>
                <w:rFonts w:hint="default" w:ascii="Times New Roman" w:hAnsi="Times New Roman" w:eastAsia="宋体" w:cs="Times New Roman"/>
                <w:color w:val="auto"/>
                <w:spacing w:val="11"/>
                <w:kern w:val="0"/>
                <w:position w:val="0"/>
                <w:sz w:val="24"/>
                <w:szCs w:val="24"/>
                <w:highlight w:val="none"/>
                <w:lang w:val="en-US" w:eastAsia="zh-CN"/>
              </w:rPr>
              <w:t>岩矿（以下简称文锋岭矿区），</w:t>
            </w:r>
            <w:r>
              <w:rPr>
                <w:rFonts w:hint="default" w:ascii="Times New Roman" w:hAnsi="Times New Roman" w:eastAsia="宋体" w:cs="Times New Roman"/>
                <w:color w:val="auto"/>
                <w:spacing w:val="11"/>
                <w:kern w:val="0"/>
                <w:position w:val="0"/>
                <w:sz w:val="24"/>
                <w:szCs w:val="24"/>
                <w:lang w:val="en-US" w:eastAsia="zh-CN"/>
              </w:rPr>
              <w:t>属已设采矿权调整</w:t>
            </w:r>
            <w:r>
              <w:rPr>
                <w:rFonts w:hint="eastAsia"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是将原新田县聚鑫采石场采矿权调整，调整后进行公开招拍挂牌出让采矿权。在拟设采矿权挂牌出让前，新田县自然资源局将对新田县聚鑫采石场矿权予以注销。目前原有的新田县聚鑫采石场已经注销关闭。</w:t>
            </w:r>
          </w:p>
          <w:p w14:paraId="33C98A02">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新田县聚鑫采石场为开采多年的老矿山</w:t>
            </w:r>
            <w:r>
              <w:rPr>
                <w:rFonts w:hint="eastAsia"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于2014年建成投产，2018年9月变更了矿区范围</w:t>
            </w:r>
            <w:r>
              <w:rPr>
                <w:rFonts w:hint="eastAsia" w:cs="Times New Roman"/>
                <w:color w:val="auto"/>
                <w:spacing w:val="11"/>
                <w:kern w:val="0"/>
                <w:position w:val="0"/>
                <w:sz w:val="24"/>
                <w:szCs w:val="24"/>
                <w:lang w:val="en-US" w:eastAsia="zh-CN"/>
              </w:rPr>
              <w:t>，矿山开采方式为露天台阶式开采，原开采区共形成3个开采平台，采损面积约2.5万m</w:t>
            </w:r>
            <w:r>
              <w:rPr>
                <w:rFonts w:hint="eastAsia" w:cs="Times New Roman"/>
                <w:color w:val="auto"/>
                <w:spacing w:val="11"/>
                <w:kern w:val="0"/>
                <w:position w:val="0"/>
                <w:sz w:val="24"/>
                <w:szCs w:val="24"/>
                <w:vertAlign w:val="superscript"/>
                <w:lang w:val="en-US" w:eastAsia="zh-CN"/>
              </w:rPr>
              <w:t>2</w:t>
            </w:r>
            <w:r>
              <w:rPr>
                <w:rFonts w:hint="eastAsia" w:cs="Times New Roman"/>
                <w:color w:val="auto"/>
                <w:spacing w:val="11"/>
                <w:kern w:val="0"/>
                <w:position w:val="0"/>
                <w:sz w:val="24"/>
                <w:szCs w:val="24"/>
                <w:lang w:val="en-US" w:eastAsia="zh-CN"/>
              </w:rPr>
              <w:t>，由上至下分为+365m平台、+350m平台和+335m平台，矿山生产产品主要为碎石。</w:t>
            </w:r>
          </w:p>
          <w:p w14:paraId="66B06DE3">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highlight w:val="none"/>
                <w:lang w:val="en-US" w:eastAsia="zh-CN"/>
              </w:rPr>
            </w:pPr>
            <w:r>
              <w:rPr>
                <w:rFonts w:hint="default" w:ascii="Times New Roman" w:hAnsi="Times New Roman" w:eastAsia="宋体" w:cs="Times New Roman"/>
                <w:color w:val="auto"/>
                <w:spacing w:val="11"/>
                <w:kern w:val="0"/>
                <w:position w:val="0"/>
                <w:sz w:val="24"/>
                <w:szCs w:val="24"/>
                <w:lang w:val="en-US" w:eastAsia="zh-CN"/>
              </w:rPr>
              <w:t>根据现场调</w:t>
            </w:r>
            <w:r>
              <w:rPr>
                <w:rFonts w:hint="default" w:ascii="Times New Roman" w:hAnsi="Times New Roman" w:eastAsia="宋体" w:cs="Times New Roman"/>
                <w:color w:val="auto"/>
                <w:spacing w:val="11"/>
                <w:kern w:val="0"/>
                <w:position w:val="0"/>
                <w:sz w:val="24"/>
                <w:szCs w:val="24"/>
                <w:highlight w:val="none"/>
                <w:lang w:val="en-US" w:eastAsia="zh-CN"/>
              </w:rPr>
              <w:t>查，目前矿山范围内西部小部分区域为原新田县聚鑫采石场露天采场造成挖损</w:t>
            </w:r>
            <w:r>
              <w:rPr>
                <w:rFonts w:hint="eastAsia" w:cs="Times New Roman"/>
                <w:color w:val="auto"/>
                <w:spacing w:val="11"/>
                <w:kern w:val="0"/>
                <w:position w:val="0"/>
                <w:sz w:val="24"/>
                <w:szCs w:val="24"/>
                <w:highlight w:val="none"/>
                <w:lang w:val="en-US" w:eastAsia="zh-CN"/>
              </w:rPr>
              <w:t>，</w:t>
            </w:r>
            <w:r>
              <w:rPr>
                <w:rFonts w:hint="default" w:ascii="Times New Roman" w:hAnsi="Times New Roman" w:eastAsia="宋体" w:cs="Times New Roman"/>
                <w:color w:val="auto"/>
                <w:spacing w:val="11"/>
                <w:kern w:val="0"/>
                <w:position w:val="0"/>
                <w:sz w:val="24"/>
                <w:szCs w:val="24"/>
                <w:highlight w:val="none"/>
                <w:lang w:val="en-US" w:eastAsia="zh-CN"/>
              </w:rPr>
              <w:t>原新田县聚鑫采石场未开展过生态保护修复工作。</w:t>
            </w:r>
          </w:p>
          <w:p w14:paraId="5642EDE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highlight w:val="none"/>
                <w:lang w:val="en-US" w:eastAsia="zh-CN"/>
              </w:rPr>
            </w:pPr>
            <w:r>
              <w:rPr>
                <w:rFonts w:hint="default" w:ascii="Times New Roman" w:hAnsi="Times New Roman" w:eastAsia="宋体" w:cs="Times New Roman"/>
                <w:color w:val="auto"/>
                <w:spacing w:val="11"/>
                <w:kern w:val="0"/>
                <w:position w:val="0"/>
                <w:sz w:val="24"/>
                <w:szCs w:val="24"/>
                <w:highlight w:val="none"/>
                <w:lang w:val="en-US" w:eastAsia="zh-CN"/>
              </w:rPr>
              <w:t>原新田县聚鑫采石场存在的主要环境问题见下：</w:t>
            </w:r>
          </w:p>
          <w:p w14:paraId="161D2E1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highlight w:val="none"/>
                <w:u w:val="single"/>
                <w:lang w:val="en-US" w:eastAsia="zh-CN"/>
              </w:rPr>
            </w:pPr>
            <w:r>
              <w:rPr>
                <w:rFonts w:hint="default" w:ascii="Times New Roman" w:hAnsi="Times New Roman" w:eastAsia="宋体" w:cs="Times New Roman"/>
                <w:color w:val="auto"/>
                <w:spacing w:val="11"/>
                <w:kern w:val="0"/>
                <w:position w:val="0"/>
                <w:sz w:val="24"/>
                <w:szCs w:val="24"/>
                <w:highlight w:val="none"/>
                <w:u w:val="single"/>
                <w:lang w:val="en-US" w:eastAsia="zh-CN"/>
              </w:rPr>
              <w:t>（1）生态破坏：占用土地面积破坏、占用的土地类型主要为林地和荒山，破坏总面积约3.73hm</w:t>
            </w:r>
            <w:r>
              <w:rPr>
                <w:rFonts w:hint="default" w:ascii="Times New Roman" w:hAnsi="Times New Roman" w:eastAsia="宋体" w:cs="Times New Roman"/>
                <w:color w:val="auto"/>
                <w:spacing w:val="11"/>
                <w:kern w:val="0"/>
                <w:position w:val="0"/>
                <w:sz w:val="24"/>
                <w:szCs w:val="24"/>
                <w:highlight w:val="none"/>
                <w:u w:val="single"/>
                <w:vertAlign w:val="superscript"/>
                <w:lang w:val="en-US" w:eastAsia="zh-CN"/>
              </w:rPr>
              <w:t>2</w:t>
            </w:r>
            <w:r>
              <w:rPr>
                <w:rFonts w:hint="default" w:ascii="Times New Roman" w:hAnsi="Times New Roman" w:eastAsia="宋体" w:cs="Times New Roman"/>
                <w:color w:val="auto"/>
                <w:spacing w:val="11"/>
                <w:kern w:val="0"/>
                <w:position w:val="0"/>
                <w:sz w:val="24"/>
                <w:szCs w:val="24"/>
                <w:highlight w:val="none"/>
                <w:u w:val="single"/>
                <w:lang w:val="en-US" w:eastAsia="zh-CN"/>
              </w:rPr>
              <w:t>，其中生活管理区压占土地资源</w:t>
            </w:r>
            <w:r>
              <w:rPr>
                <w:rFonts w:hint="eastAsia" w:cs="Times New Roman"/>
                <w:color w:val="auto"/>
                <w:spacing w:val="11"/>
                <w:kern w:val="0"/>
                <w:position w:val="0"/>
                <w:sz w:val="24"/>
                <w:szCs w:val="24"/>
                <w:highlight w:val="none"/>
                <w:u w:val="single"/>
                <w:lang w:val="en-US" w:eastAsia="zh-CN"/>
              </w:rPr>
              <w:t>0.24</w:t>
            </w:r>
            <w:r>
              <w:rPr>
                <w:rFonts w:hint="default" w:ascii="Times New Roman" w:hAnsi="Times New Roman" w:eastAsia="宋体" w:cs="Times New Roman"/>
                <w:color w:val="auto"/>
                <w:spacing w:val="11"/>
                <w:kern w:val="0"/>
                <w:position w:val="0"/>
                <w:sz w:val="24"/>
                <w:szCs w:val="24"/>
                <w:highlight w:val="none"/>
                <w:u w:val="single"/>
                <w:lang w:val="en-US" w:eastAsia="zh-CN"/>
              </w:rPr>
              <w:t>hm</w:t>
            </w:r>
            <w:r>
              <w:rPr>
                <w:rFonts w:hint="default" w:ascii="Times New Roman" w:hAnsi="Times New Roman" w:eastAsia="宋体" w:cs="Times New Roman"/>
                <w:color w:val="auto"/>
                <w:spacing w:val="11"/>
                <w:kern w:val="0"/>
                <w:position w:val="0"/>
                <w:sz w:val="24"/>
                <w:szCs w:val="24"/>
                <w:highlight w:val="none"/>
                <w:u w:val="single"/>
                <w:vertAlign w:val="superscript"/>
                <w:lang w:val="en-US" w:eastAsia="zh-CN"/>
              </w:rPr>
              <w:t>2</w:t>
            </w:r>
            <w:r>
              <w:rPr>
                <w:rFonts w:hint="default" w:ascii="Times New Roman" w:hAnsi="Times New Roman" w:eastAsia="宋体" w:cs="Times New Roman"/>
                <w:color w:val="auto"/>
                <w:spacing w:val="11"/>
                <w:kern w:val="0"/>
                <w:position w:val="0"/>
                <w:sz w:val="24"/>
                <w:szCs w:val="24"/>
                <w:highlight w:val="none"/>
                <w:u w:val="single"/>
                <w:lang w:val="en-US" w:eastAsia="zh-CN"/>
              </w:rPr>
              <w:t>，加工及堆置场地压占土地资源</w:t>
            </w:r>
            <w:r>
              <w:rPr>
                <w:rFonts w:hint="eastAsia" w:cs="Times New Roman"/>
                <w:color w:val="auto"/>
                <w:spacing w:val="11"/>
                <w:kern w:val="0"/>
                <w:position w:val="0"/>
                <w:sz w:val="24"/>
                <w:szCs w:val="24"/>
                <w:highlight w:val="none"/>
                <w:u w:val="single"/>
                <w:lang w:val="en-US" w:eastAsia="zh-CN"/>
              </w:rPr>
              <w:t>1.0</w:t>
            </w:r>
            <w:r>
              <w:rPr>
                <w:rFonts w:hint="default" w:ascii="Times New Roman" w:hAnsi="Times New Roman" w:eastAsia="宋体" w:cs="Times New Roman"/>
                <w:color w:val="auto"/>
                <w:spacing w:val="11"/>
                <w:kern w:val="0"/>
                <w:position w:val="0"/>
                <w:sz w:val="24"/>
                <w:szCs w:val="24"/>
                <w:highlight w:val="none"/>
                <w:u w:val="single"/>
                <w:lang w:val="en-US" w:eastAsia="zh-CN"/>
              </w:rPr>
              <w:t>hm</w:t>
            </w:r>
            <w:r>
              <w:rPr>
                <w:rFonts w:hint="default" w:ascii="Times New Roman" w:hAnsi="Times New Roman" w:eastAsia="宋体" w:cs="Times New Roman"/>
                <w:color w:val="auto"/>
                <w:spacing w:val="11"/>
                <w:kern w:val="0"/>
                <w:position w:val="0"/>
                <w:sz w:val="24"/>
                <w:szCs w:val="24"/>
                <w:highlight w:val="none"/>
                <w:u w:val="single"/>
                <w:vertAlign w:val="superscript"/>
                <w:lang w:val="en-US" w:eastAsia="zh-CN"/>
              </w:rPr>
              <w:t>2</w:t>
            </w:r>
            <w:r>
              <w:rPr>
                <w:rFonts w:hint="default" w:ascii="Times New Roman" w:hAnsi="Times New Roman" w:eastAsia="宋体" w:cs="Times New Roman"/>
                <w:color w:val="auto"/>
                <w:spacing w:val="11"/>
                <w:kern w:val="0"/>
                <w:position w:val="0"/>
                <w:sz w:val="24"/>
                <w:szCs w:val="24"/>
                <w:highlight w:val="none"/>
                <w:u w:val="single"/>
                <w:lang w:val="en-US" w:eastAsia="zh-CN"/>
              </w:rPr>
              <w:t>，排土场压占土地资源</w:t>
            </w:r>
            <w:r>
              <w:rPr>
                <w:rFonts w:hint="eastAsia" w:cs="Times New Roman"/>
                <w:color w:val="auto"/>
                <w:spacing w:val="11"/>
                <w:kern w:val="0"/>
                <w:position w:val="0"/>
                <w:sz w:val="24"/>
                <w:szCs w:val="24"/>
                <w:highlight w:val="none"/>
                <w:u w:val="single"/>
                <w:lang w:val="en-US" w:eastAsia="zh-CN"/>
              </w:rPr>
              <w:t>1.21</w:t>
            </w:r>
            <w:r>
              <w:rPr>
                <w:rFonts w:hint="default" w:ascii="Times New Roman" w:hAnsi="Times New Roman" w:eastAsia="宋体" w:cs="Times New Roman"/>
                <w:color w:val="auto"/>
                <w:spacing w:val="11"/>
                <w:kern w:val="0"/>
                <w:position w:val="0"/>
                <w:sz w:val="24"/>
                <w:szCs w:val="24"/>
                <w:highlight w:val="none"/>
                <w:u w:val="single"/>
                <w:lang w:val="en-US" w:eastAsia="zh-CN"/>
              </w:rPr>
              <w:t>hm</w:t>
            </w:r>
            <w:r>
              <w:rPr>
                <w:rFonts w:hint="default" w:ascii="Times New Roman" w:hAnsi="Times New Roman" w:eastAsia="宋体" w:cs="Times New Roman"/>
                <w:color w:val="auto"/>
                <w:spacing w:val="11"/>
                <w:kern w:val="0"/>
                <w:position w:val="0"/>
                <w:sz w:val="24"/>
                <w:szCs w:val="24"/>
                <w:highlight w:val="none"/>
                <w:u w:val="single"/>
                <w:vertAlign w:val="superscript"/>
                <w:lang w:val="en-US" w:eastAsia="zh-CN"/>
              </w:rPr>
              <w:t>2</w:t>
            </w:r>
            <w:r>
              <w:rPr>
                <w:rFonts w:hint="default" w:ascii="Times New Roman" w:hAnsi="Times New Roman" w:eastAsia="宋体" w:cs="Times New Roman"/>
                <w:color w:val="auto"/>
                <w:spacing w:val="11"/>
                <w:kern w:val="0"/>
                <w:position w:val="0"/>
                <w:sz w:val="24"/>
                <w:szCs w:val="24"/>
                <w:highlight w:val="none"/>
                <w:u w:val="single"/>
                <w:lang w:val="en-US" w:eastAsia="zh-CN"/>
              </w:rPr>
              <w:t>，采掘区占压土地资源</w:t>
            </w:r>
            <w:r>
              <w:rPr>
                <w:rFonts w:hint="eastAsia" w:cs="Times New Roman"/>
                <w:color w:val="auto"/>
                <w:spacing w:val="11"/>
                <w:kern w:val="0"/>
                <w:position w:val="0"/>
                <w:sz w:val="24"/>
                <w:szCs w:val="24"/>
                <w:highlight w:val="none"/>
                <w:u w:val="single"/>
                <w:lang w:val="en-US" w:eastAsia="zh-CN"/>
              </w:rPr>
              <w:t>1.28</w:t>
            </w:r>
            <w:r>
              <w:rPr>
                <w:rFonts w:hint="default" w:ascii="Times New Roman" w:hAnsi="Times New Roman" w:eastAsia="宋体" w:cs="Times New Roman"/>
                <w:color w:val="auto"/>
                <w:spacing w:val="11"/>
                <w:kern w:val="0"/>
                <w:position w:val="0"/>
                <w:sz w:val="24"/>
                <w:szCs w:val="24"/>
                <w:highlight w:val="none"/>
                <w:u w:val="single"/>
                <w:lang w:val="en-US" w:eastAsia="zh-CN"/>
              </w:rPr>
              <w:t>hm</w:t>
            </w:r>
            <w:r>
              <w:rPr>
                <w:rFonts w:hint="default" w:ascii="Times New Roman" w:hAnsi="Times New Roman" w:eastAsia="宋体" w:cs="Times New Roman"/>
                <w:color w:val="auto"/>
                <w:spacing w:val="11"/>
                <w:kern w:val="0"/>
                <w:position w:val="0"/>
                <w:sz w:val="24"/>
                <w:szCs w:val="24"/>
                <w:highlight w:val="none"/>
                <w:u w:val="single"/>
                <w:vertAlign w:val="superscript"/>
                <w:lang w:val="en-US" w:eastAsia="zh-CN"/>
              </w:rPr>
              <w:t>2</w:t>
            </w:r>
            <w:r>
              <w:rPr>
                <w:rFonts w:hint="default" w:ascii="Times New Roman" w:hAnsi="Times New Roman" w:eastAsia="宋体" w:cs="Times New Roman"/>
                <w:color w:val="auto"/>
                <w:spacing w:val="11"/>
                <w:kern w:val="0"/>
                <w:position w:val="0"/>
                <w:sz w:val="24"/>
                <w:szCs w:val="24"/>
                <w:highlight w:val="none"/>
                <w:u w:val="single"/>
                <w:lang w:val="en-US" w:eastAsia="zh-CN"/>
              </w:rPr>
              <w:t>。矿业活动占用、破坏土地资源影响较重。矿山生态环境恢复治理难度中等。</w:t>
            </w:r>
          </w:p>
          <w:p w14:paraId="4F4E38A8">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highlight w:val="none"/>
                <w:u w:val="single"/>
                <w:lang w:val="en-US" w:eastAsia="zh-CN"/>
              </w:rPr>
            </w:pPr>
            <w:r>
              <w:rPr>
                <w:rFonts w:hint="default" w:ascii="Times New Roman" w:hAnsi="Times New Roman" w:eastAsia="宋体" w:cs="Times New Roman"/>
                <w:color w:val="auto"/>
                <w:spacing w:val="11"/>
                <w:kern w:val="0"/>
                <w:position w:val="0"/>
                <w:sz w:val="24"/>
                <w:szCs w:val="24"/>
                <w:highlight w:val="none"/>
                <w:u w:val="single"/>
                <w:lang w:val="en-US" w:eastAsia="zh-CN"/>
              </w:rPr>
              <w:t>（2）矿区内雨水无收集措施，未设置场地截排水沟和沉砂池。</w:t>
            </w:r>
          </w:p>
          <w:p w14:paraId="45F0E6F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rPr>
            </w:pPr>
            <w:r>
              <w:rPr>
                <w:rFonts w:hint="default" w:ascii="Times New Roman" w:hAnsi="Times New Roman" w:eastAsia="宋体" w:cs="Times New Roman"/>
                <w:color w:val="auto"/>
                <w:spacing w:val="11"/>
                <w:kern w:val="0"/>
                <w:position w:val="0"/>
                <w:sz w:val="24"/>
                <w:szCs w:val="24"/>
                <w:highlight w:val="none"/>
                <w:u w:val="single"/>
                <w:lang w:val="en-US" w:eastAsia="zh-CN"/>
              </w:rPr>
              <w:t>（3）工业场地只有局部硬化，</w:t>
            </w:r>
            <w:r>
              <w:rPr>
                <w:rFonts w:hint="eastAsia" w:cs="Times New Roman"/>
                <w:color w:val="auto"/>
                <w:spacing w:val="11"/>
                <w:kern w:val="0"/>
                <w:position w:val="0"/>
                <w:sz w:val="24"/>
                <w:szCs w:val="24"/>
                <w:highlight w:val="none"/>
                <w:u w:val="single"/>
                <w:lang w:val="en-US" w:eastAsia="zh-CN"/>
              </w:rPr>
              <w:t>项目区内有</w:t>
            </w:r>
            <w:r>
              <w:rPr>
                <w:rFonts w:hint="default" w:ascii="Times New Roman" w:hAnsi="Times New Roman" w:eastAsia="宋体" w:cs="Times New Roman"/>
                <w:color w:val="auto"/>
                <w:spacing w:val="11"/>
                <w:kern w:val="0"/>
                <w:position w:val="0"/>
                <w:sz w:val="24"/>
                <w:szCs w:val="24"/>
                <w:highlight w:val="none"/>
                <w:u w:val="single"/>
                <w:lang w:val="en-US" w:eastAsia="zh-CN"/>
              </w:rPr>
              <w:t>水土流失现象。</w:t>
            </w:r>
          </w:p>
        </w:tc>
      </w:tr>
      <w:tr w14:paraId="1AF39E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3" w:type="pct"/>
            <w:tcBorders>
              <w:tl2br w:val="nil"/>
              <w:tr2bl w:val="nil"/>
            </w:tcBorders>
            <w:noWrap w:val="0"/>
            <w:vAlign w:val="center"/>
          </w:tcPr>
          <w:p w14:paraId="7B95DD73">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宋体" w:cs="Times New Roman"/>
                <w:color w:val="auto"/>
                <w:spacing w:val="11"/>
                <w:kern w:val="0"/>
                <w:position w:val="0"/>
                <w:sz w:val="24"/>
                <w:szCs w:val="24"/>
                <w:highlight w:val="none"/>
              </w:rPr>
            </w:pPr>
            <w:r>
              <w:rPr>
                <w:rFonts w:hint="default" w:ascii="Times New Roman" w:hAnsi="Times New Roman" w:eastAsia="宋体" w:cs="Times New Roman"/>
                <w:color w:val="auto"/>
                <w:spacing w:val="11"/>
                <w:kern w:val="0"/>
                <w:position w:val="0"/>
                <w:sz w:val="24"/>
                <w:szCs w:val="24"/>
                <w:highlight w:val="none"/>
              </w:rPr>
              <w:t>生态环境保护目标</w:t>
            </w:r>
          </w:p>
        </w:tc>
        <w:tc>
          <w:tcPr>
            <w:tcW w:w="4506" w:type="pct"/>
            <w:tcBorders>
              <w:tl2br w:val="nil"/>
              <w:tr2bl w:val="nil"/>
            </w:tcBorders>
            <w:noWrap w:val="0"/>
            <w:vAlign w:val="center"/>
          </w:tcPr>
          <w:p w14:paraId="4ABE073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single"/>
                <w:lang w:eastAsia="zh-CN"/>
              </w:rPr>
            </w:pPr>
            <w:r>
              <w:rPr>
                <w:rFonts w:hint="default" w:ascii="Times New Roman" w:hAnsi="Times New Roman" w:eastAsia="宋体" w:cs="Times New Roman"/>
                <w:color w:val="auto"/>
                <w:spacing w:val="11"/>
                <w:position w:val="0"/>
                <w:sz w:val="24"/>
                <w:szCs w:val="24"/>
                <w:highlight w:val="none"/>
                <w:u w:val="single"/>
              </w:rPr>
              <w:t>根据现场调查，</w:t>
            </w:r>
            <w:r>
              <w:rPr>
                <w:rFonts w:hint="default" w:ascii="Times New Roman" w:hAnsi="Times New Roman" w:eastAsia="宋体" w:cs="Times New Roman"/>
                <w:color w:val="auto"/>
                <w:spacing w:val="11"/>
                <w:position w:val="0"/>
                <w:sz w:val="24"/>
                <w:szCs w:val="24"/>
                <w:highlight w:val="none"/>
                <w:u w:val="single"/>
                <w:lang w:val="en-US" w:eastAsia="zh-CN"/>
              </w:rPr>
              <w:t>项目</w:t>
            </w:r>
            <w:r>
              <w:rPr>
                <w:rFonts w:hint="eastAsia" w:cs="Times New Roman"/>
                <w:color w:val="auto"/>
                <w:spacing w:val="11"/>
                <w:position w:val="0"/>
                <w:sz w:val="24"/>
                <w:szCs w:val="24"/>
                <w:highlight w:val="none"/>
                <w:u w:val="single"/>
                <w:lang w:val="en-US" w:eastAsia="zh-CN"/>
              </w:rPr>
              <w:t>区边界</w:t>
            </w:r>
            <w:r>
              <w:rPr>
                <w:rFonts w:hint="default" w:ascii="Times New Roman" w:hAnsi="Times New Roman" w:eastAsia="宋体" w:cs="Times New Roman"/>
                <w:color w:val="auto"/>
                <w:spacing w:val="11"/>
                <w:position w:val="0"/>
                <w:sz w:val="24"/>
                <w:szCs w:val="24"/>
                <w:highlight w:val="none"/>
                <w:u w:val="single"/>
                <w:lang w:val="en-US" w:eastAsia="zh-CN"/>
              </w:rPr>
              <w:t>外500m</w:t>
            </w:r>
            <w:r>
              <w:rPr>
                <w:rFonts w:hint="default" w:ascii="Times New Roman" w:hAnsi="Times New Roman" w:eastAsia="宋体" w:cs="Times New Roman"/>
                <w:color w:val="auto"/>
                <w:spacing w:val="11"/>
                <w:position w:val="0"/>
                <w:sz w:val="24"/>
                <w:szCs w:val="24"/>
                <w:highlight w:val="none"/>
                <w:u w:val="single"/>
              </w:rPr>
              <w:t>区域内无自然保护区、风景名胜区、居住区、文化区和农村地区中人群较集中的区域等</w:t>
            </w:r>
            <w:r>
              <w:rPr>
                <w:rFonts w:hint="eastAsia" w:cs="Times New Roman"/>
                <w:color w:val="auto"/>
                <w:spacing w:val="11"/>
                <w:position w:val="0"/>
                <w:sz w:val="24"/>
                <w:szCs w:val="24"/>
                <w:highlight w:val="none"/>
                <w:u w:val="single"/>
                <w:lang w:eastAsia="zh-CN"/>
              </w:rPr>
              <w:t>，</w:t>
            </w:r>
            <w:r>
              <w:rPr>
                <w:rFonts w:hint="eastAsia" w:cs="Times New Roman"/>
                <w:color w:val="auto"/>
                <w:spacing w:val="11"/>
                <w:position w:val="0"/>
                <w:sz w:val="24"/>
                <w:szCs w:val="24"/>
                <w:highlight w:val="none"/>
                <w:u w:val="single"/>
                <w:lang w:val="en-US" w:eastAsia="zh-CN"/>
              </w:rPr>
              <w:t>本项目选址不涉及自然保护地、生态保护红线、分散式饮用水水源地、千人以上饮用水水源地、文物保护单位等</w:t>
            </w:r>
            <w:r>
              <w:rPr>
                <w:rFonts w:hint="default" w:ascii="Times New Roman" w:hAnsi="Times New Roman" w:eastAsia="宋体" w:cs="Times New Roman"/>
                <w:color w:val="auto"/>
                <w:spacing w:val="11"/>
                <w:position w:val="0"/>
                <w:sz w:val="24"/>
                <w:szCs w:val="24"/>
                <w:highlight w:val="none"/>
                <w:u w:val="single"/>
              </w:rPr>
              <w:t>。本项目主要环保目标</w:t>
            </w:r>
            <w:r>
              <w:rPr>
                <w:rFonts w:hint="eastAsia" w:cs="Times New Roman"/>
                <w:color w:val="auto"/>
                <w:spacing w:val="11"/>
                <w:position w:val="0"/>
                <w:sz w:val="24"/>
                <w:szCs w:val="24"/>
                <w:highlight w:val="none"/>
                <w:u w:val="single"/>
                <w:lang w:val="en-US" w:eastAsia="zh-CN"/>
              </w:rPr>
              <w:t>详见下表</w:t>
            </w:r>
            <w:r>
              <w:rPr>
                <w:rFonts w:hint="default" w:ascii="Times New Roman" w:hAnsi="Times New Roman" w:eastAsia="宋体" w:cs="Times New Roman"/>
                <w:color w:val="auto"/>
                <w:spacing w:val="11"/>
                <w:position w:val="0"/>
                <w:sz w:val="24"/>
                <w:szCs w:val="24"/>
                <w:highlight w:val="none"/>
                <w:u w:val="single"/>
              </w:rPr>
              <w:t>，环保目标分布见附图</w:t>
            </w:r>
            <w:r>
              <w:rPr>
                <w:rFonts w:hint="default" w:ascii="Times New Roman" w:hAnsi="Times New Roman" w:eastAsia="宋体" w:cs="Times New Roman"/>
                <w:color w:val="auto"/>
                <w:spacing w:val="11"/>
                <w:position w:val="0"/>
                <w:sz w:val="24"/>
                <w:szCs w:val="24"/>
                <w:highlight w:val="none"/>
                <w:u w:val="single"/>
                <w:lang w:eastAsia="zh-CN"/>
              </w:rPr>
              <w:t>。</w:t>
            </w:r>
          </w:p>
          <w:p w14:paraId="3C312B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pacing w:val="11"/>
                <w:position w:val="0"/>
                <w:sz w:val="21"/>
                <w:szCs w:val="21"/>
                <w:highlight w:val="none"/>
                <w:u w:val="single"/>
                <w:lang w:val="en-US" w:eastAsia="zh-CN"/>
              </w:rPr>
            </w:pPr>
            <w:r>
              <w:rPr>
                <w:rFonts w:hint="default" w:ascii="Times New Roman" w:hAnsi="Times New Roman" w:eastAsia="宋体" w:cs="Times New Roman"/>
                <w:b/>
                <w:bCs/>
                <w:color w:val="auto"/>
                <w:spacing w:val="11"/>
                <w:position w:val="0"/>
                <w:sz w:val="21"/>
                <w:szCs w:val="21"/>
                <w:highlight w:val="none"/>
                <w:u w:val="single"/>
              </w:rPr>
              <w:t>表</w:t>
            </w:r>
            <w:r>
              <w:rPr>
                <w:rFonts w:hint="default" w:ascii="Times New Roman" w:hAnsi="Times New Roman" w:eastAsia="宋体" w:cs="Times New Roman"/>
                <w:b/>
                <w:bCs/>
                <w:color w:val="auto"/>
                <w:spacing w:val="11"/>
                <w:position w:val="0"/>
                <w:sz w:val="21"/>
                <w:szCs w:val="21"/>
                <w:highlight w:val="none"/>
                <w:u w:val="single"/>
                <w:lang w:val="en-US" w:eastAsia="zh-CN"/>
              </w:rPr>
              <w:t>3-</w:t>
            </w:r>
            <w:r>
              <w:rPr>
                <w:rFonts w:hint="eastAsia" w:cs="Times New Roman"/>
                <w:b/>
                <w:bCs/>
                <w:color w:val="auto"/>
                <w:spacing w:val="11"/>
                <w:position w:val="0"/>
                <w:sz w:val="21"/>
                <w:szCs w:val="21"/>
                <w:highlight w:val="none"/>
                <w:u w:val="single"/>
                <w:lang w:val="en-US" w:eastAsia="zh-CN"/>
              </w:rPr>
              <w:t>4</w:t>
            </w:r>
            <w:r>
              <w:rPr>
                <w:rFonts w:hint="default" w:ascii="Times New Roman" w:hAnsi="Times New Roman" w:eastAsia="宋体" w:cs="Times New Roman"/>
                <w:b/>
                <w:bCs/>
                <w:color w:val="auto"/>
                <w:spacing w:val="11"/>
                <w:position w:val="0"/>
                <w:sz w:val="21"/>
                <w:szCs w:val="21"/>
                <w:highlight w:val="none"/>
                <w:u w:val="single"/>
              </w:rPr>
              <w:t xml:space="preserve">  主要环境保护目标</w:t>
            </w:r>
          </w:p>
          <w:tbl>
            <w:tblPr>
              <w:tblStyle w:val="32"/>
              <w:tblW w:w="497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765"/>
              <w:gridCol w:w="605"/>
              <w:gridCol w:w="1290"/>
              <w:gridCol w:w="847"/>
              <w:gridCol w:w="119"/>
              <w:gridCol w:w="717"/>
              <w:gridCol w:w="43"/>
              <w:gridCol w:w="699"/>
              <w:gridCol w:w="359"/>
              <w:gridCol w:w="509"/>
              <w:gridCol w:w="1364"/>
            </w:tblGrid>
            <w:tr w14:paraId="35542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2"/>
                  <w:tcBorders>
                    <w:tl2br w:val="nil"/>
                    <w:tr2bl w:val="nil"/>
                  </w:tcBorders>
                  <w:noWrap w:val="0"/>
                  <w:vAlign w:val="center"/>
                </w:tcPr>
                <w:p w14:paraId="1C192EE0">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bookmarkStart w:id="34" w:name="_Hlk118402374"/>
                  <w:r>
                    <w:rPr>
                      <w:rFonts w:hint="default" w:ascii="Times New Roman" w:hAnsi="Times New Roman" w:eastAsia="宋体" w:cs="Times New Roman"/>
                      <w:b w:val="0"/>
                      <w:bCs w:val="0"/>
                      <w:color w:val="auto"/>
                      <w:spacing w:val="11"/>
                      <w:position w:val="0"/>
                      <w:sz w:val="21"/>
                      <w:szCs w:val="21"/>
                      <w:highlight w:val="none"/>
                      <w:u w:val="single"/>
                    </w:rPr>
                    <w:t>一、环境空气保护目标</w:t>
                  </w:r>
                </w:p>
              </w:tc>
            </w:tr>
            <w:tr w14:paraId="4365D7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0" w:type="pct"/>
                  <w:vMerge w:val="restart"/>
                  <w:tcBorders>
                    <w:tl2br w:val="nil"/>
                    <w:tr2bl w:val="nil"/>
                  </w:tcBorders>
                  <w:noWrap w:val="0"/>
                  <w:vAlign w:val="center"/>
                </w:tcPr>
                <w:p w14:paraId="70C91474">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bookmarkStart w:id="35" w:name="_Hlk118402277"/>
                  <w:r>
                    <w:rPr>
                      <w:rFonts w:hint="default" w:ascii="Times New Roman" w:hAnsi="Times New Roman" w:eastAsia="宋体" w:cs="Times New Roman"/>
                      <w:b w:val="0"/>
                      <w:bCs w:val="0"/>
                      <w:color w:val="auto"/>
                      <w:spacing w:val="11"/>
                      <w:position w:val="0"/>
                      <w:sz w:val="21"/>
                      <w:szCs w:val="21"/>
                      <w:highlight w:val="none"/>
                      <w:u w:val="single"/>
                    </w:rPr>
                    <w:t>名称</w:t>
                  </w:r>
                </w:p>
              </w:tc>
              <w:tc>
                <w:tcPr>
                  <w:tcW w:w="1614" w:type="pct"/>
                  <w:gridSpan w:val="3"/>
                  <w:tcBorders>
                    <w:tl2br w:val="nil"/>
                    <w:tr2bl w:val="nil"/>
                  </w:tcBorders>
                  <w:noWrap w:val="0"/>
                  <w:vAlign w:val="center"/>
                </w:tcPr>
                <w:p w14:paraId="15FAF6DF">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经纬坐标</w:t>
                  </w:r>
                </w:p>
              </w:tc>
              <w:tc>
                <w:tcPr>
                  <w:tcW w:w="586" w:type="pct"/>
                  <w:gridSpan w:val="2"/>
                  <w:vMerge w:val="restart"/>
                  <w:tcBorders>
                    <w:tl2br w:val="nil"/>
                    <w:tr2bl w:val="nil"/>
                  </w:tcBorders>
                  <w:noWrap w:val="0"/>
                  <w:vAlign w:val="center"/>
                </w:tcPr>
                <w:p w14:paraId="3B5A1BF4">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保护对象</w:t>
                  </w:r>
                </w:p>
              </w:tc>
              <w:tc>
                <w:tcPr>
                  <w:tcW w:w="461" w:type="pct"/>
                  <w:gridSpan w:val="2"/>
                  <w:vMerge w:val="restart"/>
                  <w:tcBorders>
                    <w:tl2br w:val="nil"/>
                    <w:tr2bl w:val="nil"/>
                  </w:tcBorders>
                  <w:noWrap w:val="0"/>
                  <w:vAlign w:val="center"/>
                </w:tcPr>
                <w:p w14:paraId="200B3001">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保护内容</w:t>
                  </w:r>
                </w:p>
              </w:tc>
              <w:tc>
                <w:tcPr>
                  <w:tcW w:w="424" w:type="pct"/>
                  <w:vMerge w:val="restart"/>
                  <w:tcBorders>
                    <w:tl2br w:val="nil"/>
                    <w:tr2bl w:val="nil"/>
                  </w:tcBorders>
                  <w:noWrap w:val="0"/>
                  <w:vAlign w:val="center"/>
                </w:tcPr>
                <w:p w14:paraId="74EAA178">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环境功能区</w:t>
                  </w:r>
                </w:p>
              </w:tc>
              <w:tc>
                <w:tcPr>
                  <w:tcW w:w="527" w:type="pct"/>
                  <w:gridSpan w:val="2"/>
                  <w:vMerge w:val="restart"/>
                  <w:tcBorders>
                    <w:tl2br w:val="nil"/>
                    <w:tr2bl w:val="nil"/>
                  </w:tcBorders>
                  <w:noWrap w:val="0"/>
                  <w:vAlign w:val="center"/>
                </w:tcPr>
                <w:p w14:paraId="6AC73C8D">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相对方位</w:t>
                  </w:r>
                </w:p>
              </w:tc>
              <w:tc>
                <w:tcPr>
                  <w:tcW w:w="825" w:type="pct"/>
                  <w:vMerge w:val="restart"/>
                  <w:tcBorders>
                    <w:tl2br w:val="nil"/>
                    <w:tr2bl w:val="nil"/>
                  </w:tcBorders>
                  <w:noWrap w:val="0"/>
                  <w:vAlign w:val="center"/>
                </w:tcPr>
                <w:p w14:paraId="6A341027">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相对</w:t>
                  </w:r>
                  <w:r>
                    <w:rPr>
                      <w:rFonts w:hint="default" w:ascii="Times New Roman" w:hAnsi="Times New Roman" w:eastAsia="宋体" w:cs="Times New Roman"/>
                      <w:b w:val="0"/>
                      <w:bCs w:val="0"/>
                      <w:color w:val="auto"/>
                      <w:spacing w:val="11"/>
                      <w:position w:val="0"/>
                      <w:sz w:val="21"/>
                      <w:szCs w:val="21"/>
                      <w:highlight w:val="none"/>
                      <w:u w:val="single"/>
                      <w:lang w:val="en-US" w:eastAsia="zh-CN"/>
                    </w:rPr>
                    <w:t>项目区边界</w:t>
                  </w:r>
                  <w:r>
                    <w:rPr>
                      <w:rFonts w:hint="eastAsia" w:cs="Times New Roman"/>
                      <w:b w:val="0"/>
                      <w:bCs w:val="0"/>
                      <w:color w:val="auto"/>
                      <w:spacing w:val="11"/>
                      <w:position w:val="0"/>
                      <w:sz w:val="21"/>
                      <w:szCs w:val="21"/>
                      <w:highlight w:val="none"/>
                      <w:u w:val="single"/>
                      <w:lang w:val="en-US" w:eastAsia="zh-CN"/>
                    </w:rPr>
                    <w:t>最近</w:t>
                  </w:r>
                  <w:r>
                    <w:rPr>
                      <w:rFonts w:hint="default" w:ascii="Times New Roman" w:hAnsi="Times New Roman" w:eastAsia="宋体" w:cs="Times New Roman"/>
                      <w:b w:val="0"/>
                      <w:bCs w:val="0"/>
                      <w:color w:val="auto"/>
                      <w:spacing w:val="11"/>
                      <w:position w:val="0"/>
                      <w:sz w:val="21"/>
                      <w:szCs w:val="21"/>
                      <w:highlight w:val="none"/>
                      <w:u w:val="single"/>
                    </w:rPr>
                    <w:t>距离</w:t>
                  </w:r>
                </w:p>
              </w:tc>
            </w:tr>
            <w:tr w14:paraId="051CC7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0" w:type="pct"/>
                  <w:vMerge w:val="continue"/>
                  <w:tcBorders>
                    <w:tl2br w:val="nil"/>
                    <w:tr2bl w:val="nil"/>
                  </w:tcBorders>
                  <w:noWrap w:val="0"/>
                  <w:vAlign w:val="center"/>
                </w:tcPr>
                <w:p w14:paraId="16805E6A">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p>
              </w:tc>
              <w:tc>
                <w:tcPr>
                  <w:tcW w:w="831" w:type="pct"/>
                  <w:gridSpan w:val="2"/>
                  <w:tcBorders>
                    <w:tl2br w:val="nil"/>
                    <w:tr2bl w:val="nil"/>
                  </w:tcBorders>
                  <w:noWrap w:val="0"/>
                  <w:vAlign w:val="center"/>
                </w:tcPr>
                <w:p w14:paraId="65B156EA">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E</w:t>
                  </w:r>
                </w:p>
              </w:tc>
              <w:tc>
                <w:tcPr>
                  <w:tcW w:w="782" w:type="pct"/>
                  <w:tcBorders>
                    <w:tl2br w:val="nil"/>
                    <w:tr2bl w:val="nil"/>
                  </w:tcBorders>
                  <w:noWrap w:val="0"/>
                  <w:vAlign w:val="center"/>
                </w:tcPr>
                <w:p w14:paraId="54290A87">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N</w:t>
                  </w:r>
                </w:p>
              </w:tc>
              <w:tc>
                <w:tcPr>
                  <w:tcW w:w="586" w:type="pct"/>
                  <w:gridSpan w:val="2"/>
                  <w:vMerge w:val="continue"/>
                  <w:tcBorders>
                    <w:tl2br w:val="nil"/>
                    <w:tr2bl w:val="nil"/>
                  </w:tcBorders>
                  <w:noWrap w:val="0"/>
                  <w:vAlign w:val="center"/>
                </w:tcPr>
                <w:p w14:paraId="584E6BD3">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p>
              </w:tc>
              <w:tc>
                <w:tcPr>
                  <w:tcW w:w="461" w:type="pct"/>
                  <w:gridSpan w:val="2"/>
                  <w:vMerge w:val="continue"/>
                  <w:tcBorders>
                    <w:tl2br w:val="nil"/>
                    <w:tr2bl w:val="nil"/>
                  </w:tcBorders>
                  <w:noWrap w:val="0"/>
                  <w:vAlign w:val="center"/>
                </w:tcPr>
                <w:p w14:paraId="34746423">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p>
              </w:tc>
              <w:tc>
                <w:tcPr>
                  <w:tcW w:w="424" w:type="pct"/>
                  <w:vMerge w:val="continue"/>
                  <w:tcBorders>
                    <w:tl2br w:val="nil"/>
                    <w:tr2bl w:val="nil"/>
                  </w:tcBorders>
                  <w:noWrap w:val="0"/>
                  <w:vAlign w:val="center"/>
                </w:tcPr>
                <w:p w14:paraId="43104E46">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p>
              </w:tc>
              <w:tc>
                <w:tcPr>
                  <w:tcW w:w="527" w:type="pct"/>
                  <w:gridSpan w:val="2"/>
                  <w:vMerge w:val="continue"/>
                  <w:tcBorders>
                    <w:tl2br w:val="nil"/>
                    <w:tr2bl w:val="nil"/>
                  </w:tcBorders>
                  <w:noWrap w:val="0"/>
                  <w:vAlign w:val="center"/>
                </w:tcPr>
                <w:p w14:paraId="04390F04">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p>
              </w:tc>
              <w:tc>
                <w:tcPr>
                  <w:tcW w:w="825" w:type="pct"/>
                  <w:vMerge w:val="continue"/>
                  <w:tcBorders>
                    <w:tl2br w:val="nil"/>
                    <w:tr2bl w:val="nil"/>
                  </w:tcBorders>
                  <w:noWrap w:val="0"/>
                  <w:vAlign w:val="center"/>
                </w:tcPr>
                <w:p w14:paraId="4ACB6059">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p>
              </w:tc>
            </w:tr>
            <w:bookmarkEnd w:id="35"/>
            <w:tr w14:paraId="18B9A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0" w:type="pct"/>
                  <w:tcBorders>
                    <w:tl2br w:val="nil"/>
                    <w:tr2bl w:val="nil"/>
                  </w:tcBorders>
                  <w:noWrap w:val="0"/>
                  <w:vAlign w:val="center"/>
                </w:tcPr>
                <w:p w14:paraId="49AD72AE">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default" w:ascii="Times New Roman" w:hAnsi="Times New Roman" w:cs="Times New Roman"/>
                      <w:b w:val="0"/>
                      <w:bCs w:val="0"/>
                      <w:color w:val="auto"/>
                      <w:spacing w:val="11"/>
                      <w:position w:val="0"/>
                      <w:sz w:val="21"/>
                      <w:szCs w:val="21"/>
                      <w:highlight w:val="none"/>
                      <w:u w:val="single"/>
                      <w:lang w:val="en-US" w:eastAsia="zh-CN"/>
                    </w:rPr>
                    <w:t>潮水铺村</w:t>
                  </w:r>
                  <w:r>
                    <w:rPr>
                      <w:rFonts w:hint="eastAsia" w:cs="Times New Roman"/>
                      <w:b w:val="0"/>
                      <w:bCs w:val="0"/>
                      <w:color w:val="auto"/>
                      <w:spacing w:val="11"/>
                      <w:position w:val="0"/>
                      <w:sz w:val="21"/>
                      <w:szCs w:val="21"/>
                      <w:highlight w:val="none"/>
                      <w:u w:val="single"/>
                      <w:lang w:val="en-US" w:eastAsia="zh-CN"/>
                    </w:rPr>
                    <w:t>居民点</w:t>
                  </w:r>
                </w:p>
              </w:tc>
              <w:tc>
                <w:tcPr>
                  <w:tcW w:w="831" w:type="pct"/>
                  <w:gridSpan w:val="2"/>
                  <w:tcBorders>
                    <w:tl2br w:val="nil"/>
                    <w:tr2bl w:val="nil"/>
                  </w:tcBorders>
                  <w:noWrap w:val="0"/>
                  <w:vAlign w:val="center"/>
                </w:tcPr>
                <w:p w14:paraId="6D27E9B0">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default" w:ascii="Times New Roman" w:hAnsi="Times New Roman" w:eastAsia="宋体" w:cs="Times New Roman"/>
                      <w:b w:val="0"/>
                      <w:bCs w:val="0"/>
                      <w:color w:val="auto"/>
                      <w:spacing w:val="11"/>
                      <w:position w:val="0"/>
                      <w:sz w:val="21"/>
                      <w:szCs w:val="21"/>
                      <w:highlight w:val="none"/>
                      <w:u w:val="single"/>
                      <w:lang w:val="en-US" w:eastAsia="zh-CN"/>
                    </w:rPr>
                    <w:t>112.127777</w:t>
                  </w:r>
                </w:p>
              </w:tc>
              <w:tc>
                <w:tcPr>
                  <w:tcW w:w="782" w:type="pct"/>
                  <w:tcBorders>
                    <w:tl2br w:val="nil"/>
                    <w:tr2bl w:val="nil"/>
                  </w:tcBorders>
                  <w:noWrap w:val="0"/>
                  <w:vAlign w:val="center"/>
                </w:tcPr>
                <w:p w14:paraId="2B8BE40E">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default" w:ascii="Times New Roman" w:hAnsi="Times New Roman" w:eastAsia="宋体" w:cs="Times New Roman"/>
                      <w:b w:val="0"/>
                      <w:bCs w:val="0"/>
                      <w:color w:val="auto"/>
                      <w:spacing w:val="11"/>
                      <w:position w:val="0"/>
                      <w:sz w:val="21"/>
                      <w:szCs w:val="21"/>
                      <w:highlight w:val="none"/>
                      <w:u w:val="single"/>
                      <w:lang w:val="en-US" w:eastAsia="zh-CN"/>
                    </w:rPr>
                    <w:t>25.907261</w:t>
                  </w:r>
                </w:p>
              </w:tc>
              <w:tc>
                <w:tcPr>
                  <w:tcW w:w="586" w:type="pct"/>
                  <w:gridSpan w:val="2"/>
                  <w:tcBorders>
                    <w:tl2br w:val="nil"/>
                    <w:tr2bl w:val="nil"/>
                  </w:tcBorders>
                  <w:noWrap w:val="0"/>
                  <w:vAlign w:val="center"/>
                </w:tcPr>
                <w:p w14:paraId="4B1B574E">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default" w:ascii="Times New Roman" w:hAnsi="Times New Roman" w:cs="Times New Roman"/>
                      <w:b w:val="0"/>
                      <w:bCs w:val="0"/>
                      <w:color w:val="auto"/>
                      <w:spacing w:val="11"/>
                      <w:position w:val="0"/>
                      <w:sz w:val="21"/>
                      <w:szCs w:val="21"/>
                      <w:highlight w:val="none"/>
                      <w:u w:val="single"/>
                      <w:lang w:val="en-US" w:eastAsia="zh-CN"/>
                    </w:rPr>
                    <w:t>约</w:t>
                  </w:r>
                  <w:r>
                    <w:rPr>
                      <w:rFonts w:hint="eastAsia" w:cs="Times New Roman"/>
                      <w:b w:val="0"/>
                      <w:bCs w:val="0"/>
                      <w:color w:val="auto"/>
                      <w:spacing w:val="11"/>
                      <w:position w:val="0"/>
                      <w:sz w:val="21"/>
                      <w:szCs w:val="21"/>
                      <w:highlight w:val="none"/>
                      <w:u w:val="single"/>
                      <w:lang w:val="en-US" w:eastAsia="zh-CN"/>
                    </w:rPr>
                    <w:t>27</w:t>
                  </w:r>
                  <w:r>
                    <w:rPr>
                      <w:rFonts w:hint="default" w:ascii="Times New Roman" w:hAnsi="Times New Roman" w:cs="Times New Roman"/>
                      <w:b w:val="0"/>
                      <w:bCs w:val="0"/>
                      <w:color w:val="auto"/>
                      <w:spacing w:val="11"/>
                      <w:position w:val="0"/>
                      <w:sz w:val="21"/>
                      <w:szCs w:val="21"/>
                      <w:highlight w:val="none"/>
                      <w:u w:val="single"/>
                      <w:lang w:val="en-US" w:eastAsia="zh-CN"/>
                    </w:rPr>
                    <w:t>户</w:t>
                  </w:r>
                  <w:r>
                    <w:rPr>
                      <w:rFonts w:hint="eastAsia" w:cs="Times New Roman"/>
                      <w:b w:val="0"/>
                      <w:bCs w:val="0"/>
                      <w:color w:val="auto"/>
                      <w:spacing w:val="11"/>
                      <w:position w:val="0"/>
                      <w:sz w:val="21"/>
                      <w:szCs w:val="21"/>
                      <w:highlight w:val="none"/>
                      <w:u w:val="single"/>
                      <w:lang w:val="en-US" w:eastAsia="zh-CN"/>
                    </w:rPr>
                    <w:t>81</w:t>
                  </w:r>
                  <w:r>
                    <w:rPr>
                      <w:rFonts w:hint="default" w:ascii="Times New Roman" w:hAnsi="Times New Roman" w:cs="Times New Roman"/>
                      <w:b w:val="0"/>
                      <w:bCs w:val="0"/>
                      <w:color w:val="auto"/>
                      <w:spacing w:val="11"/>
                      <w:position w:val="0"/>
                      <w:sz w:val="21"/>
                      <w:szCs w:val="21"/>
                      <w:highlight w:val="none"/>
                      <w:u w:val="single"/>
                      <w:lang w:val="en-US" w:eastAsia="zh-CN"/>
                    </w:rPr>
                    <w:t>人</w:t>
                  </w:r>
                  <w:r>
                    <w:rPr>
                      <w:rFonts w:hint="eastAsia" w:cs="Times New Roman"/>
                      <w:b w:val="0"/>
                      <w:bCs w:val="0"/>
                      <w:color w:val="auto"/>
                      <w:spacing w:val="11"/>
                      <w:position w:val="0"/>
                      <w:sz w:val="21"/>
                      <w:szCs w:val="21"/>
                      <w:highlight w:val="none"/>
                      <w:u w:val="single"/>
                      <w:lang w:val="en-US" w:eastAsia="zh-CN"/>
                    </w:rPr>
                    <w:t>，有山体阻隔</w:t>
                  </w:r>
                </w:p>
              </w:tc>
              <w:tc>
                <w:tcPr>
                  <w:tcW w:w="461" w:type="pct"/>
                  <w:gridSpan w:val="2"/>
                  <w:vMerge w:val="restart"/>
                  <w:tcBorders>
                    <w:tl2br w:val="nil"/>
                    <w:tr2bl w:val="nil"/>
                  </w:tcBorders>
                  <w:noWrap w:val="0"/>
                  <w:vAlign w:val="center"/>
                </w:tcPr>
                <w:p w14:paraId="02198C2A">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人群健康</w:t>
                  </w:r>
                </w:p>
              </w:tc>
              <w:tc>
                <w:tcPr>
                  <w:tcW w:w="424" w:type="pct"/>
                  <w:vMerge w:val="restart"/>
                  <w:tcBorders>
                    <w:tl2br w:val="nil"/>
                    <w:tr2bl w:val="nil"/>
                  </w:tcBorders>
                  <w:noWrap w:val="0"/>
                  <w:vAlign w:val="center"/>
                </w:tcPr>
                <w:p w14:paraId="0BA940DA">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二类功能区</w:t>
                  </w:r>
                </w:p>
              </w:tc>
              <w:tc>
                <w:tcPr>
                  <w:tcW w:w="527" w:type="pct"/>
                  <w:gridSpan w:val="2"/>
                  <w:tcBorders>
                    <w:tl2br w:val="nil"/>
                    <w:tr2bl w:val="nil"/>
                  </w:tcBorders>
                  <w:noWrap w:val="0"/>
                  <w:vAlign w:val="center"/>
                </w:tcPr>
                <w:p w14:paraId="20B47D72">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default" w:ascii="Times New Roman" w:hAnsi="Times New Roman" w:eastAsia="宋体" w:cs="Times New Roman"/>
                      <w:b w:val="0"/>
                      <w:bCs w:val="0"/>
                      <w:color w:val="auto"/>
                      <w:spacing w:val="11"/>
                      <w:position w:val="0"/>
                      <w:sz w:val="21"/>
                      <w:szCs w:val="21"/>
                      <w:highlight w:val="none"/>
                      <w:u w:val="single"/>
                      <w:lang w:val="en-US" w:eastAsia="zh-CN"/>
                    </w:rPr>
                    <w:t>西</w:t>
                  </w:r>
                </w:p>
              </w:tc>
              <w:tc>
                <w:tcPr>
                  <w:tcW w:w="825" w:type="pct"/>
                  <w:tcBorders>
                    <w:tl2br w:val="nil"/>
                    <w:tr2bl w:val="nil"/>
                  </w:tcBorders>
                  <w:noWrap w:val="0"/>
                  <w:vAlign w:val="center"/>
                </w:tcPr>
                <w:p w14:paraId="32DED33C">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eastAsia" w:cs="Times New Roman"/>
                      <w:b w:val="0"/>
                      <w:bCs w:val="0"/>
                      <w:color w:val="auto"/>
                      <w:spacing w:val="11"/>
                      <w:position w:val="0"/>
                      <w:sz w:val="21"/>
                      <w:szCs w:val="21"/>
                      <w:highlight w:val="none"/>
                      <w:u w:val="single"/>
                      <w:lang w:val="en-US" w:eastAsia="zh-CN"/>
                    </w:rPr>
                    <w:t>276-500m</w:t>
                  </w:r>
                </w:p>
              </w:tc>
            </w:tr>
            <w:tr w14:paraId="2FBFE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0" w:type="pct"/>
                  <w:tcBorders>
                    <w:tl2br w:val="nil"/>
                    <w:tr2bl w:val="nil"/>
                  </w:tcBorders>
                  <w:noWrap w:val="0"/>
                  <w:vAlign w:val="center"/>
                </w:tcPr>
                <w:p w14:paraId="1FB0EBC0">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eastAsia" w:cs="Times New Roman"/>
                      <w:b w:val="0"/>
                      <w:bCs w:val="0"/>
                      <w:color w:val="auto"/>
                      <w:spacing w:val="11"/>
                      <w:position w:val="0"/>
                      <w:sz w:val="21"/>
                      <w:szCs w:val="21"/>
                      <w:highlight w:val="none"/>
                      <w:u w:val="single"/>
                      <w:lang w:val="en-US" w:eastAsia="zh-CN"/>
                    </w:rPr>
                    <w:t>项目区西北侧散户居民点</w:t>
                  </w:r>
                </w:p>
              </w:tc>
              <w:tc>
                <w:tcPr>
                  <w:tcW w:w="831" w:type="pct"/>
                  <w:gridSpan w:val="2"/>
                  <w:tcBorders>
                    <w:tl2br w:val="nil"/>
                    <w:tr2bl w:val="nil"/>
                  </w:tcBorders>
                  <w:noWrap w:val="0"/>
                  <w:vAlign w:val="center"/>
                </w:tcPr>
                <w:p w14:paraId="1F2EEB69">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default" w:ascii="Times New Roman" w:hAnsi="Times New Roman" w:eastAsia="宋体" w:cs="Times New Roman"/>
                      <w:b w:val="0"/>
                      <w:bCs w:val="0"/>
                      <w:color w:val="auto"/>
                      <w:spacing w:val="11"/>
                      <w:position w:val="0"/>
                      <w:sz w:val="21"/>
                      <w:szCs w:val="21"/>
                      <w:highlight w:val="none"/>
                      <w:u w:val="single"/>
                      <w:lang w:val="en-US" w:eastAsia="zh-CN"/>
                    </w:rPr>
                    <w:t>112.131124</w:t>
                  </w:r>
                </w:p>
              </w:tc>
              <w:tc>
                <w:tcPr>
                  <w:tcW w:w="782" w:type="pct"/>
                  <w:tcBorders>
                    <w:tl2br w:val="nil"/>
                    <w:tr2bl w:val="nil"/>
                  </w:tcBorders>
                  <w:noWrap w:val="0"/>
                  <w:vAlign w:val="center"/>
                </w:tcPr>
                <w:p w14:paraId="1F673F04">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default" w:ascii="Times New Roman" w:hAnsi="Times New Roman" w:eastAsia="宋体" w:cs="Times New Roman"/>
                      <w:b w:val="0"/>
                      <w:bCs w:val="0"/>
                      <w:color w:val="auto"/>
                      <w:spacing w:val="11"/>
                      <w:position w:val="0"/>
                      <w:sz w:val="21"/>
                      <w:szCs w:val="21"/>
                      <w:highlight w:val="none"/>
                      <w:u w:val="single"/>
                      <w:lang w:val="en-US" w:eastAsia="zh-CN"/>
                    </w:rPr>
                    <w:t>25.907036</w:t>
                  </w:r>
                </w:p>
              </w:tc>
              <w:tc>
                <w:tcPr>
                  <w:tcW w:w="586" w:type="pct"/>
                  <w:gridSpan w:val="2"/>
                  <w:tcBorders>
                    <w:tl2br w:val="nil"/>
                    <w:tr2bl w:val="nil"/>
                  </w:tcBorders>
                  <w:noWrap w:val="0"/>
                  <w:vAlign w:val="center"/>
                </w:tcPr>
                <w:p w14:paraId="6147DCBA">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default" w:ascii="Times New Roman" w:hAnsi="Times New Roman" w:eastAsia="宋体" w:cs="Times New Roman"/>
                      <w:b w:val="0"/>
                      <w:bCs w:val="0"/>
                      <w:color w:val="auto"/>
                      <w:spacing w:val="11"/>
                      <w:position w:val="0"/>
                      <w:sz w:val="21"/>
                      <w:szCs w:val="21"/>
                      <w:highlight w:val="none"/>
                      <w:u w:val="single"/>
                      <w:lang w:val="en-US" w:eastAsia="zh-CN"/>
                    </w:rPr>
                    <w:t>约</w:t>
                  </w:r>
                  <w:r>
                    <w:rPr>
                      <w:rFonts w:hint="eastAsia" w:cs="Times New Roman"/>
                      <w:b w:val="0"/>
                      <w:bCs w:val="0"/>
                      <w:color w:val="auto"/>
                      <w:spacing w:val="11"/>
                      <w:position w:val="0"/>
                      <w:sz w:val="21"/>
                      <w:szCs w:val="21"/>
                      <w:highlight w:val="none"/>
                      <w:u w:val="single"/>
                      <w:lang w:val="en-US" w:eastAsia="zh-CN"/>
                    </w:rPr>
                    <w:t>17</w:t>
                  </w:r>
                  <w:r>
                    <w:rPr>
                      <w:rFonts w:hint="default" w:ascii="Times New Roman" w:hAnsi="Times New Roman" w:eastAsia="宋体" w:cs="Times New Roman"/>
                      <w:b w:val="0"/>
                      <w:bCs w:val="0"/>
                      <w:color w:val="auto"/>
                      <w:spacing w:val="11"/>
                      <w:position w:val="0"/>
                      <w:sz w:val="21"/>
                      <w:szCs w:val="21"/>
                      <w:highlight w:val="none"/>
                      <w:u w:val="single"/>
                      <w:lang w:val="en-US" w:eastAsia="zh-CN"/>
                    </w:rPr>
                    <w:t>户</w:t>
                  </w:r>
                  <w:r>
                    <w:rPr>
                      <w:rFonts w:hint="eastAsia" w:cs="Times New Roman"/>
                      <w:b w:val="0"/>
                      <w:bCs w:val="0"/>
                      <w:color w:val="auto"/>
                      <w:spacing w:val="11"/>
                      <w:position w:val="0"/>
                      <w:sz w:val="21"/>
                      <w:szCs w:val="21"/>
                      <w:highlight w:val="none"/>
                      <w:u w:val="single"/>
                      <w:lang w:val="en-US" w:eastAsia="zh-CN"/>
                    </w:rPr>
                    <w:t>51</w:t>
                  </w:r>
                  <w:r>
                    <w:rPr>
                      <w:rFonts w:hint="default" w:ascii="Times New Roman" w:hAnsi="Times New Roman" w:eastAsia="宋体" w:cs="Times New Roman"/>
                      <w:b w:val="0"/>
                      <w:bCs w:val="0"/>
                      <w:color w:val="auto"/>
                      <w:spacing w:val="11"/>
                      <w:position w:val="0"/>
                      <w:sz w:val="21"/>
                      <w:szCs w:val="21"/>
                      <w:highlight w:val="none"/>
                      <w:u w:val="single"/>
                      <w:lang w:val="en-US" w:eastAsia="zh-CN"/>
                    </w:rPr>
                    <w:t>人，</w:t>
                  </w:r>
                  <w:r>
                    <w:rPr>
                      <w:rFonts w:hint="eastAsia" w:cs="Times New Roman"/>
                      <w:b w:val="0"/>
                      <w:bCs w:val="0"/>
                      <w:color w:val="auto"/>
                      <w:spacing w:val="11"/>
                      <w:position w:val="0"/>
                      <w:sz w:val="21"/>
                      <w:szCs w:val="21"/>
                      <w:highlight w:val="none"/>
                      <w:u w:val="single"/>
                      <w:lang w:val="en-US" w:eastAsia="zh-CN"/>
                    </w:rPr>
                    <w:t>部分</w:t>
                  </w:r>
                  <w:r>
                    <w:rPr>
                      <w:rFonts w:hint="default" w:ascii="Times New Roman" w:hAnsi="Times New Roman" w:eastAsia="宋体" w:cs="Times New Roman"/>
                      <w:b w:val="0"/>
                      <w:bCs w:val="0"/>
                      <w:color w:val="auto"/>
                      <w:spacing w:val="11"/>
                      <w:position w:val="0"/>
                      <w:sz w:val="21"/>
                      <w:szCs w:val="21"/>
                      <w:highlight w:val="none"/>
                      <w:u w:val="single"/>
                      <w:lang w:val="en-US" w:eastAsia="zh-CN"/>
                    </w:rPr>
                    <w:t>山体阻隔</w:t>
                  </w:r>
                </w:p>
              </w:tc>
              <w:tc>
                <w:tcPr>
                  <w:tcW w:w="461" w:type="pct"/>
                  <w:gridSpan w:val="2"/>
                  <w:vMerge w:val="continue"/>
                  <w:tcBorders>
                    <w:tl2br w:val="nil"/>
                    <w:tr2bl w:val="nil"/>
                  </w:tcBorders>
                  <w:noWrap w:val="0"/>
                  <w:vAlign w:val="center"/>
                </w:tcPr>
                <w:p w14:paraId="280B6920">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p>
              </w:tc>
              <w:tc>
                <w:tcPr>
                  <w:tcW w:w="424" w:type="pct"/>
                  <w:vMerge w:val="continue"/>
                  <w:tcBorders>
                    <w:tl2br w:val="nil"/>
                    <w:tr2bl w:val="nil"/>
                  </w:tcBorders>
                  <w:noWrap w:val="0"/>
                  <w:vAlign w:val="center"/>
                </w:tcPr>
                <w:p w14:paraId="2D3D3C18">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p>
              </w:tc>
              <w:tc>
                <w:tcPr>
                  <w:tcW w:w="527" w:type="pct"/>
                  <w:gridSpan w:val="2"/>
                  <w:tcBorders>
                    <w:tl2br w:val="nil"/>
                    <w:tr2bl w:val="nil"/>
                  </w:tcBorders>
                  <w:noWrap w:val="0"/>
                  <w:vAlign w:val="center"/>
                </w:tcPr>
                <w:p w14:paraId="081BA259">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lang w:val="en-US" w:eastAsia="zh-CN"/>
                    </w:rPr>
                    <w:t>西北</w:t>
                  </w:r>
                </w:p>
              </w:tc>
              <w:tc>
                <w:tcPr>
                  <w:tcW w:w="825" w:type="pct"/>
                  <w:tcBorders>
                    <w:tl2br w:val="nil"/>
                    <w:tr2bl w:val="nil"/>
                  </w:tcBorders>
                  <w:noWrap w:val="0"/>
                  <w:vAlign w:val="center"/>
                </w:tcPr>
                <w:p w14:paraId="06EA161D">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eastAsia" w:cs="Times New Roman"/>
                      <w:b w:val="0"/>
                      <w:bCs w:val="0"/>
                      <w:color w:val="auto"/>
                      <w:spacing w:val="11"/>
                      <w:position w:val="0"/>
                      <w:sz w:val="21"/>
                      <w:szCs w:val="21"/>
                      <w:highlight w:val="none"/>
                      <w:u w:val="single"/>
                      <w:lang w:val="en-US" w:eastAsia="zh-CN"/>
                    </w:rPr>
                    <w:t>54-227m</w:t>
                  </w:r>
                </w:p>
              </w:tc>
            </w:tr>
            <w:tr w14:paraId="7A023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0" w:type="pct"/>
                  <w:tcBorders>
                    <w:tl2br w:val="nil"/>
                    <w:tr2bl w:val="nil"/>
                  </w:tcBorders>
                  <w:noWrap w:val="0"/>
                  <w:vAlign w:val="center"/>
                </w:tcPr>
                <w:p w14:paraId="75CA58D5">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default" w:ascii="Times New Roman" w:hAnsi="Times New Roman" w:cs="Times New Roman"/>
                      <w:b w:val="0"/>
                      <w:bCs w:val="0"/>
                      <w:color w:val="auto"/>
                      <w:spacing w:val="11"/>
                      <w:position w:val="0"/>
                      <w:sz w:val="21"/>
                      <w:szCs w:val="21"/>
                      <w:highlight w:val="none"/>
                      <w:u w:val="single"/>
                      <w:lang w:val="en-US" w:eastAsia="zh-CN"/>
                    </w:rPr>
                    <w:t>项目区</w:t>
                  </w:r>
                  <w:r>
                    <w:rPr>
                      <w:rFonts w:hint="eastAsia" w:cs="Times New Roman"/>
                      <w:b w:val="0"/>
                      <w:bCs w:val="0"/>
                      <w:color w:val="auto"/>
                      <w:spacing w:val="11"/>
                      <w:position w:val="0"/>
                      <w:sz w:val="21"/>
                      <w:szCs w:val="21"/>
                      <w:highlight w:val="none"/>
                      <w:u w:val="single"/>
                      <w:lang w:val="en-US" w:eastAsia="zh-CN"/>
                    </w:rPr>
                    <w:t>南</w:t>
                  </w:r>
                  <w:r>
                    <w:rPr>
                      <w:rFonts w:hint="default" w:ascii="Times New Roman" w:hAnsi="Times New Roman" w:cs="Times New Roman"/>
                      <w:b w:val="0"/>
                      <w:bCs w:val="0"/>
                      <w:color w:val="auto"/>
                      <w:spacing w:val="11"/>
                      <w:position w:val="0"/>
                      <w:sz w:val="21"/>
                      <w:szCs w:val="21"/>
                      <w:highlight w:val="none"/>
                      <w:u w:val="single"/>
                      <w:lang w:val="en-US" w:eastAsia="zh-CN"/>
                    </w:rPr>
                    <w:t>侧散户居民点</w:t>
                  </w:r>
                </w:p>
              </w:tc>
              <w:tc>
                <w:tcPr>
                  <w:tcW w:w="831" w:type="pct"/>
                  <w:gridSpan w:val="2"/>
                  <w:tcBorders>
                    <w:tl2br w:val="nil"/>
                    <w:tr2bl w:val="nil"/>
                  </w:tcBorders>
                  <w:noWrap w:val="0"/>
                  <w:vAlign w:val="center"/>
                </w:tcPr>
                <w:p w14:paraId="4CE9D22E">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default" w:ascii="Times New Roman" w:hAnsi="Times New Roman" w:eastAsia="宋体" w:cs="Times New Roman"/>
                      <w:b w:val="0"/>
                      <w:bCs w:val="0"/>
                      <w:color w:val="auto"/>
                      <w:spacing w:val="11"/>
                      <w:position w:val="0"/>
                      <w:sz w:val="21"/>
                      <w:szCs w:val="21"/>
                      <w:highlight w:val="none"/>
                      <w:u w:val="single"/>
                      <w:lang w:val="en-US" w:eastAsia="zh-CN"/>
                    </w:rPr>
                    <w:t>112.131178</w:t>
                  </w:r>
                </w:p>
              </w:tc>
              <w:tc>
                <w:tcPr>
                  <w:tcW w:w="782" w:type="pct"/>
                  <w:tcBorders>
                    <w:tl2br w:val="nil"/>
                    <w:tr2bl w:val="nil"/>
                  </w:tcBorders>
                  <w:noWrap w:val="0"/>
                  <w:vAlign w:val="center"/>
                </w:tcPr>
                <w:p w14:paraId="10C6F095">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default" w:ascii="Times New Roman" w:hAnsi="Times New Roman" w:eastAsia="宋体" w:cs="Times New Roman"/>
                      <w:b w:val="0"/>
                      <w:bCs w:val="0"/>
                      <w:color w:val="auto"/>
                      <w:spacing w:val="11"/>
                      <w:position w:val="0"/>
                      <w:sz w:val="21"/>
                      <w:szCs w:val="21"/>
                      <w:highlight w:val="none"/>
                      <w:u w:val="single"/>
                      <w:lang w:val="en-US" w:eastAsia="zh-CN"/>
                    </w:rPr>
                    <w:t>25.904922</w:t>
                  </w:r>
                </w:p>
              </w:tc>
              <w:tc>
                <w:tcPr>
                  <w:tcW w:w="586" w:type="pct"/>
                  <w:gridSpan w:val="2"/>
                  <w:tcBorders>
                    <w:tl2br w:val="nil"/>
                    <w:tr2bl w:val="nil"/>
                  </w:tcBorders>
                  <w:noWrap w:val="0"/>
                  <w:vAlign w:val="center"/>
                </w:tcPr>
                <w:p w14:paraId="5EBA9EE7">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default" w:ascii="Times New Roman" w:hAnsi="Times New Roman" w:eastAsia="宋体" w:cs="Times New Roman"/>
                      <w:b w:val="0"/>
                      <w:bCs w:val="0"/>
                      <w:color w:val="auto"/>
                      <w:spacing w:val="11"/>
                      <w:position w:val="0"/>
                      <w:sz w:val="21"/>
                      <w:szCs w:val="21"/>
                      <w:highlight w:val="none"/>
                      <w:u w:val="single"/>
                      <w:lang w:val="en-US" w:eastAsia="zh-CN"/>
                    </w:rPr>
                    <w:t>约</w:t>
                  </w:r>
                  <w:r>
                    <w:rPr>
                      <w:rFonts w:hint="eastAsia" w:cs="Times New Roman"/>
                      <w:b w:val="0"/>
                      <w:bCs w:val="0"/>
                      <w:color w:val="auto"/>
                      <w:spacing w:val="11"/>
                      <w:position w:val="0"/>
                      <w:sz w:val="21"/>
                      <w:szCs w:val="21"/>
                      <w:highlight w:val="none"/>
                      <w:u w:val="single"/>
                      <w:lang w:val="en-US" w:eastAsia="zh-CN"/>
                    </w:rPr>
                    <w:t>3</w:t>
                  </w:r>
                  <w:r>
                    <w:rPr>
                      <w:rFonts w:hint="default" w:ascii="Times New Roman" w:hAnsi="Times New Roman" w:eastAsia="宋体" w:cs="Times New Roman"/>
                      <w:b w:val="0"/>
                      <w:bCs w:val="0"/>
                      <w:color w:val="auto"/>
                      <w:spacing w:val="11"/>
                      <w:position w:val="0"/>
                      <w:sz w:val="21"/>
                      <w:szCs w:val="21"/>
                      <w:highlight w:val="none"/>
                      <w:u w:val="single"/>
                      <w:lang w:val="en-US" w:eastAsia="zh-CN"/>
                    </w:rPr>
                    <w:t>户</w:t>
                  </w:r>
                  <w:r>
                    <w:rPr>
                      <w:rFonts w:hint="eastAsia" w:cs="Times New Roman"/>
                      <w:b w:val="0"/>
                      <w:bCs w:val="0"/>
                      <w:color w:val="auto"/>
                      <w:spacing w:val="11"/>
                      <w:position w:val="0"/>
                      <w:sz w:val="21"/>
                      <w:szCs w:val="21"/>
                      <w:highlight w:val="none"/>
                      <w:u w:val="single"/>
                      <w:lang w:val="en-US" w:eastAsia="zh-CN"/>
                    </w:rPr>
                    <w:t>9</w:t>
                  </w:r>
                  <w:r>
                    <w:rPr>
                      <w:rFonts w:hint="default" w:ascii="Times New Roman" w:hAnsi="Times New Roman" w:eastAsia="宋体" w:cs="Times New Roman"/>
                      <w:b w:val="0"/>
                      <w:bCs w:val="0"/>
                      <w:color w:val="auto"/>
                      <w:spacing w:val="11"/>
                      <w:position w:val="0"/>
                      <w:sz w:val="21"/>
                      <w:szCs w:val="21"/>
                      <w:highlight w:val="none"/>
                      <w:u w:val="single"/>
                      <w:lang w:val="en-US" w:eastAsia="zh-CN"/>
                    </w:rPr>
                    <w:t>人，有山体阻隔</w:t>
                  </w:r>
                </w:p>
              </w:tc>
              <w:tc>
                <w:tcPr>
                  <w:tcW w:w="461" w:type="pct"/>
                  <w:gridSpan w:val="2"/>
                  <w:vMerge w:val="continue"/>
                  <w:tcBorders>
                    <w:tl2br w:val="nil"/>
                    <w:tr2bl w:val="nil"/>
                  </w:tcBorders>
                  <w:noWrap w:val="0"/>
                  <w:vAlign w:val="center"/>
                </w:tcPr>
                <w:p w14:paraId="7299D91B">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p>
              </w:tc>
              <w:tc>
                <w:tcPr>
                  <w:tcW w:w="424" w:type="pct"/>
                  <w:vMerge w:val="continue"/>
                  <w:tcBorders>
                    <w:tl2br w:val="nil"/>
                    <w:tr2bl w:val="nil"/>
                  </w:tcBorders>
                  <w:noWrap w:val="0"/>
                  <w:vAlign w:val="center"/>
                </w:tcPr>
                <w:p w14:paraId="17847EF3">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p>
              </w:tc>
              <w:tc>
                <w:tcPr>
                  <w:tcW w:w="527" w:type="pct"/>
                  <w:gridSpan w:val="2"/>
                  <w:tcBorders>
                    <w:tl2br w:val="nil"/>
                    <w:tr2bl w:val="nil"/>
                  </w:tcBorders>
                  <w:noWrap w:val="0"/>
                  <w:vAlign w:val="center"/>
                </w:tcPr>
                <w:p w14:paraId="27B9BE6C">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default" w:ascii="Times New Roman" w:hAnsi="Times New Roman" w:eastAsia="宋体" w:cs="Times New Roman"/>
                      <w:b w:val="0"/>
                      <w:bCs w:val="0"/>
                      <w:color w:val="auto"/>
                      <w:spacing w:val="11"/>
                      <w:position w:val="0"/>
                      <w:sz w:val="21"/>
                      <w:szCs w:val="21"/>
                      <w:highlight w:val="none"/>
                      <w:u w:val="single"/>
                      <w:lang w:val="en-US" w:eastAsia="zh-CN"/>
                    </w:rPr>
                    <w:t>南</w:t>
                  </w:r>
                </w:p>
              </w:tc>
              <w:tc>
                <w:tcPr>
                  <w:tcW w:w="825" w:type="pct"/>
                  <w:tcBorders>
                    <w:tl2br w:val="nil"/>
                    <w:tr2bl w:val="nil"/>
                  </w:tcBorders>
                  <w:noWrap w:val="0"/>
                  <w:vAlign w:val="center"/>
                </w:tcPr>
                <w:p w14:paraId="33DD9C0E">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eastAsia" w:cs="Times New Roman"/>
                      <w:b w:val="0"/>
                      <w:bCs w:val="0"/>
                      <w:color w:val="auto"/>
                      <w:spacing w:val="11"/>
                      <w:position w:val="0"/>
                      <w:sz w:val="21"/>
                      <w:szCs w:val="21"/>
                      <w:highlight w:val="none"/>
                      <w:u w:val="single"/>
                      <w:lang w:val="en-US" w:eastAsia="zh-CN"/>
                    </w:rPr>
                    <w:t>47</w:t>
                  </w:r>
                  <w:r>
                    <w:rPr>
                      <w:rFonts w:hint="default" w:ascii="Times New Roman" w:hAnsi="Times New Roman" w:eastAsia="宋体" w:cs="Times New Roman"/>
                      <w:b w:val="0"/>
                      <w:bCs w:val="0"/>
                      <w:color w:val="auto"/>
                      <w:spacing w:val="11"/>
                      <w:position w:val="0"/>
                      <w:sz w:val="21"/>
                      <w:szCs w:val="21"/>
                      <w:highlight w:val="none"/>
                      <w:u w:val="single"/>
                      <w:lang w:val="en-US" w:eastAsia="zh-CN"/>
                    </w:rPr>
                    <w:t>-</w:t>
                  </w:r>
                  <w:r>
                    <w:rPr>
                      <w:rFonts w:hint="eastAsia" w:cs="Times New Roman"/>
                      <w:b w:val="0"/>
                      <w:bCs w:val="0"/>
                      <w:color w:val="auto"/>
                      <w:spacing w:val="11"/>
                      <w:position w:val="0"/>
                      <w:sz w:val="21"/>
                      <w:szCs w:val="21"/>
                      <w:highlight w:val="none"/>
                      <w:u w:val="single"/>
                      <w:lang w:val="en-US" w:eastAsia="zh-CN"/>
                    </w:rPr>
                    <w:t>77</w:t>
                  </w:r>
                  <w:r>
                    <w:rPr>
                      <w:rFonts w:hint="default" w:ascii="Times New Roman" w:hAnsi="Times New Roman" w:eastAsia="宋体" w:cs="Times New Roman"/>
                      <w:b w:val="0"/>
                      <w:bCs w:val="0"/>
                      <w:color w:val="auto"/>
                      <w:spacing w:val="11"/>
                      <w:position w:val="0"/>
                      <w:sz w:val="21"/>
                      <w:szCs w:val="21"/>
                      <w:highlight w:val="none"/>
                      <w:u w:val="single"/>
                      <w:lang w:val="en-US" w:eastAsia="zh-CN"/>
                    </w:rPr>
                    <w:t>m</w:t>
                  </w:r>
                </w:p>
              </w:tc>
            </w:tr>
            <w:tr w14:paraId="335255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0" w:type="pct"/>
                  <w:tcBorders>
                    <w:tl2br w:val="nil"/>
                    <w:tr2bl w:val="nil"/>
                  </w:tcBorders>
                  <w:noWrap w:val="0"/>
                  <w:vAlign w:val="center"/>
                </w:tcPr>
                <w:p w14:paraId="1F3138A0">
                  <w:pPr>
                    <w:pStyle w:val="63"/>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color w:val="auto"/>
                      <w:spacing w:val="11"/>
                      <w:position w:val="0"/>
                      <w:sz w:val="21"/>
                      <w:szCs w:val="21"/>
                      <w:highlight w:val="none"/>
                      <w:u w:val="single"/>
                      <w:lang w:val="en-US" w:eastAsia="zh-CN"/>
                    </w:rPr>
                  </w:pPr>
                  <w:r>
                    <w:rPr>
                      <w:rFonts w:hint="default" w:ascii="Times New Roman" w:hAnsi="Times New Roman" w:cs="Times New Roman"/>
                      <w:b w:val="0"/>
                      <w:bCs w:val="0"/>
                      <w:color w:val="auto"/>
                      <w:spacing w:val="11"/>
                      <w:position w:val="0"/>
                      <w:sz w:val="21"/>
                      <w:szCs w:val="21"/>
                      <w:highlight w:val="none"/>
                      <w:u w:val="single"/>
                      <w:lang w:val="en-US" w:eastAsia="zh-CN"/>
                    </w:rPr>
                    <w:t>项目区</w:t>
                  </w:r>
                  <w:r>
                    <w:rPr>
                      <w:rFonts w:hint="eastAsia" w:cs="Times New Roman"/>
                      <w:b w:val="0"/>
                      <w:bCs w:val="0"/>
                      <w:color w:val="auto"/>
                      <w:spacing w:val="11"/>
                      <w:position w:val="0"/>
                      <w:sz w:val="21"/>
                      <w:szCs w:val="21"/>
                      <w:highlight w:val="none"/>
                      <w:u w:val="single"/>
                      <w:lang w:val="en-US" w:eastAsia="zh-CN"/>
                    </w:rPr>
                    <w:t>北</w:t>
                  </w:r>
                  <w:r>
                    <w:rPr>
                      <w:rFonts w:hint="default" w:ascii="Times New Roman" w:hAnsi="Times New Roman" w:cs="Times New Roman"/>
                      <w:b w:val="0"/>
                      <w:bCs w:val="0"/>
                      <w:color w:val="auto"/>
                      <w:spacing w:val="11"/>
                      <w:position w:val="0"/>
                      <w:sz w:val="21"/>
                      <w:szCs w:val="21"/>
                      <w:highlight w:val="none"/>
                      <w:u w:val="single"/>
                      <w:lang w:val="en-US" w:eastAsia="zh-CN"/>
                    </w:rPr>
                    <w:t>侧散户居民点</w:t>
                  </w:r>
                </w:p>
              </w:tc>
              <w:tc>
                <w:tcPr>
                  <w:tcW w:w="831" w:type="pct"/>
                  <w:gridSpan w:val="2"/>
                  <w:tcBorders>
                    <w:tl2br w:val="nil"/>
                    <w:tr2bl w:val="nil"/>
                  </w:tcBorders>
                  <w:noWrap w:val="0"/>
                  <w:vAlign w:val="center"/>
                </w:tcPr>
                <w:p w14:paraId="03995E00">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default" w:ascii="Times New Roman" w:hAnsi="Times New Roman" w:eastAsia="宋体" w:cs="Times New Roman"/>
                      <w:b w:val="0"/>
                      <w:bCs w:val="0"/>
                      <w:color w:val="auto"/>
                      <w:spacing w:val="11"/>
                      <w:position w:val="0"/>
                      <w:sz w:val="21"/>
                      <w:szCs w:val="21"/>
                      <w:highlight w:val="none"/>
                      <w:u w:val="single"/>
                      <w:lang w:val="en-US" w:eastAsia="zh-CN"/>
                    </w:rPr>
                    <w:t>112.134547</w:t>
                  </w:r>
                </w:p>
              </w:tc>
              <w:tc>
                <w:tcPr>
                  <w:tcW w:w="782" w:type="pct"/>
                  <w:tcBorders>
                    <w:tl2br w:val="nil"/>
                    <w:tr2bl w:val="nil"/>
                  </w:tcBorders>
                  <w:noWrap w:val="0"/>
                  <w:vAlign w:val="center"/>
                </w:tcPr>
                <w:p w14:paraId="7DC2FCB8">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default" w:ascii="Times New Roman" w:hAnsi="Times New Roman" w:eastAsia="宋体" w:cs="Times New Roman"/>
                      <w:b w:val="0"/>
                      <w:bCs w:val="0"/>
                      <w:color w:val="auto"/>
                      <w:spacing w:val="11"/>
                      <w:position w:val="0"/>
                      <w:sz w:val="21"/>
                      <w:szCs w:val="21"/>
                      <w:highlight w:val="none"/>
                      <w:u w:val="single"/>
                      <w:lang w:val="en-US" w:eastAsia="zh-CN"/>
                    </w:rPr>
                    <w:t>25.909622</w:t>
                  </w:r>
                </w:p>
              </w:tc>
              <w:tc>
                <w:tcPr>
                  <w:tcW w:w="586" w:type="pct"/>
                  <w:gridSpan w:val="2"/>
                  <w:tcBorders>
                    <w:tl2br w:val="nil"/>
                    <w:tr2bl w:val="nil"/>
                  </w:tcBorders>
                  <w:noWrap w:val="0"/>
                  <w:vAlign w:val="center"/>
                </w:tcPr>
                <w:p w14:paraId="19B614DD">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default" w:ascii="Times New Roman" w:hAnsi="Times New Roman" w:eastAsia="宋体" w:cs="Times New Roman"/>
                      <w:b w:val="0"/>
                      <w:bCs w:val="0"/>
                      <w:color w:val="auto"/>
                      <w:spacing w:val="11"/>
                      <w:position w:val="0"/>
                      <w:sz w:val="21"/>
                      <w:szCs w:val="21"/>
                      <w:highlight w:val="none"/>
                      <w:u w:val="single"/>
                      <w:lang w:val="en-US" w:eastAsia="zh-CN"/>
                    </w:rPr>
                    <w:t>约1</w:t>
                  </w:r>
                  <w:r>
                    <w:rPr>
                      <w:rFonts w:hint="eastAsia" w:cs="Times New Roman"/>
                      <w:b w:val="0"/>
                      <w:bCs w:val="0"/>
                      <w:color w:val="auto"/>
                      <w:spacing w:val="11"/>
                      <w:position w:val="0"/>
                      <w:sz w:val="21"/>
                      <w:szCs w:val="21"/>
                      <w:highlight w:val="none"/>
                      <w:u w:val="single"/>
                      <w:lang w:val="en-US" w:eastAsia="zh-CN"/>
                    </w:rPr>
                    <w:t>5</w:t>
                  </w:r>
                  <w:r>
                    <w:rPr>
                      <w:rFonts w:hint="default" w:ascii="Times New Roman" w:hAnsi="Times New Roman" w:eastAsia="宋体" w:cs="Times New Roman"/>
                      <w:b w:val="0"/>
                      <w:bCs w:val="0"/>
                      <w:color w:val="auto"/>
                      <w:spacing w:val="11"/>
                      <w:position w:val="0"/>
                      <w:sz w:val="21"/>
                      <w:szCs w:val="21"/>
                      <w:highlight w:val="none"/>
                      <w:u w:val="single"/>
                      <w:lang w:val="en-US" w:eastAsia="zh-CN"/>
                    </w:rPr>
                    <w:t>户</w:t>
                  </w:r>
                  <w:r>
                    <w:rPr>
                      <w:rFonts w:hint="eastAsia" w:cs="Times New Roman"/>
                      <w:b w:val="0"/>
                      <w:bCs w:val="0"/>
                      <w:color w:val="auto"/>
                      <w:spacing w:val="11"/>
                      <w:position w:val="0"/>
                      <w:sz w:val="21"/>
                      <w:szCs w:val="21"/>
                      <w:highlight w:val="none"/>
                      <w:u w:val="single"/>
                      <w:lang w:val="en-US" w:eastAsia="zh-CN"/>
                    </w:rPr>
                    <w:t>45</w:t>
                  </w:r>
                  <w:r>
                    <w:rPr>
                      <w:rFonts w:hint="default" w:ascii="Times New Roman" w:hAnsi="Times New Roman" w:eastAsia="宋体" w:cs="Times New Roman"/>
                      <w:b w:val="0"/>
                      <w:bCs w:val="0"/>
                      <w:color w:val="auto"/>
                      <w:spacing w:val="11"/>
                      <w:position w:val="0"/>
                      <w:sz w:val="21"/>
                      <w:szCs w:val="21"/>
                      <w:highlight w:val="none"/>
                      <w:u w:val="single"/>
                      <w:lang w:val="en-US" w:eastAsia="zh-CN"/>
                    </w:rPr>
                    <w:t>人，有山体阻隔</w:t>
                  </w:r>
                </w:p>
              </w:tc>
              <w:tc>
                <w:tcPr>
                  <w:tcW w:w="461" w:type="pct"/>
                  <w:gridSpan w:val="2"/>
                  <w:vMerge w:val="continue"/>
                  <w:tcBorders>
                    <w:tl2br w:val="nil"/>
                    <w:tr2bl w:val="nil"/>
                  </w:tcBorders>
                  <w:noWrap w:val="0"/>
                  <w:vAlign w:val="center"/>
                </w:tcPr>
                <w:p w14:paraId="583CDEFE">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p>
              </w:tc>
              <w:tc>
                <w:tcPr>
                  <w:tcW w:w="424" w:type="pct"/>
                  <w:vMerge w:val="continue"/>
                  <w:tcBorders>
                    <w:tl2br w:val="nil"/>
                    <w:tr2bl w:val="nil"/>
                  </w:tcBorders>
                  <w:noWrap w:val="0"/>
                  <w:vAlign w:val="center"/>
                </w:tcPr>
                <w:p w14:paraId="0E4DECEB">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p>
              </w:tc>
              <w:tc>
                <w:tcPr>
                  <w:tcW w:w="527" w:type="pct"/>
                  <w:gridSpan w:val="2"/>
                  <w:tcBorders>
                    <w:tl2br w:val="nil"/>
                    <w:tr2bl w:val="nil"/>
                  </w:tcBorders>
                  <w:noWrap w:val="0"/>
                  <w:vAlign w:val="center"/>
                </w:tcPr>
                <w:p w14:paraId="4203BBDA">
                  <w:pPr>
                    <w:pStyle w:val="63"/>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color w:val="auto"/>
                      <w:spacing w:val="11"/>
                      <w:position w:val="0"/>
                      <w:sz w:val="21"/>
                      <w:szCs w:val="21"/>
                      <w:highlight w:val="none"/>
                      <w:u w:val="single"/>
                      <w:lang w:val="en-US" w:eastAsia="zh-CN"/>
                    </w:rPr>
                  </w:pPr>
                  <w:r>
                    <w:rPr>
                      <w:rFonts w:hint="default" w:ascii="Times New Roman" w:hAnsi="Times New Roman" w:cs="Times New Roman"/>
                      <w:b w:val="0"/>
                      <w:bCs w:val="0"/>
                      <w:color w:val="auto"/>
                      <w:spacing w:val="11"/>
                      <w:position w:val="0"/>
                      <w:sz w:val="21"/>
                      <w:szCs w:val="21"/>
                      <w:highlight w:val="none"/>
                      <w:u w:val="single"/>
                      <w:lang w:val="en-US" w:eastAsia="zh-CN"/>
                    </w:rPr>
                    <w:t>北</w:t>
                  </w:r>
                </w:p>
              </w:tc>
              <w:tc>
                <w:tcPr>
                  <w:tcW w:w="825" w:type="pct"/>
                  <w:tcBorders>
                    <w:tl2br w:val="nil"/>
                    <w:tr2bl w:val="nil"/>
                  </w:tcBorders>
                  <w:noWrap w:val="0"/>
                  <w:vAlign w:val="center"/>
                </w:tcPr>
                <w:p w14:paraId="1C780CB9">
                  <w:pPr>
                    <w:pStyle w:val="63"/>
                    <w:keepNext w:val="0"/>
                    <w:keepLines w:val="0"/>
                    <w:suppressLineNumbers w:val="0"/>
                    <w:spacing w:before="0" w:beforeAutospacing="0" w:after="0" w:afterAutospacing="0"/>
                    <w:ind w:left="0" w:right="0"/>
                    <w:jc w:val="center"/>
                    <w:rPr>
                      <w:rFonts w:hint="default" w:cs="Times New Roman"/>
                      <w:b w:val="0"/>
                      <w:bCs w:val="0"/>
                      <w:color w:val="auto"/>
                      <w:spacing w:val="11"/>
                      <w:position w:val="0"/>
                      <w:sz w:val="21"/>
                      <w:szCs w:val="21"/>
                      <w:highlight w:val="none"/>
                      <w:u w:val="single"/>
                      <w:lang w:val="en-US" w:eastAsia="zh-CN"/>
                    </w:rPr>
                  </w:pPr>
                  <w:r>
                    <w:rPr>
                      <w:rFonts w:hint="eastAsia" w:cs="Times New Roman"/>
                      <w:b w:val="0"/>
                      <w:bCs w:val="0"/>
                      <w:color w:val="auto"/>
                      <w:spacing w:val="11"/>
                      <w:position w:val="0"/>
                      <w:sz w:val="21"/>
                      <w:szCs w:val="21"/>
                      <w:highlight w:val="none"/>
                      <w:u w:val="single"/>
                      <w:lang w:val="en-US" w:eastAsia="zh-CN"/>
                    </w:rPr>
                    <w:t>215-358m</w:t>
                  </w:r>
                </w:p>
              </w:tc>
            </w:tr>
            <w:tr w14:paraId="3E7E8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0" w:type="pct"/>
                  <w:tcBorders>
                    <w:tl2br w:val="nil"/>
                    <w:tr2bl w:val="nil"/>
                  </w:tcBorders>
                  <w:noWrap w:val="0"/>
                  <w:vAlign w:val="center"/>
                </w:tcPr>
                <w:p w14:paraId="3D3EA9DA">
                  <w:pPr>
                    <w:pStyle w:val="63"/>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color w:val="auto"/>
                      <w:spacing w:val="11"/>
                      <w:position w:val="0"/>
                      <w:sz w:val="21"/>
                      <w:szCs w:val="21"/>
                      <w:highlight w:val="none"/>
                      <w:u w:val="single"/>
                      <w:lang w:val="en-US" w:eastAsia="zh-CN"/>
                    </w:rPr>
                  </w:pPr>
                  <w:r>
                    <w:rPr>
                      <w:rFonts w:hint="eastAsia" w:cs="Times New Roman"/>
                      <w:b w:val="0"/>
                      <w:bCs w:val="0"/>
                      <w:color w:val="auto"/>
                      <w:spacing w:val="11"/>
                      <w:position w:val="0"/>
                      <w:sz w:val="21"/>
                      <w:szCs w:val="21"/>
                      <w:highlight w:val="none"/>
                      <w:u w:val="single"/>
                      <w:lang w:val="en-US" w:eastAsia="zh-CN"/>
                    </w:rPr>
                    <w:t>刘家桥村居民点</w:t>
                  </w:r>
                </w:p>
              </w:tc>
              <w:tc>
                <w:tcPr>
                  <w:tcW w:w="831" w:type="pct"/>
                  <w:gridSpan w:val="2"/>
                  <w:tcBorders>
                    <w:tl2br w:val="nil"/>
                    <w:tr2bl w:val="nil"/>
                  </w:tcBorders>
                  <w:noWrap w:val="0"/>
                  <w:vAlign w:val="center"/>
                </w:tcPr>
                <w:p w14:paraId="6B8D2BD8">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default" w:ascii="Times New Roman" w:hAnsi="Times New Roman" w:eastAsia="宋体" w:cs="Times New Roman"/>
                      <w:b w:val="0"/>
                      <w:bCs w:val="0"/>
                      <w:color w:val="auto"/>
                      <w:spacing w:val="11"/>
                      <w:position w:val="0"/>
                      <w:sz w:val="21"/>
                      <w:szCs w:val="21"/>
                      <w:highlight w:val="none"/>
                      <w:u w:val="single"/>
                      <w:lang w:val="en-US" w:eastAsia="zh-CN"/>
                    </w:rPr>
                    <w:t>112.135330</w:t>
                  </w:r>
                </w:p>
              </w:tc>
              <w:tc>
                <w:tcPr>
                  <w:tcW w:w="782" w:type="pct"/>
                  <w:tcBorders>
                    <w:tl2br w:val="nil"/>
                    <w:tr2bl w:val="nil"/>
                  </w:tcBorders>
                  <w:noWrap w:val="0"/>
                  <w:vAlign w:val="center"/>
                </w:tcPr>
                <w:p w14:paraId="0A08CF63">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default" w:ascii="Times New Roman" w:hAnsi="Times New Roman" w:eastAsia="宋体" w:cs="Times New Roman"/>
                      <w:b w:val="0"/>
                      <w:bCs w:val="0"/>
                      <w:color w:val="auto"/>
                      <w:spacing w:val="11"/>
                      <w:position w:val="0"/>
                      <w:sz w:val="21"/>
                      <w:szCs w:val="21"/>
                      <w:highlight w:val="none"/>
                      <w:u w:val="single"/>
                      <w:lang w:val="en-US" w:eastAsia="zh-CN"/>
                    </w:rPr>
                    <w:t>25.901586</w:t>
                  </w:r>
                </w:p>
              </w:tc>
              <w:tc>
                <w:tcPr>
                  <w:tcW w:w="586" w:type="pct"/>
                  <w:gridSpan w:val="2"/>
                  <w:tcBorders>
                    <w:tl2br w:val="nil"/>
                    <w:tr2bl w:val="nil"/>
                  </w:tcBorders>
                  <w:noWrap w:val="0"/>
                  <w:vAlign w:val="center"/>
                </w:tcPr>
                <w:p w14:paraId="3B3DF7A2">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default" w:ascii="Times New Roman" w:hAnsi="Times New Roman" w:eastAsia="宋体" w:cs="Times New Roman"/>
                      <w:b w:val="0"/>
                      <w:bCs w:val="0"/>
                      <w:color w:val="auto"/>
                      <w:spacing w:val="11"/>
                      <w:position w:val="0"/>
                      <w:sz w:val="21"/>
                      <w:szCs w:val="21"/>
                      <w:highlight w:val="none"/>
                      <w:u w:val="single"/>
                      <w:lang w:val="en-US" w:eastAsia="zh-CN"/>
                    </w:rPr>
                    <w:t>约</w:t>
                  </w:r>
                  <w:r>
                    <w:rPr>
                      <w:rFonts w:hint="eastAsia" w:cs="Times New Roman"/>
                      <w:b w:val="0"/>
                      <w:bCs w:val="0"/>
                      <w:color w:val="auto"/>
                      <w:spacing w:val="11"/>
                      <w:position w:val="0"/>
                      <w:sz w:val="21"/>
                      <w:szCs w:val="21"/>
                      <w:highlight w:val="none"/>
                      <w:u w:val="single"/>
                      <w:lang w:val="en-US" w:eastAsia="zh-CN"/>
                    </w:rPr>
                    <w:t>53</w:t>
                  </w:r>
                  <w:r>
                    <w:rPr>
                      <w:rFonts w:hint="default" w:ascii="Times New Roman" w:hAnsi="Times New Roman" w:eastAsia="宋体" w:cs="Times New Roman"/>
                      <w:b w:val="0"/>
                      <w:bCs w:val="0"/>
                      <w:color w:val="auto"/>
                      <w:spacing w:val="11"/>
                      <w:position w:val="0"/>
                      <w:sz w:val="21"/>
                      <w:szCs w:val="21"/>
                      <w:highlight w:val="none"/>
                      <w:u w:val="single"/>
                      <w:lang w:val="en-US" w:eastAsia="zh-CN"/>
                    </w:rPr>
                    <w:t>户</w:t>
                  </w:r>
                  <w:r>
                    <w:rPr>
                      <w:rFonts w:hint="eastAsia" w:cs="Times New Roman"/>
                      <w:b w:val="0"/>
                      <w:bCs w:val="0"/>
                      <w:color w:val="auto"/>
                      <w:spacing w:val="11"/>
                      <w:position w:val="0"/>
                      <w:sz w:val="21"/>
                      <w:szCs w:val="21"/>
                      <w:highlight w:val="none"/>
                      <w:u w:val="single"/>
                      <w:lang w:val="en-US" w:eastAsia="zh-CN"/>
                    </w:rPr>
                    <w:t>159</w:t>
                  </w:r>
                  <w:r>
                    <w:rPr>
                      <w:rFonts w:hint="default" w:ascii="Times New Roman" w:hAnsi="Times New Roman" w:eastAsia="宋体" w:cs="Times New Roman"/>
                      <w:b w:val="0"/>
                      <w:bCs w:val="0"/>
                      <w:color w:val="auto"/>
                      <w:spacing w:val="11"/>
                      <w:position w:val="0"/>
                      <w:sz w:val="21"/>
                      <w:szCs w:val="21"/>
                      <w:highlight w:val="none"/>
                      <w:u w:val="single"/>
                      <w:lang w:val="en-US" w:eastAsia="zh-CN"/>
                    </w:rPr>
                    <w:t>人</w:t>
                  </w:r>
                </w:p>
              </w:tc>
              <w:tc>
                <w:tcPr>
                  <w:tcW w:w="461" w:type="pct"/>
                  <w:gridSpan w:val="2"/>
                  <w:vMerge w:val="continue"/>
                  <w:tcBorders>
                    <w:tl2br w:val="nil"/>
                    <w:tr2bl w:val="nil"/>
                  </w:tcBorders>
                  <w:noWrap w:val="0"/>
                  <w:vAlign w:val="center"/>
                </w:tcPr>
                <w:p w14:paraId="3A54D158">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p>
              </w:tc>
              <w:tc>
                <w:tcPr>
                  <w:tcW w:w="424" w:type="pct"/>
                  <w:vMerge w:val="continue"/>
                  <w:tcBorders>
                    <w:tl2br w:val="nil"/>
                    <w:tr2bl w:val="nil"/>
                  </w:tcBorders>
                  <w:noWrap w:val="0"/>
                  <w:vAlign w:val="center"/>
                </w:tcPr>
                <w:p w14:paraId="2D9CD036">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p>
              </w:tc>
              <w:tc>
                <w:tcPr>
                  <w:tcW w:w="527" w:type="pct"/>
                  <w:gridSpan w:val="2"/>
                  <w:tcBorders>
                    <w:tl2br w:val="nil"/>
                    <w:tr2bl w:val="nil"/>
                  </w:tcBorders>
                  <w:noWrap w:val="0"/>
                  <w:vAlign w:val="center"/>
                </w:tcPr>
                <w:p w14:paraId="6CBD9C8F">
                  <w:pPr>
                    <w:pStyle w:val="63"/>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color w:val="auto"/>
                      <w:spacing w:val="11"/>
                      <w:position w:val="0"/>
                      <w:sz w:val="21"/>
                      <w:szCs w:val="21"/>
                      <w:highlight w:val="none"/>
                      <w:u w:val="single"/>
                      <w:lang w:val="en-US" w:eastAsia="zh-CN"/>
                    </w:rPr>
                  </w:pPr>
                  <w:r>
                    <w:rPr>
                      <w:rFonts w:hint="default" w:ascii="Times New Roman" w:hAnsi="Times New Roman" w:cs="Times New Roman"/>
                      <w:b w:val="0"/>
                      <w:bCs w:val="0"/>
                      <w:color w:val="auto"/>
                      <w:spacing w:val="11"/>
                      <w:position w:val="0"/>
                      <w:sz w:val="21"/>
                      <w:szCs w:val="21"/>
                      <w:highlight w:val="none"/>
                      <w:u w:val="single"/>
                      <w:lang w:val="en-US" w:eastAsia="zh-CN"/>
                    </w:rPr>
                    <w:t>南</w:t>
                  </w:r>
                </w:p>
              </w:tc>
              <w:tc>
                <w:tcPr>
                  <w:tcW w:w="825" w:type="pct"/>
                  <w:tcBorders>
                    <w:tl2br w:val="nil"/>
                    <w:tr2bl w:val="nil"/>
                  </w:tcBorders>
                  <w:noWrap w:val="0"/>
                  <w:vAlign w:val="center"/>
                </w:tcPr>
                <w:p w14:paraId="43068950">
                  <w:pPr>
                    <w:pStyle w:val="63"/>
                    <w:keepNext w:val="0"/>
                    <w:keepLines w:val="0"/>
                    <w:suppressLineNumbers w:val="0"/>
                    <w:spacing w:before="0" w:beforeAutospacing="0" w:after="0" w:afterAutospacing="0"/>
                    <w:ind w:left="0" w:right="0"/>
                    <w:jc w:val="center"/>
                    <w:rPr>
                      <w:rFonts w:hint="default" w:cs="Times New Roman"/>
                      <w:b w:val="0"/>
                      <w:bCs w:val="0"/>
                      <w:color w:val="auto"/>
                      <w:spacing w:val="11"/>
                      <w:position w:val="0"/>
                      <w:sz w:val="21"/>
                      <w:szCs w:val="21"/>
                      <w:highlight w:val="none"/>
                      <w:u w:val="single"/>
                      <w:lang w:val="en-US" w:eastAsia="zh-CN"/>
                    </w:rPr>
                  </w:pPr>
                  <w:r>
                    <w:rPr>
                      <w:rFonts w:hint="eastAsia" w:cs="Times New Roman"/>
                      <w:b w:val="0"/>
                      <w:bCs w:val="0"/>
                      <w:color w:val="auto"/>
                      <w:spacing w:val="11"/>
                      <w:position w:val="0"/>
                      <w:sz w:val="21"/>
                      <w:szCs w:val="21"/>
                      <w:highlight w:val="none"/>
                      <w:u w:val="single"/>
                      <w:lang w:val="en-US" w:eastAsia="zh-CN"/>
                    </w:rPr>
                    <w:t>13-500m</w:t>
                  </w:r>
                </w:p>
              </w:tc>
            </w:tr>
            <w:tr w14:paraId="763C2A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2"/>
                  <w:tcBorders>
                    <w:tl2br w:val="nil"/>
                    <w:tr2bl w:val="nil"/>
                  </w:tcBorders>
                  <w:noWrap w:val="0"/>
                  <w:vAlign w:val="center"/>
                </w:tcPr>
                <w:p w14:paraId="07719F28">
                  <w:pPr>
                    <w:pStyle w:val="63"/>
                    <w:keepNext w:val="0"/>
                    <w:keepLines w:val="0"/>
                    <w:suppressLineNumbers w:val="0"/>
                    <w:spacing w:before="0" w:beforeAutospacing="0" w:after="0" w:afterAutospacing="0"/>
                    <w:ind w:left="0" w:right="0"/>
                    <w:jc w:val="center"/>
                    <w:rPr>
                      <w:rFonts w:hint="default" w:cs="Times New Roman"/>
                      <w:b w:val="0"/>
                      <w:bCs w:val="0"/>
                      <w:color w:val="auto"/>
                      <w:spacing w:val="11"/>
                      <w:position w:val="0"/>
                      <w:sz w:val="21"/>
                      <w:szCs w:val="21"/>
                      <w:highlight w:val="none"/>
                      <w:u w:val="single"/>
                      <w:lang w:val="en-US" w:eastAsia="zh-CN"/>
                    </w:rPr>
                  </w:pPr>
                  <w:r>
                    <w:rPr>
                      <w:rFonts w:hint="eastAsia" w:cs="Times New Roman"/>
                      <w:b w:val="0"/>
                      <w:bCs w:val="0"/>
                      <w:color w:val="auto"/>
                      <w:spacing w:val="11"/>
                      <w:position w:val="0"/>
                      <w:sz w:val="21"/>
                      <w:szCs w:val="21"/>
                      <w:highlight w:val="none"/>
                      <w:u w:val="single"/>
                      <w:lang w:val="en-US" w:eastAsia="zh-CN"/>
                    </w:rPr>
                    <w:t>二、声环境保护目标</w:t>
                  </w:r>
                </w:p>
              </w:tc>
            </w:tr>
            <w:tr w14:paraId="1A1FA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0" w:type="pct"/>
                  <w:tcBorders>
                    <w:tl2br w:val="nil"/>
                    <w:tr2bl w:val="nil"/>
                  </w:tcBorders>
                  <w:shd w:val="clear" w:color="auto" w:fill="auto"/>
                  <w:noWrap w:val="0"/>
                  <w:vAlign w:val="center"/>
                </w:tcPr>
                <w:p w14:paraId="7674CB97">
                  <w:pPr>
                    <w:pStyle w:val="63"/>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spacing w:val="11"/>
                      <w:kern w:val="2"/>
                      <w:position w:val="0"/>
                      <w:sz w:val="21"/>
                      <w:szCs w:val="21"/>
                      <w:highlight w:val="none"/>
                      <w:u w:val="single"/>
                      <w:lang w:val="en-US" w:eastAsia="zh-CN" w:bidi="ar-SA"/>
                    </w:rPr>
                  </w:pPr>
                  <w:r>
                    <w:rPr>
                      <w:rFonts w:hint="default" w:ascii="Times New Roman" w:hAnsi="Times New Roman" w:cs="Times New Roman"/>
                      <w:b w:val="0"/>
                      <w:bCs w:val="0"/>
                      <w:color w:val="auto"/>
                      <w:spacing w:val="11"/>
                      <w:position w:val="0"/>
                      <w:sz w:val="21"/>
                      <w:szCs w:val="21"/>
                      <w:highlight w:val="none"/>
                      <w:u w:val="single"/>
                      <w:lang w:val="en-US" w:eastAsia="zh-CN"/>
                    </w:rPr>
                    <w:t>项目区</w:t>
                  </w:r>
                  <w:r>
                    <w:rPr>
                      <w:rFonts w:hint="eastAsia" w:cs="Times New Roman"/>
                      <w:b w:val="0"/>
                      <w:bCs w:val="0"/>
                      <w:color w:val="auto"/>
                      <w:spacing w:val="11"/>
                      <w:position w:val="0"/>
                      <w:sz w:val="21"/>
                      <w:szCs w:val="21"/>
                      <w:highlight w:val="none"/>
                      <w:u w:val="single"/>
                      <w:lang w:val="en-US" w:eastAsia="zh-CN"/>
                    </w:rPr>
                    <w:t>南</w:t>
                  </w:r>
                  <w:r>
                    <w:rPr>
                      <w:rFonts w:hint="default" w:ascii="Times New Roman" w:hAnsi="Times New Roman" w:cs="Times New Roman"/>
                      <w:b w:val="0"/>
                      <w:bCs w:val="0"/>
                      <w:color w:val="auto"/>
                      <w:spacing w:val="11"/>
                      <w:position w:val="0"/>
                      <w:sz w:val="21"/>
                      <w:szCs w:val="21"/>
                      <w:highlight w:val="none"/>
                      <w:u w:val="single"/>
                      <w:lang w:val="en-US" w:eastAsia="zh-CN"/>
                    </w:rPr>
                    <w:t>侧散户居民点</w:t>
                  </w:r>
                </w:p>
              </w:tc>
              <w:tc>
                <w:tcPr>
                  <w:tcW w:w="831" w:type="pct"/>
                  <w:gridSpan w:val="2"/>
                  <w:tcBorders>
                    <w:tl2br w:val="nil"/>
                    <w:tr2bl w:val="nil"/>
                  </w:tcBorders>
                  <w:shd w:val="clear" w:color="auto" w:fill="auto"/>
                  <w:noWrap w:val="0"/>
                  <w:vAlign w:val="center"/>
                </w:tcPr>
                <w:p w14:paraId="7652917C">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kern w:val="2"/>
                      <w:position w:val="0"/>
                      <w:sz w:val="21"/>
                      <w:szCs w:val="21"/>
                      <w:highlight w:val="none"/>
                      <w:u w:val="single"/>
                      <w:lang w:val="en-US" w:eastAsia="zh-CN" w:bidi="ar-SA"/>
                    </w:rPr>
                  </w:pPr>
                  <w:r>
                    <w:rPr>
                      <w:rFonts w:hint="default" w:ascii="Times New Roman" w:hAnsi="Times New Roman" w:eastAsia="宋体" w:cs="Times New Roman"/>
                      <w:b w:val="0"/>
                      <w:bCs w:val="0"/>
                      <w:color w:val="auto"/>
                      <w:spacing w:val="11"/>
                      <w:position w:val="0"/>
                      <w:sz w:val="21"/>
                      <w:szCs w:val="21"/>
                      <w:highlight w:val="none"/>
                      <w:u w:val="single"/>
                      <w:lang w:val="en-US" w:eastAsia="zh-CN"/>
                    </w:rPr>
                    <w:t>112.131178</w:t>
                  </w:r>
                </w:p>
              </w:tc>
              <w:tc>
                <w:tcPr>
                  <w:tcW w:w="782" w:type="pct"/>
                  <w:tcBorders>
                    <w:tl2br w:val="nil"/>
                    <w:tr2bl w:val="nil"/>
                  </w:tcBorders>
                  <w:shd w:val="clear" w:color="auto" w:fill="auto"/>
                  <w:noWrap w:val="0"/>
                  <w:vAlign w:val="center"/>
                </w:tcPr>
                <w:p w14:paraId="5F106724">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kern w:val="2"/>
                      <w:position w:val="0"/>
                      <w:sz w:val="21"/>
                      <w:szCs w:val="21"/>
                      <w:highlight w:val="none"/>
                      <w:u w:val="single"/>
                      <w:lang w:val="en-US" w:eastAsia="zh-CN" w:bidi="ar-SA"/>
                    </w:rPr>
                  </w:pPr>
                  <w:r>
                    <w:rPr>
                      <w:rFonts w:hint="default" w:ascii="Times New Roman" w:hAnsi="Times New Roman" w:eastAsia="宋体" w:cs="Times New Roman"/>
                      <w:b w:val="0"/>
                      <w:bCs w:val="0"/>
                      <w:color w:val="auto"/>
                      <w:spacing w:val="11"/>
                      <w:position w:val="0"/>
                      <w:sz w:val="21"/>
                      <w:szCs w:val="21"/>
                      <w:highlight w:val="none"/>
                      <w:u w:val="single"/>
                      <w:lang w:val="en-US" w:eastAsia="zh-CN"/>
                    </w:rPr>
                    <w:t>25.904922</w:t>
                  </w:r>
                </w:p>
              </w:tc>
              <w:tc>
                <w:tcPr>
                  <w:tcW w:w="586" w:type="pct"/>
                  <w:gridSpan w:val="2"/>
                  <w:tcBorders>
                    <w:tl2br w:val="nil"/>
                    <w:tr2bl w:val="nil"/>
                  </w:tcBorders>
                  <w:shd w:val="clear" w:color="auto" w:fill="auto"/>
                  <w:noWrap w:val="0"/>
                  <w:vAlign w:val="center"/>
                </w:tcPr>
                <w:p w14:paraId="7C2DBF7E">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kern w:val="2"/>
                      <w:position w:val="0"/>
                      <w:sz w:val="21"/>
                      <w:szCs w:val="21"/>
                      <w:highlight w:val="none"/>
                      <w:u w:val="single"/>
                      <w:lang w:val="en-US" w:eastAsia="zh-CN" w:bidi="ar-SA"/>
                    </w:rPr>
                  </w:pPr>
                  <w:r>
                    <w:rPr>
                      <w:rFonts w:hint="default" w:ascii="Times New Roman" w:hAnsi="Times New Roman" w:eastAsia="宋体" w:cs="Times New Roman"/>
                      <w:b w:val="0"/>
                      <w:bCs w:val="0"/>
                      <w:color w:val="auto"/>
                      <w:spacing w:val="11"/>
                      <w:position w:val="0"/>
                      <w:sz w:val="21"/>
                      <w:szCs w:val="21"/>
                      <w:highlight w:val="none"/>
                      <w:u w:val="single"/>
                      <w:lang w:val="en-US" w:eastAsia="zh-CN"/>
                    </w:rPr>
                    <w:t>约</w:t>
                  </w:r>
                  <w:r>
                    <w:rPr>
                      <w:rFonts w:hint="eastAsia" w:cs="Times New Roman"/>
                      <w:b w:val="0"/>
                      <w:bCs w:val="0"/>
                      <w:color w:val="auto"/>
                      <w:spacing w:val="11"/>
                      <w:position w:val="0"/>
                      <w:sz w:val="21"/>
                      <w:szCs w:val="21"/>
                      <w:highlight w:val="none"/>
                      <w:u w:val="single"/>
                      <w:lang w:val="en-US" w:eastAsia="zh-CN"/>
                    </w:rPr>
                    <w:t>1</w:t>
                  </w:r>
                  <w:r>
                    <w:rPr>
                      <w:rFonts w:hint="default" w:ascii="Times New Roman" w:hAnsi="Times New Roman" w:eastAsia="宋体" w:cs="Times New Roman"/>
                      <w:b w:val="0"/>
                      <w:bCs w:val="0"/>
                      <w:color w:val="auto"/>
                      <w:spacing w:val="11"/>
                      <w:position w:val="0"/>
                      <w:sz w:val="21"/>
                      <w:szCs w:val="21"/>
                      <w:highlight w:val="none"/>
                      <w:u w:val="single"/>
                      <w:lang w:val="en-US" w:eastAsia="zh-CN"/>
                    </w:rPr>
                    <w:t>户</w:t>
                  </w:r>
                  <w:r>
                    <w:rPr>
                      <w:rFonts w:hint="eastAsia" w:cs="Times New Roman"/>
                      <w:b w:val="0"/>
                      <w:bCs w:val="0"/>
                      <w:color w:val="auto"/>
                      <w:spacing w:val="11"/>
                      <w:position w:val="0"/>
                      <w:sz w:val="21"/>
                      <w:szCs w:val="21"/>
                      <w:highlight w:val="none"/>
                      <w:u w:val="single"/>
                      <w:lang w:val="en-US" w:eastAsia="zh-CN"/>
                    </w:rPr>
                    <w:t>3</w:t>
                  </w:r>
                  <w:r>
                    <w:rPr>
                      <w:rFonts w:hint="default" w:ascii="Times New Roman" w:hAnsi="Times New Roman" w:eastAsia="宋体" w:cs="Times New Roman"/>
                      <w:b w:val="0"/>
                      <w:bCs w:val="0"/>
                      <w:color w:val="auto"/>
                      <w:spacing w:val="11"/>
                      <w:position w:val="0"/>
                      <w:sz w:val="21"/>
                      <w:szCs w:val="21"/>
                      <w:highlight w:val="none"/>
                      <w:u w:val="single"/>
                      <w:lang w:val="en-US" w:eastAsia="zh-CN"/>
                    </w:rPr>
                    <w:t>人，有山体阻隔</w:t>
                  </w:r>
                </w:p>
              </w:tc>
              <w:tc>
                <w:tcPr>
                  <w:tcW w:w="461" w:type="pct"/>
                  <w:gridSpan w:val="2"/>
                  <w:tcBorders>
                    <w:tl2br w:val="nil"/>
                    <w:tr2bl w:val="nil"/>
                  </w:tcBorders>
                  <w:shd w:val="clear" w:color="auto" w:fill="auto"/>
                  <w:noWrap w:val="0"/>
                  <w:vAlign w:val="center"/>
                </w:tcPr>
                <w:p w14:paraId="4CA37193">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kern w:val="2"/>
                      <w:position w:val="0"/>
                      <w:sz w:val="21"/>
                      <w:szCs w:val="21"/>
                      <w:highlight w:val="none"/>
                      <w:u w:val="single"/>
                      <w:lang w:val="en-US" w:eastAsia="zh-CN" w:bidi="ar-SA"/>
                    </w:rPr>
                  </w:pPr>
                  <w:r>
                    <w:rPr>
                      <w:rFonts w:hint="default" w:ascii="Times New Roman" w:hAnsi="Times New Roman" w:eastAsia="宋体" w:cs="Times New Roman"/>
                      <w:b w:val="0"/>
                      <w:bCs w:val="0"/>
                      <w:color w:val="auto"/>
                      <w:spacing w:val="11"/>
                      <w:position w:val="0"/>
                      <w:sz w:val="21"/>
                      <w:szCs w:val="21"/>
                      <w:highlight w:val="none"/>
                      <w:u w:val="single"/>
                    </w:rPr>
                    <w:t>人群健康</w:t>
                  </w:r>
                </w:p>
              </w:tc>
              <w:tc>
                <w:tcPr>
                  <w:tcW w:w="424" w:type="pct"/>
                  <w:tcBorders>
                    <w:tl2br w:val="nil"/>
                    <w:tr2bl w:val="nil"/>
                  </w:tcBorders>
                  <w:shd w:val="clear" w:color="auto" w:fill="auto"/>
                  <w:noWrap w:val="0"/>
                  <w:vAlign w:val="center"/>
                </w:tcPr>
                <w:p w14:paraId="64426859">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kern w:val="2"/>
                      <w:position w:val="0"/>
                      <w:sz w:val="21"/>
                      <w:szCs w:val="21"/>
                      <w:highlight w:val="none"/>
                      <w:u w:val="single"/>
                      <w:lang w:val="en-US" w:eastAsia="zh-CN" w:bidi="ar-SA"/>
                    </w:rPr>
                  </w:pPr>
                  <w:r>
                    <w:rPr>
                      <w:rFonts w:hint="eastAsia" w:ascii="Times New Roman" w:hAnsi="Times New Roman" w:cs="Times New Roman"/>
                      <w:b w:val="0"/>
                      <w:bCs w:val="0"/>
                      <w:color w:val="auto"/>
                      <w:spacing w:val="11"/>
                      <w:position w:val="0"/>
                      <w:sz w:val="21"/>
                      <w:szCs w:val="21"/>
                      <w:highlight w:val="none"/>
                      <w:u w:val="single"/>
                      <w:lang w:val="en-US" w:eastAsia="zh-CN"/>
                    </w:rPr>
                    <w:t>2类</w:t>
                  </w:r>
                  <w:r>
                    <w:rPr>
                      <w:rFonts w:hint="default" w:ascii="Times New Roman" w:hAnsi="Times New Roman" w:eastAsia="宋体" w:cs="Times New Roman"/>
                      <w:b w:val="0"/>
                      <w:bCs w:val="0"/>
                      <w:color w:val="auto"/>
                      <w:spacing w:val="11"/>
                      <w:position w:val="0"/>
                      <w:sz w:val="21"/>
                      <w:szCs w:val="21"/>
                      <w:highlight w:val="none"/>
                      <w:u w:val="single"/>
                      <w:lang w:val="en-US" w:eastAsia="zh-CN"/>
                    </w:rPr>
                    <w:t>声环境</w:t>
                  </w:r>
                  <w:r>
                    <w:rPr>
                      <w:rFonts w:hint="eastAsia" w:ascii="Times New Roman" w:hAnsi="Times New Roman" w:cs="Times New Roman"/>
                      <w:b w:val="0"/>
                      <w:bCs w:val="0"/>
                      <w:color w:val="auto"/>
                      <w:spacing w:val="11"/>
                      <w:position w:val="0"/>
                      <w:sz w:val="21"/>
                      <w:szCs w:val="21"/>
                      <w:highlight w:val="none"/>
                      <w:u w:val="single"/>
                      <w:lang w:val="en-US" w:eastAsia="zh-CN"/>
                    </w:rPr>
                    <w:t>功能区</w:t>
                  </w:r>
                </w:p>
              </w:tc>
              <w:tc>
                <w:tcPr>
                  <w:tcW w:w="527" w:type="pct"/>
                  <w:gridSpan w:val="2"/>
                  <w:tcBorders>
                    <w:tl2br w:val="nil"/>
                    <w:tr2bl w:val="nil"/>
                  </w:tcBorders>
                  <w:shd w:val="clear" w:color="auto" w:fill="auto"/>
                  <w:noWrap w:val="0"/>
                  <w:vAlign w:val="center"/>
                </w:tcPr>
                <w:p w14:paraId="12C51797">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kern w:val="2"/>
                      <w:position w:val="0"/>
                      <w:sz w:val="21"/>
                      <w:szCs w:val="21"/>
                      <w:highlight w:val="none"/>
                      <w:u w:val="single"/>
                      <w:lang w:val="en-US" w:eastAsia="zh-CN" w:bidi="ar-SA"/>
                    </w:rPr>
                  </w:pPr>
                  <w:r>
                    <w:rPr>
                      <w:rFonts w:hint="default" w:ascii="Times New Roman" w:hAnsi="Times New Roman" w:eastAsia="宋体" w:cs="Times New Roman"/>
                      <w:b w:val="0"/>
                      <w:bCs w:val="0"/>
                      <w:color w:val="auto"/>
                      <w:spacing w:val="11"/>
                      <w:position w:val="0"/>
                      <w:sz w:val="21"/>
                      <w:szCs w:val="21"/>
                      <w:highlight w:val="none"/>
                      <w:u w:val="single"/>
                      <w:lang w:val="en-US" w:eastAsia="zh-CN"/>
                    </w:rPr>
                    <w:t>南</w:t>
                  </w:r>
                </w:p>
              </w:tc>
              <w:tc>
                <w:tcPr>
                  <w:tcW w:w="825" w:type="pct"/>
                  <w:tcBorders>
                    <w:tl2br w:val="nil"/>
                    <w:tr2bl w:val="nil"/>
                  </w:tcBorders>
                  <w:shd w:val="clear" w:color="auto" w:fill="auto"/>
                  <w:noWrap w:val="0"/>
                  <w:vAlign w:val="center"/>
                </w:tcPr>
                <w:p w14:paraId="0FB43114">
                  <w:pPr>
                    <w:pStyle w:val="63"/>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spacing w:val="11"/>
                      <w:kern w:val="2"/>
                      <w:position w:val="0"/>
                      <w:sz w:val="21"/>
                      <w:szCs w:val="21"/>
                      <w:highlight w:val="none"/>
                      <w:u w:val="single"/>
                      <w:lang w:val="en-US" w:eastAsia="zh-CN" w:bidi="ar-SA"/>
                    </w:rPr>
                  </w:pPr>
                  <w:r>
                    <w:rPr>
                      <w:rFonts w:hint="eastAsia" w:cs="Times New Roman"/>
                      <w:b w:val="0"/>
                      <w:bCs w:val="0"/>
                      <w:color w:val="auto"/>
                      <w:spacing w:val="11"/>
                      <w:position w:val="0"/>
                      <w:sz w:val="21"/>
                      <w:szCs w:val="21"/>
                      <w:highlight w:val="none"/>
                      <w:u w:val="single"/>
                      <w:lang w:val="en-US" w:eastAsia="zh-CN"/>
                    </w:rPr>
                    <w:t>47</w:t>
                  </w:r>
                  <w:r>
                    <w:rPr>
                      <w:rFonts w:hint="default" w:ascii="Times New Roman" w:hAnsi="Times New Roman" w:eastAsia="宋体" w:cs="Times New Roman"/>
                      <w:b w:val="0"/>
                      <w:bCs w:val="0"/>
                      <w:color w:val="auto"/>
                      <w:spacing w:val="11"/>
                      <w:position w:val="0"/>
                      <w:sz w:val="21"/>
                      <w:szCs w:val="21"/>
                      <w:highlight w:val="none"/>
                      <w:u w:val="single"/>
                      <w:lang w:val="en-US" w:eastAsia="zh-CN"/>
                    </w:rPr>
                    <w:t>-</w:t>
                  </w:r>
                  <w:r>
                    <w:rPr>
                      <w:rFonts w:hint="eastAsia" w:cs="Times New Roman"/>
                      <w:b w:val="0"/>
                      <w:bCs w:val="0"/>
                      <w:color w:val="auto"/>
                      <w:spacing w:val="11"/>
                      <w:position w:val="0"/>
                      <w:sz w:val="21"/>
                      <w:szCs w:val="21"/>
                      <w:highlight w:val="none"/>
                      <w:u w:val="single"/>
                      <w:lang w:val="en-US" w:eastAsia="zh-CN"/>
                    </w:rPr>
                    <w:t>50</w:t>
                  </w:r>
                  <w:r>
                    <w:rPr>
                      <w:rFonts w:hint="default" w:ascii="Times New Roman" w:hAnsi="Times New Roman" w:eastAsia="宋体" w:cs="Times New Roman"/>
                      <w:b w:val="0"/>
                      <w:bCs w:val="0"/>
                      <w:color w:val="auto"/>
                      <w:spacing w:val="11"/>
                      <w:position w:val="0"/>
                      <w:sz w:val="21"/>
                      <w:szCs w:val="21"/>
                      <w:highlight w:val="none"/>
                      <w:u w:val="single"/>
                      <w:lang w:val="en-US" w:eastAsia="zh-CN"/>
                    </w:rPr>
                    <w:t>m</w:t>
                  </w:r>
                </w:p>
              </w:tc>
            </w:tr>
            <w:tr w14:paraId="51E81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2"/>
                  <w:tcBorders>
                    <w:tl2br w:val="nil"/>
                    <w:tr2bl w:val="nil"/>
                  </w:tcBorders>
                  <w:noWrap w:val="0"/>
                  <w:vAlign w:val="center"/>
                </w:tcPr>
                <w:p w14:paraId="351DCCA1">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eastAsia" w:cs="Times New Roman"/>
                      <w:b w:val="0"/>
                      <w:bCs w:val="0"/>
                      <w:color w:val="auto"/>
                      <w:spacing w:val="11"/>
                      <w:position w:val="0"/>
                      <w:sz w:val="21"/>
                      <w:szCs w:val="21"/>
                      <w:highlight w:val="none"/>
                      <w:u w:val="single"/>
                      <w:lang w:val="en-US" w:eastAsia="zh-CN"/>
                    </w:rPr>
                    <w:t>三</w:t>
                  </w:r>
                  <w:r>
                    <w:rPr>
                      <w:rFonts w:hint="default" w:ascii="Times New Roman" w:hAnsi="Times New Roman" w:eastAsia="宋体" w:cs="Times New Roman"/>
                      <w:b w:val="0"/>
                      <w:bCs w:val="0"/>
                      <w:color w:val="auto"/>
                      <w:spacing w:val="11"/>
                      <w:position w:val="0"/>
                      <w:sz w:val="21"/>
                      <w:szCs w:val="21"/>
                      <w:highlight w:val="none"/>
                      <w:u w:val="single"/>
                    </w:rPr>
                    <w:t>、地表水环境保护目标</w:t>
                  </w:r>
                </w:p>
              </w:tc>
            </w:tr>
            <w:tr w14:paraId="22FCE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pct"/>
                  <w:gridSpan w:val="2"/>
                  <w:tcBorders>
                    <w:tl2br w:val="nil"/>
                    <w:tr2bl w:val="nil"/>
                  </w:tcBorders>
                  <w:noWrap w:val="0"/>
                  <w:vAlign w:val="center"/>
                </w:tcPr>
                <w:p w14:paraId="7BC95094">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lang w:eastAsia="zh-CN"/>
                    </w:rPr>
                  </w:pPr>
                  <w:r>
                    <w:rPr>
                      <w:rFonts w:hint="default" w:ascii="Times New Roman" w:hAnsi="Times New Roman" w:eastAsia="宋体" w:cs="Times New Roman"/>
                      <w:b w:val="0"/>
                      <w:bCs w:val="0"/>
                      <w:color w:val="auto"/>
                      <w:spacing w:val="11"/>
                      <w:position w:val="0"/>
                      <w:sz w:val="21"/>
                      <w:szCs w:val="21"/>
                      <w:highlight w:val="none"/>
                      <w:u w:val="single"/>
                    </w:rPr>
                    <w:t>保护对象</w:t>
                  </w:r>
                </w:p>
              </w:tc>
              <w:tc>
                <w:tcPr>
                  <w:tcW w:w="1664" w:type="pct"/>
                  <w:gridSpan w:val="3"/>
                  <w:tcBorders>
                    <w:tl2br w:val="nil"/>
                    <w:tr2bl w:val="nil"/>
                  </w:tcBorders>
                  <w:noWrap w:val="0"/>
                  <w:vAlign w:val="center"/>
                </w:tcPr>
                <w:p w14:paraId="5399906C">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功能及规模</w:t>
                  </w:r>
                </w:p>
              </w:tc>
              <w:tc>
                <w:tcPr>
                  <w:tcW w:w="1175" w:type="pct"/>
                  <w:gridSpan w:val="5"/>
                  <w:tcBorders>
                    <w:tl2br w:val="nil"/>
                    <w:tr2bl w:val="nil"/>
                  </w:tcBorders>
                  <w:noWrap w:val="0"/>
                  <w:vAlign w:val="center"/>
                </w:tcPr>
                <w:p w14:paraId="258BF299">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方位与厂区边界最近距离/m</w:t>
                  </w:r>
                </w:p>
              </w:tc>
              <w:tc>
                <w:tcPr>
                  <w:tcW w:w="1136" w:type="pct"/>
                  <w:gridSpan w:val="2"/>
                  <w:tcBorders>
                    <w:tl2br w:val="nil"/>
                    <w:tr2bl w:val="nil"/>
                  </w:tcBorders>
                  <w:noWrap w:val="0"/>
                  <w:vAlign w:val="center"/>
                </w:tcPr>
                <w:p w14:paraId="15F88A8E">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执行标准</w:t>
                  </w:r>
                </w:p>
              </w:tc>
            </w:tr>
            <w:tr w14:paraId="75F8B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pct"/>
                  <w:gridSpan w:val="2"/>
                  <w:tcBorders>
                    <w:tl2br w:val="nil"/>
                    <w:tr2bl w:val="nil"/>
                  </w:tcBorders>
                  <w:noWrap w:val="0"/>
                  <w:vAlign w:val="center"/>
                </w:tcPr>
                <w:p w14:paraId="516A533C">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eastAsia" w:cs="Times New Roman"/>
                      <w:b w:val="0"/>
                      <w:bCs w:val="0"/>
                      <w:color w:val="auto"/>
                      <w:spacing w:val="11"/>
                      <w:position w:val="0"/>
                      <w:sz w:val="21"/>
                      <w:szCs w:val="21"/>
                      <w:highlight w:val="none"/>
                      <w:u w:val="single"/>
                      <w:lang w:val="en-US" w:eastAsia="zh-CN"/>
                    </w:rPr>
                    <w:t>竹子坪</w:t>
                  </w:r>
                  <w:r>
                    <w:rPr>
                      <w:rFonts w:hint="default" w:ascii="Times New Roman" w:hAnsi="Times New Roman" w:cs="Times New Roman"/>
                      <w:b w:val="0"/>
                      <w:bCs w:val="0"/>
                      <w:color w:val="auto"/>
                      <w:spacing w:val="11"/>
                      <w:position w:val="0"/>
                      <w:sz w:val="21"/>
                      <w:szCs w:val="21"/>
                      <w:highlight w:val="none"/>
                      <w:u w:val="single"/>
                      <w:lang w:val="en-US" w:eastAsia="zh-CN"/>
                    </w:rPr>
                    <w:t>水库</w:t>
                  </w:r>
                </w:p>
              </w:tc>
              <w:tc>
                <w:tcPr>
                  <w:tcW w:w="1664" w:type="pct"/>
                  <w:gridSpan w:val="3"/>
                  <w:tcBorders>
                    <w:tl2br w:val="nil"/>
                    <w:tr2bl w:val="nil"/>
                  </w:tcBorders>
                  <w:noWrap w:val="0"/>
                  <w:vAlign w:val="center"/>
                </w:tcPr>
                <w:p w14:paraId="7740FCF5">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lang w:val="en-US"/>
                    </w:rPr>
                  </w:pPr>
                  <w:r>
                    <w:rPr>
                      <w:rFonts w:hint="default" w:ascii="Times New Roman" w:hAnsi="Times New Roman" w:cs="Times New Roman"/>
                      <w:b w:val="0"/>
                      <w:bCs w:val="0"/>
                      <w:color w:val="auto"/>
                      <w:spacing w:val="11"/>
                      <w:position w:val="0"/>
                      <w:sz w:val="21"/>
                      <w:szCs w:val="21"/>
                      <w:highlight w:val="none"/>
                      <w:u w:val="single"/>
                      <w:lang w:val="en-US" w:eastAsia="zh-CN"/>
                    </w:rPr>
                    <w:t>小（</w:t>
                  </w:r>
                  <w:r>
                    <w:rPr>
                      <w:rFonts w:hint="eastAsia" w:cs="Times New Roman"/>
                      <w:b w:val="0"/>
                      <w:bCs w:val="0"/>
                      <w:color w:val="auto"/>
                      <w:spacing w:val="11"/>
                      <w:position w:val="0"/>
                      <w:sz w:val="21"/>
                      <w:szCs w:val="21"/>
                      <w:highlight w:val="none"/>
                      <w:u w:val="single"/>
                      <w:lang w:val="en-US" w:eastAsia="zh-CN"/>
                    </w:rPr>
                    <w:t>二</w:t>
                  </w:r>
                  <w:r>
                    <w:rPr>
                      <w:rFonts w:hint="default" w:ascii="Times New Roman" w:hAnsi="Times New Roman" w:cs="Times New Roman"/>
                      <w:b w:val="0"/>
                      <w:bCs w:val="0"/>
                      <w:color w:val="auto"/>
                      <w:spacing w:val="11"/>
                      <w:position w:val="0"/>
                      <w:sz w:val="21"/>
                      <w:szCs w:val="21"/>
                      <w:highlight w:val="none"/>
                      <w:u w:val="single"/>
                      <w:lang w:val="en-US" w:eastAsia="zh-CN"/>
                    </w:rPr>
                    <w:t>）型水库</w:t>
                  </w:r>
                </w:p>
              </w:tc>
              <w:tc>
                <w:tcPr>
                  <w:tcW w:w="1175" w:type="pct"/>
                  <w:gridSpan w:val="5"/>
                  <w:tcBorders>
                    <w:tl2br w:val="nil"/>
                    <w:tr2bl w:val="nil"/>
                  </w:tcBorders>
                  <w:noWrap w:val="0"/>
                  <w:vAlign w:val="center"/>
                </w:tcPr>
                <w:p w14:paraId="7CC05F36">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eastAsia" w:cs="Times New Roman"/>
                      <w:b w:val="0"/>
                      <w:bCs w:val="0"/>
                      <w:color w:val="auto"/>
                      <w:spacing w:val="11"/>
                      <w:position w:val="0"/>
                      <w:sz w:val="21"/>
                      <w:szCs w:val="21"/>
                      <w:highlight w:val="none"/>
                      <w:u w:val="single"/>
                      <w:lang w:val="en-US" w:eastAsia="zh-CN"/>
                    </w:rPr>
                    <w:t>西侧</w:t>
                  </w:r>
                  <w:r>
                    <w:rPr>
                      <w:rFonts w:hint="default" w:ascii="Times New Roman" w:hAnsi="Times New Roman" w:cs="Times New Roman"/>
                      <w:b w:val="0"/>
                      <w:bCs w:val="0"/>
                      <w:color w:val="auto"/>
                      <w:spacing w:val="11"/>
                      <w:position w:val="0"/>
                      <w:sz w:val="21"/>
                      <w:szCs w:val="21"/>
                      <w:highlight w:val="none"/>
                      <w:u w:val="single"/>
                      <w:lang w:val="en-US" w:eastAsia="zh-CN"/>
                    </w:rPr>
                    <w:t>，</w:t>
                  </w:r>
                  <w:r>
                    <w:rPr>
                      <w:rFonts w:hint="eastAsia" w:cs="Times New Roman"/>
                      <w:b w:val="0"/>
                      <w:bCs w:val="0"/>
                      <w:color w:val="auto"/>
                      <w:spacing w:val="11"/>
                      <w:position w:val="0"/>
                      <w:sz w:val="21"/>
                      <w:szCs w:val="21"/>
                      <w:highlight w:val="none"/>
                      <w:u w:val="single"/>
                      <w:lang w:val="en-US" w:eastAsia="zh-CN"/>
                    </w:rPr>
                    <w:t>1.15k</w:t>
                  </w:r>
                  <w:r>
                    <w:rPr>
                      <w:rFonts w:hint="default" w:ascii="Times New Roman" w:hAnsi="Times New Roman" w:cs="Times New Roman"/>
                      <w:b w:val="0"/>
                      <w:bCs w:val="0"/>
                      <w:color w:val="auto"/>
                      <w:spacing w:val="11"/>
                      <w:position w:val="0"/>
                      <w:sz w:val="21"/>
                      <w:szCs w:val="21"/>
                      <w:highlight w:val="none"/>
                      <w:u w:val="single"/>
                      <w:lang w:val="en-US" w:eastAsia="zh-CN"/>
                    </w:rPr>
                    <w:t>m</w:t>
                  </w:r>
                </w:p>
              </w:tc>
              <w:tc>
                <w:tcPr>
                  <w:tcW w:w="1136" w:type="pct"/>
                  <w:gridSpan w:val="2"/>
                  <w:tcBorders>
                    <w:tl2br w:val="nil"/>
                    <w:tr2bl w:val="nil"/>
                  </w:tcBorders>
                  <w:noWrap w:val="0"/>
                  <w:vAlign w:val="center"/>
                </w:tcPr>
                <w:p w14:paraId="18C5BA3A">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GB3838-2002</w:t>
                  </w:r>
                </w:p>
                <w:p w14:paraId="4F3725E8">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中Ⅲ类标准</w:t>
                  </w:r>
                </w:p>
              </w:tc>
            </w:tr>
            <w:tr w14:paraId="16847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pct"/>
                  <w:gridSpan w:val="2"/>
                  <w:tcBorders>
                    <w:tl2br w:val="nil"/>
                    <w:tr2bl w:val="nil"/>
                  </w:tcBorders>
                  <w:noWrap w:val="0"/>
                  <w:vAlign w:val="center"/>
                </w:tcPr>
                <w:p w14:paraId="392E762B">
                  <w:pPr>
                    <w:pStyle w:val="63"/>
                    <w:keepNext w:val="0"/>
                    <w:keepLines w:val="0"/>
                    <w:suppressLineNumbers w:val="0"/>
                    <w:spacing w:before="0" w:beforeAutospacing="0" w:after="0" w:afterAutospacing="0"/>
                    <w:ind w:left="0" w:right="0"/>
                    <w:jc w:val="center"/>
                    <w:rPr>
                      <w:rFonts w:hint="default" w:cs="Times New Roman"/>
                      <w:b w:val="0"/>
                      <w:bCs w:val="0"/>
                      <w:color w:val="auto"/>
                      <w:spacing w:val="11"/>
                      <w:position w:val="0"/>
                      <w:sz w:val="21"/>
                      <w:szCs w:val="21"/>
                      <w:highlight w:val="none"/>
                      <w:u w:val="single"/>
                      <w:lang w:val="en-US" w:eastAsia="zh-CN"/>
                    </w:rPr>
                  </w:pPr>
                  <w:r>
                    <w:rPr>
                      <w:rFonts w:hint="eastAsia" w:cs="Times New Roman"/>
                      <w:b w:val="0"/>
                      <w:bCs w:val="0"/>
                      <w:color w:val="auto"/>
                      <w:spacing w:val="11"/>
                      <w:position w:val="0"/>
                      <w:sz w:val="21"/>
                      <w:szCs w:val="21"/>
                      <w:highlight w:val="none"/>
                      <w:u w:val="single"/>
                      <w:lang w:val="en-US" w:eastAsia="zh-CN"/>
                    </w:rPr>
                    <w:t>黄庆河</w:t>
                  </w:r>
                </w:p>
              </w:tc>
              <w:tc>
                <w:tcPr>
                  <w:tcW w:w="1664" w:type="pct"/>
                  <w:gridSpan w:val="3"/>
                  <w:tcBorders>
                    <w:tl2br w:val="nil"/>
                    <w:tr2bl w:val="nil"/>
                  </w:tcBorders>
                  <w:noWrap w:val="0"/>
                  <w:vAlign w:val="center"/>
                </w:tcPr>
                <w:p w14:paraId="19396546">
                  <w:pPr>
                    <w:pStyle w:val="63"/>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pacing w:val="11"/>
                      <w:position w:val="0"/>
                      <w:sz w:val="21"/>
                      <w:szCs w:val="21"/>
                      <w:highlight w:val="none"/>
                      <w:u w:val="single"/>
                      <w:lang w:val="en-US" w:eastAsia="zh-CN"/>
                    </w:rPr>
                  </w:pPr>
                  <w:r>
                    <w:rPr>
                      <w:rFonts w:hint="eastAsia" w:cs="Times New Roman"/>
                      <w:b w:val="0"/>
                      <w:bCs w:val="0"/>
                      <w:color w:val="auto"/>
                      <w:spacing w:val="11"/>
                      <w:position w:val="0"/>
                      <w:sz w:val="21"/>
                      <w:szCs w:val="21"/>
                      <w:highlight w:val="none"/>
                      <w:u w:val="single"/>
                      <w:lang w:val="en-US" w:eastAsia="zh-CN"/>
                    </w:rPr>
                    <w:t>灌溉、防洪</w:t>
                  </w:r>
                </w:p>
              </w:tc>
              <w:tc>
                <w:tcPr>
                  <w:tcW w:w="1175" w:type="pct"/>
                  <w:gridSpan w:val="5"/>
                  <w:tcBorders>
                    <w:tl2br w:val="nil"/>
                    <w:tr2bl w:val="nil"/>
                  </w:tcBorders>
                  <w:noWrap w:val="0"/>
                  <w:vAlign w:val="center"/>
                </w:tcPr>
                <w:p w14:paraId="71365716">
                  <w:pPr>
                    <w:pStyle w:val="63"/>
                    <w:keepNext w:val="0"/>
                    <w:keepLines w:val="0"/>
                    <w:suppressLineNumbers w:val="0"/>
                    <w:spacing w:before="0" w:beforeAutospacing="0" w:after="0" w:afterAutospacing="0"/>
                    <w:ind w:left="0" w:right="0"/>
                    <w:jc w:val="center"/>
                    <w:rPr>
                      <w:rFonts w:hint="default" w:cs="Times New Roman"/>
                      <w:b w:val="0"/>
                      <w:bCs w:val="0"/>
                      <w:color w:val="auto"/>
                      <w:spacing w:val="11"/>
                      <w:position w:val="0"/>
                      <w:sz w:val="21"/>
                      <w:szCs w:val="21"/>
                      <w:highlight w:val="none"/>
                      <w:u w:val="single"/>
                      <w:lang w:val="en-US" w:eastAsia="zh-CN"/>
                    </w:rPr>
                  </w:pPr>
                  <w:r>
                    <w:rPr>
                      <w:rFonts w:hint="eastAsia" w:cs="Times New Roman"/>
                      <w:b w:val="0"/>
                      <w:bCs w:val="0"/>
                      <w:color w:val="auto"/>
                      <w:spacing w:val="11"/>
                      <w:position w:val="0"/>
                      <w:sz w:val="21"/>
                      <w:szCs w:val="21"/>
                      <w:highlight w:val="none"/>
                      <w:u w:val="single"/>
                      <w:lang w:val="en-US" w:eastAsia="zh-CN"/>
                    </w:rPr>
                    <w:t>北侧，0.61km</w:t>
                  </w:r>
                </w:p>
              </w:tc>
              <w:tc>
                <w:tcPr>
                  <w:tcW w:w="1136" w:type="pct"/>
                  <w:gridSpan w:val="2"/>
                  <w:tcBorders>
                    <w:tl2br w:val="nil"/>
                    <w:tr2bl w:val="nil"/>
                  </w:tcBorders>
                  <w:noWrap w:val="0"/>
                  <w:vAlign w:val="center"/>
                </w:tcPr>
                <w:p w14:paraId="369FE030">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GB3838-2002</w:t>
                  </w:r>
                </w:p>
                <w:p w14:paraId="59024C66">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中Ⅲ类标准</w:t>
                  </w:r>
                </w:p>
              </w:tc>
            </w:tr>
            <w:tr w14:paraId="7FCB5B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2"/>
                  <w:tcBorders>
                    <w:tl2br w:val="nil"/>
                    <w:tr2bl w:val="nil"/>
                  </w:tcBorders>
                  <w:noWrap w:val="0"/>
                  <w:vAlign w:val="center"/>
                </w:tcPr>
                <w:p w14:paraId="5C3BB7ED">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eastAsia" w:cs="Times New Roman"/>
                      <w:b w:val="0"/>
                      <w:bCs w:val="0"/>
                      <w:color w:val="auto"/>
                      <w:spacing w:val="11"/>
                      <w:position w:val="0"/>
                      <w:sz w:val="21"/>
                      <w:szCs w:val="21"/>
                      <w:highlight w:val="none"/>
                      <w:u w:val="single"/>
                      <w:lang w:val="en-US" w:eastAsia="zh-CN"/>
                    </w:rPr>
                    <w:t>四</w:t>
                  </w:r>
                  <w:r>
                    <w:rPr>
                      <w:rFonts w:hint="default" w:ascii="Times New Roman" w:hAnsi="Times New Roman" w:eastAsia="宋体" w:cs="Times New Roman"/>
                      <w:b w:val="0"/>
                      <w:bCs w:val="0"/>
                      <w:color w:val="auto"/>
                      <w:spacing w:val="11"/>
                      <w:position w:val="0"/>
                      <w:sz w:val="21"/>
                      <w:szCs w:val="21"/>
                      <w:highlight w:val="none"/>
                      <w:u w:val="single"/>
                    </w:rPr>
                    <w:t>、地下水环境保护目标</w:t>
                  </w:r>
                </w:p>
              </w:tc>
            </w:tr>
            <w:tr w14:paraId="3DDCA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pct"/>
                  <w:gridSpan w:val="2"/>
                  <w:tcBorders>
                    <w:tl2br w:val="nil"/>
                    <w:tr2bl w:val="nil"/>
                  </w:tcBorders>
                  <w:noWrap w:val="0"/>
                  <w:vAlign w:val="center"/>
                </w:tcPr>
                <w:p w14:paraId="4E7A8370">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保护对象</w:t>
                  </w:r>
                </w:p>
              </w:tc>
              <w:tc>
                <w:tcPr>
                  <w:tcW w:w="1664" w:type="pct"/>
                  <w:gridSpan w:val="3"/>
                  <w:tcBorders>
                    <w:tl2br w:val="nil"/>
                    <w:tr2bl w:val="nil"/>
                  </w:tcBorders>
                  <w:noWrap w:val="0"/>
                  <w:vAlign w:val="center"/>
                </w:tcPr>
                <w:p w14:paraId="4603EB23">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功能及规模</w:t>
                  </w:r>
                </w:p>
              </w:tc>
              <w:tc>
                <w:tcPr>
                  <w:tcW w:w="1175" w:type="pct"/>
                  <w:gridSpan w:val="5"/>
                  <w:tcBorders>
                    <w:tl2br w:val="nil"/>
                    <w:tr2bl w:val="nil"/>
                  </w:tcBorders>
                  <w:noWrap w:val="0"/>
                  <w:vAlign w:val="center"/>
                </w:tcPr>
                <w:p w14:paraId="6D0CE551">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方位与厂区边界最近距离/m</w:t>
                  </w:r>
                </w:p>
              </w:tc>
              <w:tc>
                <w:tcPr>
                  <w:tcW w:w="1136" w:type="pct"/>
                  <w:gridSpan w:val="2"/>
                  <w:tcBorders>
                    <w:tl2br w:val="nil"/>
                    <w:tr2bl w:val="nil"/>
                  </w:tcBorders>
                  <w:noWrap w:val="0"/>
                  <w:vAlign w:val="center"/>
                </w:tcPr>
                <w:p w14:paraId="1BA81733">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执行标准</w:t>
                  </w:r>
                </w:p>
              </w:tc>
            </w:tr>
            <w:tr w14:paraId="22458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pct"/>
                  <w:gridSpan w:val="2"/>
                  <w:tcBorders>
                    <w:tl2br w:val="nil"/>
                    <w:tr2bl w:val="nil"/>
                  </w:tcBorders>
                  <w:noWrap w:val="0"/>
                  <w:vAlign w:val="center"/>
                </w:tcPr>
                <w:p w14:paraId="391FC2FF">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区域地下水</w:t>
                  </w:r>
                </w:p>
              </w:tc>
              <w:tc>
                <w:tcPr>
                  <w:tcW w:w="1664" w:type="pct"/>
                  <w:gridSpan w:val="3"/>
                  <w:tcBorders>
                    <w:tl2br w:val="nil"/>
                    <w:tr2bl w:val="nil"/>
                  </w:tcBorders>
                  <w:noWrap w:val="0"/>
                  <w:vAlign w:val="center"/>
                </w:tcPr>
                <w:p w14:paraId="59A53BE4">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Ⅲ类水体</w:t>
                  </w:r>
                </w:p>
              </w:tc>
              <w:tc>
                <w:tcPr>
                  <w:tcW w:w="1175" w:type="pct"/>
                  <w:gridSpan w:val="5"/>
                  <w:tcBorders>
                    <w:tl2br w:val="nil"/>
                    <w:tr2bl w:val="nil"/>
                  </w:tcBorders>
                  <w:noWrap w:val="0"/>
                  <w:vAlign w:val="center"/>
                </w:tcPr>
                <w:p w14:paraId="187DD0A3">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项目所在周边</w:t>
                  </w:r>
                </w:p>
              </w:tc>
              <w:tc>
                <w:tcPr>
                  <w:tcW w:w="1136" w:type="pct"/>
                  <w:gridSpan w:val="2"/>
                  <w:tcBorders>
                    <w:tl2br w:val="nil"/>
                    <w:tr2bl w:val="nil"/>
                  </w:tcBorders>
                  <w:noWrap w:val="0"/>
                  <w:vAlign w:val="center"/>
                </w:tcPr>
                <w:p w14:paraId="4C1584DC">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GB/T14848-2017</w:t>
                  </w:r>
                </w:p>
                <w:p w14:paraId="5EAABB15">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中Ⅲ类标准</w:t>
                  </w:r>
                </w:p>
              </w:tc>
            </w:tr>
            <w:tr w14:paraId="5FEBD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2"/>
                  <w:tcBorders>
                    <w:tl2br w:val="nil"/>
                    <w:tr2bl w:val="nil"/>
                  </w:tcBorders>
                  <w:noWrap w:val="0"/>
                  <w:vAlign w:val="center"/>
                </w:tcPr>
                <w:p w14:paraId="590BEAE3">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eastAsia" w:cs="Times New Roman"/>
                      <w:b w:val="0"/>
                      <w:bCs w:val="0"/>
                      <w:color w:val="auto"/>
                      <w:spacing w:val="11"/>
                      <w:position w:val="0"/>
                      <w:sz w:val="21"/>
                      <w:szCs w:val="21"/>
                      <w:highlight w:val="none"/>
                      <w:u w:val="single"/>
                      <w:lang w:val="en-US" w:eastAsia="zh-CN"/>
                    </w:rPr>
                    <w:t>五</w:t>
                  </w:r>
                  <w:r>
                    <w:rPr>
                      <w:rFonts w:hint="default" w:ascii="Times New Roman" w:hAnsi="Times New Roman" w:eastAsia="宋体" w:cs="Times New Roman"/>
                      <w:b w:val="0"/>
                      <w:bCs w:val="0"/>
                      <w:color w:val="auto"/>
                      <w:spacing w:val="11"/>
                      <w:position w:val="0"/>
                      <w:sz w:val="21"/>
                      <w:szCs w:val="21"/>
                      <w:highlight w:val="none"/>
                      <w:u w:val="single"/>
                    </w:rPr>
                    <w:t>、生态环境保护目标</w:t>
                  </w:r>
                </w:p>
              </w:tc>
            </w:tr>
            <w:tr w14:paraId="7C967F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pct"/>
                  <w:gridSpan w:val="2"/>
                  <w:tcBorders>
                    <w:tl2br w:val="nil"/>
                    <w:tr2bl w:val="nil"/>
                  </w:tcBorders>
                  <w:noWrap w:val="0"/>
                  <w:vAlign w:val="center"/>
                </w:tcPr>
                <w:p w14:paraId="059100B3">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保护对象</w:t>
                  </w:r>
                </w:p>
              </w:tc>
              <w:tc>
                <w:tcPr>
                  <w:tcW w:w="2171" w:type="pct"/>
                  <w:gridSpan w:val="5"/>
                  <w:tcBorders>
                    <w:tl2br w:val="nil"/>
                    <w:tr2bl w:val="nil"/>
                  </w:tcBorders>
                  <w:noWrap w:val="0"/>
                  <w:vAlign w:val="center"/>
                </w:tcPr>
                <w:p w14:paraId="4C9E24B3">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保护内容</w:t>
                  </w:r>
                </w:p>
              </w:tc>
              <w:tc>
                <w:tcPr>
                  <w:tcW w:w="1804" w:type="pct"/>
                  <w:gridSpan w:val="5"/>
                  <w:tcBorders>
                    <w:tl2br w:val="nil"/>
                    <w:tr2bl w:val="nil"/>
                  </w:tcBorders>
                  <w:noWrap w:val="0"/>
                  <w:vAlign w:val="center"/>
                </w:tcPr>
                <w:p w14:paraId="5854452A">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保护目标</w:t>
                  </w:r>
                </w:p>
              </w:tc>
            </w:tr>
            <w:tr w14:paraId="607E55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pct"/>
                  <w:gridSpan w:val="2"/>
                  <w:tcBorders>
                    <w:tl2br w:val="nil"/>
                    <w:tr2bl w:val="nil"/>
                  </w:tcBorders>
                  <w:noWrap w:val="0"/>
                  <w:vAlign w:val="center"/>
                </w:tcPr>
                <w:p w14:paraId="639FD770">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土壤环境</w:t>
                  </w:r>
                </w:p>
              </w:tc>
              <w:tc>
                <w:tcPr>
                  <w:tcW w:w="2171" w:type="pct"/>
                  <w:gridSpan w:val="5"/>
                  <w:tcBorders>
                    <w:tl2br w:val="nil"/>
                    <w:tr2bl w:val="nil"/>
                  </w:tcBorders>
                  <w:noWrap w:val="0"/>
                  <w:vAlign w:val="center"/>
                </w:tcPr>
                <w:p w14:paraId="75CCF7CB">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水土流失</w:t>
                  </w:r>
                </w:p>
              </w:tc>
              <w:tc>
                <w:tcPr>
                  <w:tcW w:w="1804" w:type="pct"/>
                  <w:gridSpan w:val="5"/>
                  <w:tcBorders>
                    <w:tl2br w:val="nil"/>
                    <w:tr2bl w:val="nil"/>
                  </w:tcBorders>
                  <w:noWrap w:val="0"/>
                  <w:vAlign w:val="center"/>
                </w:tcPr>
                <w:p w14:paraId="6D578316">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减小对工程段水土流失的影响</w:t>
                  </w:r>
                </w:p>
              </w:tc>
            </w:tr>
            <w:tr w14:paraId="7C89F6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pct"/>
                  <w:gridSpan w:val="2"/>
                  <w:tcBorders>
                    <w:tl2br w:val="nil"/>
                    <w:tr2bl w:val="nil"/>
                  </w:tcBorders>
                  <w:noWrap w:val="0"/>
                  <w:vAlign w:val="center"/>
                </w:tcPr>
                <w:p w14:paraId="5EE9CCAD">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陆生生态环境</w:t>
                  </w:r>
                </w:p>
              </w:tc>
              <w:tc>
                <w:tcPr>
                  <w:tcW w:w="2171" w:type="pct"/>
                  <w:gridSpan w:val="5"/>
                  <w:tcBorders>
                    <w:tl2br w:val="nil"/>
                    <w:tr2bl w:val="nil"/>
                  </w:tcBorders>
                  <w:noWrap w:val="0"/>
                  <w:vAlign w:val="center"/>
                </w:tcPr>
                <w:p w14:paraId="367C00D0">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工程影响范围内的原生植被、野生动物及鸟类等</w:t>
                  </w:r>
                </w:p>
              </w:tc>
              <w:tc>
                <w:tcPr>
                  <w:tcW w:w="1804" w:type="pct"/>
                  <w:gridSpan w:val="5"/>
                  <w:tcBorders>
                    <w:tl2br w:val="nil"/>
                    <w:tr2bl w:val="nil"/>
                  </w:tcBorders>
                  <w:noWrap w:val="0"/>
                  <w:vAlign w:val="center"/>
                </w:tcPr>
                <w:p w14:paraId="64BD39C8">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陆生生态完整性，减小对工程段附近陆生生态的影响</w:t>
                  </w:r>
                </w:p>
              </w:tc>
            </w:tr>
            <w:tr w14:paraId="37B2B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pct"/>
                  <w:gridSpan w:val="2"/>
                  <w:tcBorders>
                    <w:tl2br w:val="nil"/>
                    <w:tr2bl w:val="nil"/>
                  </w:tcBorders>
                  <w:noWrap w:val="0"/>
                  <w:vAlign w:val="center"/>
                </w:tcPr>
                <w:p w14:paraId="09DB7770">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水生生态环境</w:t>
                  </w:r>
                </w:p>
              </w:tc>
              <w:tc>
                <w:tcPr>
                  <w:tcW w:w="2171" w:type="pct"/>
                  <w:gridSpan w:val="5"/>
                  <w:tcBorders>
                    <w:tl2br w:val="nil"/>
                    <w:tr2bl w:val="nil"/>
                  </w:tcBorders>
                  <w:noWrap w:val="0"/>
                  <w:vAlign w:val="center"/>
                </w:tcPr>
                <w:p w14:paraId="58249213">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涉及河段</w:t>
                  </w:r>
                  <w:r>
                    <w:rPr>
                      <w:rFonts w:hint="eastAsia" w:cs="Times New Roman"/>
                      <w:b w:val="0"/>
                      <w:bCs w:val="0"/>
                      <w:color w:val="auto"/>
                      <w:spacing w:val="11"/>
                      <w:position w:val="0"/>
                      <w:sz w:val="21"/>
                      <w:szCs w:val="21"/>
                      <w:highlight w:val="none"/>
                      <w:u w:val="single"/>
                      <w:lang w:eastAsia="zh-CN"/>
                    </w:rPr>
                    <w:t>、</w:t>
                  </w:r>
                  <w:r>
                    <w:rPr>
                      <w:rFonts w:hint="eastAsia" w:cs="Times New Roman"/>
                      <w:b w:val="0"/>
                      <w:bCs w:val="0"/>
                      <w:color w:val="auto"/>
                      <w:spacing w:val="11"/>
                      <w:position w:val="0"/>
                      <w:sz w:val="21"/>
                      <w:szCs w:val="21"/>
                      <w:highlight w:val="none"/>
                      <w:u w:val="single"/>
                      <w:lang w:val="en-US" w:eastAsia="zh-CN"/>
                    </w:rPr>
                    <w:t>水库</w:t>
                  </w:r>
                  <w:r>
                    <w:rPr>
                      <w:rFonts w:hint="default" w:ascii="Times New Roman" w:hAnsi="Times New Roman" w:eastAsia="宋体" w:cs="Times New Roman"/>
                      <w:b w:val="0"/>
                      <w:bCs w:val="0"/>
                      <w:color w:val="auto"/>
                      <w:spacing w:val="11"/>
                      <w:position w:val="0"/>
                      <w:sz w:val="21"/>
                      <w:szCs w:val="21"/>
                      <w:highlight w:val="none"/>
                      <w:u w:val="single"/>
                    </w:rPr>
                    <w:t>水生生态系统</w:t>
                  </w:r>
                </w:p>
              </w:tc>
              <w:tc>
                <w:tcPr>
                  <w:tcW w:w="1804" w:type="pct"/>
                  <w:gridSpan w:val="5"/>
                  <w:tcBorders>
                    <w:tl2br w:val="nil"/>
                    <w:tr2bl w:val="nil"/>
                  </w:tcBorders>
                  <w:noWrap w:val="0"/>
                  <w:vAlign w:val="center"/>
                </w:tcPr>
                <w:p w14:paraId="1A80DE31">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highlight w:val="none"/>
                      <w:u w:val="single"/>
                    </w:rPr>
                  </w:pPr>
                  <w:r>
                    <w:rPr>
                      <w:rFonts w:hint="default" w:ascii="Times New Roman" w:hAnsi="Times New Roman" w:eastAsia="宋体" w:cs="Times New Roman"/>
                      <w:b w:val="0"/>
                      <w:bCs w:val="0"/>
                      <w:color w:val="auto"/>
                      <w:spacing w:val="11"/>
                      <w:position w:val="0"/>
                      <w:sz w:val="21"/>
                      <w:szCs w:val="21"/>
                      <w:highlight w:val="none"/>
                      <w:u w:val="single"/>
                    </w:rPr>
                    <w:t>水生生态完整性，减小对工程段附近水生生态的影响</w:t>
                  </w:r>
                </w:p>
              </w:tc>
            </w:tr>
            <w:tr w14:paraId="04D50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2"/>
                  <w:tcBorders>
                    <w:tl2br w:val="nil"/>
                    <w:tr2bl w:val="nil"/>
                  </w:tcBorders>
                  <w:noWrap w:val="0"/>
                  <w:vAlign w:val="center"/>
                </w:tcPr>
                <w:p w14:paraId="113820E5">
                  <w:pPr>
                    <w:pStyle w:val="63"/>
                    <w:keepNext w:val="0"/>
                    <w:keepLines w:val="0"/>
                    <w:suppressLineNumbers w:val="0"/>
                    <w:spacing w:before="0" w:beforeAutospacing="0" w:after="0" w:afterAutospacing="0"/>
                    <w:ind w:left="0" w:right="0"/>
                    <w:jc w:val="left"/>
                    <w:rPr>
                      <w:rFonts w:hint="default" w:ascii="Times New Roman" w:hAnsi="Times New Roman" w:eastAsia="宋体" w:cs="Times New Roman"/>
                      <w:b w:val="0"/>
                      <w:bCs w:val="0"/>
                      <w:color w:val="auto"/>
                      <w:spacing w:val="11"/>
                      <w:position w:val="0"/>
                      <w:sz w:val="21"/>
                      <w:szCs w:val="21"/>
                      <w:highlight w:val="none"/>
                      <w:u w:val="single"/>
                      <w:lang w:val="en-US" w:eastAsia="zh-CN"/>
                    </w:rPr>
                  </w:pPr>
                  <w:r>
                    <w:rPr>
                      <w:rFonts w:hint="eastAsia" w:cs="Times New Roman"/>
                      <w:b w:val="0"/>
                      <w:bCs w:val="0"/>
                      <w:color w:val="auto"/>
                      <w:spacing w:val="11"/>
                      <w:position w:val="0"/>
                      <w:sz w:val="21"/>
                      <w:szCs w:val="21"/>
                      <w:highlight w:val="none"/>
                      <w:u w:val="single"/>
                      <w:lang w:val="en-US" w:eastAsia="zh-CN"/>
                    </w:rPr>
                    <w:t>注：建设单位已与项目区南侧距离最近的6户居民签订房屋租赁协议，用于办公用房（租赁协议详见附件11）。</w:t>
                  </w:r>
                </w:p>
              </w:tc>
            </w:tr>
            <w:bookmarkEnd w:id="34"/>
          </w:tbl>
          <w:p w14:paraId="1A38AF1A">
            <w:pPr>
              <w:adjustRightInd w:val="0"/>
              <w:snapToGrid w:val="0"/>
              <w:rPr>
                <w:rFonts w:hint="default" w:ascii="Times New Roman" w:hAnsi="Times New Roman" w:eastAsia="宋体" w:cs="Times New Roman"/>
                <w:color w:val="auto"/>
                <w:spacing w:val="11"/>
                <w:kern w:val="0"/>
                <w:position w:val="0"/>
                <w:sz w:val="24"/>
                <w:szCs w:val="24"/>
                <w:highlight w:val="none"/>
              </w:rPr>
            </w:pPr>
          </w:p>
        </w:tc>
      </w:tr>
      <w:tr w14:paraId="56A4E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3" w:type="pct"/>
            <w:tcBorders>
              <w:tl2br w:val="nil"/>
              <w:tr2bl w:val="nil"/>
            </w:tcBorders>
            <w:noWrap w:val="0"/>
            <w:vAlign w:val="center"/>
          </w:tcPr>
          <w:p w14:paraId="23183F30">
            <w:pPr>
              <w:adjustRightInd w:val="0"/>
              <w:snapToGrid w:val="0"/>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评价</w:t>
            </w:r>
          </w:p>
          <w:p w14:paraId="5B2DB48E">
            <w:pPr>
              <w:adjustRightInd w:val="0"/>
              <w:snapToGrid w:val="0"/>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标准</w:t>
            </w:r>
          </w:p>
        </w:tc>
        <w:tc>
          <w:tcPr>
            <w:tcW w:w="4506" w:type="pct"/>
            <w:tcBorders>
              <w:tl2br w:val="nil"/>
              <w:tr2bl w:val="nil"/>
            </w:tcBorders>
            <w:noWrap w:val="0"/>
            <w:vAlign w:val="center"/>
          </w:tcPr>
          <w:p w14:paraId="14E88BA2">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default" w:ascii="Times New Roman" w:hAnsi="Times New Roman" w:eastAsia="宋体" w:cs="Times New Roman"/>
                <w:b/>
                <w:bCs/>
                <w:color w:val="auto"/>
                <w:spacing w:val="11"/>
                <w:position w:val="0"/>
                <w:sz w:val="24"/>
                <w:szCs w:val="24"/>
                <w:highlight w:val="none"/>
                <w:lang w:val="en-US" w:eastAsia="zh-CN"/>
              </w:rPr>
            </w:pPr>
            <w:r>
              <w:rPr>
                <w:rFonts w:hint="default" w:ascii="Times New Roman" w:hAnsi="Times New Roman" w:eastAsia="宋体" w:cs="Times New Roman"/>
                <w:b/>
                <w:bCs/>
                <w:color w:val="auto"/>
                <w:spacing w:val="11"/>
                <w:position w:val="0"/>
                <w:sz w:val="24"/>
                <w:szCs w:val="24"/>
                <w:highlight w:val="none"/>
                <w:lang w:val="en-US" w:eastAsia="zh-CN"/>
              </w:rPr>
              <w:t>1、环境质量标准</w:t>
            </w:r>
          </w:p>
          <w:p w14:paraId="02ADCAB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0"/>
                <w:highlight w:val="none"/>
              </w:rPr>
            </w:pPr>
            <w:r>
              <w:rPr>
                <w:rFonts w:hint="default" w:ascii="Times New Roman" w:hAnsi="Times New Roman" w:eastAsia="宋体" w:cs="Times New Roman"/>
                <w:color w:val="auto"/>
                <w:spacing w:val="11"/>
                <w:position w:val="0"/>
                <w:sz w:val="24"/>
                <w:szCs w:val="20"/>
                <w:highlight w:val="none"/>
                <w:lang w:eastAsia="zh-CN"/>
              </w:rPr>
              <w:t>（</w:t>
            </w:r>
            <w:r>
              <w:rPr>
                <w:rFonts w:hint="default" w:ascii="Times New Roman" w:hAnsi="Times New Roman" w:eastAsia="宋体" w:cs="Times New Roman"/>
                <w:color w:val="auto"/>
                <w:spacing w:val="11"/>
                <w:position w:val="0"/>
                <w:sz w:val="24"/>
                <w:szCs w:val="20"/>
                <w:highlight w:val="none"/>
                <w:lang w:val="en-US" w:eastAsia="zh-CN"/>
              </w:rPr>
              <w:t>1</w:t>
            </w:r>
            <w:r>
              <w:rPr>
                <w:rFonts w:hint="default" w:ascii="Times New Roman" w:hAnsi="Times New Roman" w:eastAsia="宋体" w:cs="Times New Roman"/>
                <w:color w:val="auto"/>
                <w:spacing w:val="11"/>
                <w:position w:val="0"/>
                <w:sz w:val="24"/>
                <w:szCs w:val="20"/>
                <w:highlight w:val="none"/>
                <w:lang w:eastAsia="zh-CN"/>
              </w:rPr>
              <w:t>）</w:t>
            </w:r>
            <w:r>
              <w:rPr>
                <w:rFonts w:hint="default" w:ascii="Times New Roman" w:hAnsi="Times New Roman" w:eastAsia="宋体" w:cs="Times New Roman"/>
                <w:color w:val="auto"/>
                <w:spacing w:val="11"/>
                <w:position w:val="0"/>
                <w:sz w:val="24"/>
                <w:szCs w:val="20"/>
                <w:highlight w:val="none"/>
              </w:rPr>
              <w:t>大气环境：执行《环境空气质量标准》（</w:t>
            </w:r>
            <w:r>
              <w:rPr>
                <w:rFonts w:hint="default" w:ascii="Times New Roman" w:hAnsi="Times New Roman" w:eastAsia="Times New Roman" w:cs="Times New Roman"/>
                <w:color w:val="auto"/>
                <w:spacing w:val="11"/>
                <w:position w:val="0"/>
                <w:sz w:val="24"/>
                <w:szCs w:val="20"/>
                <w:highlight w:val="none"/>
              </w:rPr>
              <w:t>GB3095-2012</w:t>
            </w:r>
            <w:r>
              <w:rPr>
                <w:rFonts w:hint="default" w:ascii="Times New Roman" w:hAnsi="Times New Roman" w:eastAsia="宋体" w:cs="Times New Roman"/>
                <w:color w:val="auto"/>
                <w:spacing w:val="11"/>
                <w:position w:val="0"/>
                <w:sz w:val="24"/>
                <w:szCs w:val="20"/>
                <w:highlight w:val="none"/>
              </w:rPr>
              <w:t>）中的二级标准，具体标准值见表</w:t>
            </w:r>
            <w:r>
              <w:rPr>
                <w:rFonts w:hint="default" w:ascii="Times New Roman" w:hAnsi="Times New Roman" w:eastAsia="宋体" w:cs="Times New Roman"/>
                <w:color w:val="auto"/>
                <w:spacing w:val="11"/>
                <w:position w:val="0"/>
                <w:sz w:val="24"/>
                <w:szCs w:val="20"/>
                <w:highlight w:val="none"/>
                <w:lang w:val="en-US" w:eastAsia="zh-CN"/>
              </w:rPr>
              <w:t>3-</w:t>
            </w:r>
            <w:r>
              <w:rPr>
                <w:rFonts w:hint="eastAsia" w:cs="Times New Roman"/>
                <w:color w:val="auto"/>
                <w:spacing w:val="11"/>
                <w:position w:val="0"/>
                <w:sz w:val="24"/>
                <w:szCs w:val="20"/>
                <w:highlight w:val="none"/>
                <w:lang w:val="en-US" w:eastAsia="zh-CN"/>
              </w:rPr>
              <w:t>5</w:t>
            </w:r>
            <w:r>
              <w:rPr>
                <w:rFonts w:hint="default" w:ascii="Times New Roman" w:hAnsi="Times New Roman" w:eastAsia="宋体" w:cs="Times New Roman"/>
                <w:color w:val="auto"/>
                <w:spacing w:val="11"/>
                <w:position w:val="0"/>
                <w:sz w:val="24"/>
                <w:szCs w:val="20"/>
                <w:highlight w:val="none"/>
              </w:rPr>
              <w:t>。</w:t>
            </w:r>
          </w:p>
          <w:p w14:paraId="25F8C9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pacing w:val="11"/>
                <w:position w:val="0"/>
                <w:sz w:val="21"/>
                <w:szCs w:val="13"/>
                <w:highlight w:val="none"/>
              </w:rPr>
            </w:pPr>
            <w:r>
              <w:rPr>
                <w:rFonts w:hint="default" w:ascii="Times New Roman" w:hAnsi="Times New Roman" w:eastAsia="宋体" w:cs="Times New Roman"/>
                <w:b/>
                <w:color w:val="auto"/>
                <w:spacing w:val="11"/>
                <w:position w:val="0"/>
                <w:sz w:val="21"/>
                <w:szCs w:val="13"/>
                <w:highlight w:val="none"/>
              </w:rPr>
              <w:t>表</w:t>
            </w:r>
            <w:r>
              <w:rPr>
                <w:rFonts w:hint="default" w:ascii="Times New Roman" w:hAnsi="Times New Roman" w:eastAsia="宋体" w:cs="Times New Roman"/>
                <w:b/>
                <w:color w:val="auto"/>
                <w:spacing w:val="11"/>
                <w:position w:val="0"/>
                <w:sz w:val="21"/>
                <w:szCs w:val="13"/>
                <w:highlight w:val="none"/>
                <w:lang w:val="en-US" w:eastAsia="zh-CN"/>
              </w:rPr>
              <w:t>3-</w:t>
            </w:r>
            <w:r>
              <w:rPr>
                <w:rFonts w:hint="eastAsia" w:cs="Times New Roman"/>
                <w:b/>
                <w:color w:val="auto"/>
                <w:spacing w:val="11"/>
                <w:position w:val="0"/>
                <w:sz w:val="21"/>
                <w:szCs w:val="13"/>
                <w:highlight w:val="none"/>
                <w:lang w:val="en-US" w:eastAsia="zh-CN"/>
              </w:rPr>
              <w:t>5</w:t>
            </w:r>
            <w:r>
              <w:rPr>
                <w:rFonts w:hint="default" w:ascii="Times New Roman" w:hAnsi="Times New Roman" w:cs="Times New Roman"/>
                <w:b/>
                <w:color w:val="auto"/>
                <w:spacing w:val="11"/>
                <w:position w:val="0"/>
                <w:sz w:val="21"/>
                <w:szCs w:val="13"/>
                <w:highlight w:val="none"/>
                <w:lang w:val="en-US" w:eastAsia="zh-CN"/>
              </w:rPr>
              <w:t xml:space="preserve"> </w:t>
            </w:r>
            <w:r>
              <w:rPr>
                <w:rFonts w:hint="default" w:ascii="Times New Roman" w:hAnsi="Times New Roman" w:eastAsia="宋体" w:cs="Times New Roman"/>
                <w:b/>
                <w:color w:val="auto"/>
                <w:spacing w:val="11"/>
                <w:position w:val="0"/>
                <w:sz w:val="21"/>
                <w:szCs w:val="13"/>
                <w:highlight w:val="none"/>
              </w:rPr>
              <w:t xml:space="preserve"> 《环境空气质量标准》（GB3095-2012）</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561"/>
              <w:gridCol w:w="3052"/>
              <w:gridCol w:w="2757"/>
            </w:tblGrid>
            <w:tr w14:paraId="0980E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tcBorders>
                    <w:tl2br w:val="nil"/>
                    <w:tr2bl w:val="nil"/>
                  </w:tcBorders>
                  <w:noWrap w:val="0"/>
                  <w:vAlign w:val="center"/>
                </w:tcPr>
                <w:p w14:paraId="5F2C5FD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污染物</w:t>
                  </w:r>
                </w:p>
              </w:tc>
              <w:tc>
                <w:tcPr>
                  <w:tcW w:w="943" w:type="pct"/>
                  <w:tcBorders>
                    <w:tl2br w:val="nil"/>
                    <w:tr2bl w:val="nil"/>
                  </w:tcBorders>
                  <w:noWrap w:val="0"/>
                  <w:vAlign w:val="center"/>
                </w:tcPr>
                <w:p w14:paraId="426A812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取值时间</w:t>
                  </w:r>
                </w:p>
              </w:tc>
              <w:tc>
                <w:tcPr>
                  <w:tcW w:w="1843" w:type="pct"/>
                  <w:tcBorders>
                    <w:tl2br w:val="nil"/>
                    <w:tr2bl w:val="nil"/>
                  </w:tcBorders>
                  <w:noWrap w:val="0"/>
                  <w:vAlign w:val="center"/>
                </w:tcPr>
                <w:p w14:paraId="2618E9C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二级标准浓度限值(μg/m</w:t>
                  </w:r>
                  <w:r>
                    <w:rPr>
                      <w:rFonts w:hint="default" w:ascii="Times New Roman" w:hAnsi="Times New Roman" w:eastAsia="宋体" w:cs="Times New Roman"/>
                      <w:color w:val="auto"/>
                      <w:spacing w:val="11"/>
                      <w:kern w:val="0"/>
                      <w:position w:val="0"/>
                      <w:sz w:val="21"/>
                      <w:szCs w:val="21"/>
                      <w:highlight w:val="none"/>
                      <w:u w:val="none" w:color="auto"/>
                      <w:vertAlign w:val="superscript"/>
                    </w:rPr>
                    <w:t>3</w:t>
                  </w:r>
                  <w:r>
                    <w:rPr>
                      <w:rFonts w:hint="default" w:ascii="Times New Roman" w:hAnsi="Times New Roman" w:eastAsia="宋体" w:cs="Times New Roman"/>
                      <w:color w:val="auto"/>
                      <w:spacing w:val="11"/>
                      <w:kern w:val="0"/>
                      <w:position w:val="0"/>
                      <w:sz w:val="21"/>
                      <w:szCs w:val="21"/>
                      <w:highlight w:val="none"/>
                      <w:u w:val="none" w:color="auto"/>
                    </w:rPr>
                    <w:t>)</w:t>
                  </w:r>
                </w:p>
              </w:tc>
              <w:tc>
                <w:tcPr>
                  <w:tcW w:w="1665" w:type="pct"/>
                  <w:tcBorders>
                    <w:tl2br w:val="nil"/>
                    <w:tr2bl w:val="nil"/>
                  </w:tcBorders>
                  <w:noWrap w:val="0"/>
                  <w:vAlign w:val="center"/>
                </w:tcPr>
                <w:p w14:paraId="4E6B08C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依  据</w:t>
                  </w:r>
                </w:p>
              </w:tc>
            </w:tr>
            <w:tr w14:paraId="1404E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48" w:type="pct"/>
                  <w:vMerge w:val="restart"/>
                  <w:tcBorders>
                    <w:tl2br w:val="nil"/>
                    <w:tr2bl w:val="nil"/>
                  </w:tcBorders>
                  <w:noWrap w:val="0"/>
                  <w:vAlign w:val="center"/>
                </w:tcPr>
                <w:p w14:paraId="34FECC9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SO</w:t>
                  </w:r>
                  <w:r>
                    <w:rPr>
                      <w:rFonts w:hint="default" w:ascii="Times New Roman" w:hAnsi="Times New Roman" w:eastAsia="宋体" w:cs="Times New Roman"/>
                      <w:color w:val="auto"/>
                      <w:spacing w:val="11"/>
                      <w:kern w:val="0"/>
                      <w:position w:val="0"/>
                      <w:sz w:val="21"/>
                      <w:szCs w:val="21"/>
                      <w:highlight w:val="none"/>
                      <w:u w:val="none" w:color="auto"/>
                      <w:vertAlign w:val="subscript"/>
                    </w:rPr>
                    <w:t>2</w:t>
                  </w:r>
                </w:p>
              </w:tc>
              <w:tc>
                <w:tcPr>
                  <w:tcW w:w="943" w:type="pct"/>
                  <w:tcBorders>
                    <w:tl2br w:val="nil"/>
                    <w:tr2bl w:val="nil"/>
                  </w:tcBorders>
                  <w:noWrap w:val="0"/>
                  <w:vAlign w:val="center"/>
                </w:tcPr>
                <w:p w14:paraId="6C07E55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年平均</w:t>
                  </w:r>
                </w:p>
              </w:tc>
              <w:tc>
                <w:tcPr>
                  <w:tcW w:w="1843" w:type="pct"/>
                  <w:tcBorders>
                    <w:tl2br w:val="nil"/>
                    <w:tr2bl w:val="nil"/>
                  </w:tcBorders>
                  <w:noWrap w:val="0"/>
                  <w:vAlign w:val="center"/>
                </w:tcPr>
                <w:p w14:paraId="121184E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60</w:t>
                  </w:r>
                </w:p>
              </w:tc>
              <w:tc>
                <w:tcPr>
                  <w:tcW w:w="1665" w:type="pct"/>
                  <w:vMerge w:val="restart"/>
                  <w:tcBorders>
                    <w:tl2br w:val="nil"/>
                    <w:tr2bl w:val="nil"/>
                  </w:tcBorders>
                  <w:noWrap w:val="0"/>
                  <w:vAlign w:val="center"/>
                </w:tcPr>
                <w:p w14:paraId="15E401A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《环境空气质量标准》（GB3095-2012）</w:t>
                  </w:r>
                </w:p>
              </w:tc>
            </w:tr>
            <w:tr w14:paraId="49CD1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548" w:type="pct"/>
                  <w:vMerge w:val="continue"/>
                  <w:tcBorders>
                    <w:tl2br w:val="nil"/>
                    <w:tr2bl w:val="nil"/>
                  </w:tcBorders>
                  <w:noWrap w:val="0"/>
                  <w:vAlign w:val="center"/>
                </w:tcPr>
                <w:p w14:paraId="7420406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c>
                <w:tcPr>
                  <w:tcW w:w="943" w:type="pct"/>
                  <w:tcBorders>
                    <w:tl2br w:val="nil"/>
                    <w:tr2bl w:val="nil"/>
                  </w:tcBorders>
                  <w:noWrap w:val="0"/>
                  <w:vAlign w:val="center"/>
                </w:tcPr>
                <w:p w14:paraId="6FFA3BF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日平均</w:t>
                  </w:r>
                </w:p>
              </w:tc>
              <w:tc>
                <w:tcPr>
                  <w:tcW w:w="1843" w:type="pct"/>
                  <w:tcBorders>
                    <w:tl2br w:val="nil"/>
                    <w:tr2bl w:val="nil"/>
                  </w:tcBorders>
                  <w:noWrap w:val="0"/>
                  <w:vAlign w:val="center"/>
                </w:tcPr>
                <w:p w14:paraId="0BD9560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150</w:t>
                  </w:r>
                </w:p>
              </w:tc>
              <w:tc>
                <w:tcPr>
                  <w:tcW w:w="1665" w:type="pct"/>
                  <w:vMerge w:val="continue"/>
                  <w:tcBorders>
                    <w:tl2br w:val="nil"/>
                    <w:tr2bl w:val="nil"/>
                  </w:tcBorders>
                  <w:noWrap w:val="0"/>
                  <w:vAlign w:val="center"/>
                </w:tcPr>
                <w:p w14:paraId="2F51F0C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425851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continue"/>
                  <w:tcBorders>
                    <w:tl2br w:val="nil"/>
                    <w:tr2bl w:val="nil"/>
                  </w:tcBorders>
                  <w:noWrap w:val="0"/>
                  <w:vAlign w:val="center"/>
                </w:tcPr>
                <w:p w14:paraId="68B5370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c>
                <w:tcPr>
                  <w:tcW w:w="943" w:type="pct"/>
                  <w:tcBorders>
                    <w:tl2br w:val="nil"/>
                    <w:tr2bl w:val="nil"/>
                  </w:tcBorders>
                  <w:noWrap w:val="0"/>
                  <w:vAlign w:val="center"/>
                </w:tcPr>
                <w:p w14:paraId="7A7E26C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1小时平均</w:t>
                  </w:r>
                </w:p>
              </w:tc>
              <w:tc>
                <w:tcPr>
                  <w:tcW w:w="1843" w:type="pct"/>
                  <w:tcBorders>
                    <w:tl2br w:val="nil"/>
                    <w:tr2bl w:val="nil"/>
                  </w:tcBorders>
                  <w:noWrap w:val="0"/>
                  <w:vAlign w:val="center"/>
                </w:tcPr>
                <w:p w14:paraId="5E07AE7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500</w:t>
                  </w:r>
                </w:p>
              </w:tc>
              <w:tc>
                <w:tcPr>
                  <w:tcW w:w="1665" w:type="pct"/>
                  <w:vMerge w:val="continue"/>
                  <w:tcBorders>
                    <w:tl2br w:val="nil"/>
                    <w:tr2bl w:val="nil"/>
                  </w:tcBorders>
                  <w:noWrap w:val="0"/>
                  <w:vAlign w:val="center"/>
                </w:tcPr>
                <w:p w14:paraId="5952B1B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0C2D44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restart"/>
                  <w:tcBorders>
                    <w:tl2br w:val="nil"/>
                    <w:tr2bl w:val="nil"/>
                  </w:tcBorders>
                  <w:noWrap w:val="0"/>
                  <w:vAlign w:val="center"/>
                </w:tcPr>
                <w:p w14:paraId="60D3FBD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NO</w:t>
                  </w:r>
                  <w:r>
                    <w:rPr>
                      <w:rFonts w:hint="default" w:ascii="Times New Roman" w:hAnsi="Times New Roman" w:eastAsia="宋体" w:cs="Times New Roman"/>
                      <w:color w:val="auto"/>
                      <w:spacing w:val="11"/>
                      <w:kern w:val="0"/>
                      <w:position w:val="0"/>
                      <w:sz w:val="21"/>
                      <w:szCs w:val="21"/>
                      <w:highlight w:val="none"/>
                      <w:u w:val="none" w:color="auto"/>
                      <w:vertAlign w:val="subscript"/>
                    </w:rPr>
                    <w:t>2</w:t>
                  </w:r>
                </w:p>
              </w:tc>
              <w:tc>
                <w:tcPr>
                  <w:tcW w:w="943" w:type="pct"/>
                  <w:tcBorders>
                    <w:tl2br w:val="nil"/>
                    <w:tr2bl w:val="nil"/>
                  </w:tcBorders>
                  <w:noWrap w:val="0"/>
                  <w:vAlign w:val="center"/>
                </w:tcPr>
                <w:p w14:paraId="3F2EC4F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年平均</w:t>
                  </w:r>
                </w:p>
              </w:tc>
              <w:tc>
                <w:tcPr>
                  <w:tcW w:w="1843" w:type="pct"/>
                  <w:tcBorders>
                    <w:tl2br w:val="nil"/>
                    <w:tr2bl w:val="nil"/>
                  </w:tcBorders>
                  <w:noWrap w:val="0"/>
                  <w:vAlign w:val="center"/>
                </w:tcPr>
                <w:p w14:paraId="6C9BF00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40</w:t>
                  </w:r>
                </w:p>
              </w:tc>
              <w:tc>
                <w:tcPr>
                  <w:tcW w:w="1665" w:type="pct"/>
                  <w:vMerge w:val="continue"/>
                  <w:tcBorders>
                    <w:tl2br w:val="nil"/>
                    <w:tr2bl w:val="nil"/>
                  </w:tcBorders>
                  <w:noWrap w:val="0"/>
                  <w:vAlign w:val="center"/>
                </w:tcPr>
                <w:p w14:paraId="6CB5C7B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02E99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continue"/>
                  <w:tcBorders>
                    <w:tl2br w:val="nil"/>
                    <w:tr2bl w:val="nil"/>
                  </w:tcBorders>
                  <w:noWrap w:val="0"/>
                  <w:vAlign w:val="center"/>
                </w:tcPr>
                <w:p w14:paraId="08F4681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c>
                <w:tcPr>
                  <w:tcW w:w="943" w:type="pct"/>
                  <w:tcBorders>
                    <w:tl2br w:val="nil"/>
                    <w:tr2bl w:val="nil"/>
                  </w:tcBorders>
                  <w:noWrap w:val="0"/>
                  <w:vAlign w:val="center"/>
                </w:tcPr>
                <w:p w14:paraId="15AEAEB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日平均</w:t>
                  </w:r>
                </w:p>
              </w:tc>
              <w:tc>
                <w:tcPr>
                  <w:tcW w:w="1843" w:type="pct"/>
                  <w:tcBorders>
                    <w:tl2br w:val="nil"/>
                    <w:tr2bl w:val="nil"/>
                  </w:tcBorders>
                  <w:noWrap w:val="0"/>
                  <w:vAlign w:val="center"/>
                </w:tcPr>
                <w:p w14:paraId="2744568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80</w:t>
                  </w:r>
                </w:p>
              </w:tc>
              <w:tc>
                <w:tcPr>
                  <w:tcW w:w="1665" w:type="pct"/>
                  <w:vMerge w:val="continue"/>
                  <w:tcBorders>
                    <w:tl2br w:val="nil"/>
                    <w:tr2bl w:val="nil"/>
                  </w:tcBorders>
                  <w:noWrap w:val="0"/>
                  <w:vAlign w:val="center"/>
                </w:tcPr>
                <w:p w14:paraId="59077BE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0ECD7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48" w:type="pct"/>
                  <w:vMerge w:val="continue"/>
                  <w:tcBorders>
                    <w:tl2br w:val="nil"/>
                    <w:tr2bl w:val="nil"/>
                  </w:tcBorders>
                  <w:noWrap w:val="0"/>
                  <w:vAlign w:val="center"/>
                </w:tcPr>
                <w:p w14:paraId="4A79AC9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c>
                <w:tcPr>
                  <w:tcW w:w="943" w:type="pct"/>
                  <w:tcBorders>
                    <w:tl2br w:val="nil"/>
                    <w:tr2bl w:val="nil"/>
                  </w:tcBorders>
                  <w:noWrap w:val="0"/>
                  <w:vAlign w:val="center"/>
                </w:tcPr>
                <w:p w14:paraId="3FBD558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1小时平均</w:t>
                  </w:r>
                </w:p>
              </w:tc>
              <w:tc>
                <w:tcPr>
                  <w:tcW w:w="1843" w:type="pct"/>
                  <w:tcBorders>
                    <w:tl2br w:val="nil"/>
                    <w:tr2bl w:val="nil"/>
                  </w:tcBorders>
                  <w:noWrap w:val="0"/>
                  <w:vAlign w:val="center"/>
                </w:tcPr>
                <w:p w14:paraId="1EA7AA9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200</w:t>
                  </w:r>
                </w:p>
              </w:tc>
              <w:tc>
                <w:tcPr>
                  <w:tcW w:w="1665" w:type="pct"/>
                  <w:vMerge w:val="continue"/>
                  <w:tcBorders>
                    <w:tl2br w:val="nil"/>
                    <w:tr2bl w:val="nil"/>
                  </w:tcBorders>
                  <w:noWrap w:val="0"/>
                  <w:vAlign w:val="center"/>
                </w:tcPr>
                <w:p w14:paraId="4CD911A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548F6B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restart"/>
                  <w:tcBorders>
                    <w:tl2br w:val="nil"/>
                    <w:tr2bl w:val="nil"/>
                  </w:tcBorders>
                  <w:noWrap w:val="0"/>
                  <w:vAlign w:val="center"/>
                </w:tcPr>
                <w:p w14:paraId="7006660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PM</w:t>
                  </w:r>
                  <w:r>
                    <w:rPr>
                      <w:rFonts w:hint="default" w:ascii="Times New Roman" w:hAnsi="Times New Roman" w:eastAsia="宋体" w:cs="Times New Roman"/>
                      <w:color w:val="auto"/>
                      <w:spacing w:val="11"/>
                      <w:kern w:val="0"/>
                      <w:position w:val="0"/>
                      <w:sz w:val="21"/>
                      <w:szCs w:val="21"/>
                      <w:highlight w:val="none"/>
                      <w:u w:val="none" w:color="auto"/>
                      <w:vertAlign w:val="subscript"/>
                    </w:rPr>
                    <w:t>10</w:t>
                  </w:r>
                </w:p>
              </w:tc>
              <w:tc>
                <w:tcPr>
                  <w:tcW w:w="943" w:type="pct"/>
                  <w:tcBorders>
                    <w:tl2br w:val="nil"/>
                    <w:tr2bl w:val="nil"/>
                  </w:tcBorders>
                  <w:noWrap w:val="0"/>
                  <w:vAlign w:val="center"/>
                </w:tcPr>
                <w:p w14:paraId="241A203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年平均</w:t>
                  </w:r>
                </w:p>
              </w:tc>
              <w:tc>
                <w:tcPr>
                  <w:tcW w:w="1843" w:type="pct"/>
                  <w:tcBorders>
                    <w:tl2br w:val="nil"/>
                    <w:tr2bl w:val="nil"/>
                  </w:tcBorders>
                  <w:noWrap w:val="0"/>
                  <w:vAlign w:val="center"/>
                </w:tcPr>
                <w:p w14:paraId="4F667F4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70</w:t>
                  </w:r>
                </w:p>
              </w:tc>
              <w:tc>
                <w:tcPr>
                  <w:tcW w:w="1665" w:type="pct"/>
                  <w:vMerge w:val="continue"/>
                  <w:tcBorders>
                    <w:tl2br w:val="nil"/>
                    <w:tr2bl w:val="nil"/>
                  </w:tcBorders>
                  <w:noWrap w:val="0"/>
                  <w:vAlign w:val="center"/>
                </w:tcPr>
                <w:p w14:paraId="2D8E701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2541A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continue"/>
                  <w:tcBorders>
                    <w:tl2br w:val="nil"/>
                    <w:tr2bl w:val="nil"/>
                  </w:tcBorders>
                  <w:noWrap w:val="0"/>
                  <w:vAlign w:val="center"/>
                </w:tcPr>
                <w:p w14:paraId="77C635D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c>
                <w:tcPr>
                  <w:tcW w:w="943" w:type="pct"/>
                  <w:tcBorders>
                    <w:tl2br w:val="nil"/>
                    <w:tr2bl w:val="nil"/>
                  </w:tcBorders>
                  <w:noWrap w:val="0"/>
                  <w:vAlign w:val="center"/>
                </w:tcPr>
                <w:p w14:paraId="6DF69D2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日平均</w:t>
                  </w:r>
                </w:p>
              </w:tc>
              <w:tc>
                <w:tcPr>
                  <w:tcW w:w="1843" w:type="pct"/>
                  <w:tcBorders>
                    <w:tl2br w:val="nil"/>
                    <w:tr2bl w:val="nil"/>
                  </w:tcBorders>
                  <w:noWrap w:val="0"/>
                  <w:vAlign w:val="center"/>
                </w:tcPr>
                <w:p w14:paraId="424033A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150</w:t>
                  </w:r>
                </w:p>
              </w:tc>
              <w:tc>
                <w:tcPr>
                  <w:tcW w:w="1665" w:type="pct"/>
                  <w:vMerge w:val="continue"/>
                  <w:tcBorders>
                    <w:tl2br w:val="nil"/>
                    <w:tr2bl w:val="nil"/>
                  </w:tcBorders>
                  <w:noWrap w:val="0"/>
                  <w:vAlign w:val="center"/>
                </w:tcPr>
                <w:p w14:paraId="3FA3814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1A20D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restart"/>
                  <w:tcBorders>
                    <w:tl2br w:val="nil"/>
                    <w:tr2bl w:val="nil"/>
                  </w:tcBorders>
                  <w:noWrap w:val="0"/>
                  <w:vAlign w:val="center"/>
                </w:tcPr>
                <w:p w14:paraId="7612663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PM</w:t>
                  </w:r>
                  <w:r>
                    <w:rPr>
                      <w:rFonts w:hint="default" w:ascii="Times New Roman" w:hAnsi="Times New Roman" w:eastAsia="宋体" w:cs="Times New Roman"/>
                      <w:color w:val="auto"/>
                      <w:spacing w:val="11"/>
                      <w:kern w:val="0"/>
                      <w:position w:val="0"/>
                      <w:sz w:val="21"/>
                      <w:szCs w:val="21"/>
                      <w:highlight w:val="none"/>
                      <w:u w:val="none" w:color="auto"/>
                      <w:vertAlign w:val="subscript"/>
                    </w:rPr>
                    <w:t>2.5</w:t>
                  </w:r>
                </w:p>
              </w:tc>
              <w:tc>
                <w:tcPr>
                  <w:tcW w:w="943" w:type="pct"/>
                  <w:tcBorders>
                    <w:tl2br w:val="nil"/>
                    <w:tr2bl w:val="nil"/>
                  </w:tcBorders>
                  <w:noWrap w:val="0"/>
                  <w:vAlign w:val="center"/>
                </w:tcPr>
                <w:p w14:paraId="463922E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年平均</w:t>
                  </w:r>
                </w:p>
              </w:tc>
              <w:tc>
                <w:tcPr>
                  <w:tcW w:w="1843" w:type="pct"/>
                  <w:tcBorders>
                    <w:tl2br w:val="nil"/>
                    <w:tr2bl w:val="nil"/>
                  </w:tcBorders>
                  <w:noWrap w:val="0"/>
                  <w:vAlign w:val="center"/>
                </w:tcPr>
                <w:p w14:paraId="17904FD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35</w:t>
                  </w:r>
                </w:p>
              </w:tc>
              <w:tc>
                <w:tcPr>
                  <w:tcW w:w="1665" w:type="pct"/>
                  <w:vMerge w:val="continue"/>
                  <w:tcBorders>
                    <w:tl2br w:val="nil"/>
                    <w:tr2bl w:val="nil"/>
                  </w:tcBorders>
                  <w:noWrap w:val="0"/>
                  <w:vAlign w:val="center"/>
                </w:tcPr>
                <w:p w14:paraId="6A853BB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79C78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continue"/>
                  <w:tcBorders>
                    <w:tl2br w:val="nil"/>
                    <w:tr2bl w:val="nil"/>
                  </w:tcBorders>
                  <w:noWrap w:val="0"/>
                  <w:vAlign w:val="center"/>
                </w:tcPr>
                <w:p w14:paraId="7784B8E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c>
                <w:tcPr>
                  <w:tcW w:w="943" w:type="pct"/>
                  <w:tcBorders>
                    <w:tl2br w:val="nil"/>
                    <w:tr2bl w:val="nil"/>
                  </w:tcBorders>
                  <w:noWrap w:val="0"/>
                  <w:vAlign w:val="center"/>
                </w:tcPr>
                <w:p w14:paraId="0243753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日平均</w:t>
                  </w:r>
                </w:p>
              </w:tc>
              <w:tc>
                <w:tcPr>
                  <w:tcW w:w="1843" w:type="pct"/>
                  <w:tcBorders>
                    <w:tl2br w:val="nil"/>
                    <w:tr2bl w:val="nil"/>
                  </w:tcBorders>
                  <w:noWrap w:val="0"/>
                  <w:vAlign w:val="center"/>
                </w:tcPr>
                <w:p w14:paraId="015F0D9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75</w:t>
                  </w:r>
                </w:p>
              </w:tc>
              <w:tc>
                <w:tcPr>
                  <w:tcW w:w="1665" w:type="pct"/>
                  <w:vMerge w:val="continue"/>
                  <w:tcBorders>
                    <w:tl2br w:val="nil"/>
                    <w:tr2bl w:val="nil"/>
                  </w:tcBorders>
                  <w:noWrap w:val="0"/>
                  <w:vAlign w:val="center"/>
                </w:tcPr>
                <w:p w14:paraId="4DD8D2D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1B2B0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restart"/>
                  <w:tcBorders>
                    <w:tl2br w:val="nil"/>
                    <w:tr2bl w:val="nil"/>
                  </w:tcBorders>
                  <w:noWrap w:val="0"/>
                  <w:vAlign w:val="center"/>
                </w:tcPr>
                <w:p w14:paraId="753BC6B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TSP</w:t>
                  </w:r>
                </w:p>
              </w:tc>
              <w:tc>
                <w:tcPr>
                  <w:tcW w:w="943" w:type="pct"/>
                  <w:tcBorders>
                    <w:tl2br w:val="nil"/>
                    <w:tr2bl w:val="nil"/>
                  </w:tcBorders>
                  <w:noWrap w:val="0"/>
                  <w:vAlign w:val="center"/>
                </w:tcPr>
                <w:p w14:paraId="2E8FB75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年平均</w:t>
                  </w:r>
                </w:p>
              </w:tc>
              <w:tc>
                <w:tcPr>
                  <w:tcW w:w="1843" w:type="pct"/>
                  <w:tcBorders>
                    <w:tl2br w:val="nil"/>
                    <w:tr2bl w:val="nil"/>
                  </w:tcBorders>
                  <w:noWrap w:val="0"/>
                  <w:vAlign w:val="center"/>
                </w:tcPr>
                <w:p w14:paraId="1E95151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200</w:t>
                  </w:r>
                </w:p>
              </w:tc>
              <w:tc>
                <w:tcPr>
                  <w:tcW w:w="1665" w:type="pct"/>
                  <w:vMerge w:val="continue"/>
                  <w:tcBorders>
                    <w:tl2br w:val="nil"/>
                    <w:tr2bl w:val="nil"/>
                  </w:tcBorders>
                  <w:noWrap w:val="0"/>
                  <w:vAlign w:val="center"/>
                </w:tcPr>
                <w:p w14:paraId="2C24D8C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09B65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continue"/>
                  <w:tcBorders>
                    <w:tl2br w:val="nil"/>
                    <w:tr2bl w:val="nil"/>
                  </w:tcBorders>
                  <w:noWrap w:val="0"/>
                  <w:vAlign w:val="center"/>
                </w:tcPr>
                <w:p w14:paraId="07BA26A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c>
                <w:tcPr>
                  <w:tcW w:w="943" w:type="pct"/>
                  <w:tcBorders>
                    <w:tl2br w:val="nil"/>
                    <w:tr2bl w:val="nil"/>
                  </w:tcBorders>
                  <w:noWrap w:val="0"/>
                  <w:vAlign w:val="center"/>
                </w:tcPr>
                <w:p w14:paraId="41A2D17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日平均</w:t>
                  </w:r>
                </w:p>
              </w:tc>
              <w:tc>
                <w:tcPr>
                  <w:tcW w:w="1843" w:type="pct"/>
                  <w:tcBorders>
                    <w:tl2br w:val="nil"/>
                    <w:tr2bl w:val="nil"/>
                  </w:tcBorders>
                  <w:noWrap w:val="0"/>
                  <w:vAlign w:val="center"/>
                </w:tcPr>
                <w:p w14:paraId="177D208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300</w:t>
                  </w:r>
                </w:p>
              </w:tc>
              <w:tc>
                <w:tcPr>
                  <w:tcW w:w="1665" w:type="pct"/>
                  <w:vMerge w:val="continue"/>
                  <w:tcBorders>
                    <w:tl2br w:val="nil"/>
                    <w:tr2bl w:val="nil"/>
                  </w:tcBorders>
                  <w:noWrap w:val="0"/>
                  <w:vAlign w:val="center"/>
                </w:tcPr>
                <w:p w14:paraId="326115A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16633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restart"/>
                  <w:tcBorders>
                    <w:tl2br w:val="nil"/>
                    <w:tr2bl w:val="nil"/>
                  </w:tcBorders>
                  <w:noWrap w:val="0"/>
                  <w:vAlign w:val="center"/>
                </w:tcPr>
                <w:p w14:paraId="7EA00CB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lang w:val="en-US" w:eastAsia="zh-CN"/>
                    </w:rPr>
                  </w:pPr>
                  <w:r>
                    <w:rPr>
                      <w:rFonts w:hint="default" w:ascii="Times New Roman" w:hAnsi="Times New Roman" w:eastAsia="宋体" w:cs="Times New Roman"/>
                      <w:b w:val="0"/>
                      <w:bCs w:val="0"/>
                      <w:color w:val="auto"/>
                      <w:spacing w:val="11"/>
                      <w:kern w:val="0"/>
                      <w:position w:val="0"/>
                      <w:sz w:val="21"/>
                      <w:szCs w:val="21"/>
                      <w:highlight w:val="none"/>
                      <w:u w:val="none" w:color="auto"/>
                      <w:lang w:val="en-US" w:eastAsia="zh-CN"/>
                    </w:rPr>
                    <w:t>O</w:t>
                  </w:r>
                  <w:r>
                    <w:rPr>
                      <w:rFonts w:hint="default" w:ascii="Times New Roman" w:hAnsi="Times New Roman" w:eastAsia="宋体" w:cs="Times New Roman"/>
                      <w:b w:val="0"/>
                      <w:bCs w:val="0"/>
                      <w:color w:val="auto"/>
                      <w:spacing w:val="11"/>
                      <w:kern w:val="0"/>
                      <w:position w:val="0"/>
                      <w:sz w:val="21"/>
                      <w:szCs w:val="21"/>
                      <w:highlight w:val="none"/>
                      <w:u w:val="none" w:color="auto"/>
                      <w:vertAlign w:val="subscript"/>
                      <w:lang w:val="en-US" w:eastAsia="zh-CN"/>
                    </w:rPr>
                    <w:t>3</w:t>
                  </w:r>
                </w:p>
              </w:tc>
              <w:tc>
                <w:tcPr>
                  <w:tcW w:w="943" w:type="pct"/>
                  <w:tcBorders>
                    <w:tl2br w:val="nil"/>
                    <w:tr2bl w:val="nil"/>
                  </w:tcBorders>
                  <w:noWrap w:val="0"/>
                  <w:vAlign w:val="center"/>
                </w:tcPr>
                <w:p w14:paraId="52829EB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lang w:eastAsia="zh-CN"/>
                    </w:rPr>
                    <w:t>日最大8小时平均</w:t>
                  </w:r>
                </w:p>
              </w:tc>
              <w:tc>
                <w:tcPr>
                  <w:tcW w:w="1843" w:type="pct"/>
                  <w:tcBorders>
                    <w:tl2br w:val="nil"/>
                    <w:tr2bl w:val="nil"/>
                  </w:tcBorders>
                  <w:noWrap w:val="0"/>
                  <w:vAlign w:val="center"/>
                </w:tcPr>
                <w:p w14:paraId="7ADA000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160</w:t>
                  </w:r>
                </w:p>
              </w:tc>
              <w:tc>
                <w:tcPr>
                  <w:tcW w:w="1665" w:type="pct"/>
                  <w:vMerge w:val="continue"/>
                  <w:tcBorders>
                    <w:tl2br w:val="nil"/>
                    <w:tr2bl w:val="nil"/>
                  </w:tcBorders>
                  <w:noWrap w:val="0"/>
                  <w:vAlign w:val="center"/>
                </w:tcPr>
                <w:p w14:paraId="4A3BD6A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14:paraId="73CF1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Merge w:val="continue"/>
                  <w:tcBorders>
                    <w:tl2br w:val="nil"/>
                    <w:tr2bl w:val="nil"/>
                  </w:tcBorders>
                  <w:noWrap w:val="0"/>
                  <w:vAlign w:val="center"/>
                </w:tcPr>
                <w:p w14:paraId="12C53D4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none" w:color="auto"/>
                      <w:lang w:val="en-US" w:eastAsia="zh-CN"/>
                    </w:rPr>
                  </w:pPr>
                </w:p>
              </w:tc>
              <w:tc>
                <w:tcPr>
                  <w:tcW w:w="943" w:type="pct"/>
                  <w:tcBorders>
                    <w:tl2br w:val="nil"/>
                    <w:tr2bl w:val="nil"/>
                  </w:tcBorders>
                  <w:noWrap w:val="0"/>
                  <w:vAlign w:val="center"/>
                </w:tcPr>
                <w:p w14:paraId="469AB27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1小时平均</w:t>
                  </w:r>
                </w:p>
              </w:tc>
              <w:tc>
                <w:tcPr>
                  <w:tcW w:w="1843" w:type="pct"/>
                  <w:tcBorders>
                    <w:tl2br w:val="nil"/>
                    <w:tr2bl w:val="nil"/>
                  </w:tcBorders>
                  <w:noWrap w:val="0"/>
                  <w:vAlign w:val="center"/>
                </w:tcPr>
                <w:p w14:paraId="5479367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200</w:t>
                  </w:r>
                </w:p>
              </w:tc>
              <w:tc>
                <w:tcPr>
                  <w:tcW w:w="1665" w:type="pct"/>
                  <w:vMerge w:val="continue"/>
                  <w:tcBorders>
                    <w:tl2br w:val="nil"/>
                    <w:tr2bl w:val="nil"/>
                  </w:tcBorders>
                  <w:noWrap w:val="0"/>
                  <w:vAlign w:val="center"/>
                </w:tcPr>
                <w:p w14:paraId="25939D4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bl>
          <w:p w14:paraId="6815AAE6">
            <w:pPr>
              <w:keepNext w:val="0"/>
              <w:keepLines w:val="0"/>
              <w:pageBreakBefore w:val="0"/>
              <w:widowControl w:val="0"/>
              <w:numPr>
                <w:ilvl w:val="0"/>
                <w:numId w:val="4"/>
              </w:numPr>
              <w:kinsoku/>
              <w:wordWrap/>
              <w:overflowPunct/>
              <w:topLinePunct w:val="0"/>
              <w:autoSpaceDE w:val="0"/>
              <w:autoSpaceDN w:val="0"/>
              <w:bidi w:val="0"/>
              <w:adjustRightInd w:val="0"/>
              <w:snapToGrid w:val="0"/>
              <w:spacing w:before="157" w:beforeLines="50" w:line="360" w:lineRule="auto"/>
              <w:ind w:firstLine="524" w:firstLineChars="200"/>
              <w:jc w:val="left"/>
              <w:textAlignment w:val="auto"/>
              <w:rPr>
                <w:rFonts w:hint="default" w:ascii="Times New Roman" w:hAnsi="Times New Roman" w:eastAsia="宋体" w:cs="Times New Roman"/>
                <w:color w:val="auto"/>
                <w:spacing w:val="11"/>
                <w:position w:val="0"/>
                <w:sz w:val="24"/>
                <w:szCs w:val="22"/>
                <w:highlight w:val="none"/>
                <w:lang w:val="en-US" w:eastAsia="zh-CN"/>
              </w:rPr>
            </w:pPr>
            <w:r>
              <w:rPr>
                <w:rFonts w:hint="default" w:ascii="Times New Roman" w:hAnsi="Times New Roman" w:eastAsia="宋体" w:cs="Times New Roman"/>
                <w:color w:val="auto"/>
                <w:spacing w:val="11"/>
                <w:position w:val="0"/>
                <w:sz w:val="24"/>
                <w:szCs w:val="22"/>
                <w:highlight w:val="none"/>
              </w:rPr>
              <w:t>地表水环境：</w:t>
            </w:r>
            <w:bookmarkStart w:id="36" w:name="OLE_LINK37"/>
            <w:r>
              <w:rPr>
                <w:rFonts w:hint="default" w:ascii="Times New Roman" w:hAnsi="Times New Roman" w:eastAsia="宋体" w:cs="Times New Roman"/>
                <w:color w:val="auto"/>
                <w:spacing w:val="11"/>
                <w:position w:val="0"/>
                <w:sz w:val="24"/>
                <w:szCs w:val="22"/>
                <w:highlight w:val="none"/>
              </w:rPr>
              <w:t>执行</w:t>
            </w:r>
            <w:r>
              <w:rPr>
                <w:rFonts w:hint="default" w:ascii="Times New Roman" w:hAnsi="Times New Roman" w:eastAsia="宋体" w:cs="Times New Roman"/>
                <w:color w:val="auto"/>
                <w:spacing w:val="11"/>
                <w:position w:val="0"/>
                <w:sz w:val="24"/>
                <w:szCs w:val="22"/>
                <w:highlight w:val="none"/>
                <w:lang w:eastAsia="zh-CN"/>
              </w:rPr>
              <w:t>《地表水环境质量标准》(GB3838-2002)Ⅲ</w:t>
            </w:r>
            <w:r>
              <w:rPr>
                <w:rFonts w:hint="default" w:ascii="Times New Roman" w:hAnsi="Times New Roman" w:eastAsia="宋体" w:cs="Times New Roman"/>
                <w:color w:val="auto"/>
                <w:spacing w:val="11"/>
                <w:position w:val="0"/>
                <w:sz w:val="24"/>
                <w:szCs w:val="22"/>
                <w:highlight w:val="none"/>
                <w:lang w:val="en-US" w:eastAsia="zh-CN"/>
              </w:rPr>
              <w:t>类标准，具体标准值见表3-</w:t>
            </w:r>
            <w:r>
              <w:rPr>
                <w:rFonts w:hint="eastAsia" w:cs="Times New Roman"/>
                <w:color w:val="auto"/>
                <w:spacing w:val="11"/>
                <w:position w:val="0"/>
                <w:sz w:val="24"/>
                <w:szCs w:val="22"/>
                <w:highlight w:val="none"/>
                <w:lang w:val="en-US" w:eastAsia="zh-CN"/>
              </w:rPr>
              <w:t>6</w:t>
            </w:r>
            <w:r>
              <w:rPr>
                <w:rFonts w:hint="default" w:ascii="Times New Roman" w:hAnsi="Times New Roman" w:cs="Times New Roman"/>
                <w:color w:val="auto"/>
                <w:spacing w:val="11"/>
                <w:position w:val="0"/>
                <w:sz w:val="24"/>
                <w:szCs w:val="22"/>
                <w:highlight w:val="none"/>
                <w:lang w:val="en-US" w:eastAsia="zh-CN"/>
              </w:rPr>
              <w:t>。</w:t>
            </w:r>
          </w:p>
          <w:p w14:paraId="2B0AB8BE">
            <w:pPr>
              <w:adjustRightInd w:val="0"/>
              <w:snapToGrid w:val="0"/>
              <w:spacing w:line="271" w:lineRule="auto"/>
              <w:ind w:firstLine="0" w:firstLineChars="0"/>
              <w:jc w:val="center"/>
              <w:rPr>
                <w:rFonts w:hint="default" w:ascii="Times New Roman" w:hAnsi="Times New Roman" w:cs="Times New Roman"/>
                <w:b/>
                <w:color w:val="auto"/>
                <w:spacing w:val="11"/>
                <w:position w:val="0"/>
                <w:sz w:val="21"/>
                <w:szCs w:val="21"/>
                <w:highlight w:val="none"/>
              </w:rPr>
            </w:pPr>
          </w:p>
          <w:p w14:paraId="68C74713">
            <w:pPr>
              <w:adjustRightInd w:val="0"/>
              <w:snapToGrid w:val="0"/>
              <w:spacing w:line="271" w:lineRule="auto"/>
              <w:ind w:firstLine="0" w:firstLineChars="0"/>
              <w:jc w:val="center"/>
              <w:rPr>
                <w:rFonts w:hint="default" w:ascii="Times New Roman" w:hAnsi="Times New Roman" w:cs="Times New Roman"/>
                <w:b/>
                <w:color w:val="auto"/>
                <w:spacing w:val="11"/>
                <w:position w:val="0"/>
                <w:sz w:val="21"/>
                <w:szCs w:val="21"/>
                <w:highlight w:val="none"/>
              </w:rPr>
            </w:pPr>
            <w:r>
              <w:rPr>
                <w:rFonts w:hint="default" w:ascii="Times New Roman" w:hAnsi="Times New Roman" w:cs="Times New Roman"/>
                <w:b/>
                <w:color w:val="auto"/>
                <w:spacing w:val="11"/>
                <w:position w:val="0"/>
                <w:sz w:val="21"/>
                <w:szCs w:val="21"/>
                <w:highlight w:val="none"/>
              </w:rPr>
              <w:t>表</w:t>
            </w:r>
            <w:r>
              <w:rPr>
                <w:rFonts w:hint="default" w:ascii="Times New Roman" w:hAnsi="Times New Roman" w:cs="Times New Roman"/>
                <w:b/>
                <w:color w:val="auto"/>
                <w:spacing w:val="11"/>
                <w:position w:val="0"/>
                <w:sz w:val="21"/>
                <w:szCs w:val="21"/>
                <w:highlight w:val="none"/>
                <w:lang w:val="en-US" w:eastAsia="zh-CN"/>
              </w:rPr>
              <w:t>3-</w:t>
            </w:r>
            <w:r>
              <w:rPr>
                <w:rFonts w:hint="eastAsia" w:cs="Times New Roman"/>
                <w:b/>
                <w:color w:val="auto"/>
                <w:spacing w:val="11"/>
                <w:position w:val="0"/>
                <w:sz w:val="21"/>
                <w:szCs w:val="21"/>
                <w:highlight w:val="none"/>
                <w:lang w:val="en-US" w:eastAsia="zh-CN"/>
              </w:rPr>
              <w:t>6</w:t>
            </w:r>
            <w:r>
              <w:rPr>
                <w:rFonts w:hint="default" w:ascii="Times New Roman" w:hAnsi="Times New Roman" w:cs="Times New Roman"/>
                <w:b/>
                <w:color w:val="auto"/>
                <w:spacing w:val="11"/>
                <w:position w:val="0"/>
                <w:sz w:val="21"/>
                <w:szCs w:val="21"/>
                <w:highlight w:val="none"/>
              </w:rPr>
              <w:t xml:space="preserve">  《地表水环境质量标准》（GB3838-2002）</w:t>
            </w:r>
          </w:p>
          <w:tbl>
            <w:tblPr>
              <w:tblStyle w:val="32"/>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1828"/>
              <w:gridCol w:w="5486"/>
            </w:tblGrid>
            <w:tr w14:paraId="3CE442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tcBorders>
                    <w:tl2br w:val="nil"/>
                    <w:tr2bl w:val="nil"/>
                  </w:tcBorders>
                  <w:vAlign w:val="center"/>
                </w:tcPr>
                <w:p w14:paraId="7D8D82D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序号</w:t>
                  </w:r>
                </w:p>
              </w:tc>
              <w:tc>
                <w:tcPr>
                  <w:tcW w:w="1104" w:type="pct"/>
                  <w:tcBorders>
                    <w:tl2br w:val="nil"/>
                    <w:tr2bl w:val="nil"/>
                  </w:tcBorders>
                  <w:vAlign w:val="center"/>
                </w:tcPr>
                <w:p w14:paraId="6FC4160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项目</w:t>
                  </w:r>
                </w:p>
              </w:tc>
              <w:tc>
                <w:tcPr>
                  <w:tcW w:w="3313" w:type="pct"/>
                  <w:tcBorders>
                    <w:tl2br w:val="nil"/>
                    <w:tr2bl w:val="nil"/>
                  </w:tcBorders>
                  <w:vAlign w:val="center"/>
                </w:tcPr>
                <w:p w14:paraId="78BCD8A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标准值</w:t>
                  </w:r>
                </w:p>
              </w:tc>
            </w:tr>
            <w:tr w14:paraId="108548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tcBorders>
                    <w:tl2br w:val="nil"/>
                    <w:tr2bl w:val="nil"/>
                  </w:tcBorders>
                  <w:vAlign w:val="center"/>
                </w:tcPr>
                <w:p w14:paraId="62D347C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1</w:t>
                  </w:r>
                </w:p>
              </w:tc>
              <w:tc>
                <w:tcPr>
                  <w:tcW w:w="1104" w:type="pct"/>
                  <w:tcBorders>
                    <w:tl2br w:val="nil"/>
                    <w:tr2bl w:val="nil"/>
                  </w:tcBorders>
                  <w:vAlign w:val="center"/>
                </w:tcPr>
                <w:p w14:paraId="3D8F324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水温</w:t>
                  </w:r>
                </w:p>
              </w:tc>
              <w:tc>
                <w:tcPr>
                  <w:tcW w:w="3313" w:type="pct"/>
                  <w:tcBorders>
                    <w:tl2br w:val="nil"/>
                    <w:tr2bl w:val="nil"/>
                  </w:tcBorders>
                  <w:vAlign w:val="center"/>
                </w:tcPr>
                <w:p w14:paraId="7D0A16E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人为造成的环境水温变化应限制在：周平均最大温升≤1；周平均最大温降≤2</w:t>
                  </w:r>
                </w:p>
              </w:tc>
            </w:tr>
            <w:tr w14:paraId="72F89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tcBorders>
                    <w:tl2br w:val="nil"/>
                    <w:tr2bl w:val="nil"/>
                  </w:tcBorders>
                  <w:vAlign w:val="center"/>
                </w:tcPr>
                <w:p w14:paraId="0C4CAA0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2</w:t>
                  </w:r>
                </w:p>
              </w:tc>
              <w:tc>
                <w:tcPr>
                  <w:tcW w:w="1104" w:type="pct"/>
                  <w:tcBorders>
                    <w:tl2br w:val="nil"/>
                    <w:tr2bl w:val="nil"/>
                  </w:tcBorders>
                  <w:vAlign w:val="center"/>
                </w:tcPr>
                <w:p w14:paraId="55C80E5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pH</w:t>
                  </w:r>
                </w:p>
              </w:tc>
              <w:tc>
                <w:tcPr>
                  <w:tcW w:w="3313" w:type="pct"/>
                  <w:tcBorders>
                    <w:tl2br w:val="nil"/>
                    <w:tr2bl w:val="nil"/>
                  </w:tcBorders>
                  <w:vAlign w:val="center"/>
                </w:tcPr>
                <w:p w14:paraId="4D56361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6-9</w:t>
                  </w:r>
                </w:p>
              </w:tc>
            </w:tr>
            <w:tr w14:paraId="23C89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tcBorders>
                    <w:tl2br w:val="nil"/>
                    <w:tr2bl w:val="nil"/>
                  </w:tcBorders>
                  <w:vAlign w:val="center"/>
                </w:tcPr>
                <w:p w14:paraId="7ECE3C3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3</w:t>
                  </w:r>
                </w:p>
              </w:tc>
              <w:tc>
                <w:tcPr>
                  <w:tcW w:w="1104" w:type="pct"/>
                  <w:tcBorders>
                    <w:tl2br w:val="nil"/>
                    <w:tr2bl w:val="nil"/>
                  </w:tcBorders>
                  <w:vAlign w:val="center"/>
                </w:tcPr>
                <w:p w14:paraId="524A353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COD</w:t>
                  </w:r>
                </w:p>
              </w:tc>
              <w:tc>
                <w:tcPr>
                  <w:tcW w:w="3313" w:type="pct"/>
                  <w:tcBorders>
                    <w:tl2br w:val="nil"/>
                    <w:tr2bl w:val="nil"/>
                  </w:tcBorders>
                  <w:vAlign w:val="center"/>
                </w:tcPr>
                <w:p w14:paraId="63F6D04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w:t>
                  </w:r>
                  <w:r>
                    <w:rPr>
                      <w:rFonts w:hint="default" w:ascii="Times New Roman" w:hAnsi="Times New Roman" w:cs="Times New Roman"/>
                      <w:color w:val="auto"/>
                      <w:spacing w:val="11"/>
                      <w:position w:val="0"/>
                      <w:sz w:val="21"/>
                      <w:szCs w:val="21"/>
                      <w:highlight w:val="none"/>
                      <w:lang w:val="en-US" w:eastAsia="zh-CN"/>
                    </w:rPr>
                    <w:t>20</w:t>
                  </w:r>
                  <w:r>
                    <w:rPr>
                      <w:rFonts w:hint="default" w:ascii="Times New Roman" w:hAnsi="Times New Roman" w:cs="Times New Roman"/>
                      <w:color w:val="auto"/>
                      <w:spacing w:val="11"/>
                      <w:position w:val="0"/>
                      <w:sz w:val="21"/>
                      <w:szCs w:val="21"/>
                      <w:highlight w:val="none"/>
                    </w:rPr>
                    <w:t>mg/L</w:t>
                  </w:r>
                </w:p>
              </w:tc>
            </w:tr>
            <w:tr w14:paraId="479914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tcBorders>
                    <w:tl2br w:val="nil"/>
                    <w:tr2bl w:val="nil"/>
                  </w:tcBorders>
                  <w:vAlign w:val="center"/>
                </w:tcPr>
                <w:p w14:paraId="6C9C30E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4</w:t>
                  </w:r>
                </w:p>
              </w:tc>
              <w:tc>
                <w:tcPr>
                  <w:tcW w:w="1104" w:type="pct"/>
                  <w:tcBorders>
                    <w:tl2br w:val="nil"/>
                    <w:tr2bl w:val="nil"/>
                  </w:tcBorders>
                  <w:vAlign w:val="center"/>
                </w:tcPr>
                <w:p w14:paraId="31EBB91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氨氮</w:t>
                  </w:r>
                </w:p>
              </w:tc>
              <w:tc>
                <w:tcPr>
                  <w:tcW w:w="3313" w:type="pct"/>
                  <w:tcBorders>
                    <w:tl2br w:val="nil"/>
                    <w:tr2bl w:val="nil"/>
                  </w:tcBorders>
                  <w:vAlign w:val="center"/>
                </w:tcPr>
                <w:p w14:paraId="5AF3DA4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w:t>
                  </w:r>
                  <w:r>
                    <w:rPr>
                      <w:rFonts w:hint="default" w:ascii="Times New Roman" w:hAnsi="Times New Roman" w:cs="Times New Roman"/>
                      <w:color w:val="auto"/>
                      <w:spacing w:val="11"/>
                      <w:position w:val="0"/>
                      <w:sz w:val="21"/>
                      <w:szCs w:val="21"/>
                      <w:highlight w:val="none"/>
                      <w:lang w:val="en-US" w:eastAsia="zh-CN"/>
                    </w:rPr>
                    <w:t>1.0</w:t>
                  </w:r>
                  <w:r>
                    <w:rPr>
                      <w:rFonts w:hint="default" w:ascii="Times New Roman" w:hAnsi="Times New Roman" w:cs="Times New Roman"/>
                      <w:color w:val="auto"/>
                      <w:spacing w:val="11"/>
                      <w:position w:val="0"/>
                      <w:sz w:val="21"/>
                      <w:szCs w:val="21"/>
                      <w:highlight w:val="none"/>
                    </w:rPr>
                    <w:t>mg/L</w:t>
                  </w:r>
                </w:p>
              </w:tc>
            </w:tr>
            <w:tr w14:paraId="75F9A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tcBorders>
                    <w:tl2br w:val="nil"/>
                    <w:tr2bl w:val="nil"/>
                  </w:tcBorders>
                  <w:vAlign w:val="center"/>
                </w:tcPr>
                <w:p w14:paraId="252EA9D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5</w:t>
                  </w:r>
                </w:p>
              </w:tc>
              <w:tc>
                <w:tcPr>
                  <w:tcW w:w="1104" w:type="pct"/>
                  <w:tcBorders>
                    <w:tl2br w:val="nil"/>
                    <w:tr2bl w:val="nil"/>
                  </w:tcBorders>
                  <w:vAlign w:val="center"/>
                </w:tcPr>
                <w:p w14:paraId="5B5FCF8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BOD</w:t>
                  </w:r>
                  <w:r>
                    <w:rPr>
                      <w:rFonts w:hint="default" w:ascii="Times New Roman" w:hAnsi="Times New Roman" w:cs="Times New Roman"/>
                      <w:color w:val="auto"/>
                      <w:spacing w:val="11"/>
                      <w:position w:val="0"/>
                      <w:sz w:val="21"/>
                      <w:szCs w:val="21"/>
                      <w:highlight w:val="none"/>
                      <w:vertAlign w:val="subscript"/>
                    </w:rPr>
                    <w:t>5</w:t>
                  </w:r>
                </w:p>
              </w:tc>
              <w:tc>
                <w:tcPr>
                  <w:tcW w:w="3313" w:type="pct"/>
                  <w:tcBorders>
                    <w:tl2br w:val="nil"/>
                    <w:tr2bl w:val="nil"/>
                  </w:tcBorders>
                  <w:vAlign w:val="center"/>
                </w:tcPr>
                <w:p w14:paraId="272E2E5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w:t>
                  </w:r>
                  <w:r>
                    <w:rPr>
                      <w:rFonts w:hint="default" w:ascii="Times New Roman" w:hAnsi="Times New Roman" w:cs="Times New Roman"/>
                      <w:color w:val="auto"/>
                      <w:spacing w:val="11"/>
                      <w:position w:val="0"/>
                      <w:sz w:val="21"/>
                      <w:szCs w:val="21"/>
                      <w:highlight w:val="none"/>
                      <w:lang w:val="en-US" w:eastAsia="zh-CN"/>
                    </w:rPr>
                    <w:t>4</w:t>
                  </w:r>
                  <w:r>
                    <w:rPr>
                      <w:rFonts w:hint="default" w:ascii="Times New Roman" w:hAnsi="Times New Roman" w:cs="Times New Roman"/>
                      <w:color w:val="auto"/>
                      <w:spacing w:val="11"/>
                      <w:position w:val="0"/>
                      <w:sz w:val="21"/>
                      <w:szCs w:val="21"/>
                      <w:highlight w:val="none"/>
                    </w:rPr>
                    <w:t>mg/L</w:t>
                  </w:r>
                </w:p>
              </w:tc>
            </w:tr>
            <w:tr w14:paraId="43352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tcBorders>
                    <w:tl2br w:val="nil"/>
                    <w:tr2bl w:val="nil"/>
                  </w:tcBorders>
                  <w:vAlign w:val="center"/>
                </w:tcPr>
                <w:p w14:paraId="42374E9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6</w:t>
                  </w:r>
                </w:p>
              </w:tc>
              <w:tc>
                <w:tcPr>
                  <w:tcW w:w="1104" w:type="pct"/>
                  <w:tcBorders>
                    <w:tl2br w:val="nil"/>
                    <w:tr2bl w:val="nil"/>
                  </w:tcBorders>
                  <w:vAlign w:val="center"/>
                </w:tcPr>
                <w:p w14:paraId="2BB8507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TN</w:t>
                  </w:r>
                </w:p>
              </w:tc>
              <w:tc>
                <w:tcPr>
                  <w:tcW w:w="3313" w:type="pct"/>
                  <w:tcBorders>
                    <w:tl2br w:val="nil"/>
                    <w:tr2bl w:val="nil"/>
                  </w:tcBorders>
                  <w:vAlign w:val="center"/>
                </w:tcPr>
                <w:p w14:paraId="0F377A2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w:t>
                  </w:r>
                  <w:r>
                    <w:rPr>
                      <w:rFonts w:hint="default" w:ascii="Times New Roman" w:hAnsi="Times New Roman" w:cs="Times New Roman"/>
                      <w:color w:val="auto"/>
                      <w:spacing w:val="11"/>
                      <w:position w:val="0"/>
                      <w:sz w:val="21"/>
                      <w:szCs w:val="21"/>
                      <w:highlight w:val="none"/>
                      <w:lang w:val="en-US" w:eastAsia="zh-CN"/>
                    </w:rPr>
                    <w:t>1.0</w:t>
                  </w:r>
                  <w:r>
                    <w:rPr>
                      <w:rFonts w:hint="default" w:ascii="Times New Roman" w:hAnsi="Times New Roman" w:cs="Times New Roman"/>
                      <w:color w:val="auto"/>
                      <w:spacing w:val="11"/>
                      <w:position w:val="0"/>
                      <w:sz w:val="21"/>
                      <w:szCs w:val="21"/>
                      <w:highlight w:val="none"/>
                    </w:rPr>
                    <w:t>mg/L</w:t>
                  </w:r>
                </w:p>
              </w:tc>
            </w:tr>
            <w:tr w14:paraId="5D6DEB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tcBorders>
                    <w:tl2br w:val="nil"/>
                    <w:tr2bl w:val="nil"/>
                  </w:tcBorders>
                  <w:vAlign w:val="center"/>
                </w:tcPr>
                <w:p w14:paraId="5E86506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7</w:t>
                  </w:r>
                </w:p>
              </w:tc>
              <w:tc>
                <w:tcPr>
                  <w:tcW w:w="1104" w:type="pct"/>
                  <w:tcBorders>
                    <w:tl2br w:val="nil"/>
                    <w:tr2bl w:val="nil"/>
                  </w:tcBorders>
                  <w:vAlign w:val="center"/>
                </w:tcPr>
                <w:p w14:paraId="2EF76ED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TP</w:t>
                  </w:r>
                </w:p>
              </w:tc>
              <w:tc>
                <w:tcPr>
                  <w:tcW w:w="3313" w:type="pct"/>
                  <w:tcBorders>
                    <w:tl2br w:val="nil"/>
                    <w:tr2bl w:val="nil"/>
                  </w:tcBorders>
                  <w:vAlign w:val="center"/>
                </w:tcPr>
                <w:p w14:paraId="5707B11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湖、库≤0.0</w:t>
                  </w:r>
                  <w:r>
                    <w:rPr>
                      <w:rFonts w:hint="default" w:ascii="Times New Roman" w:hAnsi="Times New Roman" w:cs="Times New Roman"/>
                      <w:color w:val="auto"/>
                      <w:spacing w:val="11"/>
                      <w:position w:val="0"/>
                      <w:sz w:val="21"/>
                      <w:szCs w:val="21"/>
                      <w:highlight w:val="none"/>
                      <w:lang w:val="en-US" w:eastAsia="zh-CN"/>
                    </w:rPr>
                    <w:t>5</w:t>
                  </w:r>
                  <w:r>
                    <w:rPr>
                      <w:rFonts w:hint="default" w:ascii="Times New Roman" w:hAnsi="Times New Roman" w:cs="Times New Roman"/>
                      <w:color w:val="auto"/>
                      <w:spacing w:val="11"/>
                      <w:position w:val="0"/>
                      <w:sz w:val="21"/>
                      <w:szCs w:val="21"/>
                      <w:highlight w:val="none"/>
                    </w:rPr>
                    <w:t>mg/L</w:t>
                  </w:r>
                </w:p>
              </w:tc>
            </w:tr>
            <w:tr w14:paraId="363D1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tcBorders>
                    <w:tl2br w:val="nil"/>
                    <w:tr2bl w:val="nil"/>
                  </w:tcBorders>
                  <w:vAlign w:val="center"/>
                </w:tcPr>
                <w:p w14:paraId="69667D9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8</w:t>
                  </w:r>
                </w:p>
              </w:tc>
              <w:tc>
                <w:tcPr>
                  <w:tcW w:w="1104" w:type="pct"/>
                  <w:tcBorders>
                    <w:tl2br w:val="nil"/>
                    <w:tr2bl w:val="nil"/>
                  </w:tcBorders>
                  <w:vAlign w:val="center"/>
                </w:tcPr>
                <w:p w14:paraId="04CB2CC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粪大肠菌群</w:t>
                  </w:r>
                </w:p>
              </w:tc>
              <w:tc>
                <w:tcPr>
                  <w:tcW w:w="3313" w:type="pct"/>
                  <w:tcBorders>
                    <w:tl2br w:val="nil"/>
                    <w:tr2bl w:val="nil"/>
                  </w:tcBorders>
                  <w:vAlign w:val="center"/>
                </w:tcPr>
                <w:p w14:paraId="1A2FB81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pacing w:val="11"/>
                      <w:position w:val="0"/>
                      <w:sz w:val="21"/>
                      <w:szCs w:val="21"/>
                      <w:highlight w:val="none"/>
                    </w:rPr>
                  </w:pPr>
                  <w:r>
                    <w:rPr>
                      <w:rFonts w:hint="default" w:ascii="Times New Roman" w:hAnsi="Times New Roman" w:cs="Times New Roman"/>
                      <w:color w:val="auto"/>
                      <w:spacing w:val="11"/>
                      <w:position w:val="0"/>
                      <w:sz w:val="21"/>
                      <w:szCs w:val="21"/>
                      <w:highlight w:val="none"/>
                    </w:rPr>
                    <w:t>≤</w:t>
                  </w:r>
                  <w:r>
                    <w:rPr>
                      <w:rFonts w:hint="default" w:ascii="Times New Roman" w:hAnsi="Times New Roman" w:cs="Times New Roman"/>
                      <w:color w:val="auto"/>
                      <w:spacing w:val="11"/>
                      <w:position w:val="0"/>
                      <w:sz w:val="21"/>
                      <w:szCs w:val="21"/>
                      <w:highlight w:val="none"/>
                      <w:lang w:val="en-US" w:eastAsia="zh-CN"/>
                    </w:rPr>
                    <w:t>10</w:t>
                  </w:r>
                  <w:r>
                    <w:rPr>
                      <w:rFonts w:hint="default" w:ascii="Times New Roman" w:hAnsi="Times New Roman" w:cs="Times New Roman"/>
                      <w:color w:val="auto"/>
                      <w:spacing w:val="11"/>
                      <w:position w:val="0"/>
                      <w:sz w:val="21"/>
                      <w:szCs w:val="21"/>
                      <w:highlight w:val="none"/>
                    </w:rPr>
                    <w:t>000个/L</w:t>
                  </w:r>
                </w:p>
              </w:tc>
            </w:tr>
          </w:tbl>
          <w:p w14:paraId="23006128">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ind w:firstLine="524" w:firstLineChars="200"/>
              <w:jc w:val="left"/>
              <w:textAlignment w:val="auto"/>
              <w:rPr>
                <w:rFonts w:hint="default" w:ascii="Times New Roman" w:hAnsi="Times New Roman" w:eastAsia="宋体" w:cs="Times New Roman"/>
                <w:color w:val="auto"/>
                <w:spacing w:val="11"/>
                <w:position w:val="0"/>
                <w:sz w:val="24"/>
                <w:szCs w:val="20"/>
                <w:highlight w:val="none"/>
              </w:rPr>
            </w:pPr>
            <w:r>
              <w:rPr>
                <w:rFonts w:hint="default" w:ascii="Times New Roman" w:hAnsi="Times New Roman" w:eastAsia="宋体" w:cs="Times New Roman"/>
                <w:color w:val="auto"/>
                <w:spacing w:val="11"/>
                <w:position w:val="0"/>
                <w:sz w:val="24"/>
                <w:szCs w:val="20"/>
                <w:highlight w:val="none"/>
                <w:lang w:eastAsia="zh-CN"/>
              </w:rPr>
              <w:t>（</w:t>
            </w:r>
            <w:r>
              <w:rPr>
                <w:rFonts w:hint="default" w:ascii="Times New Roman" w:hAnsi="Times New Roman" w:eastAsia="宋体" w:cs="Times New Roman"/>
                <w:color w:val="auto"/>
                <w:spacing w:val="11"/>
                <w:position w:val="0"/>
                <w:sz w:val="24"/>
                <w:szCs w:val="20"/>
                <w:highlight w:val="none"/>
                <w:lang w:val="en-US" w:eastAsia="zh-CN"/>
              </w:rPr>
              <w:t>3</w:t>
            </w:r>
            <w:r>
              <w:rPr>
                <w:rFonts w:hint="default" w:ascii="Times New Roman" w:hAnsi="Times New Roman" w:eastAsia="宋体" w:cs="Times New Roman"/>
                <w:color w:val="auto"/>
                <w:spacing w:val="11"/>
                <w:position w:val="0"/>
                <w:sz w:val="24"/>
                <w:szCs w:val="20"/>
                <w:highlight w:val="none"/>
                <w:lang w:eastAsia="zh-CN"/>
              </w:rPr>
              <w:t>）</w:t>
            </w:r>
            <w:r>
              <w:rPr>
                <w:rFonts w:hint="default" w:ascii="Times New Roman" w:hAnsi="Times New Roman" w:eastAsia="宋体" w:cs="Times New Roman"/>
                <w:color w:val="auto"/>
                <w:spacing w:val="11"/>
                <w:position w:val="0"/>
                <w:sz w:val="24"/>
                <w:szCs w:val="20"/>
                <w:highlight w:val="none"/>
              </w:rPr>
              <w:t>声环境：执行《声环境质量标准》（GB3096-2008）中的2类标准</w:t>
            </w:r>
            <w:bookmarkEnd w:id="36"/>
            <w:r>
              <w:rPr>
                <w:rFonts w:hint="default" w:ascii="Times New Roman" w:hAnsi="Times New Roman" w:eastAsia="宋体" w:cs="Times New Roman"/>
                <w:color w:val="auto"/>
                <w:spacing w:val="11"/>
                <w:position w:val="0"/>
                <w:sz w:val="24"/>
                <w:szCs w:val="20"/>
                <w:highlight w:val="none"/>
              </w:rPr>
              <w:t>，具体标准见表</w:t>
            </w:r>
            <w:r>
              <w:rPr>
                <w:rFonts w:hint="default" w:ascii="Times New Roman" w:hAnsi="Times New Roman" w:eastAsia="宋体" w:cs="Times New Roman"/>
                <w:color w:val="auto"/>
                <w:spacing w:val="11"/>
                <w:position w:val="0"/>
                <w:sz w:val="24"/>
                <w:szCs w:val="20"/>
                <w:highlight w:val="none"/>
                <w:lang w:val="en-US" w:eastAsia="zh-CN"/>
              </w:rPr>
              <w:t>3-</w:t>
            </w:r>
            <w:r>
              <w:rPr>
                <w:rFonts w:hint="eastAsia" w:cs="Times New Roman"/>
                <w:color w:val="auto"/>
                <w:spacing w:val="11"/>
                <w:position w:val="0"/>
                <w:sz w:val="24"/>
                <w:szCs w:val="20"/>
                <w:highlight w:val="none"/>
                <w:lang w:val="en-US" w:eastAsia="zh-CN"/>
              </w:rPr>
              <w:t>7</w:t>
            </w:r>
            <w:r>
              <w:rPr>
                <w:rFonts w:hint="default" w:ascii="Times New Roman" w:hAnsi="Times New Roman" w:eastAsia="宋体" w:cs="Times New Roman"/>
                <w:color w:val="auto"/>
                <w:spacing w:val="11"/>
                <w:position w:val="0"/>
                <w:sz w:val="24"/>
                <w:szCs w:val="20"/>
                <w:highlight w:val="none"/>
              </w:rPr>
              <w:t>。</w:t>
            </w:r>
          </w:p>
          <w:p w14:paraId="5125E57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黑体" w:cs="Times New Roman"/>
                <w:color w:val="auto"/>
                <w:spacing w:val="11"/>
                <w:kern w:val="0"/>
                <w:position w:val="0"/>
                <w:sz w:val="21"/>
                <w:szCs w:val="21"/>
                <w:highlight w:val="none"/>
              </w:rPr>
            </w:pPr>
            <w:r>
              <w:rPr>
                <w:rFonts w:hint="default" w:ascii="Times New Roman" w:hAnsi="Times New Roman" w:eastAsia="宋体" w:cs="Times New Roman"/>
                <w:b/>
                <w:color w:val="auto"/>
                <w:spacing w:val="11"/>
                <w:position w:val="0"/>
                <w:sz w:val="21"/>
                <w:szCs w:val="21"/>
                <w:highlight w:val="none"/>
              </w:rPr>
              <w:t>表</w:t>
            </w:r>
            <w:r>
              <w:rPr>
                <w:rFonts w:hint="default" w:ascii="Times New Roman" w:hAnsi="Times New Roman" w:eastAsia="宋体" w:cs="Times New Roman"/>
                <w:b/>
                <w:color w:val="auto"/>
                <w:spacing w:val="11"/>
                <w:position w:val="0"/>
                <w:sz w:val="21"/>
                <w:szCs w:val="21"/>
                <w:highlight w:val="none"/>
                <w:lang w:val="en-US" w:eastAsia="zh-CN"/>
              </w:rPr>
              <w:t>3-</w:t>
            </w:r>
            <w:r>
              <w:rPr>
                <w:rFonts w:hint="eastAsia" w:cs="Times New Roman"/>
                <w:b/>
                <w:color w:val="auto"/>
                <w:spacing w:val="11"/>
                <w:position w:val="0"/>
                <w:sz w:val="21"/>
                <w:szCs w:val="21"/>
                <w:highlight w:val="none"/>
                <w:lang w:val="en-US" w:eastAsia="zh-CN"/>
              </w:rPr>
              <w:t>7</w:t>
            </w:r>
            <w:r>
              <w:rPr>
                <w:rFonts w:hint="default" w:ascii="Times New Roman" w:hAnsi="Times New Roman" w:eastAsia="宋体" w:cs="Times New Roman"/>
                <w:b/>
                <w:color w:val="auto"/>
                <w:spacing w:val="11"/>
                <w:position w:val="0"/>
                <w:sz w:val="21"/>
                <w:szCs w:val="21"/>
                <w:highlight w:val="none"/>
              </w:rPr>
              <w:t xml:space="preserve"> 《声环境质量标准》（GB3096-2008） 单位：dB（A）</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60"/>
              <w:gridCol w:w="2760"/>
              <w:gridCol w:w="2760"/>
            </w:tblGrid>
            <w:tr w14:paraId="7169CF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tcBorders>
                    <w:tl2br w:val="nil"/>
                    <w:tr2bl w:val="nil"/>
                  </w:tcBorders>
                  <w:noWrap w:val="0"/>
                  <w:tcMar>
                    <w:left w:w="57" w:type="dxa"/>
                    <w:right w:w="57" w:type="dxa"/>
                  </w:tcMar>
                  <w:vAlign w:val="center"/>
                </w:tcPr>
                <w:p w14:paraId="7024ABE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11"/>
                      <w:position w:val="0"/>
                      <w:sz w:val="21"/>
                      <w:szCs w:val="21"/>
                      <w:highlight w:val="none"/>
                    </w:rPr>
                  </w:pPr>
                  <w:r>
                    <w:rPr>
                      <w:rFonts w:hint="default" w:ascii="Times New Roman" w:hAnsi="Times New Roman" w:eastAsia="宋体" w:cs="Times New Roman"/>
                      <w:b w:val="0"/>
                      <w:bCs w:val="0"/>
                      <w:color w:val="auto"/>
                      <w:spacing w:val="11"/>
                      <w:position w:val="0"/>
                      <w:sz w:val="21"/>
                      <w:szCs w:val="21"/>
                      <w:highlight w:val="none"/>
                    </w:rPr>
                    <w:t>声环境功能区类别</w:t>
                  </w:r>
                </w:p>
              </w:tc>
              <w:tc>
                <w:tcPr>
                  <w:tcW w:w="1666" w:type="pct"/>
                  <w:tcBorders>
                    <w:tl2br w:val="nil"/>
                    <w:tr2bl w:val="nil"/>
                  </w:tcBorders>
                  <w:noWrap w:val="0"/>
                  <w:tcMar>
                    <w:left w:w="57" w:type="dxa"/>
                    <w:right w:w="57" w:type="dxa"/>
                  </w:tcMar>
                  <w:vAlign w:val="center"/>
                </w:tcPr>
                <w:p w14:paraId="3DA4C534">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11"/>
                      <w:position w:val="0"/>
                      <w:sz w:val="21"/>
                      <w:szCs w:val="21"/>
                      <w:highlight w:val="none"/>
                    </w:rPr>
                  </w:pPr>
                  <w:r>
                    <w:rPr>
                      <w:rFonts w:hint="default" w:ascii="Times New Roman" w:hAnsi="Times New Roman" w:eastAsia="宋体" w:cs="Times New Roman"/>
                      <w:b w:val="0"/>
                      <w:bCs w:val="0"/>
                      <w:color w:val="auto"/>
                      <w:spacing w:val="11"/>
                      <w:position w:val="0"/>
                      <w:sz w:val="21"/>
                      <w:szCs w:val="21"/>
                      <w:highlight w:val="none"/>
                    </w:rPr>
                    <w:t>昼  间</w:t>
                  </w:r>
                </w:p>
              </w:tc>
              <w:tc>
                <w:tcPr>
                  <w:tcW w:w="1666" w:type="pct"/>
                  <w:tcBorders>
                    <w:tl2br w:val="nil"/>
                    <w:tr2bl w:val="nil"/>
                  </w:tcBorders>
                  <w:noWrap w:val="0"/>
                  <w:tcMar>
                    <w:left w:w="57" w:type="dxa"/>
                    <w:right w:w="57" w:type="dxa"/>
                  </w:tcMar>
                  <w:vAlign w:val="center"/>
                </w:tcPr>
                <w:p w14:paraId="4578600B">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11"/>
                      <w:position w:val="0"/>
                      <w:sz w:val="21"/>
                      <w:szCs w:val="21"/>
                      <w:highlight w:val="none"/>
                    </w:rPr>
                  </w:pPr>
                  <w:r>
                    <w:rPr>
                      <w:rFonts w:hint="default" w:ascii="Times New Roman" w:hAnsi="Times New Roman" w:eastAsia="宋体" w:cs="Times New Roman"/>
                      <w:b w:val="0"/>
                      <w:bCs w:val="0"/>
                      <w:color w:val="auto"/>
                      <w:spacing w:val="11"/>
                      <w:position w:val="0"/>
                      <w:sz w:val="21"/>
                      <w:szCs w:val="21"/>
                      <w:highlight w:val="none"/>
                    </w:rPr>
                    <w:t>夜  间</w:t>
                  </w:r>
                </w:p>
              </w:tc>
            </w:tr>
            <w:tr w14:paraId="1565A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tcBorders>
                    <w:tl2br w:val="nil"/>
                    <w:tr2bl w:val="nil"/>
                  </w:tcBorders>
                  <w:noWrap w:val="0"/>
                  <w:tcMar>
                    <w:left w:w="57" w:type="dxa"/>
                    <w:right w:w="57" w:type="dxa"/>
                  </w:tcMar>
                  <w:vAlign w:val="center"/>
                </w:tcPr>
                <w:p w14:paraId="22BC603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11"/>
                      <w:position w:val="0"/>
                      <w:sz w:val="21"/>
                      <w:szCs w:val="21"/>
                      <w:highlight w:val="none"/>
                    </w:rPr>
                  </w:pPr>
                  <w:r>
                    <w:rPr>
                      <w:rFonts w:hint="default" w:ascii="Times New Roman" w:hAnsi="Times New Roman" w:eastAsia="宋体" w:cs="Times New Roman"/>
                      <w:b w:val="0"/>
                      <w:bCs w:val="0"/>
                      <w:color w:val="auto"/>
                      <w:spacing w:val="11"/>
                      <w:position w:val="0"/>
                      <w:sz w:val="21"/>
                      <w:szCs w:val="21"/>
                      <w:highlight w:val="none"/>
                    </w:rPr>
                    <w:t>2类</w:t>
                  </w:r>
                </w:p>
              </w:tc>
              <w:tc>
                <w:tcPr>
                  <w:tcW w:w="1666" w:type="pct"/>
                  <w:tcBorders>
                    <w:tl2br w:val="nil"/>
                    <w:tr2bl w:val="nil"/>
                  </w:tcBorders>
                  <w:noWrap w:val="0"/>
                  <w:tcMar>
                    <w:left w:w="57" w:type="dxa"/>
                    <w:right w:w="57" w:type="dxa"/>
                  </w:tcMar>
                  <w:vAlign w:val="center"/>
                </w:tcPr>
                <w:p w14:paraId="6416DB6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11"/>
                      <w:position w:val="0"/>
                      <w:sz w:val="21"/>
                      <w:szCs w:val="21"/>
                      <w:highlight w:val="none"/>
                    </w:rPr>
                  </w:pPr>
                  <w:r>
                    <w:rPr>
                      <w:rFonts w:hint="default" w:ascii="Times New Roman" w:hAnsi="Times New Roman" w:eastAsia="宋体" w:cs="Times New Roman"/>
                      <w:b w:val="0"/>
                      <w:bCs w:val="0"/>
                      <w:color w:val="auto"/>
                      <w:spacing w:val="11"/>
                      <w:position w:val="0"/>
                      <w:sz w:val="21"/>
                      <w:szCs w:val="21"/>
                      <w:highlight w:val="none"/>
                    </w:rPr>
                    <w:t>60</w:t>
                  </w:r>
                </w:p>
              </w:tc>
              <w:tc>
                <w:tcPr>
                  <w:tcW w:w="1666" w:type="pct"/>
                  <w:tcBorders>
                    <w:tl2br w:val="nil"/>
                    <w:tr2bl w:val="nil"/>
                  </w:tcBorders>
                  <w:noWrap w:val="0"/>
                  <w:tcMar>
                    <w:left w:w="57" w:type="dxa"/>
                    <w:right w:w="57" w:type="dxa"/>
                  </w:tcMar>
                  <w:vAlign w:val="center"/>
                </w:tcPr>
                <w:p w14:paraId="65991A94">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11"/>
                      <w:position w:val="0"/>
                      <w:sz w:val="21"/>
                      <w:szCs w:val="21"/>
                      <w:highlight w:val="none"/>
                    </w:rPr>
                  </w:pPr>
                  <w:r>
                    <w:rPr>
                      <w:rFonts w:hint="default" w:ascii="Times New Roman" w:hAnsi="Times New Roman" w:eastAsia="宋体" w:cs="Times New Roman"/>
                      <w:b w:val="0"/>
                      <w:bCs w:val="0"/>
                      <w:color w:val="auto"/>
                      <w:spacing w:val="11"/>
                      <w:position w:val="0"/>
                      <w:sz w:val="21"/>
                      <w:szCs w:val="21"/>
                      <w:highlight w:val="none"/>
                    </w:rPr>
                    <w:t>50</w:t>
                  </w:r>
                </w:p>
              </w:tc>
            </w:tr>
          </w:tbl>
          <w:p w14:paraId="37B8F1D9">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ind w:firstLine="526" w:firstLineChars="200"/>
              <w:jc w:val="both"/>
              <w:textAlignment w:val="auto"/>
              <w:rPr>
                <w:rFonts w:hint="default" w:ascii="Times New Roman" w:hAnsi="Times New Roman" w:cs="Times New Roman"/>
                <w:b/>
                <w:bCs/>
                <w:color w:val="auto"/>
                <w:spacing w:val="11"/>
                <w:position w:val="0"/>
                <w:sz w:val="24"/>
                <w:szCs w:val="24"/>
                <w:highlight w:val="none"/>
                <w:lang w:val="en-US" w:eastAsia="zh-CN"/>
              </w:rPr>
            </w:pPr>
            <w:r>
              <w:rPr>
                <w:rFonts w:hint="default" w:ascii="Times New Roman" w:hAnsi="Times New Roman" w:cs="Times New Roman"/>
                <w:b/>
                <w:bCs/>
                <w:color w:val="auto"/>
                <w:spacing w:val="11"/>
                <w:position w:val="0"/>
                <w:sz w:val="24"/>
                <w:szCs w:val="24"/>
                <w:highlight w:val="none"/>
                <w:lang w:val="en-US" w:eastAsia="zh-CN"/>
              </w:rPr>
              <w:t>2、污染物排放标准</w:t>
            </w:r>
          </w:p>
          <w:p w14:paraId="510ABA88">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default" w:ascii="Times New Roman" w:hAnsi="Times New Roman" w:cs="Times New Roman"/>
                <w:color w:val="auto"/>
                <w:spacing w:val="11"/>
                <w:position w:val="0"/>
                <w:sz w:val="24"/>
                <w:szCs w:val="24"/>
                <w:highlight w:val="none"/>
                <w:lang w:val="en-US" w:eastAsia="zh-CN"/>
              </w:rPr>
              <w:t>（1）废水</w:t>
            </w:r>
          </w:p>
          <w:p w14:paraId="380E4EA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default" w:ascii="Times New Roman" w:hAnsi="Times New Roman" w:cs="Times New Roman"/>
                <w:color w:val="auto"/>
                <w:spacing w:val="11"/>
                <w:position w:val="0"/>
                <w:sz w:val="24"/>
                <w:szCs w:val="24"/>
                <w:highlight w:val="none"/>
                <w:lang w:val="en-US" w:eastAsia="zh-CN"/>
              </w:rPr>
              <w:t>本项目施工废水经沉淀处理后用于洒水抑尘不外排；项目运营期生活污水经化粪池处理后用于矿区内绿化用水；车辆清洗废水</w:t>
            </w:r>
            <w:r>
              <w:rPr>
                <w:rFonts w:hint="eastAsia" w:cs="Times New Roman"/>
                <w:color w:val="auto"/>
                <w:spacing w:val="11"/>
                <w:position w:val="0"/>
                <w:sz w:val="24"/>
                <w:szCs w:val="24"/>
                <w:highlight w:val="none"/>
                <w:lang w:val="en-US" w:eastAsia="zh-CN"/>
              </w:rPr>
              <w:t>经沉淀池处理后循环使用不外排</w:t>
            </w:r>
            <w:r>
              <w:rPr>
                <w:rFonts w:hint="default" w:ascii="Times New Roman" w:hAnsi="Times New Roman" w:cs="Times New Roman"/>
                <w:color w:val="auto"/>
                <w:spacing w:val="11"/>
                <w:position w:val="0"/>
                <w:sz w:val="24"/>
                <w:szCs w:val="24"/>
                <w:highlight w:val="none"/>
                <w:lang w:val="en-US" w:eastAsia="zh-CN"/>
              </w:rPr>
              <w:t>；初期雨水经</w:t>
            </w:r>
            <w:r>
              <w:rPr>
                <w:rFonts w:hint="eastAsia" w:cs="Times New Roman"/>
                <w:color w:val="auto"/>
                <w:spacing w:val="11"/>
                <w:position w:val="0"/>
                <w:sz w:val="24"/>
                <w:szCs w:val="24"/>
                <w:highlight w:val="none"/>
                <w:lang w:val="en-US" w:eastAsia="zh-CN"/>
              </w:rPr>
              <w:t>截水</w:t>
            </w:r>
            <w:r>
              <w:rPr>
                <w:rFonts w:hint="default" w:ascii="Times New Roman" w:hAnsi="Times New Roman" w:cs="Times New Roman"/>
                <w:color w:val="auto"/>
                <w:spacing w:val="11"/>
                <w:position w:val="0"/>
                <w:sz w:val="24"/>
                <w:szCs w:val="24"/>
                <w:highlight w:val="none"/>
                <w:lang w:val="en-US" w:eastAsia="zh-CN"/>
              </w:rPr>
              <w:t>沟收集再沉淀处理后回用于生产或降尘；洗砂废水经泥水分离脱水系统处理后进入沉淀池，回用于生产，不外排。</w:t>
            </w:r>
          </w:p>
          <w:p w14:paraId="58753A1C">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default" w:ascii="Times New Roman" w:hAnsi="Times New Roman" w:cs="Times New Roman"/>
                <w:color w:val="auto"/>
                <w:spacing w:val="11"/>
                <w:position w:val="0"/>
                <w:sz w:val="24"/>
                <w:szCs w:val="24"/>
                <w:highlight w:val="none"/>
                <w:lang w:val="en-US" w:eastAsia="zh-CN"/>
              </w:rPr>
              <w:t>（2）废气</w:t>
            </w:r>
          </w:p>
          <w:p w14:paraId="4607EF2B">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default" w:ascii="Times New Roman" w:hAnsi="Times New Roman" w:cs="Times New Roman"/>
                <w:color w:val="auto"/>
                <w:spacing w:val="11"/>
                <w:position w:val="0"/>
                <w:sz w:val="24"/>
                <w:szCs w:val="24"/>
                <w:highlight w:val="none"/>
                <w:lang w:val="en-US" w:eastAsia="zh-CN"/>
              </w:rPr>
              <w:t>项目施工期扬尘执行《大气污染物综合排放标准》（GB16297-1996）表2中颗粒物无组织排放标准。</w:t>
            </w:r>
          </w:p>
          <w:p w14:paraId="2E8AC0D1">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default" w:ascii="Times New Roman" w:hAnsi="Times New Roman" w:cs="Times New Roman"/>
                <w:color w:val="auto"/>
                <w:spacing w:val="11"/>
                <w:position w:val="0"/>
                <w:sz w:val="24"/>
                <w:szCs w:val="24"/>
                <w:highlight w:val="none"/>
                <w:lang w:val="en-US" w:eastAsia="zh-CN"/>
              </w:rPr>
              <w:t>项目运营过程中产生的大气污染物排放执行《大气污染物综合排放标准》（GB16297-1996）中表2中相关浓度限值</w:t>
            </w:r>
            <w:r>
              <w:rPr>
                <w:rFonts w:hint="eastAsia" w:ascii="Times New Roman" w:cs="Times New Roman"/>
                <w:color w:val="auto"/>
                <w:spacing w:val="11"/>
                <w:position w:val="0"/>
                <w:sz w:val="24"/>
                <w:szCs w:val="24"/>
                <w:highlight w:val="none"/>
                <w:lang w:val="en-US" w:eastAsia="zh-CN"/>
              </w:rPr>
              <w:t>；食堂油烟排放参照执行《饮食业油烟排放标准》（GB18483-2001）中2.0mg/m</w:t>
            </w:r>
            <w:r>
              <w:rPr>
                <w:rFonts w:hint="eastAsia" w:ascii="Times New Roman" w:cs="Times New Roman"/>
                <w:color w:val="auto"/>
                <w:spacing w:val="11"/>
                <w:position w:val="0"/>
                <w:sz w:val="24"/>
                <w:szCs w:val="24"/>
                <w:highlight w:val="none"/>
                <w:vertAlign w:val="superscript"/>
                <w:lang w:val="en-US" w:eastAsia="zh-CN"/>
              </w:rPr>
              <w:t>3</w:t>
            </w:r>
            <w:r>
              <w:rPr>
                <w:rFonts w:hint="eastAsia" w:ascii="Times New Roman" w:cs="Times New Roman"/>
                <w:color w:val="auto"/>
                <w:spacing w:val="11"/>
                <w:position w:val="0"/>
                <w:sz w:val="24"/>
                <w:szCs w:val="24"/>
                <w:highlight w:val="none"/>
                <w:lang w:val="en-US" w:eastAsia="zh-CN"/>
              </w:rPr>
              <w:t>的要求</w:t>
            </w:r>
            <w:r>
              <w:rPr>
                <w:rFonts w:hint="default" w:ascii="Times New Roman" w:hAnsi="Times New Roman" w:cs="Times New Roman"/>
                <w:color w:val="auto"/>
                <w:spacing w:val="11"/>
                <w:position w:val="0"/>
                <w:sz w:val="24"/>
                <w:szCs w:val="24"/>
                <w:highlight w:val="none"/>
                <w:lang w:val="en-US" w:eastAsia="zh-CN"/>
              </w:rPr>
              <w:t>。</w:t>
            </w:r>
          </w:p>
          <w:p w14:paraId="1589D4BA">
            <w:pPr>
              <w:keepNext w:val="0"/>
              <w:keepLines w:val="0"/>
              <w:pageBreakBefore w:val="0"/>
              <w:widowControl w:val="0"/>
              <w:tabs>
                <w:tab w:val="left" w:pos="126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pacing w:val="11"/>
                <w:position w:val="0"/>
                <w:szCs w:val="21"/>
              </w:rPr>
            </w:pPr>
            <w:r>
              <w:rPr>
                <w:rFonts w:hint="default" w:ascii="Times New Roman" w:hAnsi="Times New Roman" w:eastAsia="宋体" w:cs="Times New Roman"/>
                <w:b/>
                <w:color w:val="auto"/>
                <w:spacing w:val="11"/>
                <w:position w:val="0"/>
                <w:szCs w:val="21"/>
              </w:rPr>
              <w:t>表3-</w:t>
            </w:r>
            <w:r>
              <w:rPr>
                <w:rFonts w:hint="eastAsia" w:cs="Times New Roman"/>
                <w:b/>
                <w:color w:val="auto"/>
                <w:spacing w:val="11"/>
                <w:position w:val="0"/>
                <w:szCs w:val="21"/>
                <w:lang w:val="en-US" w:eastAsia="zh-CN"/>
              </w:rPr>
              <w:t>8</w:t>
            </w:r>
            <w:r>
              <w:rPr>
                <w:rFonts w:hint="default" w:ascii="Times New Roman" w:hAnsi="Times New Roman" w:cs="Times New Roman"/>
                <w:b/>
                <w:color w:val="auto"/>
                <w:spacing w:val="11"/>
                <w:position w:val="0"/>
                <w:szCs w:val="21"/>
                <w:lang w:val="en-US" w:eastAsia="zh-CN"/>
              </w:rPr>
              <w:t xml:space="preserve"> </w:t>
            </w:r>
            <w:r>
              <w:rPr>
                <w:rFonts w:hint="default" w:ascii="Times New Roman" w:hAnsi="Times New Roman" w:eastAsia="宋体" w:cs="Times New Roman"/>
                <w:b/>
                <w:color w:val="auto"/>
                <w:spacing w:val="11"/>
                <w:position w:val="0"/>
                <w:szCs w:val="21"/>
                <w:lang w:val="en-US" w:eastAsia="zh-CN"/>
              </w:rPr>
              <w:t xml:space="preserve"> </w:t>
            </w:r>
            <w:r>
              <w:rPr>
                <w:rFonts w:hint="default" w:ascii="Times New Roman" w:hAnsi="Times New Roman" w:eastAsia="宋体" w:cs="Times New Roman"/>
                <w:b/>
                <w:bCs/>
                <w:color w:val="auto"/>
                <w:spacing w:val="11"/>
                <w:position w:val="0"/>
                <w:szCs w:val="21"/>
              </w:rPr>
              <w:t>《大气污染物综合排放标准》（GB16297-1996）</w:t>
            </w:r>
          </w:p>
          <w:tbl>
            <w:tblPr>
              <w:tblStyle w:val="32"/>
              <w:tblW w:w="4999" w:type="pct"/>
              <w:tblInd w:w="1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39"/>
              <w:gridCol w:w="2140"/>
              <w:gridCol w:w="2711"/>
              <w:gridCol w:w="2188"/>
            </w:tblGrid>
            <w:tr w14:paraId="1D9C5E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49" w:type="pct"/>
                  <w:vMerge w:val="restart"/>
                  <w:tcBorders>
                    <w:tl2br w:val="nil"/>
                    <w:tr2bl w:val="nil"/>
                  </w:tcBorders>
                  <w:noWrap w:val="0"/>
                  <w:vAlign w:val="center"/>
                </w:tcPr>
                <w:p w14:paraId="12B7266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11"/>
                      <w:position w:val="0"/>
                      <w:sz w:val="21"/>
                      <w:szCs w:val="21"/>
                    </w:rPr>
                  </w:pPr>
                  <w:r>
                    <w:rPr>
                      <w:rFonts w:hint="default" w:ascii="Times New Roman" w:hAnsi="Times New Roman" w:eastAsia="宋体" w:cs="Times New Roman"/>
                      <w:b w:val="0"/>
                      <w:bCs/>
                      <w:color w:val="auto"/>
                      <w:spacing w:val="11"/>
                      <w:position w:val="0"/>
                      <w:sz w:val="21"/>
                      <w:szCs w:val="21"/>
                    </w:rPr>
                    <w:t>污染物</w:t>
                  </w:r>
                </w:p>
              </w:tc>
              <w:tc>
                <w:tcPr>
                  <w:tcW w:w="1292" w:type="pct"/>
                  <w:vMerge w:val="restart"/>
                  <w:tcBorders>
                    <w:tl2br w:val="nil"/>
                    <w:tr2bl w:val="nil"/>
                  </w:tcBorders>
                  <w:noWrap w:val="0"/>
                  <w:vAlign w:val="center"/>
                </w:tcPr>
                <w:p w14:paraId="651BC35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11"/>
                      <w:position w:val="0"/>
                      <w:sz w:val="21"/>
                      <w:szCs w:val="21"/>
                    </w:rPr>
                  </w:pPr>
                  <w:r>
                    <w:rPr>
                      <w:rFonts w:hint="default" w:ascii="Times New Roman" w:hAnsi="Times New Roman" w:eastAsia="宋体" w:cs="Times New Roman"/>
                      <w:b w:val="0"/>
                      <w:bCs/>
                      <w:color w:val="auto"/>
                      <w:spacing w:val="11"/>
                      <w:position w:val="0"/>
                      <w:sz w:val="21"/>
                      <w:szCs w:val="21"/>
                    </w:rPr>
                    <w:t>最高允许排放</w:t>
                  </w:r>
                </w:p>
                <w:p w14:paraId="7F32AF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11"/>
                      <w:position w:val="0"/>
                      <w:sz w:val="21"/>
                      <w:szCs w:val="21"/>
                    </w:rPr>
                  </w:pPr>
                  <w:r>
                    <w:rPr>
                      <w:rFonts w:hint="default" w:ascii="Times New Roman" w:hAnsi="Times New Roman" w:eastAsia="宋体" w:cs="Times New Roman"/>
                      <w:b w:val="0"/>
                      <w:bCs/>
                      <w:color w:val="auto"/>
                      <w:spacing w:val="11"/>
                      <w:position w:val="0"/>
                      <w:sz w:val="21"/>
                      <w:szCs w:val="21"/>
                    </w:rPr>
                    <w:t>浓度（mg/m</w:t>
                  </w:r>
                  <w:r>
                    <w:rPr>
                      <w:rFonts w:hint="default" w:ascii="Times New Roman" w:hAnsi="Times New Roman" w:eastAsia="宋体" w:cs="Times New Roman"/>
                      <w:b w:val="0"/>
                      <w:bCs/>
                      <w:color w:val="auto"/>
                      <w:spacing w:val="11"/>
                      <w:position w:val="0"/>
                      <w:sz w:val="21"/>
                      <w:szCs w:val="21"/>
                      <w:vertAlign w:val="superscript"/>
                    </w:rPr>
                    <w:t>3</w:t>
                  </w:r>
                  <w:r>
                    <w:rPr>
                      <w:rFonts w:hint="default" w:ascii="Times New Roman" w:hAnsi="Times New Roman" w:eastAsia="宋体" w:cs="Times New Roman"/>
                      <w:b w:val="0"/>
                      <w:bCs/>
                      <w:color w:val="auto"/>
                      <w:spacing w:val="11"/>
                      <w:position w:val="0"/>
                      <w:sz w:val="21"/>
                      <w:szCs w:val="21"/>
                    </w:rPr>
                    <w:t>）</w:t>
                  </w:r>
                </w:p>
              </w:tc>
              <w:tc>
                <w:tcPr>
                  <w:tcW w:w="2958" w:type="pct"/>
                  <w:gridSpan w:val="2"/>
                  <w:tcBorders>
                    <w:tl2br w:val="nil"/>
                    <w:tr2bl w:val="nil"/>
                  </w:tcBorders>
                  <w:noWrap w:val="0"/>
                  <w:vAlign w:val="center"/>
                </w:tcPr>
                <w:p w14:paraId="7CB0B4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11"/>
                      <w:position w:val="0"/>
                      <w:sz w:val="21"/>
                      <w:szCs w:val="21"/>
                    </w:rPr>
                  </w:pPr>
                  <w:r>
                    <w:rPr>
                      <w:rFonts w:hint="default" w:ascii="Times New Roman" w:hAnsi="Times New Roman" w:eastAsia="宋体" w:cs="Times New Roman"/>
                      <w:b w:val="0"/>
                      <w:bCs/>
                      <w:color w:val="auto"/>
                      <w:spacing w:val="11"/>
                      <w:position w:val="0"/>
                      <w:sz w:val="21"/>
                      <w:szCs w:val="21"/>
                    </w:rPr>
                    <w:t>无组织排放监控浓度限值</w:t>
                  </w:r>
                </w:p>
              </w:tc>
            </w:tr>
            <w:tr w14:paraId="33159F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749" w:type="pct"/>
                  <w:vMerge w:val="continue"/>
                  <w:tcBorders>
                    <w:tl2br w:val="nil"/>
                    <w:tr2bl w:val="nil"/>
                  </w:tcBorders>
                  <w:noWrap w:val="0"/>
                  <w:vAlign w:val="center"/>
                </w:tcPr>
                <w:p w14:paraId="5016AB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11"/>
                      <w:position w:val="0"/>
                      <w:sz w:val="21"/>
                      <w:szCs w:val="21"/>
                    </w:rPr>
                  </w:pPr>
                </w:p>
              </w:tc>
              <w:tc>
                <w:tcPr>
                  <w:tcW w:w="1292" w:type="pct"/>
                  <w:vMerge w:val="continue"/>
                  <w:tcBorders>
                    <w:tl2br w:val="nil"/>
                    <w:tr2bl w:val="nil"/>
                  </w:tcBorders>
                  <w:noWrap w:val="0"/>
                  <w:vAlign w:val="center"/>
                </w:tcPr>
                <w:p w14:paraId="7ED44B5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11"/>
                      <w:position w:val="0"/>
                      <w:sz w:val="21"/>
                      <w:szCs w:val="21"/>
                    </w:rPr>
                  </w:pPr>
                </w:p>
              </w:tc>
              <w:tc>
                <w:tcPr>
                  <w:tcW w:w="1637" w:type="pct"/>
                  <w:tcBorders>
                    <w:tl2br w:val="nil"/>
                    <w:tr2bl w:val="nil"/>
                  </w:tcBorders>
                  <w:noWrap w:val="0"/>
                  <w:vAlign w:val="center"/>
                </w:tcPr>
                <w:p w14:paraId="312D022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11"/>
                      <w:position w:val="0"/>
                      <w:sz w:val="21"/>
                      <w:szCs w:val="21"/>
                    </w:rPr>
                  </w:pPr>
                  <w:r>
                    <w:rPr>
                      <w:rFonts w:hint="default" w:ascii="Times New Roman" w:hAnsi="Times New Roman" w:eastAsia="宋体" w:cs="Times New Roman"/>
                      <w:b w:val="0"/>
                      <w:bCs/>
                      <w:color w:val="auto"/>
                      <w:spacing w:val="11"/>
                      <w:position w:val="0"/>
                      <w:sz w:val="21"/>
                      <w:szCs w:val="21"/>
                    </w:rPr>
                    <w:t>监控点</w:t>
                  </w:r>
                </w:p>
              </w:tc>
              <w:tc>
                <w:tcPr>
                  <w:tcW w:w="1320" w:type="pct"/>
                  <w:tcBorders>
                    <w:tl2br w:val="nil"/>
                    <w:tr2bl w:val="nil"/>
                  </w:tcBorders>
                  <w:noWrap w:val="0"/>
                  <w:vAlign w:val="center"/>
                </w:tcPr>
                <w:p w14:paraId="372C161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pacing w:val="11"/>
                      <w:position w:val="0"/>
                      <w:sz w:val="21"/>
                      <w:szCs w:val="21"/>
                    </w:rPr>
                  </w:pPr>
                  <w:r>
                    <w:rPr>
                      <w:rFonts w:hint="default" w:ascii="Times New Roman" w:hAnsi="Times New Roman" w:eastAsia="宋体" w:cs="Times New Roman"/>
                      <w:b w:val="0"/>
                      <w:bCs/>
                      <w:color w:val="auto"/>
                      <w:spacing w:val="11"/>
                      <w:position w:val="0"/>
                      <w:sz w:val="21"/>
                      <w:szCs w:val="21"/>
                    </w:rPr>
                    <w:t>浓度（mg /m</w:t>
                  </w:r>
                  <w:r>
                    <w:rPr>
                      <w:rFonts w:hint="default" w:ascii="Times New Roman" w:hAnsi="Times New Roman" w:eastAsia="宋体" w:cs="Times New Roman"/>
                      <w:b w:val="0"/>
                      <w:bCs/>
                      <w:color w:val="auto"/>
                      <w:spacing w:val="11"/>
                      <w:position w:val="0"/>
                      <w:sz w:val="21"/>
                      <w:szCs w:val="21"/>
                      <w:vertAlign w:val="superscript"/>
                    </w:rPr>
                    <w:t>3</w:t>
                  </w:r>
                  <w:r>
                    <w:rPr>
                      <w:rFonts w:hint="default" w:ascii="Times New Roman" w:hAnsi="Times New Roman" w:eastAsia="宋体" w:cs="Times New Roman"/>
                      <w:b w:val="0"/>
                      <w:bCs/>
                      <w:color w:val="auto"/>
                      <w:spacing w:val="11"/>
                      <w:position w:val="0"/>
                      <w:sz w:val="21"/>
                      <w:szCs w:val="21"/>
                    </w:rPr>
                    <w:t>）</w:t>
                  </w:r>
                </w:p>
              </w:tc>
            </w:tr>
            <w:tr w14:paraId="648384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6" w:hRule="atLeast"/>
              </w:trPr>
              <w:tc>
                <w:tcPr>
                  <w:tcW w:w="749" w:type="pct"/>
                  <w:tcBorders>
                    <w:tl2br w:val="nil"/>
                    <w:tr2bl w:val="nil"/>
                  </w:tcBorders>
                  <w:noWrap w:val="0"/>
                  <w:vAlign w:val="center"/>
                </w:tcPr>
                <w:p w14:paraId="669AB6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11"/>
                      <w:position w:val="0"/>
                      <w:sz w:val="21"/>
                      <w:szCs w:val="21"/>
                    </w:rPr>
                  </w:pPr>
                  <w:r>
                    <w:rPr>
                      <w:rFonts w:hint="default" w:ascii="Times New Roman" w:hAnsi="Times New Roman" w:eastAsia="宋体" w:cs="Times New Roman"/>
                      <w:color w:val="auto"/>
                      <w:spacing w:val="11"/>
                      <w:kern w:val="0"/>
                      <w:position w:val="0"/>
                      <w:sz w:val="21"/>
                      <w:szCs w:val="21"/>
                    </w:rPr>
                    <w:t>颗粒物</w:t>
                  </w:r>
                </w:p>
              </w:tc>
              <w:tc>
                <w:tcPr>
                  <w:tcW w:w="1292" w:type="pct"/>
                  <w:tcBorders>
                    <w:tl2br w:val="nil"/>
                    <w:tr2bl w:val="nil"/>
                  </w:tcBorders>
                  <w:noWrap w:val="0"/>
                  <w:vAlign w:val="center"/>
                </w:tcPr>
                <w:p w14:paraId="40C07F0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11"/>
                      <w:position w:val="0"/>
                      <w:sz w:val="21"/>
                      <w:szCs w:val="21"/>
                    </w:rPr>
                  </w:pPr>
                  <w:r>
                    <w:rPr>
                      <w:rFonts w:hint="default" w:ascii="Times New Roman" w:hAnsi="Times New Roman" w:eastAsia="宋体" w:cs="Times New Roman"/>
                      <w:color w:val="auto"/>
                      <w:spacing w:val="11"/>
                      <w:position w:val="0"/>
                      <w:sz w:val="21"/>
                      <w:szCs w:val="21"/>
                    </w:rPr>
                    <w:t>120</w:t>
                  </w:r>
                </w:p>
              </w:tc>
              <w:tc>
                <w:tcPr>
                  <w:tcW w:w="1637" w:type="pct"/>
                  <w:tcBorders>
                    <w:tl2br w:val="nil"/>
                    <w:tr2bl w:val="nil"/>
                  </w:tcBorders>
                  <w:noWrap w:val="0"/>
                  <w:vAlign w:val="center"/>
                </w:tcPr>
                <w:p w14:paraId="36841EE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11"/>
                      <w:position w:val="0"/>
                      <w:sz w:val="21"/>
                      <w:szCs w:val="21"/>
                    </w:rPr>
                  </w:pPr>
                  <w:r>
                    <w:rPr>
                      <w:rFonts w:hint="default" w:ascii="Times New Roman" w:hAnsi="Times New Roman" w:eastAsia="宋体" w:cs="Times New Roman"/>
                      <w:color w:val="auto"/>
                      <w:spacing w:val="11"/>
                      <w:position w:val="0"/>
                      <w:sz w:val="21"/>
                      <w:szCs w:val="21"/>
                    </w:rPr>
                    <w:t>周界外浓度最高点</w:t>
                  </w:r>
                </w:p>
              </w:tc>
              <w:tc>
                <w:tcPr>
                  <w:tcW w:w="1320" w:type="pct"/>
                  <w:tcBorders>
                    <w:tl2br w:val="nil"/>
                    <w:tr2bl w:val="nil"/>
                  </w:tcBorders>
                  <w:noWrap w:val="0"/>
                  <w:vAlign w:val="center"/>
                </w:tcPr>
                <w:p w14:paraId="34FA4FC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11"/>
                      <w:position w:val="0"/>
                      <w:sz w:val="21"/>
                      <w:szCs w:val="21"/>
                    </w:rPr>
                  </w:pPr>
                  <w:r>
                    <w:rPr>
                      <w:rFonts w:hint="default" w:ascii="Times New Roman" w:hAnsi="Times New Roman" w:eastAsia="宋体" w:cs="Times New Roman"/>
                      <w:color w:val="auto"/>
                      <w:spacing w:val="11"/>
                      <w:position w:val="0"/>
                      <w:sz w:val="21"/>
                      <w:szCs w:val="21"/>
                    </w:rPr>
                    <w:t>1.0</w:t>
                  </w:r>
                </w:p>
              </w:tc>
            </w:tr>
          </w:tbl>
          <w:p w14:paraId="2A4BCFCF">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default" w:ascii="Times New Roman" w:hAnsi="Times New Roman" w:cs="Times New Roman"/>
                <w:color w:val="auto"/>
                <w:spacing w:val="11"/>
                <w:position w:val="0"/>
                <w:sz w:val="24"/>
                <w:szCs w:val="24"/>
                <w:highlight w:val="none"/>
                <w:lang w:val="en-US" w:eastAsia="zh-CN"/>
              </w:rPr>
              <w:t>（3）噪声</w:t>
            </w:r>
          </w:p>
          <w:p w14:paraId="37DF6A96">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default" w:ascii="Times New Roman" w:hAnsi="Times New Roman" w:cs="Times New Roman"/>
                <w:color w:val="auto"/>
                <w:spacing w:val="11"/>
                <w:position w:val="0"/>
                <w:sz w:val="24"/>
                <w:szCs w:val="24"/>
                <w:highlight w:val="none"/>
                <w:lang w:val="en-US" w:eastAsia="zh-CN"/>
              </w:rPr>
              <w:t>施工期建筑施工场界噪声排放执行《建筑施工场界环境噪声排放标准》（GB12523-2011）标准限值，夜间不进行作业；营运期噪声执行《工业企业厂界环境噪声排放标准》（GB12348-2008）2类标准要求。</w:t>
            </w:r>
          </w:p>
          <w:p w14:paraId="55895690">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spacing w:val="11"/>
                <w:position w:val="0"/>
                <w:sz w:val="21"/>
                <w:szCs w:val="21"/>
                <w:highlight w:val="none"/>
                <w:lang w:val="en-US" w:eastAsia="zh-CN"/>
              </w:rPr>
            </w:pPr>
            <w:r>
              <w:rPr>
                <w:rFonts w:hint="default" w:ascii="Times New Roman" w:hAnsi="Times New Roman" w:cs="Times New Roman"/>
                <w:b/>
                <w:bCs/>
                <w:color w:val="auto"/>
                <w:spacing w:val="11"/>
                <w:position w:val="0"/>
                <w:sz w:val="21"/>
                <w:szCs w:val="21"/>
                <w:highlight w:val="none"/>
                <w:lang w:val="en-US" w:eastAsia="zh-CN"/>
              </w:rPr>
              <w:t>表3-</w:t>
            </w:r>
            <w:r>
              <w:rPr>
                <w:rFonts w:hint="eastAsia" w:ascii="Times New Roman" w:cs="Times New Roman"/>
                <w:b/>
                <w:bCs/>
                <w:color w:val="auto"/>
                <w:spacing w:val="11"/>
                <w:position w:val="0"/>
                <w:sz w:val="21"/>
                <w:szCs w:val="21"/>
                <w:highlight w:val="none"/>
                <w:lang w:val="en-US" w:eastAsia="zh-CN"/>
              </w:rPr>
              <w:t>9</w:t>
            </w:r>
            <w:r>
              <w:rPr>
                <w:rFonts w:hint="default" w:ascii="Times New Roman" w:hAnsi="Times New Roman" w:cs="Times New Roman"/>
                <w:b/>
                <w:bCs/>
                <w:color w:val="auto"/>
                <w:spacing w:val="11"/>
                <w:position w:val="0"/>
                <w:sz w:val="21"/>
                <w:szCs w:val="21"/>
                <w:highlight w:val="none"/>
                <w:lang w:val="en-US" w:eastAsia="zh-CN"/>
              </w:rPr>
              <w:t xml:space="preserve">  噪声排放标准 单位：dB（A）</w:t>
            </w:r>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757"/>
              <w:gridCol w:w="2786"/>
              <w:gridCol w:w="2780"/>
            </w:tblGrid>
            <w:tr w14:paraId="3986B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6" w:type="pct"/>
                  <w:gridSpan w:val="2"/>
                  <w:tcBorders>
                    <w:tl2br w:val="nil"/>
                    <w:tr2bl w:val="nil"/>
                  </w:tcBorders>
                  <w:noWrap w:val="0"/>
                  <w:vAlign w:val="center"/>
                </w:tcPr>
                <w:p w14:paraId="420F3898">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类别</w:t>
                  </w:r>
                </w:p>
              </w:tc>
              <w:tc>
                <w:tcPr>
                  <w:tcW w:w="1683" w:type="pct"/>
                  <w:tcBorders>
                    <w:tl2br w:val="nil"/>
                    <w:tr2bl w:val="nil"/>
                  </w:tcBorders>
                  <w:noWrap w:val="0"/>
                  <w:vAlign w:val="center"/>
                </w:tcPr>
                <w:p w14:paraId="09EED9A8">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昼间</w:t>
                  </w:r>
                </w:p>
              </w:tc>
              <w:tc>
                <w:tcPr>
                  <w:tcW w:w="1679" w:type="pct"/>
                  <w:tcBorders>
                    <w:tl2br w:val="nil"/>
                    <w:tr2bl w:val="nil"/>
                  </w:tcBorders>
                  <w:noWrap w:val="0"/>
                  <w:vAlign w:val="center"/>
                </w:tcPr>
                <w:p w14:paraId="4D39C441">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夜间</w:t>
                  </w:r>
                </w:p>
              </w:tc>
            </w:tr>
            <w:tr w14:paraId="4301E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6" w:type="pct"/>
                  <w:gridSpan w:val="2"/>
                  <w:tcBorders>
                    <w:tl2br w:val="nil"/>
                    <w:tr2bl w:val="nil"/>
                  </w:tcBorders>
                  <w:noWrap w:val="0"/>
                  <w:vAlign w:val="center"/>
                </w:tcPr>
                <w:p w14:paraId="5414A2D2">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施工期</w:t>
                  </w:r>
                </w:p>
              </w:tc>
              <w:tc>
                <w:tcPr>
                  <w:tcW w:w="1683" w:type="pct"/>
                  <w:tcBorders>
                    <w:tl2br w:val="nil"/>
                    <w:tr2bl w:val="nil"/>
                  </w:tcBorders>
                  <w:noWrap w:val="0"/>
                  <w:vAlign w:val="center"/>
                </w:tcPr>
                <w:p w14:paraId="0912EE74">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70</w:t>
                  </w:r>
                </w:p>
              </w:tc>
              <w:tc>
                <w:tcPr>
                  <w:tcW w:w="1679" w:type="pct"/>
                  <w:tcBorders>
                    <w:tl2br w:val="nil"/>
                    <w:tr2bl w:val="nil"/>
                  </w:tcBorders>
                  <w:noWrap w:val="0"/>
                  <w:vAlign w:val="center"/>
                </w:tcPr>
                <w:p w14:paraId="4DF23229">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w:t>
                  </w:r>
                </w:p>
              </w:tc>
            </w:tr>
            <w:tr w14:paraId="373B5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tcBorders>
                    <w:tl2br w:val="nil"/>
                    <w:tr2bl w:val="nil"/>
                  </w:tcBorders>
                  <w:noWrap w:val="0"/>
                  <w:vAlign w:val="center"/>
                </w:tcPr>
                <w:p w14:paraId="347FA164">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运营期</w:t>
                  </w:r>
                </w:p>
              </w:tc>
              <w:tc>
                <w:tcPr>
                  <w:tcW w:w="1060" w:type="pct"/>
                  <w:tcBorders>
                    <w:tl2br w:val="nil"/>
                    <w:tr2bl w:val="nil"/>
                  </w:tcBorders>
                  <w:noWrap w:val="0"/>
                  <w:vAlign w:val="center"/>
                </w:tcPr>
                <w:p w14:paraId="2DC4C6AC">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2类</w:t>
                  </w:r>
                </w:p>
              </w:tc>
              <w:tc>
                <w:tcPr>
                  <w:tcW w:w="1683" w:type="pct"/>
                  <w:tcBorders>
                    <w:tl2br w:val="nil"/>
                    <w:tr2bl w:val="nil"/>
                  </w:tcBorders>
                  <w:noWrap w:val="0"/>
                  <w:vAlign w:val="center"/>
                </w:tcPr>
                <w:p w14:paraId="24A1EE77">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60</w:t>
                  </w:r>
                </w:p>
              </w:tc>
              <w:tc>
                <w:tcPr>
                  <w:tcW w:w="1679" w:type="pct"/>
                  <w:tcBorders>
                    <w:tl2br w:val="nil"/>
                    <w:tr2bl w:val="nil"/>
                  </w:tcBorders>
                  <w:noWrap w:val="0"/>
                  <w:vAlign w:val="center"/>
                </w:tcPr>
                <w:p w14:paraId="694000BE">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50</w:t>
                  </w:r>
                </w:p>
              </w:tc>
            </w:tr>
          </w:tbl>
          <w:p w14:paraId="6DB519DB">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default" w:ascii="Times New Roman" w:hAnsi="Times New Roman" w:cs="Times New Roman"/>
                <w:color w:val="auto"/>
                <w:spacing w:val="11"/>
                <w:position w:val="0"/>
                <w:sz w:val="24"/>
                <w:szCs w:val="24"/>
                <w:highlight w:val="none"/>
                <w:lang w:val="en-US" w:eastAsia="zh-CN"/>
              </w:rPr>
              <w:t>（4）固体废物</w:t>
            </w:r>
          </w:p>
          <w:p w14:paraId="1DE35AB7">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kern w:val="0"/>
                <w:position w:val="0"/>
                <w:sz w:val="24"/>
                <w:szCs w:val="24"/>
              </w:rPr>
            </w:pPr>
            <w:r>
              <w:rPr>
                <w:rFonts w:hint="default" w:ascii="Times New Roman" w:hAnsi="Times New Roman" w:cs="Times New Roman"/>
                <w:color w:val="auto"/>
                <w:spacing w:val="11"/>
                <w:position w:val="0"/>
                <w:sz w:val="24"/>
                <w:szCs w:val="24"/>
                <w:highlight w:val="none"/>
                <w:lang w:val="en-US" w:eastAsia="zh-CN"/>
              </w:rPr>
              <w:t>项目运营期一般固体废物执行《一般工业固体废物贮存和填埋污染控制标准》（GB 18599-2020）；危险废物执行《危险废物贮存污染控制标准》（GB18597-2023）的要求；生活垃圾</w:t>
            </w:r>
            <w:r>
              <w:rPr>
                <w:rFonts w:hint="eastAsia" w:cs="Times New Roman"/>
                <w:color w:val="auto"/>
                <w:spacing w:val="11"/>
                <w:position w:val="0"/>
                <w:sz w:val="24"/>
                <w:szCs w:val="24"/>
                <w:highlight w:val="none"/>
                <w:lang w:val="en-US" w:eastAsia="zh-CN"/>
              </w:rPr>
              <w:t>交由环卫部门统一处置</w:t>
            </w:r>
            <w:r>
              <w:rPr>
                <w:rFonts w:hint="default" w:ascii="Times New Roman" w:hAnsi="Times New Roman" w:cs="Times New Roman"/>
                <w:color w:val="auto"/>
                <w:spacing w:val="11"/>
                <w:position w:val="0"/>
                <w:sz w:val="24"/>
                <w:szCs w:val="24"/>
                <w:highlight w:val="none"/>
                <w:lang w:val="en-US" w:eastAsia="zh-CN"/>
              </w:rPr>
              <w:t>。</w:t>
            </w:r>
          </w:p>
        </w:tc>
      </w:tr>
      <w:tr w14:paraId="5E35C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1" w:hRule="atLeast"/>
          <w:jc w:val="center"/>
        </w:trPr>
        <w:tc>
          <w:tcPr>
            <w:tcW w:w="493" w:type="pct"/>
            <w:tcBorders>
              <w:tl2br w:val="nil"/>
              <w:tr2bl w:val="nil"/>
            </w:tcBorders>
            <w:noWrap w:val="0"/>
            <w:vAlign w:val="center"/>
          </w:tcPr>
          <w:p w14:paraId="5CEF4E49">
            <w:pPr>
              <w:adjustRightInd w:val="0"/>
              <w:snapToGrid w:val="0"/>
              <w:jc w:val="center"/>
              <w:rPr>
                <w:rFonts w:hint="default" w:ascii="Times New Roman" w:hAnsi="Times New Roman" w:eastAsia="宋体" w:cs="Times New Roman"/>
                <w:color w:val="auto"/>
                <w:spacing w:val="11"/>
                <w:kern w:val="0"/>
                <w:position w:val="0"/>
                <w:sz w:val="24"/>
                <w:szCs w:val="24"/>
                <w:highlight w:val="none"/>
              </w:rPr>
            </w:pPr>
            <w:r>
              <w:rPr>
                <w:rFonts w:hint="default" w:ascii="Times New Roman" w:hAnsi="Times New Roman" w:eastAsia="宋体" w:cs="Times New Roman"/>
                <w:color w:val="auto"/>
                <w:spacing w:val="11"/>
                <w:kern w:val="0"/>
                <w:position w:val="0"/>
                <w:sz w:val="24"/>
                <w:szCs w:val="24"/>
                <w:highlight w:val="none"/>
              </w:rPr>
              <w:t>其他</w:t>
            </w:r>
          </w:p>
        </w:tc>
        <w:tc>
          <w:tcPr>
            <w:tcW w:w="4506" w:type="pct"/>
            <w:tcBorders>
              <w:tl2br w:val="nil"/>
              <w:tr2bl w:val="nil"/>
            </w:tcBorders>
            <w:noWrap w:val="0"/>
            <w:vAlign w:val="center"/>
          </w:tcPr>
          <w:p w14:paraId="0C96051B">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167" w:beforeLines="50" w:beforeAutospacing="0" w:after="0" w:afterAutospacing="0" w:line="360" w:lineRule="auto"/>
              <w:ind w:left="0" w:right="0" w:firstLine="524" w:firstLineChars="200"/>
              <w:jc w:val="both"/>
              <w:textAlignment w:val="auto"/>
              <w:rPr>
                <w:rFonts w:hint="default" w:ascii="Times New Roman" w:hAnsi="Times New Roman" w:eastAsia="宋体" w:cs="Times New Roman"/>
                <w:color w:val="auto"/>
                <w:spacing w:val="11"/>
                <w:sz w:val="24"/>
                <w:szCs w:val="21"/>
                <w:highlight w:val="none"/>
                <w:u w:val="none" w:color="auto"/>
              </w:rPr>
            </w:pPr>
            <w:r>
              <w:rPr>
                <w:rFonts w:hint="default" w:ascii="Times New Roman" w:hAnsi="Times New Roman" w:eastAsia="宋体" w:cs="Times New Roman"/>
                <w:color w:val="auto"/>
                <w:spacing w:val="11"/>
                <w:sz w:val="24"/>
                <w:szCs w:val="21"/>
                <w:highlight w:val="none"/>
                <w:u w:val="none" w:color="auto"/>
              </w:rPr>
              <w:t>根据湖南省生态环境厅关于印发《湖南省主要污染物排污权有偿使用和交易实施细则》【湘环发</w:t>
            </w:r>
            <w:r>
              <w:rPr>
                <w:rFonts w:hint="default" w:ascii="Times New Roman" w:hAnsi="Times New Roman" w:eastAsia="宋体" w:cs="Times New Roman"/>
                <w:color w:val="auto"/>
                <w:spacing w:val="11"/>
                <w:sz w:val="24"/>
                <w:szCs w:val="21"/>
                <w:highlight w:val="none"/>
                <w:u w:val="none" w:color="auto"/>
                <w:lang w:eastAsia="zh-CN"/>
              </w:rPr>
              <w:t>（</w:t>
            </w:r>
            <w:r>
              <w:rPr>
                <w:rFonts w:hint="default" w:ascii="Times New Roman" w:hAnsi="Times New Roman" w:eastAsia="宋体" w:cs="Times New Roman"/>
                <w:color w:val="auto"/>
                <w:spacing w:val="11"/>
                <w:sz w:val="24"/>
                <w:szCs w:val="21"/>
                <w:highlight w:val="none"/>
                <w:u w:val="none" w:color="auto"/>
              </w:rPr>
              <w:t>2024年</w:t>
            </w:r>
            <w:r>
              <w:rPr>
                <w:rFonts w:hint="default" w:ascii="Times New Roman" w:hAnsi="Times New Roman" w:eastAsia="宋体" w:cs="Times New Roman"/>
                <w:color w:val="auto"/>
                <w:spacing w:val="11"/>
                <w:sz w:val="24"/>
                <w:szCs w:val="21"/>
                <w:highlight w:val="none"/>
                <w:u w:val="none" w:color="auto"/>
                <w:lang w:eastAsia="zh-CN"/>
              </w:rPr>
              <w:t>）</w:t>
            </w:r>
            <w:r>
              <w:rPr>
                <w:rFonts w:hint="default" w:ascii="Times New Roman" w:hAnsi="Times New Roman" w:eastAsia="宋体" w:cs="Times New Roman"/>
                <w:color w:val="auto"/>
                <w:spacing w:val="11"/>
                <w:sz w:val="24"/>
                <w:szCs w:val="21"/>
                <w:highlight w:val="none"/>
                <w:u w:val="none" w:color="auto"/>
              </w:rPr>
              <w:t>3号】，湖南省对化学需氧量、氨氮</w:t>
            </w:r>
            <w:r>
              <w:rPr>
                <w:rFonts w:hint="default" w:ascii="Times New Roman" w:hAnsi="Times New Roman" w:eastAsia="宋体" w:cs="Times New Roman"/>
                <w:color w:val="auto"/>
                <w:spacing w:val="11"/>
                <w:sz w:val="24"/>
                <w:szCs w:val="21"/>
                <w:highlight w:val="none"/>
                <w:u w:val="none" w:color="auto"/>
                <w:lang w:eastAsia="zh-CN"/>
              </w:rPr>
              <w:t>、</w:t>
            </w:r>
            <w:r>
              <w:rPr>
                <w:rFonts w:hint="default" w:ascii="Times New Roman" w:hAnsi="Times New Roman" w:eastAsia="宋体" w:cs="Times New Roman"/>
                <w:color w:val="auto"/>
                <w:spacing w:val="11"/>
                <w:sz w:val="24"/>
                <w:szCs w:val="21"/>
                <w:highlight w:val="none"/>
                <w:u w:val="none" w:color="auto"/>
              </w:rPr>
              <w:t>二氧化硫、氮氧化物、挥发性有机物、总磷、铅、镉、砷、汞、铬十一类污染物实施总量控制</w:t>
            </w:r>
            <w:r>
              <w:rPr>
                <w:rFonts w:hint="default" w:ascii="Times New Roman" w:hAnsi="Times New Roman" w:eastAsia="宋体" w:cs="Times New Roman"/>
                <w:color w:val="auto"/>
                <w:spacing w:val="11"/>
                <w:sz w:val="24"/>
                <w:szCs w:val="21"/>
                <w:highlight w:val="none"/>
                <w:u w:val="none" w:color="auto"/>
                <w:lang w:eastAsia="zh-CN"/>
              </w:rPr>
              <w:t>（</w:t>
            </w:r>
            <w:r>
              <w:rPr>
                <w:rFonts w:hint="default" w:ascii="Times New Roman" w:hAnsi="Times New Roman" w:eastAsia="宋体" w:cs="Times New Roman"/>
                <w:color w:val="auto"/>
                <w:spacing w:val="11"/>
                <w:sz w:val="24"/>
                <w:szCs w:val="21"/>
                <w:highlight w:val="none"/>
                <w:u w:val="none" w:color="auto"/>
              </w:rPr>
              <w:t>实施管理的范围为有效实施的国家固定污染源排污许可分类管理名录的工业类排污单位</w:t>
            </w:r>
            <w:r>
              <w:rPr>
                <w:rFonts w:hint="default" w:ascii="Times New Roman" w:hAnsi="Times New Roman" w:eastAsia="宋体" w:cs="Times New Roman"/>
                <w:color w:val="auto"/>
                <w:spacing w:val="11"/>
                <w:sz w:val="24"/>
                <w:szCs w:val="21"/>
                <w:highlight w:val="none"/>
                <w:u w:val="none" w:color="auto"/>
                <w:lang w:eastAsia="zh-CN"/>
              </w:rPr>
              <w:t>）</w:t>
            </w:r>
            <w:r>
              <w:rPr>
                <w:rFonts w:hint="default" w:ascii="Times New Roman" w:hAnsi="Times New Roman" w:eastAsia="宋体" w:cs="Times New Roman"/>
                <w:color w:val="auto"/>
                <w:spacing w:val="11"/>
                <w:sz w:val="24"/>
                <w:szCs w:val="21"/>
                <w:highlight w:val="none"/>
                <w:u w:val="none" w:color="auto"/>
              </w:rPr>
              <w:t>。</w:t>
            </w:r>
          </w:p>
          <w:p w14:paraId="1692D6B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bCs/>
                <w:color w:val="auto"/>
                <w:spacing w:val="11"/>
                <w:kern w:val="0"/>
                <w:position w:val="0"/>
                <w:sz w:val="24"/>
                <w:szCs w:val="24"/>
                <w:highlight w:val="none"/>
              </w:rPr>
            </w:pPr>
            <w:r>
              <w:rPr>
                <w:rFonts w:hint="default" w:ascii="Times New Roman" w:hAnsi="Times New Roman" w:eastAsia="宋体" w:cs="Times New Roman"/>
                <w:color w:val="auto"/>
                <w:spacing w:val="11"/>
                <w:sz w:val="24"/>
                <w:szCs w:val="21"/>
                <w:highlight w:val="none"/>
                <w:u w:val="none" w:color="auto"/>
              </w:rPr>
              <w:t>根据湖南省污染物排放总量控制要求，结合本项目的具体情况，本项目的总量控制建议指标分析如下：</w:t>
            </w:r>
          </w:p>
          <w:p w14:paraId="4ADD7D6B">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b/>
                <w:bCs/>
                <w:color w:val="auto"/>
                <w:spacing w:val="11"/>
                <w:kern w:val="0"/>
                <w:position w:val="0"/>
                <w:sz w:val="24"/>
                <w:szCs w:val="24"/>
                <w:highlight w:val="none"/>
              </w:rPr>
            </w:pPr>
            <w:r>
              <w:rPr>
                <w:rFonts w:hint="default" w:ascii="Times New Roman" w:hAnsi="Times New Roman" w:eastAsia="宋体" w:cs="Times New Roman"/>
                <w:b/>
                <w:bCs/>
                <w:color w:val="auto"/>
                <w:spacing w:val="11"/>
                <w:kern w:val="0"/>
                <w:position w:val="0"/>
                <w:sz w:val="24"/>
                <w:szCs w:val="24"/>
                <w:highlight w:val="none"/>
              </w:rPr>
              <w:t>1、水污染物总量控制指标</w:t>
            </w:r>
          </w:p>
          <w:p w14:paraId="75B1084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highlight w:val="none"/>
              </w:rPr>
            </w:pPr>
            <w:r>
              <w:rPr>
                <w:rFonts w:hint="default" w:ascii="Times New Roman" w:hAnsi="Times New Roman" w:eastAsia="宋体" w:cs="Times New Roman"/>
                <w:color w:val="auto"/>
                <w:spacing w:val="11"/>
                <w:kern w:val="0"/>
                <w:position w:val="0"/>
                <w:sz w:val="24"/>
                <w:szCs w:val="24"/>
                <w:highlight w:val="none"/>
              </w:rPr>
              <w:t>项目生产废水及生活污水经处理后，均不外排，故本评价无水污染物排放总量控制指标值。</w:t>
            </w:r>
          </w:p>
          <w:p w14:paraId="0AD36182">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b/>
                <w:bCs/>
                <w:color w:val="auto"/>
                <w:spacing w:val="11"/>
                <w:kern w:val="0"/>
                <w:position w:val="0"/>
                <w:sz w:val="24"/>
                <w:szCs w:val="24"/>
                <w:highlight w:val="none"/>
              </w:rPr>
            </w:pPr>
            <w:r>
              <w:rPr>
                <w:rFonts w:hint="default" w:ascii="Times New Roman" w:hAnsi="Times New Roman" w:eastAsia="宋体" w:cs="Times New Roman"/>
                <w:b/>
                <w:bCs/>
                <w:color w:val="auto"/>
                <w:spacing w:val="11"/>
                <w:kern w:val="0"/>
                <w:position w:val="0"/>
                <w:sz w:val="24"/>
                <w:szCs w:val="24"/>
                <w:highlight w:val="none"/>
              </w:rPr>
              <w:t>2、大气污染物总量控制指标</w:t>
            </w:r>
          </w:p>
          <w:p w14:paraId="59F68C9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highlight w:val="none"/>
              </w:rPr>
            </w:pPr>
            <w:r>
              <w:rPr>
                <w:rFonts w:hint="default" w:ascii="Times New Roman" w:hAnsi="Times New Roman" w:eastAsia="宋体" w:cs="Times New Roman"/>
                <w:color w:val="auto"/>
                <w:spacing w:val="11"/>
                <w:kern w:val="0"/>
                <w:position w:val="0"/>
                <w:sz w:val="24"/>
                <w:szCs w:val="24"/>
                <w:highlight w:val="none"/>
                <w:lang w:val="en-US" w:eastAsia="zh-CN"/>
              </w:rPr>
              <w:t>本项目废气污染物主要为颗粒物，不涉及大气总量控制指标。</w:t>
            </w:r>
          </w:p>
        </w:tc>
      </w:tr>
    </w:tbl>
    <w:p w14:paraId="786E5651">
      <w:pPr>
        <w:pStyle w:val="28"/>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auto"/>
          <w:spacing w:val="11"/>
          <w:kern w:val="2"/>
          <w:position w:val="0"/>
          <w:sz w:val="36"/>
          <w:szCs w:val="36"/>
        </w:rPr>
      </w:pPr>
    </w:p>
    <w:p w14:paraId="137FF972">
      <w:pPr>
        <w:pStyle w:val="2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pacing w:val="11"/>
          <w:position w:val="0"/>
          <w:sz w:val="30"/>
          <w:szCs w:val="30"/>
        </w:rPr>
      </w:pPr>
      <w:r>
        <w:rPr>
          <w:rFonts w:hint="default" w:ascii="Times New Roman" w:hAnsi="Times New Roman" w:eastAsia="宋体" w:cs="Times New Roman"/>
          <w:snapToGrid w:val="0"/>
          <w:color w:val="auto"/>
          <w:spacing w:val="11"/>
          <w:kern w:val="2"/>
          <w:position w:val="0"/>
          <w:sz w:val="36"/>
          <w:szCs w:val="36"/>
        </w:rPr>
        <w:br w:type="page"/>
      </w:r>
      <w:bookmarkStart w:id="37" w:name="_Toc19279"/>
      <w:bookmarkStart w:id="38" w:name="_Toc8673"/>
      <w:r>
        <w:rPr>
          <w:rFonts w:hint="default" w:ascii="Times New Roman" w:hAnsi="Times New Roman" w:eastAsia="宋体" w:cs="Times New Roman"/>
          <w:b/>
          <w:bCs/>
          <w:snapToGrid w:val="0"/>
          <w:color w:val="auto"/>
          <w:spacing w:val="11"/>
          <w:position w:val="0"/>
          <w:sz w:val="30"/>
          <w:szCs w:val="30"/>
        </w:rPr>
        <w:t>四、生态环境影响分析</w:t>
      </w:r>
      <w:bookmarkEnd w:id="37"/>
      <w:bookmarkEnd w:id="38"/>
    </w:p>
    <w:tbl>
      <w:tblPr>
        <w:tblStyle w:val="32"/>
        <w:tblW w:w="504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299"/>
      </w:tblGrid>
      <w:tr w14:paraId="44485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pct"/>
            <w:tcBorders>
              <w:tl2br w:val="nil"/>
              <w:tr2bl w:val="nil"/>
            </w:tcBorders>
            <w:noWrap w:val="0"/>
            <w:tcMar>
              <w:left w:w="28" w:type="dxa"/>
              <w:right w:w="28" w:type="dxa"/>
            </w:tcMar>
            <w:vAlign w:val="center"/>
          </w:tcPr>
          <w:p w14:paraId="4AD169C1">
            <w:pPr>
              <w:pStyle w:val="28"/>
              <w:adjustRightInd w:val="0"/>
              <w:snapToGrid w:val="0"/>
              <w:spacing w:before="0" w:beforeAutospacing="0" w:after="0" w:afterAutospacing="0" w:line="360" w:lineRule="auto"/>
              <w:jc w:val="center"/>
              <w:rPr>
                <w:rFonts w:hint="default" w:ascii="Times New Roman" w:hAnsi="Times New Roman" w:eastAsia="宋体" w:cs="Times New Roman"/>
                <w:bCs/>
                <w:color w:val="auto"/>
                <w:spacing w:val="11"/>
                <w:kern w:val="2"/>
                <w:position w:val="0"/>
                <w:sz w:val="24"/>
                <w:szCs w:val="24"/>
              </w:rPr>
            </w:pPr>
            <w:bookmarkStart w:id="39" w:name="_Hlk49796138"/>
            <w:r>
              <w:rPr>
                <w:rFonts w:hint="default" w:ascii="Times New Roman" w:hAnsi="Times New Roman" w:eastAsia="宋体" w:cs="Times New Roman"/>
                <w:bCs/>
                <w:color w:val="auto"/>
                <w:spacing w:val="11"/>
                <w:kern w:val="2"/>
                <w:position w:val="0"/>
                <w:sz w:val="24"/>
                <w:szCs w:val="24"/>
              </w:rPr>
              <w:t>施工期生态环境影响分析</w:t>
            </w:r>
            <w:bookmarkEnd w:id="39"/>
          </w:p>
        </w:tc>
        <w:tc>
          <w:tcPr>
            <w:tcW w:w="4579" w:type="pct"/>
            <w:tcBorders>
              <w:tl2br w:val="nil"/>
              <w:tr2bl w:val="nil"/>
            </w:tcBorders>
            <w:noWrap w:val="0"/>
            <w:vAlign w:val="center"/>
          </w:tcPr>
          <w:p w14:paraId="45C2CC4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textAlignment w:val="auto"/>
              <w:rPr>
                <w:rFonts w:hint="default" w:ascii="Times New Roman" w:hAnsi="Times New Roman" w:eastAsia="宋体" w:cs="Times New Roman"/>
                <w:spacing w:val="11"/>
                <w:position w:val="0"/>
                <w:sz w:val="24"/>
              </w:rPr>
            </w:pPr>
            <w:r>
              <w:rPr>
                <w:rFonts w:hint="default" w:ascii="Times New Roman" w:hAnsi="Times New Roman" w:eastAsia="宋体" w:cs="Times New Roman"/>
                <w:spacing w:val="11"/>
                <w:position w:val="0"/>
                <w:sz w:val="24"/>
              </w:rPr>
              <w:t>项目排土场依托原</w:t>
            </w:r>
            <w:r>
              <w:rPr>
                <w:rFonts w:hint="default" w:ascii="Times New Roman" w:hAnsi="Times New Roman" w:eastAsia="宋体" w:cs="Times New Roman"/>
                <w:spacing w:val="11"/>
                <w:position w:val="0"/>
                <w:sz w:val="24"/>
                <w:lang w:val="en-US" w:eastAsia="zh-CN"/>
              </w:rPr>
              <w:t>新田县聚鑫采石场</w:t>
            </w:r>
            <w:r>
              <w:rPr>
                <w:rFonts w:hint="default" w:ascii="Times New Roman" w:hAnsi="Times New Roman" w:eastAsia="宋体" w:cs="Times New Roman"/>
                <w:spacing w:val="11"/>
                <w:position w:val="0"/>
                <w:sz w:val="24"/>
              </w:rPr>
              <w:t>现有采坑，施工期建设内容主要为施工道路、污水处理设施、沉淀池、雨水沟、撇洪沟</w:t>
            </w:r>
            <w:r>
              <w:rPr>
                <w:rFonts w:hint="eastAsia" w:cs="Times New Roman"/>
                <w:spacing w:val="11"/>
                <w:position w:val="0"/>
                <w:sz w:val="24"/>
                <w:lang w:eastAsia="zh-CN"/>
              </w:rPr>
              <w:t>、</w:t>
            </w:r>
            <w:r>
              <w:rPr>
                <w:rFonts w:hint="eastAsia" w:cs="Times New Roman"/>
                <w:spacing w:val="11"/>
                <w:position w:val="0"/>
                <w:sz w:val="24"/>
                <w:lang w:val="en-US" w:eastAsia="zh-CN"/>
              </w:rPr>
              <w:t>破碎加工车间</w:t>
            </w:r>
            <w:r>
              <w:rPr>
                <w:rFonts w:hint="default" w:ascii="Times New Roman" w:hAnsi="Times New Roman" w:eastAsia="宋体" w:cs="Times New Roman"/>
                <w:spacing w:val="11"/>
                <w:position w:val="0"/>
                <w:sz w:val="24"/>
                <w:lang w:eastAsia="zh-CN"/>
              </w:rPr>
              <w:t>、办公生活区</w:t>
            </w:r>
            <w:r>
              <w:rPr>
                <w:rFonts w:hint="default" w:ascii="Times New Roman" w:hAnsi="Times New Roman" w:eastAsia="宋体" w:cs="Times New Roman"/>
                <w:spacing w:val="11"/>
                <w:position w:val="0"/>
                <w:sz w:val="24"/>
              </w:rPr>
              <w:t>等工程设施。建设过程中，造成生态破坏、水土流失、景观影响、噪声、扬尘、废水、弃土等的影响。</w:t>
            </w:r>
          </w:p>
          <w:p w14:paraId="4064BF0B">
            <w:pPr>
              <w:pStyle w:val="64"/>
              <w:numPr>
                <w:ilvl w:val="0"/>
                <w:numId w:val="5"/>
              </w:numPr>
              <w:adjustRightInd w:val="0"/>
              <w:snapToGrid w:val="0"/>
              <w:spacing w:line="360" w:lineRule="auto"/>
              <w:ind w:firstLine="526" w:firstLineChars="200"/>
              <w:jc w:val="left"/>
              <w:rPr>
                <w:rFonts w:hint="default" w:ascii="Times New Roman" w:hAnsi="Times New Roman" w:eastAsia="宋体" w:cs="Times New Roman"/>
                <w:b/>
                <w:bCs/>
                <w:spacing w:val="11"/>
                <w:position w:val="0"/>
                <w:sz w:val="24"/>
                <w:lang w:val="en-US"/>
              </w:rPr>
            </w:pPr>
            <w:r>
              <w:rPr>
                <w:rFonts w:hint="default" w:ascii="Times New Roman" w:hAnsi="Times New Roman" w:eastAsia="宋体" w:cs="Times New Roman"/>
                <w:b/>
                <w:bCs/>
                <w:spacing w:val="11"/>
                <w:position w:val="0"/>
                <w:sz w:val="24"/>
                <w:lang w:val="en-US"/>
              </w:rPr>
              <w:t>施工期大气环境影响分析</w:t>
            </w:r>
          </w:p>
          <w:p w14:paraId="6A3D0CFF">
            <w:pPr>
              <w:pStyle w:val="64"/>
              <w:adjustRightInd w:val="0"/>
              <w:snapToGrid w:val="0"/>
              <w:spacing w:line="360" w:lineRule="auto"/>
              <w:ind w:firstLine="524" w:firstLineChars="200"/>
              <w:jc w:val="both"/>
              <w:rPr>
                <w:rFonts w:hint="default" w:ascii="Times New Roman" w:hAnsi="Times New Roman" w:cs="Times New Roman"/>
                <w:bCs/>
                <w:spacing w:val="11"/>
                <w:position w:val="0"/>
                <w:sz w:val="24"/>
                <w:lang w:val="en-US"/>
              </w:rPr>
            </w:pPr>
            <w:r>
              <w:rPr>
                <w:rFonts w:hint="default" w:ascii="Times New Roman" w:hAnsi="Times New Roman" w:cs="Times New Roman"/>
                <w:spacing w:val="11"/>
                <w:position w:val="0"/>
                <w:sz w:val="24"/>
              </w:rPr>
              <w:t>施工期环境大气污染物主要有施工车辆和燃油施工机械排放的尾气、施工扬尘。为减轻施工期大气污染物的污染程度和影响范围，</w:t>
            </w:r>
            <w:r>
              <w:rPr>
                <w:rFonts w:hint="default" w:ascii="Times New Roman" w:hAnsi="Times New Roman" w:cs="Times New Roman"/>
                <w:spacing w:val="11"/>
                <w:position w:val="0"/>
                <w:sz w:val="24"/>
                <w:lang w:eastAsia="zh-CN"/>
              </w:rPr>
              <w:t>本</w:t>
            </w:r>
            <w:r>
              <w:rPr>
                <w:rFonts w:hint="default" w:ascii="Times New Roman" w:hAnsi="Times New Roman" w:cs="Times New Roman"/>
                <w:spacing w:val="11"/>
                <w:position w:val="0"/>
                <w:sz w:val="24"/>
              </w:rPr>
              <w:t>环评建议采取如下防治措施：</w:t>
            </w:r>
          </w:p>
          <w:p w14:paraId="1993C2B7">
            <w:pPr>
              <w:adjustRightInd w:val="0"/>
              <w:snapToGrid w:val="0"/>
              <w:spacing w:line="360" w:lineRule="auto"/>
              <w:ind w:firstLine="524" w:firstLineChars="200"/>
              <w:rPr>
                <w:rFonts w:hint="default" w:ascii="Times New Roman" w:hAnsi="Times New Roman" w:eastAsia="宋体" w:cs="Times New Roman"/>
                <w:spacing w:val="11"/>
                <w:position w:val="0"/>
                <w:sz w:val="24"/>
              </w:rPr>
            </w:pPr>
            <w:r>
              <w:rPr>
                <w:rFonts w:hint="default" w:ascii="Times New Roman" w:hAnsi="Times New Roman" w:eastAsia="宋体" w:cs="Times New Roman"/>
                <w:spacing w:val="11"/>
                <w:position w:val="0"/>
                <w:sz w:val="24"/>
              </w:rPr>
              <w:t>（1）车辆尾气</w:t>
            </w:r>
          </w:p>
          <w:p w14:paraId="015F51EA">
            <w:pPr>
              <w:adjustRightInd w:val="0"/>
              <w:snapToGrid w:val="0"/>
              <w:spacing w:line="360" w:lineRule="auto"/>
              <w:ind w:firstLine="524" w:firstLineChars="200"/>
              <w:rPr>
                <w:rFonts w:hint="default" w:ascii="Times New Roman" w:hAnsi="Times New Roman" w:eastAsia="宋体" w:cs="Times New Roman"/>
                <w:spacing w:val="11"/>
                <w:position w:val="0"/>
                <w:sz w:val="24"/>
              </w:rPr>
            </w:pPr>
            <w:r>
              <w:rPr>
                <w:rFonts w:hint="default" w:ascii="Times New Roman" w:hAnsi="Times New Roman" w:eastAsia="宋体" w:cs="Times New Roman"/>
                <w:spacing w:val="11"/>
                <w:position w:val="0"/>
                <w:sz w:val="24"/>
              </w:rPr>
              <w:t>施工机械主要有挖土机、载重汽车等燃油机械，燃油所产生的废气中的主要污染物有SO</w:t>
            </w:r>
            <w:r>
              <w:rPr>
                <w:rFonts w:hint="default" w:ascii="Times New Roman" w:hAnsi="Times New Roman" w:eastAsia="宋体" w:cs="Times New Roman"/>
                <w:spacing w:val="11"/>
                <w:position w:val="0"/>
                <w:sz w:val="24"/>
                <w:vertAlign w:val="subscript"/>
              </w:rPr>
              <w:t>2</w:t>
            </w:r>
            <w:r>
              <w:rPr>
                <w:rFonts w:hint="default" w:ascii="Times New Roman" w:hAnsi="Times New Roman" w:eastAsia="宋体" w:cs="Times New Roman"/>
                <w:spacing w:val="11"/>
                <w:position w:val="0"/>
                <w:sz w:val="24"/>
              </w:rPr>
              <w:t>、CO、NO</w:t>
            </w:r>
            <w:r>
              <w:rPr>
                <w:rFonts w:hint="default" w:ascii="Times New Roman" w:hAnsi="Times New Roman" w:eastAsia="宋体" w:cs="Times New Roman"/>
                <w:spacing w:val="11"/>
                <w:position w:val="0"/>
                <w:sz w:val="24"/>
                <w:vertAlign w:val="subscript"/>
              </w:rPr>
              <w:t>2</w:t>
            </w:r>
            <w:r>
              <w:rPr>
                <w:rFonts w:hint="default" w:ascii="Times New Roman" w:hAnsi="Times New Roman" w:eastAsia="宋体" w:cs="Times New Roman"/>
                <w:spacing w:val="11"/>
                <w:position w:val="0"/>
                <w:sz w:val="24"/>
              </w:rPr>
              <w:t>、TSP、总烃。由于施工机械多数为大型机械，排放系数大，但施工作业具有无组织排放，不连续性、施工点分散，每个作业点施工时间相对较短，燃油动力机械为间断作业，且数量不多，因此其排放的污染仅对施工区域近距离的环境空气质量产生影响。根据同类型工程监测结果，离施工现场50m处，一氧化碳、NO</w:t>
            </w:r>
            <w:r>
              <w:rPr>
                <w:rFonts w:hint="default" w:ascii="Times New Roman" w:hAnsi="Times New Roman" w:eastAsia="宋体" w:cs="Times New Roman"/>
                <w:spacing w:val="11"/>
                <w:position w:val="0"/>
                <w:sz w:val="24"/>
                <w:vertAlign w:val="subscript"/>
              </w:rPr>
              <w:t>x</w:t>
            </w:r>
            <w:r>
              <w:rPr>
                <w:rFonts w:hint="default" w:ascii="Times New Roman" w:hAnsi="Times New Roman" w:eastAsia="宋体" w:cs="Times New Roman"/>
                <w:spacing w:val="11"/>
                <w:position w:val="0"/>
                <w:sz w:val="24"/>
              </w:rPr>
              <w:t>1小时平均浓度分别为0.2mg/m</w:t>
            </w:r>
            <w:r>
              <w:rPr>
                <w:rFonts w:hint="default" w:ascii="Times New Roman" w:hAnsi="Times New Roman" w:eastAsia="宋体" w:cs="Times New Roman"/>
                <w:spacing w:val="11"/>
                <w:position w:val="0"/>
                <w:sz w:val="24"/>
                <w:vertAlign w:val="superscript"/>
              </w:rPr>
              <w:t>3</w:t>
            </w:r>
            <w:r>
              <w:rPr>
                <w:rFonts w:hint="default" w:ascii="Times New Roman" w:hAnsi="Times New Roman" w:eastAsia="宋体" w:cs="Times New Roman"/>
                <w:spacing w:val="11"/>
                <w:position w:val="0"/>
                <w:sz w:val="24"/>
              </w:rPr>
              <w:t>和0.11mg/m</w:t>
            </w:r>
            <w:r>
              <w:rPr>
                <w:rFonts w:hint="default" w:ascii="Times New Roman" w:hAnsi="Times New Roman" w:eastAsia="宋体" w:cs="Times New Roman"/>
                <w:spacing w:val="11"/>
                <w:position w:val="0"/>
                <w:sz w:val="24"/>
                <w:vertAlign w:val="superscript"/>
              </w:rPr>
              <w:t>3</w:t>
            </w:r>
            <w:r>
              <w:rPr>
                <w:rFonts w:hint="default" w:ascii="Times New Roman" w:hAnsi="Times New Roman" w:eastAsia="宋体" w:cs="Times New Roman"/>
                <w:spacing w:val="11"/>
                <w:position w:val="0"/>
                <w:sz w:val="24"/>
              </w:rPr>
              <w:t>，日平均浓度分别为0.13mg/m</w:t>
            </w:r>
            <w:r>
              <w:rPr>
                <w:rFonts w:hint="default" w:ascii="Times New Roman" w:hAnsi="Times New Roman" w:eastAsia="宋体" w:cs="Times New Roman"/>
                <w:spacing w:val="11"/>
                <w:position w:val="0"/>
                <w:sz w:val="24"/>
                <w:vertAlign w:val="superscript"/>
              </w:rPr>
              <w:t>3</w:t>
            </w:r>
            <w:r>
              <w:rPr>
                <w:rFonts w:hint="default" w:ascii="Times New Roman" w:hAnsi="Times New Roman" w:eastAsia="宋体" w:cs="Times New Roman"/>
                <w:spacing w:val="11"/>
                <w:position w:val="0"/>
                <w:sz w:val="24"/>
              </w:rPr>
              <w:t>和0.062mg/m</w:t>
            </w:r>
            <w:r>
              <w:rPr>
                <w:rFonts w:hint="default" w:ascii="Times New Roman" w:hAnsi="Times New Roman" w:eastAsia="宋体" w:cs="Times New Roman"/>
                <w:spacing w:val="11"/>
                <w:position w:val="0"/>
                <w:sz w:val="24"/>
                <w:vertAlign w:val="superscript"/>
              </w:rPr>
              <w:t>3</w:t>
            </w:r>
            <w:r>
              <w:rPr>
                <w:rFonts w:hint="default" w:ascii="Times New Roman" w:hAnsi="Times New Roman" w:eastAsia="宋体" w:cs="Times New Roman"/>
                <w:spacing w:val="11"/>
                <w:position w:val="0"/>
                <w:sz w:val="24"/>
              </w:rPr>
              <w:t>，均可达到《环境空气质量标准》（GB3095-2012）二级标准要求。施工使用的大型燃油机械，必须装置消烟除尘设备，并对消烟除尘装置进行定期检测。</w:t>
            </w:r>
          </w:p>
          <w:p w14:paraId="28C4AE66">
            <w:pPr>
              <w:adjustRightInd w:val="0"/>
              <w:snapToGrid w:val="0"/>
              <w:spacing w:line="360" w:lineRule="auto"/>
              <w:ind w:firstLine="524" w:firstLineChars="200"/>
              <w:rPr>
                <w:rFonts w:hint="default" w:ascii="Times New Roman" w:hAnsi="Times New Roman" w:eastAsia="宋体" w:cs="Times New Roman"/>
                <w:spacing w:val="11"/>
                <w:kern w:val="0"/>
                <w:position w:val="0"/>
                <w:sz w:val="24"/>
              </w:rPr>
            </w:pPr>
            <w:r>
              <w:rPr>
                <w:rFonts w:hint="default" w:ascii="Times New Roman" w:hAnsi="Times New Roman" w:eastAsia="宋体" w:cs="Times New Roman"/>
                <w:spacing w:val="11"/>
                <w:position w:val="0"/>
                <w:sz w:val="24"/>
              </w:rPr>
              <w:t>（2）扬尘</w:t>
            </w:r>
          </w:p>
          <w:p w14:paraId="0E3092C4">
            <w:pPr>
              <w:adjustRightInd w:val="0"/>
              <w:snapToGrid w:val="0"/>
              <w:spacing w:line="360" w:lineRule="auto"/>
              <w:ind w:firstLine="524" w:firstLineChars="200"/>
              <w:rPr>
                <w:rFonts w:hint="default" w:ascii="Times New Roman" w:hAnsi="Times New Roman" w:eastAsia="宋体" w:cs="Times New Roman"/>
                <w:spacing w:val="11"/>
                <w:position w:val="0"/>
                <w:sz w:val="24"/>
              </w:rPr>
            </w:pPr>
            <w:r>
              <w:rPr>
                <w:rFonts w:hint="default" w:ascii="Times New Roman" w:hAnsi="Times New Roman" w:eastAsia="宋体" w:cs="Times New Roman"/>
                <w:spacing w:val="11"/>
                <w:position w:val="0"/>
                <w:sz w:val="24"/>
              </w:rPr>
              <w:t>项目施工过程将产生扬尘，主要包括建材运输车辆产生的交通扬尘、排土场扬尘、建材堆置和施工过程产生的扬尘等。为减少施工扬尘对周围环境的影响，环评建议建设方应采取以下防治措施：</w:t>
            </w:r>
          </w:p>
          <w:p w14:paraId="4E0F2388">
            <w:pPr>
              <w:adjustRightInd w:val="0"/>
              <w:snapToGrid w:val="0"/>
              <w:spacing w:line="360" w:lineRule="auto"/>
              <w:ind w:firstLine="524" w:firstLineChars="200"/>
              <w:jc w:val="left"/>
              <w:rPr>
                <w:rFonts w:hint="default" w:ascii="Times New Roman" w:hAnsi="Times New Roman" w:eastAsia="宋体" w:cs="Times New Roman"/>
                <w:spacing w:val="11"/>
                <w:position w:val="0"/>
                <w:sz w:val="24"/>
              </w:rPr>
            </w:pPr>
            <w:r>
              <w:rPr>
                <w:rFonts w:hint="default" w:ascii="Times New Roman" w:hAnsi="Times New Roman" w:eastAsia="宋体" w:cs="Times New Roman"/>
                <w:spacing w:val="11"/>
                <w:position w:val="0"/>
                <w:sz w:val="24"/>
              </w:rPr>
              <w:t>①在施工现场四周设置围栏，减少影响距离；</w:t>
            </w:r>
          </w:p>
          <w:p w14:paraId="14F0019A">
            <w:pPr>
              <w:adjustRightInd w:val="0"/>
              <w:snapToGrid w:val="0"/>
              <w:spacing w:line="360" w:lineRule="auto"/>
              <w:ind w:firstLine="524" w:firstLineChars="200"/>
              <w:jc w:val="left"/>
              <w:rPr>
                <w:rFonts w:hint="default" w:ascii="Times New Roman" w:hAnsi="Times New Roman" w:eastAsia="宋体" w:cs="Times New Roman"/>
                <w:spacing w:val="11"/>
                <w:position w:val="0"/>
                <w:sz w:val="24"/>
              </w:rPr>
            </w:pPr>
            <w:r>
              <w:rPr>
                <w:rFonts w:hint="default" w:ascii="Times New Roman" w:hAnsi="Times New Roman" w:eastAsia="宋体" w:cs="Times New Roman"/>
                <w:spacing w:val="11"/>
                <w:position w:val="0"/>
                <w:sz w:val="24"/>
              </w:rPr>
              <w:t>②对施工场地的道路应铺设砂砾或粘土，进行平整，保持路面平坦，并定期洒水、清扫，保持路面和空气湿润，减少起尘量；最大限度的减小扬尘对环境的污染；</w:t>
            </w:r>
          </w:p>
          <w:p w14:paraId="33B40F14">
            <w:pPr>
              <w:adjustRightInd w:val="0"/>
              <w:snapToGrid w:val="0"/>
              <w:spacing w:line="360" w:lineRule="auto"/>
              <w:ind w:firstLine="524" w:firstLineChars="200"/>
              <w:jc w:val="both"/>
              <w:rPr>
                <w:rFonts w:hint="default" w:ascii="Times New Roman" w:hAnsi="Times New Roman" w:eastAsia="宋体" w:cs="Times New Roman"/>
                <w:spacing w:val="11"/>
                <w:position w:val="0"/>
                <w:sz w:val="24"/>
              </w:rPr>
            </w:pPr>
            <w:r>
              <w:rPr>
                <w:rFonts w:hint="default" w:ascii="Times New Roman" w:hAnsi="Times New Roman" w:eastAsia="宋体" w:cs="Times New Roman"/>
                <w:spacing w:val="11"/>
                <w:position w:val="0"/>
                <w:sz w:val="24"/>
              </w:rPr>
              <w:t>③规定工地上运输车辆的行车路线，保证行车路线上的路面基本清洁，并对进出施工现场车辆的车轮要随时进行清洁，以减少扬尘污染；</w:t>
            </w:r>
          </w:p>
          <w:p w14:paraId="10DBFEE2">
            <w:pPr>
              <w:adjustRightInd w:val="0"/>
              <w:snapToGrid w:val="0"/>
              <w:spacing w:line="360" w:lineRule="auto"/>
              <w:ind w:firstLine="524" w:firstLineChars="200"/>
              <w:jc w:val="both"/>
              <w:rPr>
                <w:rFonts w:hint="default" w:ascii="Times New Roman" w:hAnsi="Times New Roman" w:eastAsia="宋体" w:cs="Times New Roman"/>
                <w:spacing w:val="11"/>
                <w:position w:val="0"/>
                <w:sz w:val="24"/>
              </w:rPr>
            </w:pPr>
            <w:r>
              <w:rPr>
                <w:rFonts w:hint="default" w:ascii="Times New Roman" w:hAnsi="Times New Roman" w:eastAsia="宋体" w:cs="Times New Roman"/>
                <w:spacing w:val="11"/>
                <w:position w:val="0"/>
                <w:sz w:val="24"/>
              </w:rPr>
              <w:t>④对可能产生扬尘的建筑材料应禁止露天堆放，堆放物料的露天堆场要遮盖；散装物料在装卸、运输过程中要用隔板阻挡以防止物料撒落；</w:t>
            </w:r>
          </w:p>
          <w:p w14:paraId="61F602A3">
            <w:pPr>
              <w:adjustRightInd w:val="0"/>
              <w:snapToGrid w:val="0"/>
              <w:spacing w:line="360" w:lineRule="auto"/>
              <w:ind w:firstLine="524" w:firstLineChars="200"/>
              <w:jc w:val="both"/>
              <w:rPr>
                <w:rFonts w:hint="default" w:ascii="Times New Roman" w:hAnsi="Times New Roman" w:eastAsia="宋体" w:cs="Times New Roman"/>
                <w:spacing w:val="11"/>
                <w:position w:val="0"/>
                <w:sz w:val="24"/>
              </w:rPr>
            </w:pPr>
            <w:r>
              <w:rPr>
                <w:rFonts w:hint="default" w:ascii="Times New Roman" w:hAnsi="Times New Roman" w:eastAsia="宋体" w:cs="Times New Roman"/>
                <w:spacing w:val="11"/>
                <w:position w:val="0"/>
                <w:sz w:val="24"/>
              </w:rPr>
              <w:t>⑤对施工废弃物及时清理分类，运出施工现场或进行就地填埋处理。</w:t>
            </w:r>
          </w:p>
          <w:p w14:paraId="5CEED537">
            <w:pPr>
              <w:pStyle w:val="65"/>
              <w:ind w:firstLine="480"/>
              <w:jc w:val="left"/>
              <w:rPr>
                <w:rFonts w:hint="default" w:ascii="Times New Roman" w:hAnsi="Times New Roman" w:eastAsia="宋体" w:cs="Times New Roman"/>
                <w:spacing w:val="11"/>
                <w:position w:val="0"/>
                <w:sz w:val="24"/>
                <w:szCs w:val="24"/>
              </w:rPr>
            </w:pPr>
            <w:r>
              <w:rPr>
                <w:rFonts w:hint="default" w:ascii="Times New Roman" w:hAnsi="Times New Roman" w:eastAsia="宋体" w:cs="Times New Roman"/>
                <w:spacing w:val="11"/>
                <w:position w:val="0"/>
                <w:sz w:val="24"/>
                <w:szCs w:val="24"/>
              </w:rPr>
              <w:t xml:space="preserve">⑥加强施工作业人员的劳动保护。对处于产尘量较大的现场施工人员，按照国家有关劳动保护的规定，发放防尘物品。 </w:t>
            </w:r>
          </w:p>
          <w:p w14:paraId="18A7C369">
            <w:pPr>
              <w:adjustRightInd w:val="0"/>
              <w:snapToGrid w:val="0"/>
              <w:spacing w:line="360" w:lineRule="auto"/>
              <w:ind w:firstLine="524" w:firstLineChars="200"/>
              <w:rPr>
                <w:rFonts w:hint="default" w:ascii="Times New Roman" w:hAnsi="Times New Roman" w:eastAsia="宋体" w:cs="Times New Roman"/>
                <w:spacing w:val="11"/>
                <w:position w:val="0"/>
                <w:sz w:val="24"/>
              </w:rPr>
            </w:pPr>
            <w:r>
              <w:rPr>
                <w:rFonts w:hint="default" w:ascii="Times New Roman" w:hAnsi="Times New Roman" w:eastAsia="宋体" w:cs="Times New Roman"/>
                <w:spacing w:val="11"/>
                <w:position w:val="0"/>
                <w:sz w:val="24"/>
              </w:rPr>
              <w:t xml:space="preserve">⑦尽量避免在大风天气下进行施工作业。排土场等扬尘的产生跟风力的大小及气候等有较大的关系，南方地区空气湿润，降雨量多会对扬尘一定程度上抑制。 </w:t>
            </w:r>
          </w:p>
          <w:p w14:paraId="6EEFE07E">
            <w:pPr>
              <w:adjustRightInd w:val="0"/>
              <w:snapToGrid w:val="0"/>
              <w:spacing w:line="360" w:lineRule="auto"/>
              <w:ind w:firstLine="524" w:firstLineChars="200"/>
              <w:rPr>
                <w:rFonts w:hint="default" w:ascii="Times New Roman" w:hAnsi="Times New Roman" w:eastAsia="宋体" w:cs="Times New Roman"/>
                <w:spacing w:val="11"/>
                <w:position w:val="0"/>
                <w:sz w:val="24"/>
              </w:rPr>
            </w:pPr>
            <w:r>
              <w:rPr>
                <w:rFonts w:hint="default" w:ascii="Times New Roman" w:hAnsi="Times New Roman" w:eastAsia="宋体" w:cs="Times New Roman"/>
                <w:spacing w:val="11"/>
                <w:position w:val="0"/>
                <w:sz w:val="24"/>
              </w:rPr>
              <w:t>⑧根据</w:t>
            </w:r>
            <w:r>
              <w:rPr>
                <w:rFonts w:hint="default" w:ascii="Times New Roman" w:hAnsi="Times New Roman" w:eastAsia="宋体" w:cs="Times New Roman"/>
                <w:spacing w:val="11"/>
                <w:position w:val="0"/>
                <w:sz w:val="24"/>
                <w:lang w:eastAsia="zh-CN"/>
              </w:rPr>
              <w:t>永州</w:t>
            </w:r>
            <w:r>
              <w:rPr>
                <w:rFonts w:hint="eastAsia" w:ascii="宋体" w:hAnsi="宋体" w:eastAsia="宋体" w:cs="宋体"/>
                <w:spacing w:val="11"/>
                <w:position w:val="0"/>
                <w:sz w:val="24"/>
              </w:rPr>
              <w:t>市“蓝天保卫战”要</w:t>
            </w:r>
            <w:r>
              <w:rPr>
                <w:rFonts w:hint="default" w:ascii="Times New Roman" w:hAnsi="Times New Roman" w:eastAsia="宋体" w:cs="Times New Roman"/>
                <w:spacing w:val="11"/>
                <w:position w:val="0"/>
                <w:sz w:val="24"/>
              </w:rPr>
              <w:t>求，项目施工必须做到八个百分之百，即现场封闭管理100%、现场湿法作业100%、场区道路硬化100%、渣土物料覆盖100%、物料密闭运输100%、车辆出入清洗100%、扬尘监控安装100%、工地内非移动机械车辆100%达标。不准渣土运输车辆违规上路、违规装载。渣土必须实行封闭运输，不得撒漏，不得带泥上路。</w:t>
            </w:r>
          </w:p>
          <w:p w14:paraId="79279747">
            <w:pPr>
              <w:widowControl w:val="0"/>
              <w:adjustRightInd w:val="0"/>
              <w:snapToGrid w:val="0"/>
              <w:spacing w:line="360" w:lineRule="auto"/>
              <w:ind w:firstLine="524" w:firstLineChars="200"/>
              <w:jc w:val="both"/>
              <w:rPr>
                <w:rFonts w:hint="default" w:ascii="Times New Roman" w:hAnsi="Times New Roman" w:eastAsia="宋体" w:cs="Times New Roman"/>
                <w:spacing w:val="11"/>
                <w:kern w:val="2"/>
                <w:position w:val="0"/>
                <w:sz w:val="21"/>
                <w:szCs w:val="24"/>
                <w:lang w:val="en-US" w:eastAsia="zh-CN" w:bidi="ar-SA"/>
              </w:rPr>
            </w:pPr>
            <w:r>
              <w:rPr>
                <w:rFonts w:hint="default" w:ascii="Times New Roman" w:hAnsi="Times New Roman" w:eastAsia="宋体" w:cs="Times New Roman"/>
                <w:spacing w:val="11"/>
                <w:kern w:val="2"/>
                <w:position w:val="0"/>
                <w:sz w:val="24"/>
                <w:szCs w:val="24"/>
                <w:lang w:val="en-US" w:eastAsia="zh-CN" w:bidi="ar-SA"/>
              </w:rPr>
              <w:t>⑨在施工工地内，应设置车辆清洗设施以及配套的排水、泥浆沉淀设施；运施工场内车行道路须采用混凝土、礁渣或细石等进行路面硬化，并辅以洒水、喷洒抑尘剂等措施加强保洁清扫；运输渣土、泥浆、建筑垃圾及砂石等散体建筑材料，应采用密闭运输车辆或采取篷覆式遮盖等措施，严禁发生抛、洒、滴、漏现象；安排洗车人员，对每台渣土车出场前均要清洗，不得将泥土带出现场，严禁超载运输，渣土装载低于厢板10cm以上</w:t>
            </w:r>
            <w:r>
              <w:rPr>
                <w:rFonts w:hint="default" w:ascii="Times New Roman" w:hAnsi="Times New Roman" w:eastAsia="宋体" w:cs="Times New Roman"/>
                <w:spacing w:val="11"/>
                <w:kern w:val="2"/>
                <w:position w:val="0"/>
                <w:sz w:val="21"/>
                <w:szCs w:val="24"/>
                <w:lang w:val="en-US" w:eastAsia="zh-CN" w:bidi="ar-SA"/>
              </w:rPr>
              <w:t>。</w:t>
            </w:r>
          </w:p>
          <w:p w14:paraId="38B6EB22">
            <w:pPr>
              <w:adjustRightInd w:val="0"/>
              <w:snapToGrid w:val="0"/>
              <w:spacing w:line="360" w:lineRule="auto"/>
              <w:ind w:firstLine="524" w:firstLineChars="200"/>
              <w:rPr>
                <w:rFonts w:hint="default" w:ascii="Times New Roman" w:hAnsi="Times New Roman" w:eastAsia="宋体" w:cs="Times New Roman"/>
                <w:spacing w:val="11"/>
                <w:position w:val="0"/>
                <w:sz w:val="24"/>
              </w:rPr>
            </w:pPr>
            <w:r>
              <w:rPr>
                <w:rFonts w:hint="default" w:ascii="Times New Roman" w:hAnsi="Times New Roman" w:eastAsia="宋体" w:cs="Times New Roman"/>
                <w:spacing w:val="11"/>
                <w:position w:val="0"/>
                <w:sz w:val="24"/>
              </w:rPr>
              <w:t>综上所述，通过加强施工管理，采取以上一系列措施，可大幅度降低施工造成的大气污染，同时其对环境的影响也将随施工的结束而消失。</w:t>
            </w:r>
          </w:p>
          <w:p w14:paraId="1976DEC6">
            <w:pPr>
              <w:adjustRightInd w:val="0"/>
              <w:snapToGrid w:val="0"/>
              <w:spacing w:line="360" w:lineRule="auto"/>
              <w:ind w:firstLine="526" w:firstLineChars="200"/>
              <w:rPr>
                <w:rFonts w:hint="default" w:ascii="Times New Roman" w:hAnsi="Times New Roman" w:eastAsia="宋体" w:cs="Times New Roman"/>
                <w:b/>
                <w:bCs/>
                <w:spacing w:val="11"/>
                <w:position w:val="0"/>
                <w:sz w:val="24"/>
              </w:rPr>
            </w:pPr>
            <w:r>
              <w:rPr>
                <w:rFonts w:hint="default" w:ascii="Times New Roman" w:hAnsi="Times New Roman" w:eastAsia="宋体" w:cs="Times New Roman"/>
                <w:b/>
                <w:bCs/>
                <w:spacing w:val="11"/>
                <w:position w:val="0"/>
                <w:sz w:val="24"/>
              </w:rPr>
              <w:t>2、施工期水环境影响分析</w:t>
            </w:r>
          </w:p>
          <w:p w14:paraId="39B5A37B">
            <w:pPr>
              <w:adjustRightInd w:val="0"/>
              <w:snapToGrid w:val="0"/>
              <w:spacing w:line="360" w:lineRule="auto"/>
              <w:ind w:firstLine="524" w:firstLineChars="200"/>
              <w:rPr>
                <w:rFonts w:hint="default" w:ascii="Times New Roman" w:hAnsi="Times New Roman" w:eastAsia="宋体" w:cs="Times New Roman"/>
                <w:snapToGrid w:val="0"/>
                <w:spacing w:val="11"/>
                <w:kern w:val="0"/>
                <w:position w:val="0"/>
                <w:sz w:val="24"/>
              </w:rPr>
            </w:pPr>
            <w:r>
              <w:rPr>
                <w:rFonts w:hint="default" w:ascii="Times New Roman" w:hAnsi="Times New Roman" w:eastAsia="宋体" w:cs="Times New Roman"/>
                <w:snapToGrid w:val="0"/>
                <w:spacing w:val="11"/>
                <w:kern w:val="0"/>
                <w:position w:val="0"/>
                <w:sz w:val="24"/>
              </w:rPr>
              <w:t>本项目施工期废水主要来自于车辆冲洗水及施工人员生活污水，主要污染物有COD、BOD</w:t>
            </w:r>
            <w:r>
              <w:rPr>
                <w:rFonts w:hint="default" w:ascii="Times New Roman" w:hAnsi="Times New Roman" w:eastAsia="宋体" w:cs="Times New Roman"/>
                <w:snapToGrid w:val="0"/>
                <w:spacing w:val="11"/>
                <w:kern w:val="0"/>
                <w:position w:val="0"/>
                <w:sz w:val="24"/>
                <w:vertAlign w:val="subscript"/>
              </w:rPr>
              <w:t>5</w:t>
            </w:r>
            <w:r>
              <w:rPr>
                <w:rFonts w:hint="default" w:ascii="Times New Roman" w:hAnsi="Times New Roman" w:eastAsia="宋体" w:cs="Times New Roman"/>
                <w:snapToGrid w:val="0"/>
                <w:spacing w:val="11"/>
                <w:kern w:val="0"/>
                <w:position w:val="0"/>
                <w:sz w:val="24"/>
              </w:rPr>
              <w:t>、SS、石油类等。</w:t>
            </w:r>
            <w:r>
              <w:rPr>
                <w:rFonts w:hint="default" w:ascii="Times New Roman" w:hAnsi="Times New Roman" w:eastAsia="宋体" w:cs="Times New Roman"/>
                <w:spacing w:val="11"/>
                <w:position w:val="0"/>
                <w:sz w:val="24"/>
              </w:rPr>
              <w:t>施工人员生活污水主要污染因子为COD</w:t>
            </w:r>
            <w:r>
              <w:rPr>
                <w:rFonts w:hint="default" w:ascii="Times New Roman" w:hAnsi="Times New Roman" w:eastAsia="宋体" w:cs="Times New Roman"/>
                <w:spacing w:val="11"/>
                <w:position w:val="0"/>
                <w:sz w:val="24"/>
                <w:vertAlign w:val="subscript"/>
              </w:rPr>
              <w:t>cr</w:t>
            </w:r>
            <w:r>
              <w:rPr>
                <w:rFonts w:hint="default" w:ascii="Times New Roman" w:hAnsi="Times New Roman" w:eastAsia="宋体" w:cs="Times New Roman"/>
                <w:spacing w:val="11"/>
                <w:position w:val="0"/>
                <w:sz w:val="24"/>
              </w:rPr>
              <w:t>、BOD</w:t>
            </w:r>
            <w:r>
              <w:rPr>
                <w:rFonts w:hint="default" w:ascii="Times New Roman" w:hAnsi="Times New Roman" w:eastAsia="宋体" w:cs="Times New Roman"/>
                <w:spacing w:val="11"/>
                <w:position w:val="0"/>
                <w:sz w:val="24"/>
                <w:vertAlign w:val="subscript"/>
              </w:rPr>
              <w:t>5</w:t>
            </w:r>
            <w:r>
              <w:rPr>
                <w:rFonts w:hint="default" w:ascii="Times New Roman" w:hAnsi="Times New Roman" w:eastAsia="宋体" w:cs="Times New Roman"/>
                <w:spacing w:val="11"/>
                <w:position w:val="0"/>
                <w:sz w:val="24"/>
              </w:rPr>
              <w:t>、氨氮、SS等，生活污水依托化粪池处理后用于周边耕地浇灌用肥；施工机械、车辆冲洗废水含SS和少量石油类，经洗车平台沉淀池进行沉淀处理后回用。</w:t>
            </w:r>
          </w:p>
          <w:p w14:paraId="42662900">
            <w:pPr>
              <w:spacing w:line="360" w:lineRule="auto"/>
              <w:ind w:firstLine="524" w:firstLineChars="200"/>
              <w:rPr>
                <w:rFonts w:hint="default" w:ascii="Times New Roman" w:hAnsi="Times New Roman" w:eastAsia="宋体" w:cs="Times New Roman"/>
                <w:spacing w:val="11"/>
                <w:position w:val="0"/>
                <w:sz w:val="24"/>
              </w:rPr>
            </w:pPr>
            <w:r>
              <w:rPr>
                <w:rFonts w:hint="default" w:ascii="Times New Roman" w:hAnsi="Times New Roman" w:eastAsia="宋体" w:cs="Times New Roman"/>
                <w:snapToGrid w:val="0"/>
                <w:spacing w:val="11"/>
                <w:kern w:val="0"/>
                <w:position w:val="0"/>
                <w:sz w:val="24"/>
              </w:rPr>
              <w:t>施工单位应严格执行《建设工程施工场地文明施工及环境管理暂行规定》，对排水进行组织设计，严禁乱排、污染环境。项目施工期废水在不外排的情况下对周边水体影响较小，施工废水的问题也将随着施工期的结束而消失。</w:t>
            </w:r>
            <w:r>
              <w:rPr>
                <w:rFonts w:hint="default" w:ascii="Times New Roman" w:hAnsi="Times New Roman" w:eastAsia="宋体" w:cs="Times New Roman"/>
                <w:snapToGrid w:val="0"/>
                <w:spacing w:val="11"/>
                <w:kern w:val="0"/>
                <w:position w:val="0"/>
                <w:sz w:val="24"/>
                <w:lang w:eastAsia="zh-CN"/>
              </w:rPr>
              <w:t>本</w:t>
            </w:r>
            <w:r>
              <w:rPr>
                <w:rFonts w:hint="default" w:ascii="Times New Roman" w:hAnsi="Times New Roman" w:eastAsia="宋体" w:cs="Times New Roman"/>
                <w:snapToGrid w:val="0"/>
                <w:spacing w:val="11"/>
                <w:kern w:val="0"/>
                <w:position w:val="0"/>
                <w:sz w:val="24"/>
              </w:rPr>
              <w:t>环评要求建设单位在施工期采取以下措拖：</w:t>
            </w:r>
          </w:p>
          <w:p w14:paraId="756E85C1">
            <w:pPr>
              <w:spacing w:line="360" w:lineRule="auto"/>
              <w:ind w:firstLine="524" w:firstLineChars="200"/>
              <w:rPr>
                <w:rFonts w:hint="default" w:ascii="Times New Roman" w:hAnsi="Times New Roman" w:eastAsia="宋体" w:cs="Times New Roman"/>
                <w:snapToGrid w:val="0"/>
                <w:spacing w:val="11"/>
                <w:kern w:val="0"/>
                <w:position w:val="0"/>
                <w:sz w:val="24"/>
              </w:rPr>
            </w:pPr>
            <w:r>
              <w:rPr>
                <w:rFonts w:hint="default" w:ascii="Times New Roman" w:hAnsi="Times New Roman" w:eastAsia="宋体" w:cs="Times New Roman"/>
                <w:snapToGrid w:val="0"/>
                <w:spacing w:val="11"/>
                <w:kern w:val="0"/>
                <w:position w:val="0"/>
                <w:sz w:val="24"/>
              </w:rPr>
              <w:t>（1）车辆进行集中清洗，经隔油和沉淀处理后循环使用</w:t>
            </w:r>
            <w:r>
              <w:rPr>
                <w:rFonts w:hint="default" w:ascii="Times New Roman" w:hAnsi="Times New Roman" w:eastAsia="宋体" w:cs="Times New Roman"/>
                <w:spacing w:val="11"/>
                <w:position w:val="0"/>
                <w:sz w:val="24"/>
              </w:rPr>
              <w:t>。</w:t>
            </w:r>
          </w:p>
          <w:p w14:paraId="4698F4FF">
            <w:pPr>
              <w:spacing w:line="360" w:lineRule="auto"/>
              <w:ind w:firstLine="524" w:firstLineChars="200"/>
              <w:rPr>
                <w:rFonts w:hint="default" w:ascii="Times New Roman" w:hAnsi="Times New Roman" w:eastAsia="宋体" w:cs="Times New Roman"/>
                <w:snapToGrid w:val="0"/>
                <w:spacing w:val="11"/>
                <w:kern w:val="0"/>
                <w:position w:val="0"/>
                <w:sz w:val="24"/>
                <w:highlight w:val="yellow"/>
              </w:rPr>
            </w:pPr>
            <w:r>
              <w:rPr>
                <w:rFonts w:hint="default" w:ascii="Times New Roman" w:hAnsi="Times New Roman" w:eastAsia="宋体" w:cs="Times New Roman"/>
                <w:snapToGrid w:val="0"/>
                <w:spacing w:val="11"/>
                <w:kern w:val="0"/>
                <w:position w:val="0"/>
                <w:sz w:val="24"/>
              </w:rPr>
              <w:t>（2）</w:t>
            </w:r>
            <w:r>
              <w:rPr>
                <w:rFonts w:hint="default" w:ascii="Times New Roman" w:hAnsi="Times New Roman" w:eastAsia="宋体" w:cs="Times New Roman"/>
                <w:spacing w:val="11"/>
                <w:position w:val="0"/>
                <w:sz w:val="24"/>
              </w:rPr>
              <w:t>建设方对施工场地设置必要的挡渣设施和初期雨水收集池，初期雨水经矿区雨水池沉淀后用于洒水抑尘，防止雨季产生暴雨径流带着大量的泥沙排入</w:t>
            </w:r>
            <w:r>
              <w:rPr>
                <w:rFonts w:hint="eastAsia" w:cs="Times New Roman"/>
                <w:spacing w:val="11"/>
                <w:position w:val="0"/>
                <w:sz w:val="24"/>
                <w:lang w:val="en-US" w:eastAsia="zh-CN"/>
              </w:rPr>
              <w:t>周边水环境</w:t>
            </w:r>
            <w:r>
              <w:rPr>
                <w:rFonts w:hint="default" w:ascii="Times New Roman" w:hAnsi="Times New Roman" w:eastAsia="宋体" w:cs="Times New Roman"/>
                <w:snapToGrid w:val="0"/>
                <w:spacing w:val="11"/>
                <w:kern w:val="0"/>
                <w:position w:val="0"/>
                <w:sz w:val="24"/>
              </w:rPr>
              <w:t>。</w:t>
            </w:r>
          </w:p>
          <w:p w14:paraId="5AED8906">
            <w:pPr>
              <w:adjustRightInd w:val="0"/>
              <w:snapToGrid w:val="0"/>
              <w:spacing w:line="360" w:lineRule="auto"/>
              <w:ind w:firstLine="524" w:firstLineChars="200"/>
              <w:rPr>
                <w:rFonts w:hint="default" w:ascii="Times New Roman" w:hAnsi="Times New Roman" w:eastAsia="宋体" w:cs="Times New Roman"/>
                <w:snapToGrid w:val="0"/>
                <w:spacing w:val="11"/>
                <w:kern w:val="0"/>
                <w:position w:val="0"/>
                <w:sz w:val="24"/>
              </w:rPr>
            </w:pPr>
            <w:r>
              <w:rPr>
                <w:rFonts w:hint="default" w:ascii="Times New Roman" w:hAnsi="Times New Roman" w:eastAsia="宋体" w:cs="Times New Roman"/>
                <w:snapToGrid w:val="0"/>
                <w:spacing w:val="11"/>
                <w:kern w:val="0"/>
                <w:position w:val="0"/>
                <w:sz w:val="24"/>
              </w:rPr>
              <w:t>（3）场地内</w:t>
            </w:r>
            <w:r>
              <w:rPr>
                <w:rFonts w:hint="default" w:ascii="Times New Roman" w:hAnsi="Times New Roman" w:eastAsia="宋体" w:cs="Times New Roman"/>
                <w:spacing w:val="11"/>
                <w:position w:val="0"/>
                <w:sz w:val="24"/>
              </w:rPr>
              <w:t>设置截留管沟和沉淀池收集处理各类施工生产废水，经收集处理后回用于作业场地洒水降尘</w:t>
            </w:r>
            <w:r>
              <w:rPr>
                <w:rFonts w:hint="default" w:ascii="Times New Roman" w:hAnsi="Times New Roman" w:eastAsia="宋体" w:cs="Times New Roman"/>
                <w:snapToGrid w:val="0"/>
                <w:spacing w:val="11"/>
                <w:kern w:val="0"/>
                <w:position w:val="0"/>
                <w:sz w:val="24"/>
              </w:rPr>
              <w:t>。</w:t>
            </w:r>
          </w:p>
          <w:p w14:paraId="4F76020F">
            <w:pPr>
              <w:adjustRightInd w:val="0"/>
              <w:snapToGrid w:val="0"/>
              <w:spacing w:line="360" w:lineRule="auto"/>
              <w:ind w:firstLine="524" w:firstLineChars="200"/>
              <w:rPr>
                <w:rFonts w:hint="default" w:ascii="Times New Roman" w:hAnsi="Times New Roman" w:eastAsia="宋体" w:cs="Times New Roman"/>
                <w:bCs/>
                <w:spacing w:val="11"/>
                <w:position w:val="0"/>
                <w:sz w:val="24"/>
              </w:rPr>
            </w:pPr>
            <w:r>
              <w:rPr>
                <w:rFonts w:hint="default" w:ascii="Times New Roman" w:hAnsi="Times New Roman" w:eastAsia="宋体" w:cs="Times New Roman"/>
                <w:spacing w:val="11"/>
                <w:position w:val="0"/>
                <w:sz w:val="24"/>
              </w:rPr>
              <w:t>（4）</w:t>
            </w:r>
            <w:r>
              <w:rPr>
                <w:rFonts w:hint="default" w:ascii="Times New Roman" w:hAnsi="Times New Roman" w:eastAsia="宋体" w:cs="Times New Roman"/>
                <w:bCs/>
                <w:spacing w:val="11"/>
                <w:position w:val="0"/>
                <w:sz w:val="24"/>
              </w:rPr>
              <w:t>施工人员生活污水主要是施工人员日常排放的污水，生活污水</w:t>
            </w:r>
            <w:r>
              <w:rPr>
                <w:rFonts w:hint="default" w:ascii="Times New Roman" w:hAnsi="Times New Roman" w:eastAsia="宋体" w:cs="Times New Roman"/>
                <w:spacing w:val="11"/>
                <w:position w:val="0"/>
                <w:sz w:val="24"/>
              </w:rPr>
              <w:t>依托生活区化粪池处理后用于周边耕地浇灌用肥</w:t>
            </w:r>
            <w:r>
              <w:rPr>
                <w:rFonts w:hint="default" w:ascii="Times New Roman" w:hAnsi="Times New Roman" w:eastAsia="宋体" w:cs="Times New Roman"/>
                <w:bCs/>
                <w:spacing w:val="11"/>
                <w:position w:val="0"/>
                <w:sz w:val="24"/>
              </w:rPr>
              <w:t>。</w:t>
            </w:r>
          </w:p>
          <w:p w14:paraId="018BBF1D">
            <w:pPr>
              <w:adjustRightInd w:val="0"/>
              <w:snapToGrid w:val="0"/>
              <w:spacing w:line="360" w:lineRule="auto"/>
              <w:ind w:firstLine="524" w:firstLineChars="200"/>
              <w:rPr>
                <w:rFonts w:hint="default" w:ascii="Times New Roman" w:hAnsi="Times New Roman" w:eastAsia="宋体" w:cs="Times New Roman"/>
                <w:spacing w:val="11"/>
                <w:position w:val="0"/>
                <w:sz w:val="24"/>
              </w:rPr>
            </w:pPr>
            <w:r>
              <w:rPr>
                <w:rFonts w:hint="default" w:ascii="Times New Roman" w:hAnsi="Times New Roman" w:eastAsia="宋体" w:cs="Times New Roman"/>
                <w:spacing w:val="11"/>
                <w:position w:val="0"/>
                <w:sz w:val="24"/>
              </w:rPr>
              <w:t>通过上述措施，施工期废水及雨水均可得到妥善处理，对周围环境影响较小。</w:t>
            </w:r>
          </w:p>
          <w:p w14:paraId="21AB23C2">
            <w:pPr>
              <w:adjustRightInd w:val="0"/>
              <w:snapToGrid w:val="0"/>
              <w:spacing w:line="360" w:lineRule="auto"/>
              <w:ind w:firstLine="526" w:firstLineChars="200"/>
              <w:rPr>
                <w:rFonts w:hint="default" w:ascii="Times New Roman" w:hAnsi="Times New Roman" w:eastAsia="宋体" w:cs="Times New Roman"/>
                <w:b/>
                <w:bCs/>
                <w:spacing w:val="11"/>
                <w:position w:val="0"/>
                <w:sz w:val="24"/>
              </w:rPr>
            </w:pPr>
            <w:r>
              <w:rPr>
                <w:rFonts w:hint="default" w:ascii="Times New Roman" w:hAnsi="Times New Roman" w:eastAsia="宋体" w:cs="Times New Roman"/>
                <w:b/>
                <w:bCs/>
                <w:spacing w:val="11"/>
                <w:position w:val="0"/>
                <w:sz w:val="24"/>
              </w:rPr>
              <w:t>3、施工期声环境影响分析</w:t>
            </w:r>
          </w:p>
          <w:p w14:paraId="7FE13018">
            <w:pPr>
              <w:adjustRightInd w:val="0"/>
              <w:snapToGrid w:val="0"/>
              <w:spacing w:line="360" w:lineRule="auto"/>
              <w:ind w:firstLine="524" w:firstLineChars="200"/>
              <w:rPr>
                <w:rFonts w:hint="default" w:ascii="Times New Roman" w:hAnsi="Times New Roman" w:eastAsia="宋体" w:cs="Times New Roman"/>
                <w:spacing w:val="11"/>
                <w:position w:val="0"/>
                <w:sz w:val="24"/>
              </w:rPr>
            </w:pPr>
            <w:r>
              <w:rPr>
                <w:rFonts w:hint="default" w:ascii="Times New Roman" w:hAnsi="Times New Roman" w:eastAsia="宋体" w:cs="Times New Roman"/>
                <w:spacing w:val="11"/>
                <w:position w:val="0"/>
                <w:sz w:val="24"/>
              </w:rPr>
              <w:t>项目施工噪声主要来自于施工机械噪声和施工运输车辆的流动噪声。</w:t>
            </w:r>
          </w:p>
          <w:p w14:paraId="420726AD">
            <w:pPr>
              <w:adjustRightInd w:val="0"/>
              <w:snapToGrid w:val="0"/>
              <w:spacing w:line="360" w:lineRule="auto"/>
              <w:ind w:firstLine="524" w:firstLineChars="200"/>
              <w:rPr>
                <w:rFonts w:hint="default" w:ascii="Times New Roman" w:hAnsi="Times New Roman" w:eastAsia="宋体" w:cs="Times New Roman"/>
                <w:spacing w:val="11"/>
                <w:position w:val="0"/>
                <w:sz w:val="24"/>
              </w:rPr>
            </w:pPr>
            <w:r>
              <w:rPr>
                <w:rFonts w:hint="default" w:ascii="Times New Roman" w:hAnsi="Times New Roman" w:eastAsia="宋体" w:cs="Times New Roman"/>
                <w:spacing w:val="11"/>
                <w:position w:val="0"/>
                <w:sz w:val="24"/>
              </w:rPr>
              <w:t>由于施工机械多在露天作业，噪声传播远，影响范围大但有时段性；施工结束后，其噪声影响也将随之消失。</w:t>
            </w:r>
          </w:p>
          <w:p w14:paraId="14048BD2">
            <w:pPr>
              <w:adjustRightInd w:val="0"/>
              <w:snapToGrid w:val="0"/>
              <w:spacing w:line="360" w:lineRule="auto"/>
              <w:ind w:firstLine="524" w:firstLineChars="200"/>
              <w:rPr>
                <w:rFonts w:hint="default" w:ascii="Times New Roman" w:hAnsi="Times New Roman" w:eastAsia="宋体" w:cs="Times New Roman"/>
                <w:spacing w:val="11"/>
                <w:position w:val="0"/>
                <w:sz w:val="24"/>
              </w:rPr>
            </w:pPr>
            <w:r>
              <w:rPr>
                <w:rFonts w:hint="default" w:ascii="Times New Roman" w:hAnsi="Times New Roman" w:eastAsia="宋体" w:cs="Times New Roman"/>
                <w:color w:val="000000"/>
                <w:spacing w:val="11"/>
                <w:position w:val="0"/>
                <w:sz w:val="24"/>
              </w:rPr>
              <w:t>本项目排土场、工业广场、矿山道路各施工区常见的施工机械有：挖掘机、装载机、运输车辆等，其噪声级在85～90dB（A），各种施工机械噪声在距施工点50m内的噪声级较大，尤其是部分强噪声机械对环境噪声的影响明显，其噪声级达81～96dB（A），对环境噪声质量可形成较明显的影响；但随着距离的加大，均有明显的衰减，至200m处的噪声贡献值一般在50dB（A）以下。本项目施工噪声对</w:t>
            </w:r>
            <w:r>
              <w:rPr>
                <w:rFonts w:hint="eastAsia" w:cs="Times New Roman"/>
                <w:color w:val="000000"/>
                <w:spacing w:val="11"/>
                <w:position w:val="0"/>
                <w:sz w:val="24"/>
                <w:lang w:val="en-US" w:eastAsia="zh-CN"/>
              </w:rPr>
              <w:t>周边环境</w:t>
            </w:r>
            <w:r>
              <w:rPr>
                <w:rFonts w:hint="default" w:ascii="Times New Roman" w:hAnsi="Times New Roman" w:eastAsia="宋体" w:cs="Times New Roman"/>
                <w:color w:val="000000"/>
                <w:spacing w:val="11"/>
                <w:position w:val="0"/>
                <w:sz w:val="24"/>
              </w:rPr>
              <w:t>产生</w:t>
            </w:r>
            <w:r>
              <w:rPr>
                <w:rFonts w:hint="eastAsia" w:cs="Times New Roman"/>
                <w:color w:val="000000"/>
                <w:spacing w:val="11"/>
                <w:position w:val="0"/>
                <w:sz w:val="24"/>
                <w:lang w:val="en-US" w:eastAsia="zh-CN"/>
              </w:rPr>
              <w:t>的</w:t>
            </w:r>
            <w:r>
              <w:rPr>
                <w:rFonts w:hint="default" w:ascii="Times New Roman" w:hAnsi="Times New Roman" w:eastAsia="宋体" w:cs="Times New Roman"/>
                <w:color w:val="000000"/>
                <w:spacing w:val="11"/>
                <w:position w:val="0"/>
                <w:sz w:val="24"/>
              </w:rPr>
              <w:t>不利影响有限，通过选用低噪设备、设置隔声间及声屏障、严控作息等措施后，项目施工对周</w:t>
            </w:r>
            <w:r>
              <w:rPr>
                <w:rFonts w:hint="default" w:ascii="Times New Roman" w:hAnsi="Times New Roman" w:eastAsia="宋体" w:cs="Times New Roman"/>
                <w:spacing w:val="11"/>
                <w:position w:val="0"/>
                <w:sz w:val="24"/>
              </w:rPr>
              <w:t>边影响可得到有效降低，对其影响不大。</w:t>
            </w:r>
          </w:p>
          <w:p w14:paraId="55442BFB">
            <w:pPr>
              <w:adjustRightInd w:val="0"/>
              <w:snapToGrid w:val="0"/>
              <w:spacing w:line="360" w:lineRule="auto"/>
              <w:ind w:firstLine="526" w:firstLineChars="200"/>
              <w:rPr>
                <w:rFonts w:hint="default" w:ascii="Times New Roman" w:hAnsi="Times New Roman" w:eastAsia="宋体" w:cs="Times New Roman"/>
                <w:b/>
                <w:bCs/>
                <w:spacing w:val="11"/>
                <w:position w:val="0"/>
                <w:sz w:val="24"/>
              </w:rPr>
            </w:pPr>
            <w:r>
              <w:rPr>
                <w:rFonts w:hint="default" w:ascii="Times New Roman" w:hAnsi="Times New Roman" w:eastAsia="宋体" w:cs="Times New Roman"/>
                <w:b/>
                <w:bCs/>
                <w:spacing w:val="11"/>
                <w:position w:val="0"/>
                <w:sz w:val="24"/>
              </w:rPr>
              <w:t>4、施工期固体废物环境影响分析</w:t>
            </w:r>
          </w:p>
          <w:p w14:paraId="3BE7E656">
            <w:pPr>
              <w:adjustRightInd w:val="0"/>
              <w:snapToGrid w:val="0"/>
              <w:spacing w:line="360" w:lineRule="auto"/>
              <w:ind w:firstLine="524" w:firstLineChars="200"/>
              <w:rPr>
                <w:rFonts w:hint="default" w:ascii="Times New Roman" w:hAnsi="Times New Roman" w:eastAsia="宋体" w:cs="Times New Roman"/>
                <w:color w:val="000000"/>
                <w:spacing w:val="11"/>
                <w:position w:val="0"/>
                <w:sz w:val="24"/>
              </w:rPr>
            </w:pPr>
            <w:r>
              <w:rPr>
                <w:rFonts w:hint="default" w:ascii="Times New Roman" w:hAnsi="Times New Roman" w:eastAsia="宋体" w:cs="Times New Roman"/>
                <w:color w:val="000000"/>
                <w:spacing w:val="11"/>
                <w:position w:val="0"/>
                <w:sz w:val="24"/>
              </w:rPr>
              <w:t>本项目施工期产生的表层土壤、弃土及乔灌木杂草等临时堆存于排土场用于后期复垦，石方堆存于临时堆存区后期用作加工碎石、机制砂的原料；施工产生的土石方基本可以在场区平衡，不需外运处理，多余的进行妥善保管，堆放于排土场内，并进行覆盖，防止扬尘污染及水土流失，用于闭矿期复垦绿化；乔灌木杂草交由当地村民处理，可得到综合利用。</w:t>
            </w:r>
            <w:r>
              <w:rPr>
                <w:rFonts w:hint="default" w:ascii="Times New Roman" w:hAnsi="Times New Roman" w:eastAsia="宋体" w:cs="Times New Roman"/>
                <w:spacing w:val="11"/>
                <w:position w:val="0"/>
                <w:sz w:val="24"/>
              </w:rPr>
              <w:t>施工期施工人员产生的生活垃圾经袋装收集、集中暂存，送村垃圾收集点后由环卫部门统一进行处理。</w:t>
            </w:r>
            <w:r>
              <w:rPr>
                <w:rFonts w:hint="default" w:ascii="Times New Roman" w:hAnsi="Times New Roman" w:eastAsia="宋体" w:cs="Times New Roman"/>
                <w:color w:val="000000"/>
                <w:spacing w:val="11"/>
                <w:position w:val="0"/>
                <w:sz w:val="24"/>
              </w:rPr>
              <w:t>对周围环境影响较小。</w:t>
            </w:r>
          </w:p>
          <w:p w14:paraId="253BE4DE">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hint="default" w:ascii="Times New Roman" w:hAnsi="Times New Roman" w:eastAsia="宋体" w:cs="Times New Roman"/>
                <w:b/>
                <w:bCs/>
                <w:spacing w:val="11"/>
                <w:position w:val="0"/>
                <w:sz w:val="24"/>
              </w:rPr>
            </w:pPr>
            <w:r>
              <w:rPr>
                <w:rFonts w:hint="default" w:ascii="Times New Roman" w:hAnsi="Times New Roman" w:eastAsia="宋体" w:cs="Times New Roman"/>
                <w:b/>
                <w:bCs/>
                <w:spacing w:val="11"/>
                <w:position w:val="0"/>
                <w:sz w:val="24"/>
              </w:rPr>
              <w:t>5、施工期生态环境影响分析</w:t>
            </w:r>
          </w:p>
          <w:p w14:paraId="521F9ABA">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项目用地在建设过程中，会扰动表土结构，破坏场地原有地貌和植被，造成部分土地裸露，导致不同程度的土壤侵蚀、水土流失现象。这种现象尤其是在雨季或暴雨天气会变得更为突出。主要是项目建设时场地平整、施工车辆往来频繁，将造成表土流失。</w:t>
            </w:r>
          </w:p>
          <w:p w14:paraId="4591C794">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（1）施工期对动植物的影响</w:t>
            </w:r>
          </w:p>
          <w:p w14:paraId="38B1159D">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①对植被和植物的影响分析</w:t>
            </w:r>
          </w:p>
          <w:p w14:paraId="603F178B">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项目开采区所在区植物覆盖率较好，无国家和地方重点保护野生植物分布。项目生活办公区</w:t>
            </w:r>
            <w:r>
              <w:rPr>
                <w:rFonts w:hint="eastAsia" w:cs="Times New Roman"/>
                <w:color w:val="000000"/>
                <w:spacing w:val="11"/>
                <w:position w:val="0"/>
                <w:sz w:val="24"/>
                <w:szCs w:val="24"/>
                <w:u w:val="none" w:color="auto"/>
                <w:lang w:val="en-US" w:eastAsia="zh-CN"/>
              </w:rPr>
              <w:t>、破碎加工车间</w:t>
            </w:r>
            <w:r>
              <w:rPr>
                <w:rFonts w:hint="default" w:ascii="Times New Roman" w:hAnsi="Times New Roman" w:eastAsia="宋体" w:cs="Times New Roman"/>
                <w:color w:val="000000"/>
                <w:spacing w:val="11"/>
                <w:position w:val="0"/>
                <w:sz w:val="24"/>
                <w:szCs w:val="24"/>
                <w:u w:val="none" w:color="auto"/>
                <w:lang w:val="en-US" w:eastAsia="zh-CN"/>
              </w:rPr>
              <w:t>、矿山公路、截排水沟、</w:t>
            </w:r>
            <w:r>
              <w:rPr>
                <w:rFonts w:hint="eastAsia" w:cs="Times New Roman"/>
                <w:color w:val="000000"/>
                <w:spacing w:val="11"/>
                <w:position w:val="0"/>
                <w:sz w:val="24"/>
                <w:szCs w:val="24"/>
                <w:u w:val="none" w:color="auto"/>
                <w:lang w:val="en-US" w:eastAsia="zh-CN"/>
              </w:rPr>
              <w:t>沉淀池、</w:t>
            </w:r>
            <w:r>
              <w:rPr>
                <w:rFonts w:hint="default" w:ascii="Times New Roman" w:hAnsi="Times New Roman" w:eastAsia="宋体" w:cs="Times New Roman"/>
                <w:color w:val="000000"/>
                <w:spacing w:val="11"/>
                <w:position w:val="0"/>
                <w:sz w:val="24"/>
                <w:szCs w:val="24"/>
                <w:u w:val="none" w:color="auto"/>
                <w:lang w:val="en-US" w:eastAsia="zh-CN"/>
              </w:rPr>
              <w:t>排土场的修建对地表植被的破坏主要表现在建设过程中对原有的地表进行清理平整过程中对现有的地表植被进行清理，导致原有地表植被不复存在。</w:t>
            </w:r>
          </w:p>
          <w:p w14:paraId="4F0AEB13">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项目施工中过程，运输车辆产生的扬尘，会对周围植物的生长带来直接的影响。这些尘土降落到植物的叶面上，会堵塞毛孔，影响植物的光合作用，从而使之生长减缓甚至死去。另外，原材料的堆放还会污染土壤，从而间接影响植物的生长。</w:t>
            </w:r>
          </w:p>
          <w:p w14:paraId="697295EC">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②对动物的影响分析</w:t>
            </w:r>
          </w:p>
          <w:p w14:paraId="210E792E">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工程对野生动物的影响主要表现在施工占地和开挖对生境的破坏，以及施工机械噪声的干扰等。项目施工期产生的噪声将使当地动物产生避让、惊扰等，从而对当地动物捕食、繁殖、迁徙、生理性休眠等行为造成一定影响但在距离施工区域较远的区域，这些动物又将重新相对集中分布，且随施工结束，这些动物可能会逐渐回到原有生境。同时施工期扬尘、汽车尾气、发电机燃油废气等将一定程度改变影响区域大气化学成分，影响区域内动物化学信息反应，对动物捕食、回避、求偶等行为造成影响。项目施工期产生的粉尘、废气影响范围有限，且该影响将随着施工作业结束而停止。</w:t>
            </w:r>
          </w:p>
          <w:p w14:paraId="16E32DDE">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（2）对土地利用的影响</w:t>
            </w:r>
          </w:p>
          <w:p w14:paraId="50EEA169">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施工期对土地的占用，改变了土地利用性质，使评价范围植被覆盖率下降，林地面积减少，耕地利用压力增大；工业广场的开挖、排土场等的施工，破坏了地表植被和地形、地貌，而这些变化若是路基占用部分，则是永久无法恢复的；该项目的施工、建设，在一定时段和一定区域将造成水土流失，土壤肥力和团粒结构发生改变；工程活动打破了原有的自然生态和环境，还会对对评价区的动植物的生长、分布、栖息和活动产生一定不利的影响。</w:t>
            </w:r>
          </w:p>
          <w:p w14:paraId="3F5DB565">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项目区土地利用类型主要为有林地，项目区受人为干扰较少，土地利用现状基本保持原始林地状态。</w:t>
            </w:r>
          </w:p>
          <w:p w14:paraId="3665909E">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项目工程占地为临时占地，不涉及永久占地。本项目施工建设占地考虑了占地最小、扰动地表最少的原则，使项目建设对原地表、植被影响降到了最低。</w:t>
            </w:r>
          </w:p>
          <w:p w14:paraId="1F3FFF18">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本次环评要求建设单位边开采，边复垦，在保证排土场容积能满足产生废弃表土及废石的产生速率的同时，也能在一定程度上减缓影响，恢复部分景观。在矿山闭矿期，严格按照《湖南省新田县文锋岭矿区建筑石料用灰岩矿矿山生态保护修复方案》中的相关措施后，不影响矿区生态系统的生态功能。</w:t>
            </w:r>
          </w:p>
          <w:p w14:paraId="369EF49E">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总体说来，本工程的施工将带来人为活动增多、施工噪声增加与废水废气污染增多等弊端，使得评价区兽类生活环境有所缩减，兽类会迁移到附近相似的生境栖息。</w:t>
            </w:r>
          </w:p>
          <w:p w14:paraId="11ECD021">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（3）水土流失影响分析</w:t>
            </w:r>
          </w:p>
          <w:p w14:paraId="21A03AD4">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项目的实施在一定程度上改变、破坏原有地面的土壤结构，不同程度上对原有水土保持功能造成了损坏，根据现场勘查结果，项目建设期未对周围环境造成较大破坏，要求建设单位积极落实水保措施，避免造成大规模水土流失现象。</w:t>
            </w:r>
          </w:p>
          <w:p w14:paraId="2D754AA3">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lang w:val="en-US" w:eastAsia="zh-CN"/>
              </w:rPr>
              <w:t>（4）建设单位</w:t>
            </w:r>
            <w:r>
              <w:rPr>
                <w:rFonts w:hint="default" w:ascii="Times New Roman" w:hAnsi="Times New Roman" w:eastAsia="宋体" w:cs="Times New Roman"/>
                <w:color w:val="000000"/>
                <w:spacing w:val="11"/>
                <w:position w:val="0"/>
                <w:sz w:val="24"/>
                <w:szCs w:val="24"/>
                <w:u w:val="none" w:color="auto"/>
              </w:rPr>
              <w:t>拟采取</w:t>
            </w:r>
            <w:r>
              <w:rPr>
                <w:rFonts w:hint="default" w:ascii="Times New Roman" w:hAnsi="Times New Roman" w:eastAsia="宋体" w:cs="Times New Roman"/>
                <w:color w:val="000000"/>
                <w:spacing w:val="11"/>
                <w:position w:val="0"/>
                <w:sz w:val="24"/>
                <w:szCs w:val="24"/>
                <w:u w:val="none" w:color="auto"/>
                <w:lang w:val="en-US" w:eastAsia="zh-CN"/>
              </w:rPr>
              <w:t>的</w:t>
            </w:r>
            <w:r>
              <w:rPr>
                <w:rFonts w:hint="default" w:ascii="Times New Roman" w:hAnsi="Times New Roman" w:eastAsia="宋体" w:cs="Times New Roman"/>
                <w:color w:val="000000"/>
                <w:spacing w:val="11"/>
                <w:position w:val="0"/>
                <w:sz w:val="24"/>
                <w:szCs w:val="24"/>
                <w:u w:val="none" w:color="auto"/>
              </w:rPr>
              <w:t>防治措施</w:t>
            </w:r>
          </w:p>
          <w:p w14:paraId="682290EF">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①在设计过程中因地制宜，利用当地地形高差营造错落的层次感，作好挖方和填方的平衡，尽量减少土石方开挖量，减少渣土的运出量；</w:t>
            </w:r>
          </w:p>
          <w:p w14:paraId="41A9868D">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②施工期会剥离</w:t>
            </w:r>
            <w:r>
              <w:rPr>
                <w:rFonts w:hint="default" w:ascii="Times New Roman" w:hAnsi="Times New Roman" w:eastAsia="宋体" w:cs="Times New Roman"/>
                <w:color w:val="000000"/>
                <w:spacing w:val="11"/>
                <w:position w:val="0"/>
                <w:sz w:val="24"/>
                <w:szCs w:val="24"/>
                <w:u w:val="none" w:color="auto"/>
                <w:lang w:val="en-US" w:eastAsia="zh-CN"/>
              </w:rPr>
              <w:t>一些</w:t>
            </w:r>
            <w:r>
              <w:rPr>
                <w:rFonts w:hint="default" w:ascii="Times New Roman" w:hAnsi="Times New Roman" w:eastAsia="宋体" w:cs="Times New Roman"/>
                <w:color w:val="000000"/>
                <w:spacing w:val="11"/>
                <w:position w:val="0"/>
                <w:sz w:val="24"/>
                <w:szCs w:val="24"/>
                <w:u w:val="none" w:color="auto"/>
              </w:rPr>
              <w:t>表土，对这部分表层种植土需要做好堆放及临时防护工作，以备植被恢复之用；</w:t>
            </w:r>
          </w:p>
          <w:p w14:paraId="31483C34">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③对开挖裸露面等要及时恢复植被，开挖面上进行绿化处理，并尽量回栽原有可用树木；</w:t>
            </w:r>
          </w:p>
          <w:p w14:paraId="6309E3E7">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④临时堆放场要设置围墙，做好防护工作，以减少水土流失；</w:t>
            </w:r>
          </w:p>
          <w:p w14:paraId="5D6B457E">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⑤雨季施工时，应备有工程工布覆盖，防止汛期造成水土大量流失，平时尽量保持表面平整，减少雨水冲刷；</w:t>
            </w:r>
          </w:p>
          <w:p w14:paraId="4A9A0D8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Cs/>
                <w:color w:val="auto"/>
                <w:spacing w:val="11"/>
                <w:position w:val="0"/>
                <w:sz w:val="24"/>
                <w:szCs w:val="24"/>
              </w:rPr>
            </w:pPr>
            <w:r>
              <w:rPr>
                <w:rFonts w:hint="default" w:ascii="Times New Roman" w:hAnsi="Times New Roman" w:eastAsia="宋体" w:cs="Times New Roman"/>
                <w:color w:val="000000"/>
                <w:spacing w:val="11"/>
                <w:position w:val="0"/>
                <w:sz w:val="24"/>
                <w:szCs w:val="24"/>
                <w:u w:val="none" w:color="auto"/>
              </w:rPr>
              <w:t>一般来说，在采取上述水土保持措施</w:t>
            </w:r>
            <w:r>
              <w:rPr>
                <w:rFonts w:hint="default" w:ascii="Times New Roman" w:hAnsi="Times New Roman" w:eastAsia="宋体" w:cs="Times New Roman"/>
                <w:color w:val="000000"/>
                <w:spacing w:val="11"/>
                <w:position w:val="0"/>
                <w:sz w:val="24"/>
                <w:szCs w:val="24"/>
                <w:u w:val="none" w:color="auto"/>
                <w:lang w:eastAsia="zh-CN"/>
              </w:rPr>
              <w:t>后</w:t>
            </w:r>
            <w:r>
              <w:rPr>
                <w:rFonts w:hint="default" w:ascii="Times New Roman" w:hAnsi="Times New Roman" w:eastAsia="宋体" w:cs="Times New Roman"/>
                <w:color w:val="000000"/>
                <w:spacing w:val="11"/>
                <w:position w:val="0"/>
                <w:sz w:val="24"/>
                <w:szCs w:val="24"/>
                <w:u w:val="none" w:color="auto"/>
              </w:rPr>
              <w:t>，水土流失强度和年均水土流失总量将有极大的下降</w:t>
            </w:r>
            <w:r>
              <w:rPr>
                <w:rFonts w:hint="default" w:ascii="Times New Roman" w:hAnsi="Times New Roman" w:eastAsia="宋体" w:cs="Times New Roman"/>
                <w:color w:val="000000"/>
                <w:spacing w:val="11"/>
                <w:position w:val="0"/>
                <w:sz w:val="24"/>
                <w:szCs w:val="24"/>
                <w:u w:val="none" w:color="auto"/>
                <w:lang w:eastAsia="zh-CN"/>
              </w:rPr>
              <w:t>，</w:t>
            </w:r>
            <w:r>
              <w:rPr>
                <w:rFonts w:hint="default" w:ascii="Times New Roman" w:hAnsi="Times New Roman" w:eastAsia="宋体" w:cs="Times New Roman"/>
                <w:color w:val="000000"/>
                <w:spacing w:val="11"/>
                <w:position w:val="0"/>
                <w:sz w:val="24"/>
                <w:szCs w:val="24"/>
                <w:u w:val="none" w:color="auto"/>
                <w:lang w:val="en-US" w:eastAsia="zh-CN"/>
              </w:rPr>
              <w:t>故在加以预防后，不会对生态环境造成明显影响。</w:t>
            </w:r>
          </w:p>
        </w:tc>
      </w:tr>
      <w:tr w14:paraId="390AD1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pct"/>
            <w:tcBorders>
              <w:tl2br w:val="nil"/>
              <w:tr2bl w:val="nil"/>
            </w:tcBorders>
            <w:noWrap w:val="0"/>
            <w:tcMar>
              <w:left w:w="28" w:type="dxa"/>
              <w:right w:w="28" w:type="dxa"/>
            </w:tcMar>
            <w:vAlign w:val="center"/>
          </w:tcPr>
          <w:p w14:paraId="1D56EEE5">
            <w:pPr>
              <w:pStyle w:val="28"/>
              <w:keepNext w:val="0"/>
              <w:keepLines w:val="0"/>
              <w:pageBreakBefore w:val="0"/>
              <w:widowControl/>
              <w:kinsoku/>
              <w:wordWrap/>
              <w:overflowPunct/>
              <w:topLinePunct w:val="0"/>
              <w:autoSpaceDE/>
              <w:autoSpaceDN/>
              <w:bidi w:val="0"/>
              <w:adjustRightInd w:val="0"/>
              <w:snapToGrid w:val="0"/>
              <w:spacing w:before="157" w:beforeLines="50" w:beforeAutospacing="0" w:after="0" w:afterAutospacing="0" w:line="360" w:lineRule="auto"/>
              <w:ind w:right="0"/>
              <w:jc w:val="center"/>
              <w:textAlignment w:val="auto"/>
              <w:rPr>
                <w:rFonts w:hint="default" w:ascii="Times New Roman" w:hAnsi="Times New Roman" w:eastAsia="宋体" w:cs="Times New Roman"/>
                <w:bCs/>
                <w:color w:val="auto"/>
                <w:spacing w:val="11"/>
                <w:kern w:val="2"/>
                <w:position w:val="0"/>
                <w:sz w:val="24"/>
                <w:szCs w:val="24"/>
                <w:u w:val="none" w:color="auto"/>
              </w:rPr>
            </w:pPr>
            <w:r>
              <w:rPr>
                <w:rFonts w:hint="default" w:ascii="Times New Roman" w:hAnsi="Times New Roman" w:eastAsia="宋体" w:cs="Times New Roman"/>
                <w:bCs/>
                <w:color w:val="000000"/>
                <w:spacing w:val="11"/>
                <w:kern w:val="2"/>
                <w:position w:val="0"/>
                <w:sz w:val="24"/>
                <w:szCs w:val="24"/>
                <w:u w:val="none" w:color="auto"/>
              </w:rPr>
              <w:t>运营期生态环境影响分析</w:t>
            </w:r>
          </w:p>
        </w:tc>
        <w:tc>
          <w:tcPr>
            <w:tcW w:w="4579" w:type="pct"/>
            <w:tcBorders>
              <w:tl2br w:val="nil"/>
              <w:tr2bl w:val="nil"/>
            </w:tcBorders>
            <w:noWrap w:val="0"/>
            <w:vAlign w:val="top"/>
          </w:tcPr>
          <w:p w14:paraId="24A884D6">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526" w:firstLineChars="200"/>
              <w:jc w:val="both"/>
              <w:textAlignment w:val="auto"/>
              <w:rPr>
                <w:rFonts w:hint="default" w:ascii="Times New Roman" w:hAnsi="Times New Roman" w:eastAsia="宋体" w:cs="Times New Roman"/>
                <w:b/>
                <w:snapToGrid w:val="0"/>
                <w:color w:val="000000"/>
                <w:spacing w:val="11"/>
                <w:kern w:val="0"/>
                <w:position w:val="0"/>
                <w:sz w:val="24"/>
                <w:szCs w:val="24"/>
                <w:u w:val="none" w:color="auto"/>
              </w:rPr>
            </w:pPr>
            <w:r>
              <w:rPr>
                <w:rFonts w:hint="default" w:ascii="Times New Roman" w:hAnsi="Times New Roman" w:eastAsia="宋体" w:cs="Times New Roman"/>
                <w:b/>
                <w:snapToGrid w:val="0"/>
                <w:color w:val="000000"/>
                <w:spacing w:val="11"/>
                <w:kern w:val="0"/>
                <w:position w:val="0"/>
                <w:sz w:val="24"/>
                <w:szCs w:val="24"/>
                <w:u w:val="none" w:color="auto"/>
              </w:rPr>
              <w:t>1、废水</w:t>
            </w:r>
          </w:p>
          <w:p w14:paraId="232BEC6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color w:val="000000"/>
                <w:spacing w:val="11"/>
                <w:position w:val="0"/>
                <w:sz w:val="24"/>
                <w:szCs w:val="24"/>
                <w:highlight w:val="none"/>
                <w:u w:val="none" w:color="auto"/>
                <w:lang w:val="en-US" w:eastAsia="zh-CN"/>
              </w:rPr>
            </w:pPr>
            <w:r>
              <w:rPr>
                <w:rFonts w:hint="default" w:ascii="Times New Roman" w:hAnsi="Times New Roman" w:eastAsia="宋体" w:cs="Times New Roman"/>
                <w:color w:val="000000"/>
                <w:spacing w:val="11"/>
                <w:position w:val="0"/>
                <w:sz w:val="24"/>
                <w:szCs w:val="24"/>
                <w:highlight w:val="none"/>
                <w:u w:val="none" w:color="auto"/>
                <w:lang w:val="en-US" w:eastAsia="zh-CN"/>
              </w:rPr>
              <w:t>本项目废水包括生活污水、车辆清洗废水、洗砂废水和初期雨水。</w:t>
            </w:r>
          </w:p>
          <w:p w14:paraId="46C0439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none" w:color="auto"/>
                <w:lang w:val="en-US" w:eastAsia="zh-CN"/>
              </w:rPr>
            </w:pPr>
            <w:r>
              <w:rPr>
                <w:rFonts w:hint="default" w:ascii="Times New Roman" w:hAnsi="Times New Roman" w:eastAsia="宋体" w:cs="Times New Roman"/>
                <w:b w:val="0"/>
                <w:bCs w:val="0"/>
                <w:color w:val="000000"/>
                <w:spacing w:val="11"/>
                <w:position w:val="0"/>
                <w:sz w:val="24"/>
                <w:szCs w:val="24"/>
                <w:u w:val="none" w:color="auto"/>
                <w:lang w:val="en-US" w:eastAsia="zh-CN"/>
              </w:rPr>
              <w:t>（1）穿孔冷却水</w:t>
            </w:r>
          </w:p>
          <w:p w14:paraId="7CEB74C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none" w:color="auto"/>
                <w:lang w:val="en-US" w:eastAsia="zh-CN"/>
              </w:rPr>
            </w:pPr>
            <w:r>
              <w:rPr>
                <w:rFonts w:hint="default" w:ascii="Times New Roman" w:hAnsi="Times New Roman" w:eastAsia="宋体" w:cs="Times New Roman"/>
                <w:b w:val="0"/>
                <w:bCs w:val="0"/>
                <w:color w:val="000000"/>
                <w:spacing w:val="11"/>
                <w:position w:val="0"/>
                <w:sz w:val="24"/>
                <w:szCs w:val="24"/>
                <w:u w:val="none" w:color="auto"/>
                <w:lang w:val="en-US" w:eastAsia="zh-CN"/>
              </w:rPr>
              <w:t>潜孔钻机在工作时钻头与岩石摩擦会产生大量热量，需进行水冷，否则钻头会因温度升高而损坏。钻机耗水量为8~12L/分钟，本次环评取最大值12L/分钟。本工程穿孔有效工作时间以4h/d计，钻机耗水量为2.88m</w:t>
            </w:r>
            <w:r>
              <w:rPr>
                <w:rFonts w:hint="default" w:ascii="Times New Roman" w:hAnsi="Times New Roman" w:eastAsia="宋体" w:cs="Times New Roman"/>
                <w:b w:val="0"/>
                <w:bCs w:val="0"/>
                <w:color w:val="000000"/>
                <w:spacing w:val="11"/>
                <w:position w:val="0"/>
                <w:sz w:val="24"/>
                <w:szCs w:val="24"/>
                <w:u w:val="non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none" w:color="auto"/>
                <w:lang w:val="en-US" w:eastAsia="zh-CN"/>
              </w:rPr>
              <w:t>/d</w:t>
            </w:r>
            <w:r>
              <w:rPr>
                <w:rFonts w:hint="eastAsia" w:cs="Times New Roman"/>
                <w:b w:val="0"/>
                <w:bCs w:val="0"/>
                <w:color w:val="000000"/>
                <w:spacing w:val="11"/>
                <w:position w:val="0"/>
                <w:sz w:val="24"/>
                <w:szCs w:val="24"/>
                <w:u w:val="none" w:color="auto"/>
                <w:lang w:val="en-US" w:eastAsia="zh-CN"/>
              </w:rPr>
              <w:t>（</w:t>
            </w:r>
            <w:r>
              <w:rPr>
                <w:rFonts w:hint="default" w:ascii="Times New Roman" w:hAnsi="Times New Roman" w:eastAsia="宋体" w:cs="Times New Roman"/>
                <w:b w:val="0"/>
                <w:bCs w:val="0"/>
                <w:color w:val="000000"/>
                <w:spacing w:val="11"/>
                <w:position w:val="0"/>
                <w:sz w:val="24"/>
                <w:szCs w:val="24"/>
                <w:u w:val="none" w:color="auto"/>
                <w:lang w:val="en-US" w:eastAsia="zh-CN"/>
              </w:rPr>
              <w:t>864m</w:t>
            </w:r>
            <w:r>
              <w:rPr>
                <w:rFonts w:hint="default" w:ascii="Times New Roman" w:hAnsi="Times New Roman" w:eastAsia="宋体" w:cs="Times New Roman"/>
                <w:b w:val="0"/>
                <w:bCs w:val="0"/>
                <w:color w:val="000000"/>
                <w:spacing w:val="11"/>
                <w:position w:val="0"/>
                <w:sz w:val="24"/>
                <w:szCs w:val="24"/>
                <w:u w:val="non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none" w:color="auto"/>
                <w:lang w:val="en-US" w:eastAsia="zh-CN"/>
              </w:rPr>
              <w:t>/a</w:t>
            </w:r>
            <w:r>
              <w:rPr>
                <w:rFonts w:hint="eastAsia" w:cs="Times New Roman"/>
                <w:b w:val="0"/>
                <w:bCs w:val="0"/>
                <w:color w:val="000000"/>
                <w:spacing w:val="11"/>
                <w:position w:val="0"/>
                <w:sz w:val="24"/>
                <w:szCs w:val="24"/>
                <w:u w:val="none" w:color="auto"/>
                <w:lang w:val="en-US" w:eastAsia="zh-CN"/>
              </w:rPr>
              <w:t>）</w:t>
            </w:r>
            <w:r>
              <w:rPr>
                <w:rFonts w:hint="default" w:ascii="Times New Roman" w:hAnsi="Times New Roman" w:eastAsia="宋体" w:cs="Times New Roman"/>
                <w:b w:val="0"/>
                <w:bCs w:val="0"/>
                <w:color w:val="000000"/>
                <w:spacing w:val="11"/>
                <w:position w:val="0"/>
                <w:sz w:val="24"/>
                <w:szCs w:val="24"/>
                <w:u w:val="none" w:color="auto"/>
                <w:lang w:val="en-US" w:eastAsia="zh-CN"/>
              </w:rPr>
              <w:t>。废水中污染物主要有SS，采石场由于开采位置不固定，该部分废水难以回收，而直接经石缝等渗漏、蒸发损失，实际排放量不大，影响极小。</w:t>
            </w:r>
          </w:p>
          <w:p w14:paraId="793C6FD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none" w:color="auto"/>
                <w:lang w:val="en-US" w:eastAsia="zh-CN"/>
              </w:rPr>
            </w:pPr>
            <w:r>
              <w:rPr>
                <w:rFonts w:hint="default" w:ascii="Times New Roman" w:hAnsi="Times New Roman" w:eastAsia="宋体" w:cs="Times New Roman"/>
                <w:b w:val="0"/>
                <w:bCs w:val="0"/>
                <w:color w:val="000000"/>
                <w:spacing w:val="11"/>
                <w:position w:val="0"/>
                <w:sz w:val="24"/>
                <w:szCs w:val="24"/>
                <w:u w:val="none" w:color="auto"/>
                <w:lang w:val="en-US" w:eastAsia="zh-CN"/>
              </w:rPr>
              <w:t>（2）抑尘用水</w:t>
            </w:r>
          </w:p>
          <w:p w14:paraId="0E5F968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none" w:color="auto"/>
                <w:lang w:val="en-US" w:eastAsia="zh-CN"/>
              </w:rPr>
            </w:pPr>
            <w:r>
              <w:rPr>
                <w:rFonts w:hint="default" w:ascii="Times New Roman" w:hAnsi="Times New Roman" w:eastAsia="宋体" w:cs="Times New Roman"/>
                <w:b w:val="0"/>
                <w:bCs w:val="0"/>
                <w:color w:val="000000"/>
                <w:spacing w:val="11"/>
                <w:position w:val="0"/>
                <w:sz w:val="24"/>
                <w:szCs w:val="24"/>
                <w:u w:val="none" w:color="auto"/>
                <w:lang w:val="en-US" w:eastAsia="zh-CN"/>
              </w:rPr>
              <w:t>项目抑尘用水主要包括爆破抑尘用水、生产线抑尘用水及装卸抑尘用水。</w:t>
            </w:r>
          </w:p>
          <w:p w14:paraId="2B481C9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none" w:color="auto"/>
                <w:lang w:val="en-US" w:eastAsia="zh-CN"/>
              </w:rPr>
            </w:pPr>
            <w:r>
              <w:rPr>
                <w:rFonts w:hint="default" w:ascii="Times New Roman" w:hAnsi="Times New Roman" w:eastAsia="宋体" w:cs="Times New Roman"/>
                <w:b w:val="0"/>
                <w:bCs w:val="0"/>
                <w:color w:val="000000"/>
                <w:spacing w:val="11"/>
                <w:position w:val="0"/>
                <w:sz w:val="24"/>
                <w:szCs w:val="24"/>
                <w:u w:val="none" w:color="auto"/>
                <w:lang w:val="en-US" w:eastAsia="zh-CN"/>
              </w:rPr>
              <w:t>①爆破抑尘用水：为防止爆破等工段的扬尘污染，需事先在现场洒水。同时爆破后需及时用高压水枪喷水，这部分水全部蒸发或渗漏。本项目以每天一次爆破计，爆破面洒水按每次6m</w:t>
            </w:r>
            <w:r>
              <w:rPr>
                <w:rFonts w:hint="default" w:ascii="Times New Roman" w:hAnsi="Times New Roman" w:eastAsia="宋体" w:cs="Times New Roman"/>
                <w:b w:val="0"/>
                <w:bCs w:val="0"/>
                <w:color w:val="000000"/>
                <w:spacing w:val="11"/>
                <w:position w:val="0"/>
                <w:sz w:val="24"/>
                <w:szCs w:val="24"/>
                <w:u w:val="non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none" w:color="auto"/>
                <w:lang w:val="en-US" w:eastAsia="zh-CN"/>
              </w:rPr>
              <w:t>计，则项目爆破抑尘用水1800m</w:t>
            </w:r>
            <w:r>
              <w:rPr>
                <w:rFonts w:hint="default" w:ascii="Times New Roman" w:hAnsi="Times New Roman" w:eastAsia="宋体" w:cs="Times New Roman"/>
                <w:b w:val="0"/>
                <w:bCs w:val="0"/>
                <w:color w:val="000000"/>
                <w:spacing w:val="11"/>
                <w:position w:val="0"/>
                <w:sz w:val="24"/>
                <w:szCs w:val="24"/>
                <w:u w:val="non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none" w:color="auto"/>
                <w:lang w:val="en-US" w:eastAsia="zh-CN"/>
              </w:rPr>
              <w:t>/a。这部分水全部蒸发或渗漏。</w:t>
            </w:r>
          </w:p>
          <w:p w14:paraId="39B2113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none" w:color="auto"/>
                <w:lang w:val="en-US" w:eastAsia="zh-CN"/>
              </w:rPr>
            </w:pPr>
            <w:r>
              <w:rPr>
                <w:rFonts w:hint="default" w:ascii="Times New Roman" w:hAnsi="Times New Roman" w:eastAsia="宋体" w:cs="Times New Roman"/>
                <w:b w:val="0"/>
                <w:bCs w:val="0"/>
                <w:color w:val="000000"/>
                <w:spacing w:val="11"/>
                <w:position w:val="0"/>
                <w:sz w:val="24"/>
                <w:szCs w:val="24"/>
                <w:u w:val="none" w:color="auto"/>
                <w:lang w:val="en-US" w:eastAsia="zh-CN"/>
              </w:rPr>
              <w:t>②装卸抑尘用水：项目矿石装卸过程中需要洒水抑尘，本项目设有</w:t>
            </w:r>
            <w:r>
              <w:rPr>
                <w:rFonts w:hint="eastAsia" w:cs="Times New Roman"/>
                <w:b w:val="0"/>
                <w:bCs w:val="0"/>
                <w:color w:val="000000"/>
                <w:spacing w:val="11"/>
                <w:position w:val="0"/>
                <w:sz w:val="24"/>
                <w:szCs w:val="24"/>
                <w:u w:val="none" w:color="auto"/>
                <w:lang w:val="en-US" w:eastAsia="zh-CN"/>
              </w:rPr>
              <w:t>4</w:t>
            </w:r>
            <w:r>
              <w:rPr>
                <w:rFonts w:hint="default" w:ascii="Times New Roman" w:hAnsi="Times New Roman" w:eastAsia="宋体" w:cs="Times New Roman"/>
                <w:b w:val="0"/>
                <w:bCs w:val="0"/>
                <w:color w:val="000000"/>
                <w:spacing w:val="11"/>
                <w:position w:val="0"/>
                <w:sz w:val="24"/>
                <w:szCs w:val="24"/>
                <w:u w:val="none" w:color="auto"/>
                <w:lang w:val="en-US" w:eastAsia="zh-CN"/>
              </w:rPr>
              <w:t>台自卸汽车，洒水抑尘用水量以每台0.5m</w:t>
            </w:r>
            <w:r>
              <w:rPr>
                <w:rFonts w:hint="default" w:ascii="Times New Roman" w:hAnsi="Times New Roman" w:eastAsia="宋体" w:cs="Times New Roman"/>
                <w:b w:val="0"/>
                <w:bCs w:val="0"/>
                <w:color w:val="000000"/>
                <w:spacing w:val="11"/>
                <w:position w:val="0"/>
                <w:sz w:val="24"/>
                <w:szCs w:val="24"/>
                <w:u w:val="non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none" w:color="auto"/>
                <w:lang w:val="en-US" w:eastAsia="zh-CN"/>
              </w:rPr>
              <w:t>/h计，项目非雨天180天/a，每天工作</w:t>
            </w:r>
            <w:r>
              <w:rPr>
                <w:rFonts w:hint="eastAsia" w:cs="Times New Roman"/>
                <w:b w:val="0"/>
                <w:bCs w:val="0"/>
                <w:color w:val="000000"/>
                <w:spacing w:val="11"/>
                <w:position w:val="0"/>
                <w:sz w:val="24"/>
                <w:szCs w:val="24"/>
                <w:u w:val="none" w:color="auto"/>
                <w:lang w:val="en-US" w:eastAsia="zh-CN"/>
              </w:rPr>
              <w:t>8</w:t>
            </w:r>
            <w:r>
              <w:rPr>
                <w:rFonts w:hint="default" w:ascii="Times New Roman" w:hAnsi="Times New Roman" w:eastAsia="宋体" w:cs="Times New Roman"/>
                <w:b w:val="0"/>
                <w:bCs w:val="0"/>
                <w:color w:val="000000"/>
                <w:spacing w:val="11"/>
                <w:position w:val="0"/>
                <w:sz w:val="24"/>
                <w:szCs w:val="24"/>
                <w:u w:val="none" w:color="auto"/>
                <w:lang w:val="en-US" w:eastAsia="zh-CN"/>
              </w:rPr>
              <w:t>小时，则铲装抑尘用水量为</w:t>
            </w:r>
            <w:r>
              <w:rPr>
                <w:rFonts w:hint="eastAsia" w:cs="Times New Roman"/>
                <w:b w:val="0"/>
                <w:bCs w:val="0"/>
                <w:color w:val="000000"/>
                <w:spacing w:val="11"/>
                <w:position w:val="0"/>
                <w:sz w:val="24"/>
                <w:szCs w:val="24"/>
                <w:u w:val="none" w:color="auto"/>
                <w:lang w:val="en-US" w:eastAsia="zh-CN"/>
              </w:rPr>
              <w:t>4608</w:t>
            </w:r>
            <w:r>
              <w:rPr>
                <w:rFonts w:hint="default" w:ascii="Times New Roman" w:hAnsi="Times New Roman" w:eastAsia="宋体" w:cs="Times New Roman"/>
                <w:b w:val="0"/>
                <w:bCs w:val="0"/>
                <w:color w:val="000000"/>
                <w:spacing w:val="11"/>
                <w:position w:val="0"/>
                <w:sz w:val="24"/>
                <w:szCs w:val="24"/>
                <w:u w:val="none" w:color="auto"/>
                <w:lang w:val="en-US" w:eastAsia="zh-CN"/>
              </w:rPr>
              <w:t>m</w:t>
            </w:r>
            <w:r>
              <w:rPr>
                <w:rFonts w:hint="default" w:ascii="Times New Roman" w:hAnsi="Times New Roman" w:eastAsia="宋体" w:cs="Times New Roman"/>
                <w:b w:val="0"/>
                <w:bCs w:val="0"/>
                <w:color w:val="000000"/>
                <w:spacing w:val="11"/>
                <w:position w:val="0"/>
                <w:sz w:val="24"/>
                <w:szCs w:val="24"/>
                <w:u w:val="non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none" w:color="auto"/>
                <w:lang w:val="en-US" w:eastAsia="zh-CN"/>
              </w:rPr>
              <w:t>/a。这部分水全部蒸发或渗漏损失。</w:t>
            </w:r>
          </w:p>
          <w:p w14:paraId="1320EAD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none" w:color="auto"/>
                <w:lang w:val="en-US" w:eastAsia="zh-CN"/>
              </w:rPr>
            </w:pPr>
            <w:r>
              <w:rPr>
                <w:rFonts w:hint="default" w:ascii="Times New Roman" w:hAnsi="Times New Roman" w:eastAsia="宋体" w:cs="Times New Roman"/>
                <w:b w:val="0"/>
                <w:bCs w:val="0"/>
                <w:color w:val="000000"/>
                <w:spacing w:val="11"/>
                <w:position w:val="0"/>
                <w:sz w:val="24"/>
                <w:szCs w:val="24"/>
                <w:u w:val="none" w:color="auto"/>
                <w:lang w:val="en-US" w:eastAsia="zh-CN"/>
              </w:rPr>
              <w:t>③生产线抑尘用水：本项目工业广场破碎机进出料口均</w:t>
            </w:r>
            <w:r>
              <w:rPr>
                <w:rFonts w:hint="eastAsia" w:cs="Times New Roman"/>
                <w:b w:val="0"/>
                <w:bCs w:val="0"/>
                <w:color w:val="000000"/>
                <w:spacing w:val="11"/>
                <w:position w:val="0"/>
                <w:sz w:val="24"/>
                <w:szCs w:val="24"/>
                <w:u w:val="none" w:color="auto"/>
                <w:lang w:val="en-US" w:eastAsia="zh-CN"/>
              </w:rPr>
              <w:t>拟</w:t>
            </w:r>
            <w:r>
              <w:rPr>
                <w:rFonts w:hint="default" w:ascii="Times New Roman" w:hAnsi="Times New Roman" w:eastAsia="宋体" w:cs="Times New Roman"/>
                <w:b w:val="0"/>
                <w:bCs w:val="0"/>
                <w:color w:val="000000"/>
                <w:spacing w:val="11"/>
                <w:position w:val="0"/>
                <w:sz w:val="24"/>
                <w:szCs w:val="24"/>
                <w:u w:val="none" w:color="auto"/>
                <w:lang w:val="en-US" w:eastAsia="zh-CN"/>
              </w:rPr>
              <w:t>设置喷淋设施，每个进料口喷淋用水量以0.5m</w:t>
            </w:r>
            <w:r>
              <w:rPr>
                <w:rFonts w:hint="default" w:ascii="Times New Roman" w:hAnsi="Times New Roman" w:eastAsia="宋体" w:cs="Times New Roman"/>
                <w:b w:val="0"/>
                <w:bCs w:val="0"/>
                <w:color w:val="000000"/>
                <w:spacing w:val="11"/>
                <w:position w:val="0"/>
                <w:sz w:val="24"/>
                <w:szCs w:val="24"/>
                <w:u w:val="non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none" w:color="auto"/>
                <w:lang w:val="en-US" w:eastAsia="zh-CN"/>
              </w:rPr>
              <w:t>/h计；每个出料口喷雾用水量以0.2m</w:t>
            </w:r>
            <w:r>
              <w:rPr>
                <w:rFonts w:hint="default" w:ascii="Times New Roman" w:hAnsi="Times New Roman" w:eastAsia="宋体" w:cs="Times New Roman"/>
                <w:b w:val="0"/>
                <w:bCs w:val="0"/>
                <w:color w:val="000000"/>
                <w:spacing w:val="11"/>
                <w:position w:val="0"/>
                <w:sz w:val="24"/>
                <w:szCs w:val="24"/>
                <w:u w:val="non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none" w:color="auto"/>
                <w:lang w:val="en-US" w:eastAsia="zh-CN"/>
              </w:rPr>
              <w:t>/h计。根据工程设备一览表，本项目破碎机、制砂机共有</w:t>
            </w:r>
            <w:r>
              <w:rPr>
                <w:rFonts w:hint="eastAsia" w:cs="Times New Roman"/>
                <w:b w:val="0"/>
                <w:bCs w:val="0"/>
                <w:color w:val="000000"/>
                <w:spacing w:val="11"/>
                <w:position w:val="0"/>
                <w:sz w:val="24"/>
                <w:szCs w:val="24"/>
                <w:u w:val="none" w:color="auto"/>
                <w:lang w:val="en-US" w:eastAsia="zh-CN"/>
              </w:rPr>
              <w:t>3</w:t>
            </w:r>
            <w:r>
              <w:rPr>
                <w:rFonts w:hint="default" w:ascii="Times New Roman" w:hAnsi="Times New Roman" w:eastAsia="宋体" w:cs="Times New Roman"/>
                <w:b w:val="0"/>
                <w:bCs w:val="0"/>
                <w:color w:val="000000"/>
                <w:spacing w:val="11"/>
                <w:position w:val="0"/>
                <w:sz w:val="24"/>
                <w:szCs w:val="24"/>
                <w:u w:val="none" w:color="auto"/>
                <w:lang w:val="en-US" w:eastAsia="zh-CN"/>
              </w:rPr>
              <w:t>台，则喷淋和喷雾用水量约</w:t>
            </w:r>
            <w:r>
              <w:rPr>
                <w:rFonts w:hint="eastAsia" w:cs="Times New Roman"/>
                <w:b w:val="0"/>
                <w:bCs w:val="0"/>
                <w:color w:val="000000"/>
                <w:spacing w:val="11"/>
                <w:position w:val="0"/>
                <w:sz w:val="24"/>
                <w:szCs w:val="24"/>
                <w:u w:val="none" w:color="auto"/>
                <w:lang w:val="en-US" w:eastAsia="zh-CN"/>
              </w:rPr>
              <w:t>2.1</w:t>
            </w:r>
            <w:r>
              <w:rPr>
                <w:rFonts w:hint="default" w:ascii="Times New Roman" w:hAnsi="Times New Roman" w:eastAsia="宋体" w:cs="Times New Roman"/>
                <w:b w:val="0"/>
                <w:bCs w:val="0"/>
                <w:color w:val="000000"/>
                <w:spacing w:val="11"/>
                <w:position w:val="0"/>
                <w:sz w:val="24"/>
                <w:szCs w:val="24"/>
                <w:u w:val="none" w:color="auto"/>
                <w:lang w:val="en-US" w:eastAsia="zh-CN"/>
              </w:rPr>
              <w:t>m</w:t>
            </w:r>
            <w:r>
              <w:rPr>
                <w:rFonts w:hint="default" w:ascii="Times New Roman" w:hAnsi="Times New Roman" w:eastAsia="宋体" w:cs="Times New Roman"/>
                <w:b w:val="0"/>
                <w:bCs w:val="0"/>
                <w:color w:val="000000"/>
                <w:spacing w:val="11"/>
                <w:position w:val="0"/>
                <w:sz w:val="24"/>
                <w:szCs w:val="24"/>
                <w:u w:val="non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none" w:color="auto"/>
                <w:lang w:val="en-US" w:eastAsia="zh-CN"/>
              </w:rPr>
              <w:t>/h。本项目年工作</w:t>
            </w:r>
            <w:r>
              <w:rPr>
                <w:rFonts w:hint="eastAsia" w:cs="Times New Roman"/>
                <w:b w:val="0"/>
                <w:bCs w:val="0"/>
                <w:color w:val="000000"/>
                <w:spacing w:val="11"/>
                <w:position w:val="0"/>
                <w:sz w:val="24"/>
                <w:szCs w:val="24"/>
                <w:u w:val="none" w:color="auto"/>
                <w:lang w:val="en-US" w:eastAsia="zh-CN"/>
              </w:rPr>
              <w:t>2400h</w:t>
            </w:r>
            <w:r>
              <w:rPr>
                <w:rFonts w:hint="default" w:ascii="Times New Roman" w:hAnsi="Times New Roman" w:eastAsia="宋体" w:cs="Times New Roman"/>
                <w:b w:val="0"/>
                <w:bCs w:val="0"/>
                <w:color w:val="000000"/>
                <w:spacing w:val="11"/>
                <w:position w:val="0"/>
                <w:sz w:val="24"/>
                <w:szCs w:val="24"/>
                <w:u w:val="none" w:color="auto"/>
                <w:lang w:val="en-US" w:eastAsia="zh-CN"/>
              </w:rPr>
              <w:t>，每天工作</w:t>
            </w:r>
            <w:r>
              <w:rPr>
                <w:rFonts w:hint="eastAsia" w:cs="Times New Roman"/>
                <w:b w:val="0"/>
                <w:bCs w:val="0"/>
                <w:color w:val="000000"/>
                <w:spacing w:val="11"/>
                <w:position w:val="0"/>
                <w:sz w:val="24"/>
                <w:szCs w:val="24"/>
                <w:u w:val="none" w:color="auto"/>
                <w:lang w:val="en-US" w:eastAsia="zh-CN"/>
              </w:rPr>
              <w:t>8</w:t>
            </w:r>
            <w:r>
              <w:rPr>
                <w:rFonts w:hint="default" w:ascii="Times New Roman" w:hAnsi="Times New Roman" w:eastAsia="宋体" w:cs="Times New Roman"/>
                <w:b w:val="0"/>
                <w:bCs w:val="0"/>
                <w:color w:val="000000"/>
                <w:spacing w:val="11"/>
                <w:position w:val="0"/>
                <w:sz w:val="24"/>
                <w:szCs w:val="24"/>
                <w:u w:val="none" w:color="auto"/>
                <w:lang w:val="en-US" w:eastAsia="zh-CN"/>
              </w:rPr>
              <w:t>小时，则生产线抑尘用水量约为</w:t>
            </w:r>
            <w:r>
              <w:rPr>
                <w:rFonts w:hint="eastAsia" w:cs="Times New Roman"/>
                <w:b w:val="0"/>
                <w:bCs w:val="0"/>
                <w:color w:val="000000"/>
                <w:spacing w:val="11"/>
                <w:position w:val="0"/>
                <w:sz w:val="24"/>
                <w:szCs w:val="24"/>
                <w:u w:val="none" w:color="auto"/>
                <w:lang w:val="en-US" w:eastAsia="zh-CN"/>
              </w:rPr>
              <w:t>16.8</w:t>
            </w:r>
            <w:r>
              <w:rPr>
                <w:rFonts w:hint="default" w:ascii="Times New Roman" w:hAnsi="Times New Roman" w:eastAsia="宋体" w:cs="Times New Roman"/>
                <w:b w:val="0"/>
                <w:bCs w:val="0"/>
                <w:color w:val="000000"/>
                <w:spacing w:val="11"/>
                <w:position w:val="0"/>
                <w:sz w:val="24"/>
                <w:szCs w:val="24"/>
                <w:u w:val="none" w:color="auto"/>
                <w:lang w:val="en-US" w:eastAsia="zh-CN"/>
              </w:rPr>
              <w:t>m</w:t>
            </w:r>
            <w:r>
              <w:rPr>
                <w:rFonts w:hint="default" w:ascii="Times New Roman" w:hAnsi="Times New Roman" w:eastAsia="宋体" w:cs="Times New Roman"/>
                <w:b w:val="0"/>
                <w:bCs w:val="0"/>
                <w:color w:val="000000"/>
                <w:spacing w:val="11"/>
                <w:position w:val="0"/>
                <w:sz w:val="24"/>
                <w:szCs w:val="24"/>
                <w:u w:val="non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none" w:color="auto"/>
                <w:lang w:val="en-US" w:eastAsia="zh-CN"/>
              </w:rPr>
              <w:t>/d</w:t>
            </w:r>
            <w:r>
              <w:rPr>
                <w:rFonts w:hint="eastAsia" w:cs="Times New Roman"/>
                <w:b w:val="0"/>
                <w:bCs w:val="0"/>
                <w:color w:val="000000"/>
                <w:spacing w:val="11"/>
                <w:position w:val="0"/>
                <w:sz w:val="24"/>
                <w:szCs w:val="24"/>
                <w:u w:val="none" w:color="auto"/>
                <w:lang w:val="en-US" w:eastAsia="zh-CN"/>
              </w:rPr>
              <w:t>（5040</w:t>
            </w:r>
            <w:r>
              <w:rPr>
                <w:rFonts w:hint="default" w:ascii="Times New Roman" w:hAnsi="Times New Roman" w:eastAsia="宋体" w:cs="Times New Roman"/>
                <w:b w:val="0"/>
                <w:bCs w:val="0"/>
                <w:color w:val="000000"/>
                <w:spacing w:val="11"/>
                <w:position w:val="0"/>
                <w:sz w:val="24"/>
                <w:szCs w:val="24"/>
                <w:u w:val="none" w:color="auto"/>
                <w:lang w:val="en-US" w:eastAsia="zh-CN"/>
              </w:rPr>
              <w:t>m</w:t>
            </w:r>
            <w:r>
              <w:rPr>
                <w:rFonts w:hint="default" w:ascii="Times New Roman" w:hAnsi="Times New Roman" w:eastAsia="宋体" w:cs="Times New Roman"/>
                <w:b w:val="0"/>
                <w:bCs w:val="0"/>
                <w:color w:val="000000"/>
                <w:spacing w:val="11"/>
                <w:position w:val="0"/>
                <w:sz w:val="24"/>
                <w:szCs w:val="24"/>
                <w:u w:val="non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none" w:color="auto"/>
                <w:lang w:val="en-US" w:eastAsia="zh-CN"/>
              </w:rPr>
              <w:t>/a</w:t>
            </w:r>
            <w:r>
              <w:rPr>
                <w:rFonts w:hint="eastAsia" w:cs="Times New Roman"/>
                <w:b w:val="0"/>
                <w:bCs w:val="0"/>
                <w:color w:val="000000"/>
                <w:spacing w:val="11"/>
                <w:position w:val="0"/>
                <w:sz w:val="24"/>
                <w:szCs w:val="24"/>
                <w:u w:val="none" w:color="auto"/>
                <w:lang w:val="en-US" w:eastAsia="zh-CN"/>
              </w:rPr>
              <w:t>）</w:t>
            </w:r>
            <w:r>
              <w:rPr>
                <w:rFonts w:hint="default" w:ascii="Times New Roman" w:hAnsi="Times New Roman" w:eastAsia="宋体" w:cs="Times New Roman"/>
                <w:b w:val="0"/>
                <w:bCs w:val="0"/>
                <w:color w:val="000000"/>
                <w:spacing w:val="11"/>
                <w:position w:val="0"/>
                <w:sz w:val="24"/>
                <w:szCs w:val="24"/>
                <w:u w:val="none" w:color="auto"/>
                <w:lang w:val="en-US" w:eastAsia="zh-CN"/>
              </w:rPr>
              <w:t>。这部分水全部蒸发损耗。</w:t>
            </w:r>
          </w:p>
          <w:p w14:paraId="4DF914A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none" w:color="auto"/>
                <w:lang w:val="en-US" w:eastAsia="zh-CN"/>
              </w:rPr>
            </w:pPr>
            <w:r>
              <w:rPr>
                <w:rFonts w:hint="default" w:ascii="Times New Roman" w:hAnsi="Times New Roman" w:eastAsia="宋体" w:cs="Times New Roman"/>
                <w:b w:val="0"/>
                <w:bCs w:val="0"/>
                <w:color w:val="000000"/>
                <w:spacing w:val="11"/>
                <w:position w:val="0"/>
                <w:sz w:val="24"/>
                <w:szCs w:val="24"/>
                <w:u w:val="none" w:color="auto"/>
              </w:rPr>
              <w:t>（</w:t>
            </w:r>
            <w:r>
              <w:rPr>
                <w:rFonts w:hint="default" w:ascii="Times New Roman" w:hAnsi="Times New Roman" w:eastAsia="宋体" w:cs="Times New Roman"/>
                <w:b w:val="0"/>
                <w:bCs w:val="0"/>
                <w:color w:val="000000"/>
                <w:spacing w:val="11"/>
                <w:position w:val="0"/>
                <w:sz w:val="24"/>
                <w:szCs w:val="24"/>
                <w:u w:val="none" w:color="auto"/>
                <w:lang w:val="en-US" w:eastAsia="zh-CN"/>
              </w:rPr>
              <w:t>3</w:t>
            </w:r>
            <w:r>
              <w:rPr>
                <w:rFonts w:hint="default" w:ascii="Times New Roman" w:hAnsi="Times New Roman" w:eastAsia="宋体" w:cs="Times New Roman"/>
                <w:b w:val="0"/>
                <w:bCs w:val="0"/>
                <w:color w:val="000000"/>
                <w:spacing w:val="11"/>
                <w:position w:val="0"/>
                <w:sz w:val="24"/>
                <w:szCs w:val="24"/>
                <w:u w:val="none" w:color="auto"/>
              </w:rPr>
              <w:t>）车辆清洗</w:t>
            </w:r>
            <w:r>
              <w:rPr>
                <w:rFonts w:hint="default" w:ascii="Times New Roman" w:hAnsi="Times New Roman" w:eastAsia="宋体" w:cs="Times New Roman"/>
                <w:b w:val="0"/>
                <w:bCs w:val="0"/>
                <w:color w:val="000000"/>
                <w:spacing w:val="11"/>
                <w:position w:val="0"/>
                <w:sz w:val="24"/>
                <w:szCs w:val="24"/>
                <w:u w:val="none" w:color="auto"/>
                <w:lang w:val="en-US" w:eastAsia="zh-CN"/>
              </w:rPr>
              <w:t>废水</w:t>
            </w:r>
          </w:p>
          <w:p w14:paraId="2EDF04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厂区设置洗车平台，</w:t>
            </w:r>
            <w:r>
              <w:rPr>
                <w:rFonts w:hint="default" w:ascii="Times New Roman" w:hAnsi="Times New Roman" w:eastAsia="宋体" w:cs="Times New Roman"/>
                <w:color w:val="000000"/>
                <w:spacing w:val="11"/>
                <w:position w:val="0"/>
                <w:sz w:val="24"/>
                <w:szCs w:val="24"/>
                <w:u w:val="none" w:color="auto"/>
              </w:rPr>
              <w:t>建设单位</w:t>
            </w:r>
            <w:r>
              <w:rPr>
                <w:rFonts w:hint="default" w:ascii="Times New Roman" w:hAnsi="Times New Roman" w:eastAsia="宋体" w:cs="Times New Roman"/>
                <w:color w:val="000000"/>
                <w:spacing w:val="11"/>
                <w:position w:val="0"/>
                <w:sz w:val="24"/>
                <w:szCs w:val="24"/>
                <w:u w:val="none" w:color="auto"/>
                <w:lang w:val="en-US" w:eastAsia="zh-CN"/>
              </w:rPr>
              <w:t>安排专人对</w:t>
            </w:r>
            <w:r>
              <w:rPr>
                <w:rFonts w:hint="default" w:ascii="Times New Roman" w:hAnsi="Times New Roman" w:eastAsia="宋体" w:cs="Times New Roman"/>
                <w:color w:val="000000"/>
                <w:spacing w:val="11"/>
                <w:position w:val="0"/>
                <w:sz w:val="24"/>
                <w:szCs w:val="24"/>
                <w:u w:val="none" w:color="auto"/>
              </w:rPr>
              <w:t>出入厂区的运输车辆车轮等局部进行冲洗，以减少运输扬尘产生</w:t>
            </w:r>
            <w:r>
              <w:rPr>
                <w:rFonts w:hint="default" w:ascii="Times New Roman" w:hAnsi="Times New Roman" w:eastAsia="宋体" w:cs="Times New Roman"/>
                <w:color w:val="000000"/>
                <w:spacing w:val="11"/>
                <w:position w:val="0"/>
                <w:sz w:val="24"/>
                <w:szCs w:val="24"/>
                <w:u w:val="none" w:color="auto"/>
                <w:lang w:eastAsia="zh-CN"/>
              </w:rPr>
              <w:t>，</w:t>
            </w:r>
            <w:r>
              <w:rPr>
                <w:rFonts w:hint="default" w:ascii="Times New Roman" w:hAnsi="Times New Roman" w:eastAsia="宋体" w:cs="Times New Roman"/>
                <w:color w:val="000000"/>
                <w:spacing w:val="11"/>
                <w:position w:val="0"/>
                <w:sz w:val="24"/>
                <w:szCs w:val="24"/>
                <w:u w:val="none" w:color="auto"/>
                <w:lang w:val="en-US" w:eastAsia="zh-CN"/>
              </w:rPr>
              <w:t>故会产生车辆清洗废水，项目平均每天进出工厂区域运输车次为67辆次</w:t>
            </w:r>
            <w:r>
              <w:rPr>
                <w:rFonts w:hint="default" w:ascii="Times New Roman" w:hAnsi="Times New Roman" w:eastAsia="宋体" w:cs="Times New Roman"/>
                <w:color w:val="000000"/>
                <w:spacing w:val="11"/>
                <w:position w:val="0"/>
                <w:sz w:val="24"/>
                <w:szCs w:val="24"/>
                <w:u w:val="none" w:color="auto"/>
              </w:rPr>
              <w:t>，冲洗频率为</w:t>
            </w:r>
            <w:r>
              <w:rPr>
                <w:rFonts w:hint="eastAsia" w:cs="Times New Roman"/>
                <w:color w:val="000000"/>
                <w:spacing w:val="11"/>
                <w:position w:val="0"/>
                <w:sz w:val="24"/>
                <w:szCs w:val="24"/>
                <w:u w:val="none" w:color="auto"/>
                <w:lang w:val="en-US" w:eastAsia="zh-CN"/>
              </w:rPr>
              <w:t>1车</w:t>
            </w:r>
            <w:r>
              <w:rPr>
                <w:rFonts w:hint="default" w:ascii="Times New Roman" w:hAnsi="Times New Roman" w:eastAsia="宋体" w:cs="Times New Roman"/>
                <w:color w:val="000000"/>
                <w:spacing w:val="11"/>
                <w:position w:val="0"/>
                <w:sz w:val="24"/>
                <w:szCs w:val="24"/>
                <w:u w:val="none" w:color="auto"/>
              </w:rPr>
              <w:t>/2次。根据《建筑给水排水设计规范》（GB50015-2003）（2009版）中汽车冲洗用水定额，载重汽车循环用水冲洗补水量为40~60L/（辆·次），本次评价取平均值50L/（辆·次）。经计算，车辆冲洗用水量为</w:t>
            </w:r>
            <w:r>
              <w:rPr>
                <w:rFonts w:hint="eastAsia" w:cs="Times New Roman"/>
                <w:color w:val="000000"/>
                <w:spacing w:val="11"/>
                <w:position w:val="0"/>
                <w:sz w:val="24"/>
                <w:szCs w:val="24"/>
                <w:u w:val="none" w:color="auto"/>
                <w:lang w:val="en-US" w:eastAsia="zh-CN"/>
              </w:rPr>
              <w:t>6.7m</w:t>
            </w:r>
            <w:r>
              <w:rPr>
                <w:rFonts w:hint="eastAsia" w:cs="Times New Roman"/>
                <w:color w:val="000000"/>
                <w:spacing w:val="11"/>
                <w:position w:val="0"/>
                <w:sz w:val="24"/>
                <w:szCs w:val="24"/>
                <w:u w:val="none" w:color="auto"/>
                <w:vertAlign w:val="superscript"/>
                <w:lang w:val="en-US" w:eastAsia="zh-CN"/>
              </w:rPr>
              <w:t>3</w:t>
            </w:r>
            <w:r>
              <w:rPr>
                <w:rFonts w:hint="default" w:ascii="Times New Roman" w:hAnsi="Times New Roman" w:eastAsia="宋体" w:cs="Times New Roman"/>
                <w:color w:val="000000"/>
                <w:spacing w:val="11"/>
                <w:position w:val="0"/>
                <w:sz w:val="24"/>
                <w:szCs w:val="24"/>
                <w:u w:val="none" w:color="auto"/>
              </w:rPr>
              <w:t>/d</w:t>
            </w:r>
            <w:r>
              <w:rPr>
                <w:rFonts w:hint="default" w:ascii="Times New Roman" w:hAnsi="Times New Roman" w:eastAsia="宋体" w:cs="Times New Roman"/>
                <w:color w:val="000000"/>
                <w:spacing w:val="11"/>
                <w:position w:val="0"/>
                <w:sz w:val="24"/>
                <w:szCs w:val="24"/>
                <w:u w:val="none" w:color="auto"/>
                <w:lang w:eastAsia="zh-CN"/>
              </w:rPr>
              <w:t>（</w:t>
            </w:r>
            <w:r>
              <w:rPr>
                <w:rFonts w:hint="eastAsia" w:cs="Times New Roman"/>
                <w:color w:val="000000"/>
                <w:spacing w:val="11"/>
                <w:position w:val="0"/>
                <w:sz w:val="24"/>
                <w:szCs w:val="24"/>
                <w:u w:val="none" w:color="auto"/>
                <w:lang w:val="en-US" w:eastAsia="zh-CN"/>
              </w:rPr>
              <w:t>2010m</w:t>
            </w:r>
            <w:r>
              <w:rPr>
                <w:rFonts w:hint="eastAsia" w:cs="Times New Roman"/>
                <w:color w:val="000000"/>
                <w:spacing w:val="11"/>
                <w:position w:val="0"/>
                <w:sz w:val="24"/>
                <w:szCs w:val="24"/>
                <w:u w:val="none" w:color="auto"/>
                <w:vertAlign w:val="superscript"/>
                <w:lang w:val="en-US" w:eastAsia="zh-CN"/>
              </w:rPr>
              <w:t>3</w:t>
            </w:r>
            <w:r>
              <w:rPr>
                <w:rFonts w:hint="default" w:ascii="Times New Roman" w:hAnsi="Times New Roman" w:eastAsia="宋体" w:cs="Times New Roman"/>
                <w:color w:val="000000"/>
                <w:spacing w:val="11"/>
                <w:position w:val="0"/>
                <w:sz w:val="24"/>
                <w:szCs w:val="24"/>
                <w:u w:val="none" w:color="auto"/>
                <w:lang w:eastAsia="zh-CN"/>
              </w:rPr>
              <w:t>/</w:t>
            </w:r>
            <w:r>
              <w:rPr>
                <w:rFonts w:hint="default" w:ascii="Times New Roman" w:hAnsi="Times New Roman" w:eastAsia="宋体" w:cs="Times New Roman"/>
                <w:color w:val="000000"/>
                <w:spacing w:val="11"/>
                <w:position w:val="0"/>
                <w:sz w:val="24"/>
                <w:szCs w:val="24"/>
                <w:u w:val="none" w:color="auto"/>
                <w:lang w:val="en-US" w:eastAsia="zh-CN"/>
              </w:rPr>
              <w:t>a</w:t>
            </w:r>
            <w:r>
              <w:rPr>
                <w:rFonts w:hint="default" w:ascii="Times New Roman" w:hAnsi="Times New Roman" w:eastAsia="宋体" w:cs="Times New Roman"/>
                <w:color w:val="000000"/>
                <w:spacing w:val="11"/>
                <w:position w:val="0"/>
                <w:sz w:val="24"/>
                <w:szCs w:val="24"/>
                <w:u w:val="none" w:color="auto"/>
                <w:lang w:eastAsia="zh-CN"/>
              </w:rPr>
              <w:t>）</w:t>
            </w:r>
            <w:r>
              <w:rPr>
                <w:rFonts w:hint="default" w:ascii="Times New Roman" w:hAnsi="Times New Roman" w:eastAsia="宋体" w:cs="Times New Roman"/>
                <w:color w:val="000000"/>
                <w:spacing w:val="11"/>
                <w:position w:val="0"/>
                <w:sz w:val="24"/>
                <w:szCs w:val="24"/>
                <w:u w:val="none" w:color="auto"/>
              </w:rPr>
              <w:t>。蒸发损耗水量按总水量40%计，则废水产生量为</w:t>
            </w:r>
            <w:r>
              <w:rPr>
                <w:rFonts w:hint="eastAsia" w:cs="Times New Roman"/>
                <w:color w:val="000000"/>
                <w:spacing w:val="11"/>
                <w:position w:val="0"/>
                <w:sz w:val="24"/>
                <w:szCs w:val="24"/>
                <w:u w:val="none" w:color="auto"/>
                <w:lang w:val="en-US" w:eastAsia="zh-CN"/>
              </w:rPr>
              <w:t>4.02m</w:t>
            </w:r>
            <w:r>
              <w:rPr>
                <w:rFonts w:hint="eastAsia" w:cs="Times New Roman"/>
                <w:color w:val="000000"/>
                <w:spacing w:val="11"/>
                <w:position w:val="0"/>
                <w:sz w:val="24"/>
                <w:szCs w:val="24"/>
                <w:u w:val="none" w:color="auto"/>
                <w:vertAlign w:val="superscript"/>
                <w:lang w:val="en-US" w:eastAsia="zh-CN"/>
              </w:rPr>
              <w:t>3</w:t>
            </w:r>
            <w:r>
              <w:rPr>
                <w:rFonts w:hint="default" w:ascii="Times New Roman" w:hAnsi="Times New Roman" w:eastAsia="宋体" w:cs="Times New Roman"/>
                <w:color w:val="000000"/>
                <w:spacing w:val="11"/>
                <w:position w:val="0"/>
                <w:sz w:val="24"/>
                <w:szCs w:val="24"/>
                <w:u w:val="none" w:color="auto"/>
              </w:rPr>
              <w:t>/d</w:t>
            </w:r>
            <w:r>
              <w:rPr>
                <w:rFonts w:hint="default" w:ascii="Times New Roman" w:hAnsi="Times New Roman" w:eastAsia="宋体" w:cs="Times New Roman"/>
                <w:color w:val="000000"/>
                <w:spacing w:val="11"/>
                <w:position w:val="0"/>
                <w:sz w:val="24"/>
                <w:szCs w:val="24"/>
                <w:u w:val="none" w:color="auto"/>
                <w:lang w:eastAsia="zh-CN"/>
              </w:rPr>
              <w:t>（</w:t>
            </w:r>
            <w:r>
              <w:rPr>
                <w:rFonts w:hint="eastAsia" w:cs="Times New Roman"/>
                <w:color w:val="000000"/>
                <w:spacing w:val="11"/>
                <w:position w:val="0"/>
                <w:sz w:val="24"/>
                <w:szCs w:val="24"/>
                <w:u w:val="none" w:color="auto"/>
                <w:lang w:val="en-US" w:eastAsia="zh-CN"/>
              </w:rPr>
              <w:t>1206m</w:t>
            </w:r>
            <w:r>
              <w:rPr>
                <w:rFonts w:hint="eastAsia" w:cs="Times New Roman"/>
                <w:color w:val="000000"/>
                <w:spacing w:val="11"/>
                <w:position w:val="0"/>
                <w:sz w:val="24"/>
                <w:szCs w:val="24"/>
                <w:u w:val="none" w:color="auto"/>
                <w:vertAlign w:val="superscript"/>
                <w:lang w:val="en-US" w:eastAsia="zh-CN"/>
              </w:rPr>
              <w:t>3</w:t>
            </w:r>
            <w:r>
              <w:rPr>
                <w:rFonts w:hint="default" w:ascii="Times New Roman" w:hAnsi="Times New Roman" w:eastAsia="宋体" w:cs="Times New Roman"/>
                <w:color w:val="000000"/>
                <w:spacing w:val="11"/>
                <w:position w:val="0"/>
                <w:sz w:val="24"/>
                <w:szCs w:val="24"/>
                <w:u w:val="none" w:color="auto"/>
              </w:rPr>
              <w:t>/</w:t>
            </w:r>
            <w:r>
              <w:rPr>
                <w:rFonts w:hint="default" w:ascii="Times New Roman" w:hAnsi="Times New Roman" w:eastAsia="宋体" w:cs="Times New Roman"/>
                <w:color w:val="000000"/>
                <w:spacing w:val="11"/>
                <w:position w:val="0"/>
                <w:sz w:val="24"/>
                <w:szCs w:val="24"/>
                <w:u w:val="none" w:color="auto"/>
                <w:lang w:val="en-US" w:eastAsia="zh-CN"/>
              </w:rPr>
              <w:t>a</w:t>
            </w:r>
            <w:r>
              <w:rPr>
                <w:rFonts w:hint="default" w:ascii="Times New Roman" w:hAnsi="Times New Roman" w:eastAsia="宋体" w:cs="Times New Roman"/>
                <w:color w:val="000000"/>
                <w:spacing w:val="11"/>
                <w:position w:val="0"/>
                <w:sz w:val="24"/>
                <w:szCs w:val="24"/>
                <w:u w:val="none" w:color="auto"/>
                <w:lang w:eastAsia="zh-CN"/>
              </w:rPr>
              <w:t>）</w:t>
            </w:r>
            <w:r>
              <w:rPr>
                <w:rFonts w:hint="default" w:ascii="Times New Roman" w:hAnsi="Times New Roman" w:eastAsia="宋体" w:cs="Times New Roman"/>
                <w:color w:val="000000"/>
                <w:spacing w:val="11"/>
                <w:position w:val="0"/>
                <w:sz w:val="24"/>
                <w:szCs w:val="24"/>
                <w:u w:val="none" w:color="auto"/>
              </w:rPr>
              <w:t>。</w:t>
            </w:r>
            <w:r>
              <w:rPr>
                <w:rFonts w:hint="default" w:ascii="Times New Roman" w:hAnsi="Times New Roman" w:eastAsia="宋体" w:cs="Times New Roman"/>
                <w:color w:val="000000"/>
                <w:spacing w:val="11"/>
                <w:position w:val="0"/>
                <w:sz w:val="24"/>
                <w:szCs w:val="24"/>
                <w:u w:val="none" w:color="auto"/>
                <w:lang w:val="en-US" w:eastAsia="zh-CN"/>
              </w:rPr>
              <w:t>此部分废水中主要污染物成分为SS</w:t>
            </w:r>
            <w:r>
              <w:rPr>
                <w:rFonts w:hint="eastAsia" w:cs="Times New Roman"/>
                <w:color w:val="000000"/>
                <w:spacing w:val="11"/>
                <w:position w:val="0"/>
                <w:sz w:val="24"/>
                <w:szCs w:val="24"/>
                <w:u w:val="none" w:color="auto"/>
                <w:lang w:val="en-US" w:eastAsia="zh-CN"/>
              </w:rPr>
              <w:t>，产生浓度为500mg/L</w:t>
            </w:r>
            <w:r>
              <w:rPr>
                <w:rFonts w:hint="default" w:ascii="Times New Roman" w:hAnsi="Times New Roman" w:eastAsia="宋体" w:cs="Times New Roman"/>
                <w:color w:val="000000"/>
                <w:spacing w:val="11"/>
                <w:position w:val="0"/>
                <w:sz w:val="24"/>
                <w:szCs w:val="24"/>
                <w:u w:val="none" w:color="auto"/>
                <w:lang w:val="en-US" w:eastAsia="zh-CN"/>
              </w:rPr>
              <w:t>。</w:t>
            </w:r>
          </w:p>
          <w:p w14:paraId="14DF8DD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eastAsia" w:cs="Times New Roman"/>
                <w:color w:val="000000"/>
                <w:spacing w:val="11"/>
                <w:position w:val="0"/>
                <w:sz w:val="24"/>
                <w:szCs w:val="24"/>
                <w:u w:val="none" w:color="auto"/>
                <w:lang w:val="en-US" w:eastAsia="zh-CN"/>
              </w:rPr>
              <w:t>本项目</w:t>
            </w:r>
            <w:r>
              <w:rPr>
                <w:rFonts w:hint="default" w:ascii="Times New Roman" w:hAnsi="Times New Roman" w:eastAsia="宋体" w:cs="Times New Roman"/>
                <w:color w:val="000000"/>
                <w:spacing w:val="11"/>
                <w:position w:val="0"/>
                <w:sz w:val="24"/>
                <w:szCs w:val="24"/>
                <w:u w:val="none" w:color="auto"/>
                <w:lang w:val="en-US" w:eastAsia="zh-CN"/>
              </w:rPr>
              <w:t>洗车过程产生的废水均得到了有效收集，同时汇集至沉淀池进行处理后全部回用，未外排，能够满足环保要求，不会对周边环境产生明显影响。</w:t>
            </w:r>
          </w:p>
          <w:p w14:paraId="4C2594C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eastAsia="zh-CN"/>
              </w:rPr>
              <w:t>（</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4</w:t>
            </w:r>
            <w:r>
              <w:rPr>
                <w:rFonts w:hint="default" w:ascii="Times New Roman" w:hAnsi="Times New Roman" w:eastAsia="宋体" w:cs="Times New Roman"/>
                <w:b w:val="0"/>
                <w:bCs w:val="0"/>
                <w:color w:val="000000"/>
                <w:spacing w:val="11"/>
                <w:position w:val="0"/>
                <w:sz w:val="24"/>
                <w:szCs w:val="24"/>
                <w:highlight w:val="none"/>
                <w:u w:val="single" w:color="auto"/>
                <w:lang w:eastAsia="zh-CN"/>
              </w:rPr>
              <w:t>）生活</w:t>
            </w:r>
            <w:r>
              <w:rPr>
                <w:rFonts w:hint="eastAsia" w:cs="Times New Roman"/>
                <w:b w:val="0"/>
                <w:bCs w:val="0"/>
                <w:color w:val="000000"/>
                <w:spacing w:val="11"/>
                <w:position w:val="0"/>
                <w:sz w:val="24"/>
                <w:szCs w:val="24"/>
                <w:highlight w:val="none"/>
                <w:u w:val="single" w:color="auto"/>
                <w:lang w:val="en-US" w:eastAsia="zh-CN"/>
              </w:rPr>
              <w:t>废水</w:t>
            </w:r>
          </w:p>
          <w:p w14:paraId="73C5FC8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color w:val="000000"/>
                <w:spacing w:val="11"/>
                <w:position w:val="0"/>
                <w:sz w:val="24"/>
                <w:szCs w:val="24"/>
                <w:highlight w:val="none"/>
                <w:u w:val="single" w:color="auto"/>
                <w:lang w:val="en-US" w:eastAsia="zh-CN"/>
              </w:rPr>
            </w:pPr>
            <w:r>
              <w:rPr>
                <w:rFonts w:hint="default" w:ascii="Times New Roman" w:hAnsi="Times New Roman" w:eastAsia="宋体" w:cs="Times New Roman"/>
                <w:color w:val="000000"/>
                <w:spacing w:val="11"/>
                <w:position w:val="0"/>
                <w:sz w:val="24"/>
                <w:szCs w:val="24"/>
                <w:highlight w:val="none"/>
                <w:u w:val="single" w:color="auto"/>
                <w:lang w:val="en-US" w:eastAsia="zh-CN"/>
              </w:rPr>
              <w:t>生活污水产生于员工日常办公、生活过程，依据《湖南省地方标准用水定额》（DB43/T388-2020），员工生活用水系数以</w:t>
            </w:r>
            <w:r>
              <w:rPr>
                <w:rFonts w:hint="eastAsia" w:cs="Times New Roman"/>
                <w:color w:val="000000"/>
                <w:spacing w:val="11"/>
                <w:position w:val="0"/>
                <w:sz w:val="24"/>
                <w:szCs w:val="24"/>
                <w:highlight w:val="none"/>
                <w:u w:val="single" w:color="auto"/>
                <w:lang w:val="en-US" w:eastAsia="zh-CN"/>
              </w:rPr>
              <w:t>90</w:t>
            </w:r>
            <w:r>
              <w:rPr>
                <w:rFonts w:hint="default" w:ascii="Times New Roman" w:hAnsi="Times New Roman" w:eastAsia="宋体" w:cs="Times New Roman"/>
                <w:color w:val="000000"/>
                <w:spacing w:val="11"/>
                <w:position w:val="0"/>
                <w:sz w:val="24"/>
                <w:szCs w:val="24"/>
                <w:u w:val="single" w:color="auto"/>
              </w:rPr>
              <w:t>L/人▪d</w:t>
            </w:r>
            <w:r>
              <w:rPr>
                <w:rFonts w:hint="default" w:ascii="Times New Roman" w:hAnsi="Times New Roman" w:eastAsia="宋体" w:cs="Times New Roman"/>
                <w:color w:val="000000"/>
                <w:spacing w:val="11"/>
                <w:position w:val="0"/>
                <w:sz w:val="24"/>
                <w:szCs w:val="24"/>
                <w:u w:val="single" w:color="auto"/>
                <w:lang w:val="en-US" w:eastAsia="zh-CN"/>
              </w:rPr>
              <w:t>计</w:t>
            </w:r>
            <w:r>
              <w:rPr>
                <w:rFonts w:hint="eastAsia" w:cs="Times New Roman"/>
                <w:color w:val="000000"/>
                <w:spacing w:val="11"/>
                <w:position w:val="0"/>
                <w:sz w:val="24"/>
                <w:szCs w:val="24"/>
                <w:u w:val="single" w:color="auto"/>
                <w:lang w:val="en-US" w:eastAsia="zh-CN"/>
              </w:rPr>
              <w:t>，管理人员生活用水系数以120L/人▪d计</w:t>
            </w:r>
            <w:r>
              <w:rPr>
                <w:rFonts w:hint="default" w:ascii="Times New Roman" w:hAnsi="Times New Roman" w:eastAsia="宋体" w:cs="Times New Roman"/>
                <w:color w:val="000000"/>
                <w:spacing w:val="11"/>
                <w:position w:val="0"/>
                <w:sz w:val="24"/>
                <w:szCs w:val="24"/>
                <w:u w:val="single" w:color="auto"/>
                <w:lang w:val="en-US" w:eastAsia="zh-CN"/>
              </w:rPr>
              <w:t>，项目</w:t>
            </w:r>
            <w:r>
              <w:rPr>
                <w:rFonts w:hint="default" w:ascii="Times New Roman" w:hAnsi="Times New Roman" w:eastAsia="宋体" w:cs="Times New Roman"/>
                <w:color w:val="000000"/>
                <w:spacing w:val="11"/>
                <w:position w:val="0"/>
                <w:sz w:val="24"/>
                <w:szCs w:val="24"/>
                <w:highlight w:val="none"/>
                <w:u w:val="single" w:color="auto"/>
                <w:lang w:val="en-US" w:eastAsia="zh-CN"/>
              </w:rPr>
              <w:t>厂区劳动定员为20人（其中管理人员</w:t>
            </w:r>
            <w:r>
              <w:rPr>
                <w:rFonts w:hint="eastAsia" w:cs="Times New Roman"/>
                <w:color w:val="000000"/>
                <w:spacing w:val="11"/>
                <w:position w:val="0"/>
                <w:sz w:val="24"/>
                <w:szCs w:val="24"/>
                <w:highlight w:val="none"/>
                <w:u w:val="single" w:color="auto"/>
                <w:lang w:val="en-US" w:eastAsia="zh-CN"/>
              </w:rPr>
              <w:t>2</w:t>
            </w:r>
            <w:r>
              <w:rPr>
                <w:rFonts w:hint="default" w:ascii="Times New Roman" w:hAnsi="Times New Roman" w:eastAsia="宋体" w:cs="Times New Roman"/>
                <w:color w:val="000000"/>
                <w:spacing w:val="11"/>
                <w:position w:val="0"/>
                <w:sz w:val="24"/>
                <w:szCs w:val="24"/>
                <w:highlight w:val="none"/>
                <w:u w:val="single" w:color="auto"/>
                <w:lang w:val="en-US" w:eastAsia="zh-CN"/>
              </w:rPr>
              <w:t>位），年作业300天，则</w:t>
            </w:r>
            <w:r>
              <w:rPr>
                <w:rFonts w:hint="default" w:ascii="Times New Roman" w:hAnsi="Times New Roman" w:eastAsia="宋体" w:cs="Times New Roman"/>
                <w:color w:val="000000"/>
                <w:spacing w:val="11"/>
                <w:position w:val="0"/>
                <w:sz w:val="24"/>
                <w:szCs w:val="24"/>
                <w:highlight w:val="none"/>
                <w:u w:val="single" w:color="auto"/>
              </w:rPr>
              <w:t>生</w:t>
            </w:r>
            <w:r>
              <w:rPr>
                <w:rFonts w:hint="default" w:ascii="Times New Roman" w:hAnsi="Times New Roman" w:eastAsia="宋体" w:cs="Times New Roman"/>
                <w:color w:val="000000"/>
                <w:spacing w:val="11"/>
                <w:position w:val="0"/>
                <w:sz w:val="24"/>
                <w:szCs w:val="24"/>
                <w:u w:val="single" w:color="auto"/>
              </w:rPr>
              <w:t>活用水量为</w:t>
            </w:r>
            <w:r>
              <w:rPr>
                <w:rFonts w:hint="eastAsia" w:cs="Times New Roman"/>
                <w:color w:val="000000"/>
                <w:spacing w:val="11"/>
                <w:position w:val="0"/>
                <w:sz w:val="24"/>
                <w:szCs w:val="24"/>
                <w:u w:val="single" w:color="auto"/>
                <w:lang w:val="en-US" w:eastAsia="zh-CN"/>
              </w:rPr>
              <w:t>1.86</w:t>
            </w:r>
            <w:r>
              <w:rPr>
                <w:rFonts w:hint="default" w:ascii="Times New Roman" w:hAnsi="Times New Roman" w:eastAsia="宋体" w:cs="Times New Roman"/>
                <w:color w:val="000000"/>
                <w:spacing w:val="11"/>
                <w:position w:val="0"/>
                <w:sz w:val="24"/>
                <w:szCs w:val="24"/>
                <w:u w:val="single" w:color="auto"/>
              </w:rPr>
              <w:t>m</w:t>
            </w:r>
            <w:r>
              <w:rPr>
                <w:rFonts w:hint="default" w:ascii="Times New Roman" w:hAnsi="Times New Roman" w:eastAsia="宋体" w:cs="Times New Roman"/>
                <w:color w:val="000000"/>
                <w:spacing w:val="11"/>
                <w:position w:val="0"/>
                <w:sz w:val="24"/>
                <w:szCs w:val="24"/>
                <w:u w:val="single" w:color="auto"/>
                <w:vertAlign w:val="superscript"/>
              </w:rPr>
              <w:t>3</w:t>
            </w:r>
            <w:r>
              <w:rPr>
                <w:rFonts w:hint="default" w:ascii="Times New Roman" w:hAnsi="Times New Roman" w:eastAsia="宋体" w:cs="Times New Roman"/>
                <w:color w:val="000000"/>
                <w:spacing w:val="11"/>
                <w:position w:val="0"/>
                <w:sz w:val="24"/>
                <w:szCs w:val="24"/>
                <w:u w:val="single" w:color="auto"/>
              </w:rPr>
              <w:t>/d（</w:t>
            </w:r>
            <w:r>
              <w:rPr>
                <w:rFonts w:hint="eastAsia" w:cs="Times New Roman"/>
                <w:color w:val="000000"/>
                <w:spacing w:val="11"/>
                <w:position w:val="0"/>
                <w:sz w:val="24"/>
                <w:szCs w:val="24"/>
                <w:u w:val="single" w:color="auto"/>
                <w:lang w:val="en-US" w:eastAsia="zh-CN"/>
              </w:rPr>
              <w:t>558</w:t>
            </w:r>
            <w:r>
              <w:rPr>
                <w:rFonts w:hint="default" w:ascii="Times New Roman" w:hAnsi="Times New Roman" w:eastAsia="宋体" w:cs="Times New Roman"/>
                <w:color w:val="000000"/>
                <w:spacing w:val="11"/>
                <w:position w:val="0"/>
                <w:sz w:val="24"/>
                <w:szCs w:val="24"/>
                <w:u w:val="single" w:color="auto"/>
              </w:rPr>
              <w:t>m</w:t>
            </w:r>
            <w:r>
              <w:rPr>
                <w:rFonts w:hint="default" w:ascii="Times New Roman" w:hAnsi="Times New Roman" w:eastAsia="宋体" w:cs="Times New Roman"/>
                <w:color w:val="000000"/>
                <w:spacing w:val="11"/>
                <w:position w:val="0"/>
                <w:sz w:val="24"/>
                <w:szCs w:val="24"/>
                <w:u w:val="single" w:color="auto"/>
                <w:vertAlign w:val="superscript"/>
              </w:rPr>
              <w:t>3</w:t>
            </w:r>
            <w:r>
              <w:rPr>
                <w:rFonts w:hint="default" w:ascii="Times New Roman" w:hAnsi="Times New Roman" w:eastAsia="宋体" w:cs="Times New Roman"/>
                <w:color w:val="000000"/>
                <w:spacing w:val="11"/>
                <w:position w:val="0"/>
                <w:sz w:val="24"/>
                <w:szCs w:val="24"/>
                <w:u w:val="single" w:color="auto"/>
              </w:rPr>
              <w:t>/a），</w:t>
            </w:r>
            <w:r>
              <w:rPr>
                <w:rFonts w:hint="default" w:ascii="Times New Roman" w:hAnsi="Times New Roman" w:eastAsia="宋体" w:cs="Times New Roman"/>
                <w:color w:val="000000"/>
                <w:spacing w:val="11"/>
                <w:position w:val="0"/>
                <w:sz w:val="24"/>
                <w:szCs w:val="24"/>
                <w:highlight w:val="none"/>
                <w:u w:val="single" w:color="auto"/>
                <w:lang w:val="en-US" w:eastAsia="zh-CN"/>
              </w:rPr>
              <w:t>产污系数以80%计，则生活污水产生量为</w:t>
            </w:r>
            <w:r>
              <w:rPr>
                <w:rFonts w:hint="eastAsia" w:cs="Times New Roman"/>
                <w:color w:val="000000"/>
                <w:spacing w:val="11"/>
                <w:position w:val="0"/>
                <w:sz w:val="24"/>
                <w:szCs w:val="24"/>
                <w:highlight w:val="none"/>
                <w:u w:val="single" w:color="auto"/>
                <w:lang w:val="en-US" w:eastAsia="zh-CN"/>
              </w:rPr>
              <w:t>1.488</w:t>
            </w:r>
            <w:r>
              <w:rPr>
                <w:rFonts w:hint="default" w:ascii="Times New Roman" w:hAnsi="Times New Roman" w:eastAsia="宋体" w:cs="Times New Roman"/>
                <w:color w:val="000000"/>
                <w:spacing w:val="11"/>
                <w:position w:val="0"/>
                <w:sz w:val="24"/>
                <w:szCs w:val="24"/>
                <w:u w:val="single" w:color="auto"/>
              </w:rPr>
              <w:t>m</w:t>
            </w:r>
            <w:r>
              <w:rPr>
                <w:rFonts w:hint="default" w:ascii="Times New Roman" w:hAnsi="Times New Roman" w:eastAsia="宋体" w:cs="Times New Roman"/>
                <w:color w:val="000000"/>
                <w:spacing w:val="11"/>
                <w:position w:val="0"/>
                <w:sz w:val="24"/>
                <w:szCs w:val="24"/>
                <w:u w:val="single" w:color="auto"/>
                <w:vertAlign w:val="superscript"/>
              </w:rPr>
              <w:t>3</w:t>
            </w:r>
            <w:r>
              <w:rPr>
                <w:rFonts w:hint="default" w:ascii="Times New Roman" w:hAnsi="Times New Roman" w:eastAsia="宋体" w:cs="Times New Roman"/>
                <w:color w:val="000000"/>
                <w:spacing w:val="11"/>
                <w:position w:val="0"/>
                <w:sz w:val="24"/>
                <w:szCs w:val="24"/>
                <w:u w:val="single" w:color="auto"/>
              </w:rPr>
              <w:t>/d（</w:t>
            </w:r>
            <w:r>
              <w:rPr>
                <w:rFonts w:hint="eastAsia" w:cs="Times New Roman"/>
                <w:color w:val="000000"/>
                <w:spacing w:val="11"/>
                <w:position w:val="0"/>
                <w:sz w:val="24"/>
                <w:szCs w:val="24"/>
                <w:u w:val="single" w:color="auto"/>
                <w:lang w:val="en-US" w:eastAsia="zh-CN"/>
              </w:rPr>
              <w:t>446.4</w:t>
            </w:r>
            <w:r>
              <w:rPr>
                <w:rFonts w:hint="default" w:ascii="Times New Roman" w:hAnsi="Times New Roman" w:eastAsia="宋体" w:cs="Times New Roman"/>
                <w:color w:val="000000"/>
                <w:spacing w:val="11"/>
                <w:position w:val="0"/>
                <w:sz w:val="24"/>
                <w:szCs w:val="24"/>
                <w:u w:val="single" w:color="auto"/>
              </w:rPr>
              <w:t>m</w:t>
            </w:r>
            <w:r>
              <w:rPr>
                <w:rFonts w:hint="default" w:ascii="Times New Roman" w:hAnsi="Times New Roman" w:eastAsia="宋体" w:cs="Times New Roman"/>
                <w:color w:val="000000"/>
                <w:spacing w:val="11"/>
                <w:position w:val="0"/>
                <w:sz w:val="24"/>
                <w:szCs w:val="24"/>
                <w:u w:val="single" w:color="auto"/>
                <w:vertAlign w:val="superscript"/>
              </w:rPr>
              <w:t>3</w:t>
            </w:r>
            <w:r>
              <w:rPr>
                <w:rFonts w:hint="default" w:ascii="Times New Roman" w:hAnsi="Times New Roman" w:eastAsia="宋体" w:cs="Times New Roman"/>
                <w:color w:val="000000"/>
                <w:spacing w:val="11"/>
                <w:position w:val="0"/>
                <w:sz w:val="24"/>
                <w:szCs w:val="24"/>
                <w:u w:val="single" w:color="auto"/>
              </w:rPr>
              <w:t>/a）</w:t>
            </w:r>
            <w:r>
              <w:rPr>
                <w:rFonts w:hint="default" w:ascii="Times New Roman" w:hAnsi="Times New Roman" w:eastAsia="宋体" w:cs="Times New Roman"/>
                <w:color w:val="000000"/>
                <w:spacing w:val="11"/>
                <w:position w:val="0"/>
                <w:sz w:val="24"/>
                <w:szCs w:val="24"/>
                <w:highlight w:val="none"/>
                <w:u w:val="single" w:color="auto"/>
                <w:lang w:val="en-US" w:eastAsia="zh-CN"/>
              </w:rPr>
              <w:t>。此部分污水水质较为简单，主要水污染物为COD、氨氮、BOD</w:t>
            </w:r>
            <w:r>
              <w:rPr>
                <w:rFonts w:hint="default" w:ascii="Times New Roman" w:hAnsi="Times New Roman" w:eastAsia="宋体" w:cs="Times New Roman"/>
                <w:color w:val="000000"/>
                <w:spacing w:val="11"/>
                <w:position w:val="0"/>
                <w:sz w:val="24"/>
                <w:szCs w:val="24"/>
                <w:highlight w:val="none"/>
                <w:u w:val="single" w:color="auto"/>
                <w:vertAlign w:val="subscript"/>
                <w:lang w:val="en-US" w:eastAsia="zh-CN"/>
              </w:rPr>
              <w:t>5</w:t>
            </w:r>
            <w:r>
              <w:rPr>
                <w:rFonts w:hint="default" w:ascii="Times New Roman" w:hAnsi="Times New Roman" w:eastAsia="宋体" w:cs="Times New Roman"/>
                <w:color w:val="000000"/>
                <w:spacing w:val="11"/>
                <w:position w:val="0"/>
                <w:sz w:val="24"/>
                <w:szCs w:val="24"/>
                <w:highlight w:val="none"/>
                <w:u w:val="single" w:color="auto"/>
                <w:lang w:val="en-US" w:eastAsia="zh-CN"/>
              </w:rPr>
              <w:t>、SS等。拟依托现有工程化粪池处理后用于</w:t>
            </w:r>
            <w:r>
              <w:rPr>
                <w:rFonts w:hint="eastAsia" w:cs="Times New Roman"/>
                <w:color w:val="000000"/>
                <w:spacing w:val="11"/>
                <w:position w:val="0"/>
                <w:sz w:val="24"/>
                <w:szCs w:val="24"/>
                <w:highlight w:val="none"/>
                <w:u w:val="single" w:color="auto"/>
                <w:lang w:val="en-US" w:eastAsia="zh-CN"/>
              </w:rPr>
              <w:t>厂内绿化</w:t>
            </w:r>
            <w:r>
              <w:rPr>
                <w:rFonts w:hint="default" w:ascii="Times New Roman" w:hAnsi="Times New Roman" w:eastAsia="宋体" w:cs="Times New Roman"/>
                <w:color w:val="000000"/>
                <w:spacing w:val="11"/>
                <w:position w:val="0"/>
                <w:sz w:val="24"/>
                <w:szCs w:val="24"/>
                <w:highlight w:val="none"/>
                <w:u w:val="single" w:color="auto"/>
                <w:lang w:val="en-US" w:eastAsia="zh-CN"/>
              </w:rPr>
              <w:t>，不会对周边环境带来明显影响。项目生活污水排放情况见下表。</w:t>
            </w:r>
          </w:p>
          <w:p w14:paraId="6A6E494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color w:val="000000"/>
                <w:spacing w:val="11"/>
                <w:position w:val="0"/>
                <w:sz w:val="21"/>
                <w:szCs w:val="21"/>
                <w:highlight w:val="none"/>
                <w:u w:val="single" w:color="auto"/>
                <w:lang w:val="en-US" w:eastAsia="zh-CN"/>
              </w:rPr>
            </w:pPr>
            <w:r>
              <w:rPr>
                <w:rFonts w:hint="default" w:ascii="Times New Roman" w:hAnsi="Times New Roman" w:eastAsia="宋体" w:cs="Times New Roman"/>
                <w:b/>
                <w:color w:val="000000"/>
                <w:spacing w:val="11"/>
                <w:position w:val="0"/>
                <w:sz w:val="21"/>
                <w:szCs w:val="21"/>
                <w:highlight w:val="none"/>
                <w:u w:val="single" w:color="auto"/>
              </w:rPr>
              <w:t>表</w:t>
            </w:r>
            <w:r>
              <w:rPr>
                <w:rFonts w:hint="default" w:ascii="Times New Roman" w:hAnsi="Times New Roman" w:eastAsia="宋体" w:cs="Times New Roman"/>
                <w:b/>
                <w:color w:val="000000"/>
                <w:spacing w:val="11"/>
                <w:position w:val="0"/>
                <w:sz w:val="21"/>
                <w:szCs w:val="21"/>
                <w:highlight w:val="none"/>
                <w:u w:val="single" w:color="auto"/>
                <w:lang w:val="en-US" w:eastAsia="zh-CN"/>
              </w:rPr>
              <w:t>4-</w:t>
            </w:r>
            <w:r>
              <w:rPr>
                <w:rFonts w:hint="eastAsia" w:cs="Times New Roman"/>
                <w:b/>
                <w:color w:val="000000"/>
                <w:spacing w:val="11"/>
                <w:position w:val="0"/>
                <w:sz w:val="21"/>
                <w:szCs w:val="21"/>
                <w:highlight w:val="none"/>
                <w:u w:val="single" w:color="auto"/>
                <w:lang w:val="en-US" w:eastAsia="zh-CN"/>
              </w:rPr>
              <w:t>1</w:t>
            </w:r>
            <w:r>
              <w:rPr>
                <w:rFonts w:hint="default" w:ascii="Times New Roman" w:hAnsi="Times New Roman" w:eastAsia="宋体" w:cs="Times New Roman"/>
                <w:b/>
                <w:color w:val="000000"/>
                <w:spacing w:val="11"/>
                <w:position w:val="0"/>
                <w:sz w:val="21"/>
                <w:szCs w:val="21"/>
                <w:highlight w:val="none"/>
                <w:u w:val="single" w:color="auto"/>
                <w:lang w:val="en-US" w:eastAsia="zh-CN"/>
              </w:rPr>
              <w:t xml:space="preserve">  项目生活污水污染物排放情况一览表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040"/>
              <w:gridCol w:w="762"/>
              <w:gridCol w:w="776"/>
              <w:gridCol w:w="805"/>
              <w:gridCol w:w="859"/>
              <w:gridCol w:w="886"/>
              <w:gridCol w:w="833"/>
              <w:gridCol w:w="850"/>
              <w:gridCol w:w="850"/>
            </w:tblGrid>
            <w:tr w14:paraId="2EA3BB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61" w:type="pct"/>
                  <w:tcBorders>
                    <w:tl2br w:val="nil"/>
                    <w:tr2bl w:val="nil"/>
                  </w:tcBorders>
                  <w:vAlign w:val="center"/>
                </w:tcPr>
                <w:p w14:paraId="31EB15C7">
                  <w:pPr>
                    <w:spacing w:line="240" w:lineRule="auto"/>
                    <w:ind w:firstLine="0" w:firstLineChars="0"/>
                    <w:jc w:val="center"/>
                    <w:rPr>
                      <w:rFonts w:ascii="Times New Roman" w:hAnsi="Times New Roman" w:eastAsia="宋体" w:cs="Times New Roman"/>
                      <w:color w:val="auto"/>
                      <w:spacing w:val="11"/>
                      <w:kern w:val="0"/>
                      <w:position w:val="0"/>
                      <w:sz w:val="21"/>
                      <w:u w:val="single" w:color="auto"/>
                    </w:rPr>
                  </w:pPr>
                  <w:r>
                    <w:rPr>
                      <w:rFonts w:ascii="Times New Roman" w:hAnsi="Times New Roman" w:eastAsia="宋体" w:cs="Times New Roman"/>
                      <w:color w:val="auto"/>
                      <w:spacing w:val="11"/>
                      <w:kern w:val="0"/>
                      <w:position w:val="0"/>
                      <w:sz w:val="21"/>
                      <w:u w:val="single" w:color="auto"/>
                    </w:rPr>
                    <w:t>废水</w:t>
                  </w:r>
                </w:p>
              </w:tc>
              <w:tc>
                <w:tcPr>
                  <w:tcW w:w="643" w:type="pct"/>
                  <w:tcBorders>
                    <w:tl2br w:val="nil"/>
                    <w:tr2bl w:val="nil"/>
                  </w:tcBorders>
                  <w:vAlign w:val="center"/>
                </w:tcPr>
                <w:p w14:paraId="315A510C">
                  <w:pPr>
                    <w:spacing w:line="240" w:lineRule="auto"/>
                    <w:ind w:firstLine="0" w:firstLineChars="0"/>
                    <w:jc w:val="center"/>
                    <w:rPr>
                      <w:rFonts w:ascii="Times New Roman" w:hAnsi="Times New Roman" w:eastAsia="宋体" w:cs="Times New Roman"/>
                      <w:color w:val="auto"/>
                      <w:spacing w:val="11"/>
                      <w:kern w:val="0"/>
                      <w:position w:val="0"/>
                      <w:sz w:val="21"/>
                      <w:u w:val="single" w:color="auto"/>
                    </w:rPr>
                  </w:pPr>
                  <w:r>
                    <w:rPr>
                      <w:rFonts w:ascii="Times New Roman" w:hAnsi="Times New Roman" w:eastAsia="宋体" w:cs="Times New Roman"/>
                      <w:color w:val="auto"/>
                      <w:spacing w:val="11"/>
                      <w:kern w:val="0"/>
                      <w:position w:val="0"/>
                      <w:sz w:val="21"/>
                      <w:u w:val="single" w:color="auto"/>
                    </w:rPr>
                    <w:t>污水</w:t>
                  </w:r>
                  <w:r>
                    <w:rPr>
                      <w:rFonts w:hint="eastAsia" w:ascii="Times New Roman" w:hAnsi="Times New Roman" w:eastAsia="宋体" w:cs="Times New Roman"/>
                      <w:color w:val="auto"/>
                      <w:spacing w:val="11"/>
                      <w:kern w:val="0"/>
                      <w:position w:val="0"/>
                      <w:sz w:val="21"/>
                      <w:u w:val="single" w:color="auto"/>
                    </w:rPr>
                    <w:t>排放</w:t>
                  </w:r>
                  <w:r>
                    <w:rPr>
                      <w:rFonts w:ascii="Times New Roman" w:hAnsi="Times New Roman" w:eastAsia="宋体" w:cs="Times New Roman"/>
                      <w:color w:val="auto"/>
                      <w:spacing w:val="11"/>
                      <w:kern w:val="0"/>
                      <w:position w:val="0"/>
                      <w:sz w:val="21"/>
                      <w:u w:val="single" w:color="auto"/>
                    </w:rPr>
                    <w:t>量</w:t>
                  </w:r>
                  <w:r>
                    <w:rPr>
                      <w:rFonts w:hint="eastAsia" w:ascii="Times New Roman" w:hAnsi="Times New Roman" w:eastAsia="宋体" w:cs="Times New Roman"/>
                      <w:color w:val="auto"/>
                      <w:spacing w:val="11"/>
                      <w:kern w:val="0"/>
                      <w:position w:val="0"/>
                      <w:sz w:val="21"/>
                      <w:u w:val="single" w:color="auto"/>
                    </w:rPr>
                    <w:t>（</w:t>
                  </w:r>
                  <w:r>
                    <w:rPr>
                      <w:rFonts w:ascii="Times New Roman" w:hAnsi="Times New Roman" w:eastAsia="宋体" w:cs="Times New Roman"/>
                      <w:color w:val="auto"/>
                      <w:spacing w:val="11"/>
                      <w:kern w:val="0"/>
                      <w:position w:val="0"/>
                      <w:sz w:val="21"/>
                      <w:u w:val="single" w:color="auto"/>
                    </w:rPr>
                    <w:t>m³</w:t>
                  </w:r>
                  <w:r>
                    <w:rPr>
                      <w:rFonts w:hint="eastAsia" w:ascii="Times New Roman" w:hAnsi="Times New Roman" w:eastAsia="宋体" w:cs="Times New Roman"/>
                      <w:color w:val="auto"/>
                      <w:spacing w:val="11"/>
                      <w:kern w:val="0"/>
                      <w:position w:val="0"/>
                      <w:sz w:val="21"/>
                      <w:u w:val="single" w:color="auto"/>
                    </w:rPr>
                    <w:t>/a）</w:t>
                  </w:r>
                </w:p>
              </w:tc>
              <w:tc>
                <w:tcPr>
                  <w:tcW w:w="471" w:type="pct"/>
                  <w:tcBorders>
                    <w:tl2br w:val="nil"/>
                    <w:tr2bl w:val="nil"/>
                  </w:tcBorders>
                  <w:vAlign w:val="center"/>
                </w:tcPr>
                <w:p w14:paraId="7423B192">
                  <w:pPr>
                    <w:spacing w:line="240" w:lineRule="auto"/>
                    <w:ind w:firstLine="0" w:firstLineChars="0"/>
                    <w:jc w:val="center"/>
                    <w:rPr>
                      <w:rFonts w:ascii="Times New Roman" w:hAnsi="Times New Roman" w:eastAsia="宋体" w:cs="Times New Roman"/>
                      <w:color w:val="auto"/>
                      <w:spacing w:val="11"/>
                      <w:kern w:val="0"/>
                      <w:position w:val="0"/>
                      <w:sz w:val="21"/>
                      <w:u w:val="single" w:color="auto"/>
                    </w:rPr>
                  </w:pPr>
                  <w:r>
                    <w:rPr>
                      <w:rFonts w:ascii="Times New Roman" w:hAnsi="Times New Roman" w:eastAsia="宋体" w:cs="Times New Roman"/>
                      <w:color w:val="auto"/>
                      <w:spacing w:val="11"/>
                      <w:kern w:val="0"/>
                      <w:position w:val="0"/>
                      <w:sz w:val="21"/>
                      <w:u w:val="single" w:color="auto"/>
                    </w:rPr>
                    <w:t>污染因子</w:t>
                  </w:r>
                </w:p>
              </w:tc>
              <w:tc>
                <w:tcPr>
                  <w:tcW w:w="480" w:type="pct"/>
                  <w:tcBorders>
                    <w:tl2br w:val="nil"/>
                    <w:tr2bl w:val="nil"/>
                  </w:tcBorders>
                  <w:vAlign w:val="center"/>
                </w:tcPr>
                <w:p w14:paraId="547DC318">
                  <w:pPr>
                    <w:spacing w:line="240" w:lineRule="auto"/>
                    <w:ind w:firstLine="0" w:firstLineChars="0"/>
                    <w:jc w:val="center"/>
                    <w:rPr>
                      <w:rFonts w:ascii="Times New Roman" w:hAnsi="Times New Roman" w:eastAsia="宋体" w:cs="Times New Roman"/>
                      <w:color w:val="auto"/>
                      <w:spacing w:val="11"/>
                      <w:kern w:val="0"/>
                      <w:position w:val="0"/>
                      <w:sz w:val="21"/>
                      <w:u w:val="single" w:color="auto"/>
                    </w:rPr>
                  </w:pPr>
                  <w:r>
                    <w:rPr>
                      <w:rFonts w:ascii="Times New Roman" w:hAnsi="Times New Roman" w:eastAsia="宋体" w:cs="Times New Roman"/>
                      <w:color w:val="auto"/>
                      <w:spacing w:val="11"/>
                      <w:kern w:val="0"/>
                      <w:position w:val="0"/>
                      <w:sz w:val="21"/>
                      <w:u w:val="single" w:color="auto"/>
                    </w:rPr>
                    <w:t>COD</w:t>
                  </w:r>
                </w:p>
              </w:tc>
              <w:tc>
                <w:tcPr>
                  <w:tcW w:w="497" w:type="pct"/>
                  <w:tcBorders>
                    <w:tl2br w:val="nil"/>
                    <w:tr2bl w:val="nil"/>
                  </w:tcBorders>
                  <w:vAlign w:val="center"/>
                </w:tcPr>
                <w:p w14:paraId="57C5A356">
                  <w:pPr>
                    <w:spacing w:line="240" w:lineRule="auto"/>
                    <w:ind w:firstLine="0" w:firstLineChars="0"/>
                    <w:jc w:val="center"/>
                    <w:rPr>
                      <w:rFonts w:ascii="Times New Roman" w:hAnsi="Times New Roman" w:eastAsia="宋体" w:cs="Times New Roman"/>
                      <w:color w:val="auto"/>
                      <w:spacing w:val="11"/>
                      <w:kern w:val="0"/>
                      <w:position w:val="0"/>
                      <w:sz w:val="21"/>
                      <w:u w:val="single" w:color="auto"/>
                    </w:rPr>
                  </w:pPr>
                  <w:r>
                    <w:rPr>
                      <w:rFonts w:ascii="Times New Roman" w:hAnsi="Times New Roman" w:eastAsia="宋体" w:cs="Times New Roman"/>
                      <w:color w:val="auto"/>
                      <w:spacing w:val="11"/>
                      <w:kern w:val="0"/>
                      <w:position w:val="0"/>
                      <w:sz w:val="21"/>
                      <w:u w:val="single" w:color="auto"/>
                    </w:rPr>
                    <w:t>BOD</w:t>
                  </w:r>
                  <w:r>
                    <w:rPr>
                      <w:rFonts w:ascii="Times New Roman" w:hAnsi="Times New Roman" w:eastAsia="宋体" w:cs="Times New Roman"/>
                      <w:color w:val="auto"/>
                      <w:spacing w:val="11"/>
                      <w:kern w:val="0"/>
                      <w:position w:val="0"/>
                      <w:sz w:val="21"/>
                      <w:u w:val="single" w:color="auto"/>
                      <w:vertAlign w:val="subscript"/>
                    </w:rPr>
                    <w:t>5</w:t>
                  </w:r>
                </w:p>
              </w:tc>
              <w:tc>
                <w:tcPr>
                  <w:tcW w:w="531" w:type="pct"/>
                  <w:tcBorders>
                    <w:tl2br w:val="nil"/>
                    <w:tr2bl w:val="nil"/>
                  </w:tcBorders>
                  <w:vAlign w:val="center"/>
                </w:tcPr>
                <w:p w14:paraId="4B2464BF">
                  <w:pPr>
                    <w:spacing w:line="240" w:lineRule="auto"/>
                    <w:ind w:firstLine="0" w:firstLineChars="0"/>
                    <w:jc w:val="center"/>
                    <w:rPr>
                      <w:rFonts w:ascii="Times New Roman" w:hAnsi="Times New Roman" w:eastAsia="宋体" w:cs="Times New Roman"/>
                      <w:color w:val="auto"/>
                      <w:spacing w:val="11"/>
                      <w:kern w:val="0"/>
                      <w:position w:val="0"/>
                      <w:sz w:val="21"/>
                      <w:u w:val="single" w:color="auto"/>
                    </w:rPr>
                  </w:pPr>
                  <w:r>
                    <w:rPr>
                      <w:rFonts w:ascii="Times New Roman" w:hAnsi="Times New Roman" w:eastAsia="宋体" w:cs="Times New Roman"/>
                      <w:color w:val="auto"/>
                      <w:spacing w:val="11"/>
                      <w:kern w:val="0"/>
                      <w:position w:val="0"/>
                      <w:sz w:val="21"/>
                      <w:u w:val="single" w:color="auto"/>
                    </w:rPr>
                    <w:t>SS</w:t>
                  </w:r>
                </w:p>
              </w:tc>
              <w:tc>
                <w:tcPr>
                  <w:tcW w:w="548" w:type="pct"/>
                  <w:tcBorders>
                    <w:tl2br w:val="nil"/>
                    <w:tr2bl w:val="nil"/>
                  </w:tcBorders>
                  <w:vAlign w:val="center"/>
                </w:tcPr>
                <w:p w14:paraId="6D7FDD66">
                  <w:pPr>
                    <w:spacing w:line="240" w:lineRule="auto"/>
                    <w:ind w:firstLine="0" w:firstLineChars="0"/>
                    <w:jc w:val="center"/>
                    <w:rPr>
                      <w:rFonts w:ascii="Times New Roman" w:hAnsi="Times New Roman" w:eastAsia="宋体" w:cs="Times New Roman"/>
                      <w:color w:val="auto"/>
                      <w:spacing w:val="11"/>
                      <w:kern w:val="0"/>
                      <w:position w:val="0"/>
                      <w:sz w:val="21"/>
                      <w:u w:val="single" w:color="auto"/>
                    </w:rPr>
                  </w:pPr>
                  <w:r>
                    <w:rPr>
                      <w:rFonts w:ascii="Times New Roman" w:hAnsi="Times New Roman" w:eastAsia="宋体" w:cs="Times New Roman"/>
                      <w:color w:val="auto"/>
                      <w:spacing w:val="11"/>
                      <w:kern w:val="0"/>
                      <w:position w:val="0"/>
                      <w:sz w:val="21"/>
                      <w:u w:val="single" w:color="auto"/>
                    </w:rPr>
                    <w:t>NH</w:t>
                  </w:r>
                  <w:r>
                    <w:rPr>
                      <w:rFonts w:ascii="Times New Roman" w:hAnsi="Times New Roman" w:eastAsia="宋体" w:cs="Times New Roman"/>
                      <w:color w:val="auto"/>
                      <w:spacing w:val="11"/>
                      <w:kern w:val="0"/>
                      <w:position w:val="0"/>
                      <w:sz w:val="21"/>
                      <w:u w:val="single" w:color="auto"/>
                      <w:vertAlign w:val="subscript"/>
                    </w:rPr>
                    <w:t>3</w:t>
                  </w:r>
                  <w:r>
                    <w:rPr>
                      <w:rFonts w:ascii="Times New Roman" w:hAnsi="Times New Roman" w:eastAsia="宋体" w:cs="Times New Roman"/>
                      <w:color w:val="auto"/>
                      <w:spacing w:val="11"/>
                      <w:kern w:val="0"/>
                      <w:position w:val="0"/>
                      <w:sz w:val="21"/>
                      <w:u w:val="single" w:color="auto"/>
                    </w:rPr>
                    <w:t>-N</w:t>
                  </w:r>
                </w:p>
              </w:tc>
              <w:tc>
                <w:tcPr>
                  <w:tcW w:w="515" w:type="pct"/>
                  <w:tcBorders>
                    <w:tl2br w:val="nil"/>
                    <w:tr2bl w:val="nil"/>
                  </w:tcBorders>
                  <w:vAlign w:val="center"/>
                </w:tcPr>
                <w:p w14:paraId="28FB87AF">
                  <w:pPr>
                    <w:spacing w:line="240" w:lineRule="auto"/>
                    <w:ind w:firstLine="0" w:firstLineChars="0"/>
                    <w:jc w:val="center"/>
                    <w:rPr>
                      <w:rFonts w:hint="default" w:ascii="Times New Roman" w:hAnsi="Times New Roman" w:eastAsia="宋体" w:cs="Times New Roman"/>
                      <w:color w:val="auto"/>
                      <w:spacing w:val="11"/>
                      <w:kern w:val="0"/>
                      <w:position w:val="0"/>
                      <w:sz w:val="21"/>
                      <w:u w:val="single" w:color="auto"/>
                      <w:lang w:val="en-US" w:eastAsia="zh-CN"/>
                    </w:rPr>
                  </w:pPr>
                  <w:r>
                    <w:rPr>
                      <w:rFonts w:hint="eastAsia" w:eastAsia="宋体" w:cs="Times New Roman"/>
                      <w:color w:val="auto"/>
                      <w:spacing w:val="11"/>
                      <w:kern w:val="0"/>
                      <w:position w:val="0"/>
                      <w:sz w:val="21"/>
                      <w:u w:val="single" w:color="auto"/>
                      <w:lang w:val="en-US" w:eastAsia="zh-CN"/>
                    </w:rPr>
                    <w:t>TP</w:t>
                  </w:r>
                </w:p>
              </w:tc>
              <w:tc>
                <w:tcPr>
                  <w:tcW w:w="525" w:type="pct"/>
                  <w:tcBorders>
                    <w:tl2br w:val="nil"/>
                    <w:tr2bl w:val="nil"/>
                  </w:tcBorders>
                  <w:vAlign w:val="center"/>
                </w:tcPr>
                <w:p w14:paraId="48B4F362">
                  <w:pPr>
                    <w:spacing w:line="240" w:lineRule="auto"/>
                    <w:ind w:firstLine="0" w:firstLineChars="0"/>
                    <w:jc w:val="center"/>
                    <w:rPr>
                      <w:rFonts w:hint="default" w:ascii="Times New Roman" w:hAnsi="Times New Roman" w:eastAsia="宋体" w:cs="Times New Roman"/>
                      <w:color w:val="auto"/>
                      <w:spacing w:val="11"/>
                      <w:kern w:val="0"/>
                      <w:position w:val="0"/>
                      <w:sz w:val="21"/>
                      <w:u w:val="single" w:color="auto"/>
                      <w:lang w:val="en-US" w:eastAsia="zh-CN"/>
                    </w:rPr>
                  </w:pPr>
                  <w:r>
                    <w:rPr>
                      <w:rFonts w:hint="eastAsia" w:eastAsia="宋体" w:cs="Times New Roman"/>
                      <w:color w:val="auto"/>
                      <w:spacing w:val="11"/>
                      <w:kern w:val="0"/>
                      <w:position w:val="0"/>
                      <w:sz w:val="21"/>
                      <w:u w:val="single" w:color="auto"/>
                      <w:lang w:val="en-US" w:eastAsia="zh-CN"/>
                    </w:rPr>
                    <w:t>TN</w:t>
                  </w:r>
                </w:p>
              </w:tc>
              <w:tc>
                <w:tcPr>
                  <w:tcW w:w="525" w:type="pct"/>
                  <w:tcBorders>
                    <w:tl2br w:val="nil"/>
                    <w:tr2bl w:val="nil"/>
                  </w:tcBorders>
                  <w:shd w:val="clear" w:color="auto" w:fill="auto"/>
                  <w:vAlign w:val="center"/>
                </w:tcPr>
                <w:p w14:paraId="3EDBB0D7">
                  <w:pPr>
                    <w:spacing w:line="240" w:lineRule="auto"/>
                    <w:ind w:firstLine="0" w:firstLineChars="0"/>
                    <w:jc w:val="center"/>
                    <w:rPr>
                      <w:rFonts w:hint="eastAsia" w:ascii="Times New Roman" w:hAnsi="Times New Roman" w:eastAsia="宋体" w:cs="Times New Roman"/>
                      <w:color w:val="auto"/>
                      <w:spacing w:val="11"/>
                      <w:kern w:val="0"/>
                      <w:position w:val="0"/>
                      <w:sz w:val="21"/>
                      <w:szCs w:val="21"/>
                      <w:u w:val="single" w:color="auto"/>
                      <w:lang w:val="en-US" w:eastAsia="zh-CN" w:bidi="ar-SA"/>
                    </w:rPr>
                  </w:pPr>
                  <w:r>
                    <w:rPr>
                      <w:rFonts w:hint="eastAsia" w:ascii="Times New Roman" w:hAnsi="Times New Roman" w:eastAsia="宋体" w:cs="Times New Roman"/>
                      <w:color w:val="auto"/>
                      <w:spacing w:val="11"/>
                      <w:kern w:val="0"/>
                      <w:position w:val="0"/>
                      <w:sz w:val="21"/>
                      <w:u w:val="single" w:color="auto"/>
                    </w:rPr>
                    <w:t>动植物油</w:t>
                  </w:r>
                </w:p>
              </w:tc>
            </w:tr>
            <w:tr w14:paraId="75F95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61" w:type="pct"/>
                  <w:vMerge w:val="restart"/>
                  <w:tcBorders>
                    <w:tl2br w:val="nil"/>
                    <w:tr2bl w:val="nil"/>
                  </w:tcBorders>
                  <w:vAlign w:val="center"/>
                </w:tcPr>
                <w:p w14:paraId="57C5973E">
                  <w:pPr>
                    <w:spacing w:line="240" w:lineRule="auto"/>
                    <w:ind w:firstLine="0" w:firstLineChars="0"/>
                    <w:jc w:val="center"/>
                    <w:rPr>
                      <w:rFonts w:ascii="Times New Roman" w:hAnsi="Times New Roman" w:eastAsia="宋体" w:cs="Times New Roman"/>
                      <w:color w:val="auto"/>
                      <w:spacing w:val="11"/>
                      <w:kern w:val="0"/>
                      <w:position w:val="0"/>
                      <w:sz w:val="21"/>
                      <w:u w:val="single" w:color="auto"/>
                    </w:rPr>
                  </w:pPr>
                  <w:r>
                    <w:rPr>
                      <w:rFonts w:ascii="Times New Roman" w:hAnsi="Times New Roman" w:eastAsia="宋体" w:cs="Times New Roman"/>
                      <w:color w:val="auto"/>
                      <w:spacing w:val="11"/>
                      <w:kern w:val="0"/>
                      <w:position w:val="0"/>
                      <w:sz w:val="21"/>
                      <w:u w:val="single" w:color="auto"/>
                    </w:rPr>
                    <w:t>生活污水</w:t>
                  </w:r>
                </w:p>
              </w:tc>
              <w:tc>
                <w:tcPr>
                  <w:tcW w:w="643" w:type="pct"/>
                  <w:vMerge w:val="restart"/>
                  <w:tcBorders>
                    <w:tl2br w:val="nil"/>
                    <w:tr2bl w:val="nil"/>
                  </w:tcBorders>
                  <w:vAlign w:val="center"/>
                </w:tcPr>
                <w:p w14:paraId="484FD24C">
                  <w:pPr>
                    <w:spacing w:line="240" w:lineRule="auto"/>
                    <w:ind w:firstLine="0" w:firstLineChars="0"/>
                    <w:jc w:val="center"/>
                    <w:rPr>
                      <w:rFonts w:hint="default" w:ascii="Times New Roman" w:hAnsi="Times New Roman" w:eastAsia="宋体" w:cs="Times New Roman"/>
                      <w:color w:val="auto"/>
                      <w:spacing w:val="11"/>
                      <w:kern w:val="0"/>
                      <w:position w:val="0"/>
                      <w:sz w:val="21"/>
                      <w:u w:val="single" w:color="auto"/>
                      <w:lang w:val="en-US"/>
                    </w:rPr>
                  </w:pPr>
                  <w:r>
                    <w:rPr>
                      <w:rFonts w:hint="eastAsia" w:cs="Times New Roman"/>
                      <w:color w:val="auto"/>
                      <w:spacing w:val="11"/>
                      <w:kern w:val="0"/>
                      <w:position w:val="0"/>
                      <w:sz w:val="21"/>
                      <w:u w:val="single" w:color="auto"/>
                      <w:lang w:val="en-US" w:eastAsia="zh-CN"/>
                    </w:rPr>
                    <w:t>446.4</w:t>
                  </w:r>
                </w:p>
              </w:tc>
              <w:tc>
                <w:tcPr>
                  <w:tcW w:w="471" w:type="pct"/>
                  <w:tcBorders>
                    <w:tl2br w:val="nil"/>
                    <w:tr2bl w:val="nil"/>
                  </w:tcBorders>
                  <w:vAlign w:val="center"/>
                </w:tcPr>
                <w:p w14:paraId="4DC24078">
                  <w:pPr>
                    <w:spacing w:line="240" w:lineRule="auto"/>
                    <w:ind w:firstLine="0" w:firstLineChars="0"/>
                    <w:jc w:val="center"/>
                    <w:rPr>
                      <w:rFonts w:ascii="Times New Roman" w:hAnsi="Times New Roman" w:eastAsia="宋体" w:cs="Times New Roman"/>
                      <w:color w:val="auto"/>
                      <w:spacing w:val="11"/>
                      <w:kern w:val="0"/>
                      <w:position w:val="0"/>
                      <w:sz w:val="21"/>
                      <w:u w:val="single" w:color="auto"/>
                    </w:rPr>
                  </w:pPr>
                  <w:r>
                    <w:rPr>
                      <w:rFonts w:hint="eastAsia" w:ascii="Times New Roman" w:hAnsi="Times New Roman" w:eastAsia="宋体" w:cs="Times New Roman"/>
                      <w:color w:val="auto"/>
                      <w:spacing w:val="11"/>
                      <w:kern w:val="0"/>
                      <w:position w:val="0"/>
                      <w:sz w:val="21"/>
                      <w:u w:val="single" w:color="auto"/>
                    </w:rPr>
                    <w:t>排放</w:t>
                  </w:r>
                  <w:r>
                    <w:rPr>
                      <w:rFonts w:ascii="Times New Roman" w:hAnsi="Times New Roman" w:eastAsia="宋体" w:cs="Times New Roman"/>
                      <w:color w:val="auto"/>
                      <w:spacing w:val="11"/>
                      <w:kern w:val="0"/>
                      <w:position w:val="0"/>
                      <w:sz w:val="21"/>
                      <w:u w:val="single" w:color="auto"/>
                    </w:rPr>
                    <w:t>浓度mg/L</w:t>
                  </w:r>
                </w:p>
              </w:tc>
              <w:tc>
                <w:tcPr>
                  <w:tcW w:w="480" w:type="pct"/>
                  <w:tcBorders>
                    <w:tl2br w:val="nil"/>
                    <w:tr2bl w:val="nil"/>
                  </w:tcBorders>
                  <w:vAlign w:val="center"/>
                </w:tcPr>
                <w:p w14:paraId="6D2AF835">
                  <w:pPr>
                    <w:spacing w:line="240" w:lineRule="auto"/>
                    <w:ind w:firstLine="0" w:firstLineChars="0"/>
                    <w:jc w:val="center"/>
                    <w:rPr>
                      <w:rFonts w:ascii="Times New Roman" w:hAnsi="Times New Roman" w:eastAsia="宋体" w:cs="Times New Roman"/>
                      <w:color w:val="auto"/>
                      <w:spacing w:val="11"/>
                      <w:kern w:val="0"/>
                      <w:position w:val="0"/>
                      <w:sz w:val="21"/>
                      <w:u w:val="single" w:color="auto"/>
                    </w:rPr>
                  </w:pPr>
                  <w:r>
                    <w:rPr>
                      <w:rFonts w:hint="eastAsia" w:ascii="Times New Roman" w:hAnsi="Times New Roman" w:eastAsia="宋体" w:cs="Times New Roman"/>
                      <w:color w:val="auto"/>
                      <w:spacing w:val="11"/>
                      <w:kern w:val="0"/>
                      <w:position w:val="0"/>
                      <w:sz w:val="21"/>
                      <w:u w:val="single" w:color="auto"/>
                    </w:rPr>
                    <w:t>350</w:t>
                  </w:r>
                </w:p>
              </w:tc>
              <w:tc>
                <w:tcPr>
                  <w:tcW w:w="497" w:type="pct"/>
                  <w:tcBorders>
                    <w:tl2br w:val="nil"/>
                    <w:tr2bl w:val="nil"/>
                  </w:tcBorders>
                  <w:vAlign w:val="center"/>
                </w:tcPr>
                <w:p w14:paraId="0A422977">
                  <w:pPr>
                    <w:spacing w:line="240" w:lineRule="auto"/>
                    <w:ind w:firstLine="0" w:firstLineChars="0"/>
                    <w:jc w:val="center"/>
                    <w:rPr>
                      <w:rFonts w:hint="default" w:ascii="Times New Roman" w:hAnsi="Times New Roman" w:eastAsia="宋体" w:cs="Times New Roman"/>
                      <w:color w:val="auto"/>
                      <w:spacing w:val="11"/>
                      <w:kern w:val="0"/>
                      <w:position w:val="0"/>
                      <w:sz w:val="21"/>
                      <w:u w:val="single" w:color="auto"/>
                      <w:lang w:val="en-US" w:eastAsia="zh-CN"/>
                    </w:rPr>
                  </w:pPr>
                  <w:r>
                    <w:rPr>
                      <w:rFonts w:hint="eastAsia" w:eastAsia="宋体" w:cs="Times New Roman"/>
                      <w:color w:val="auto"/>
                      <w:spacing w:val="11"/>
                      <w:kern w:val="0"/>
                      <w:position w:val="0"/>
                      <w:sz w:val="21"/>
                      <w:u w:val="single" w:color="auto"/>
                      <w:lang w:val="en-US" w:eastAsia="zh-CN"/>
                    </w:rPr>
                    <w:t>150</w:t>
                  </w:r>
                </w:p>
              </w:tc>
              <w:tc>
                <w:tcPr>
                  <w:tcW w:w="531" w:type="pct"/>
                  <w:tcBorders>
                    <w:tl2br w:val="nil"/>
                    <w:tr2bl w:val="nil"/>
                  </w:tcBorders>
                  <w:vAlign w:val="center"/>
                </w:tcPr>
                <w:p w14:paraId="32334347">
                  <w:pPr>
                    <w:spacing w:line="240" w:lineRule="auto"/>
                    <w:ind w:firstLine="0" w:firstLineChars="0"/>
                    <w:jc w:val="center"/>
                    <w:rPr>
                      <w:rFonts w:hint="default" w:ascii="Times New Roman" w:hAnsi="Times New Roman" w:eastAsia="宋体" w:cs="Times New Roman"/>
                      <w:color w:val="auto"/>
                      <w:spacing w:val="11"/>
                      <w:kern w:val="0"/>
                      <w:position w:val="0"/>
                      <w:sz w:val="21"/>
                      <w:u w:val="single" w:color="auto"/>
                      <w:lang w:val="en-US" w:eastAsia="zh-CN"/>
                    </w:rPr>
                  </w:pPr>
                  <w:r>
                    <w:rPr>
                      <w:rFonts w:hint="eastAsia" w:eastAsia="宋体" w:cs="Times New Roman"/>
                      <w:color w:val="auto"/>
                      <w:spacing w:val="11"/>
                      <w:kern w:val="0"/>
                      <w:position w:val="0"/>
                      <w:sz w:val="21"/>
                      <w:u w:val="single" w:color="auto"/>
                      <w:lang w:val="en-US" w:eastAsia="zh-CN"/>
                    </w:rPr>
                    <w:t>200</w:t>
                  </w:r>
                </w:p>
              </w:tc>
              <w:tc>
                <w:tcPr>
                  <w:tcW w:w="548" w:type="pct"/>
                  <w:tcBorders>
                    <w:tl2br w:val="nil"/>
                    <w:tr2bl w:val="nil"/>
                  </w:tcBorders>
                  <w:vAlign w:val="center"/>
                </w:tcPr>
                <w:p w14:paraId="05C4C538">
                  <w:pPr>
                    <w:spacing w:line="240" w:lineRule="auto"/>
                    <w:ind w:firstLine="0" w:firstLineChars="0"/>
                    <w:jc w:val="center"/>
                    <w:rPr>
                      <w:rFonts w:hint="default" w:ascii="Times New Roman" w:hAnsi="Times New Roman" w:eastAsia="宋体" w:cs="Times New Roman"/>
                      <w:color w:val="auto"/>
                      <w:spacing w:val="11"/>
                      <w:kern w:val="0"/>
                      <w:position w:val="0"/>
                      <w:sz w:val="21"/>
                      <w:u w:val="single" w:color="auto"/>
                      <w:lang w:val="en-US" w:eastAsia="zh-CN"/>
                    </w:rPr>
                  </w:pPr>
                  <w:r>
                    <w:rPr>
                      <w:rFonts w:hint="eastAsia" w:eastAsia="宋体" w:cs="Times New Roman"/>
                      <w:color w:val="auto"/>
                      <w:spacing w:val="11"/>
                      <w:kern w:val="0"/>
                      <w:position w:val="0"/>
                      <w:sz w:val="21"/>
                      <w:u w:val="single" w:color="auto"/>
                      <w:lang w:val="en-US" w:eastAsia="zh-CN"/>
                    </w:rPr>
                    <w:t>35</w:t>
                  </w:r>
                </w:p>
              </w:tc>
              <w:tc>
                <w:tcPr>
                  <w:tcW w:w="515" w:type="pct"/>
                  <w:tcBorders>
                    <w:tl2br w:val="nil"/>
                    <w:tr2bl w:val="nil"/>
                  </w:tcBorders>
                  <w:vAlign w:val="center"/>
                </w:tcPr>
                <w:p w14:paraId="5650D4D3">
                  <w:pPr>
                    <w:spacing w:line="240" w:lineRule="auto"/>
                    <w:ind w:firstLine="0" w:firstLineChars="0"/>
                    <w:jc w:val="center"/>
                    <w:rPr>
                      <w:rFonts w:hint="eastAsia" w:ascii="Times New Roman" w:hAnsi="Times New Roman" w:eastAsia="宋体" w:cs="Times New Roman"/>
                      <w:color w:val="auto"/>
                      <w:spacing w:val="11"/>
                      <w:kern w:val="0"/>
                      <w:position w:val="0"/>
                      <w:sz w:val="21"/>
                      <w:u w:val="single" w:color="auto"/>
                    </w:rPr>
                  </w:pPr>
                  <w:r>
                    <w:rPr>
                      <w:rFonts w:hint="eastAsia" w:eastAsia="宋体" w:cs="Times New Roman"/>
                      <w:color w:val="auto"/>
                      <w:spacing w:val="11"/>
                      <w:kern w:val="0"/>
                      <w:position w:val="0"/>
                      <w:sz w:val="21"/>
                      <w:u w:val="single" w:color="auto"/>
                      <w:lang w:val="en-US" w:eastAsia="zh-CN"/>
                    </w:rPr>
                    <w:t>4</w:t>
                  </w:r>
                </w:p>
              </w:tc>
              <w:tc>
                <w:tcPr>
                  <w:tcW w:w="525" w:type="pct"/>
                  <w:tcBorders>
                    <w:tl2br w:val="nil"/>
                    <w:tr2bl w:val="nil"/>
                  </w:tcBorders>
                  <w:vAlign w:val="center"/>
                </w:tcPr>
                <w:p w14:paraId="2FA5E2C6">
                  <w:pPr>
                    <w:spacing w:line="240" w:lineRule="auto"/>
                    <w:ind w:firstLine="0" w:firstLineChars="0"/>
                    <w:jc w:val="center"/>
                    <w:rPr>
                      <w:rFonts w:hint="default" w:eastAsia="宋体" w:cs="Times New Roman"/>
                      <w:color w:val="auto"/>
                      <w:spacing w:val="11"/>
                      <w:kern w:val="0"/>
                      <w:position w:val="0"/>
                      <w:sz w:val="21"/>
                      <w:u w:val="single" w:color="auto"/>
                      <w:lang w:val="en-US" w:eastAsia="zh-CN"/>
                    </w:rPr>
                  </w:pPr>
                  <w:r>
                    <w:rPr>
                      <w:rFonts w:hint="eastAsia" w:eastAsia="宋体" w:cs="Times New Roman"/>
                      <w:color w:val="auto"/>
                      <w:spacing w:val="11"/>
                      <w:kern w:val="0"/>
                      <w:position w:val="0"/>
                      <w:sz w:val="21"/>
                      <w:u w:val="single" w:color="auto"/>
                      <w:lang w:val="en-US" w:eastAsia="zh-CN"/>
                    </w:rPr>
                    <w:t>40</w:t>
                  </w:r>
                </w:p>
              </w:tc>
              <w:tc>
                <w:tcPr>
                  <w:tcW w:w="525" w:type="pct"/>
                  <w:tcBorders>
                    <w:tl2br w:val="nil"/>
                    <w:tr2bl w:val="nil"/>
                  </w:tcBorders>
                  <w:shd w:val="clear" w:color="auto" w:fill="auto"/>
                  <w:vAlign w:val="center"/>
                </w:tcPr>
                <w:p w14:paraId="28B55968">
                  <w:pPr>
                    <w:spacing w:line="240" w:lineRule="auto"/>
                    <w:ind w:firstLine="0" w:firstLineChars="0"/>
                    <w:jc w:val="center"/>
                    <w:rPr>
                      <w:rFonts w:hint="eastAsia" w:ascii="Times New Roman" w:hAnsi="Times New Roman" w:eastAsia="宋体" w:cs="Times New Roman"/>
                      <w:color w:val="auto"/>
                      <w:spacing w:val="11"/>
                      <w:kern w:val="0"/>
                      <w:position w:val="0"/>
                      <w:sz w:val="21"/>
                      <w:szCs w:val="21"/>
                      <w:u w:val="single" w:color="auto"/>
                      <w:lang w:val="en-US" w:eastAsia="zh-CN" w:bidi="ar-SA"/>
                    </w:rPr>
                  </w:pPr>
                  <w:r>
                    <w:rPr>
                      <w:rFonts w:hint="eastAsia" w:ascii="Times New Roman" w:hAnsi="Times New Roman" w:eastAsia="宋体" w:cs="Times New Roman"/>
                      <w:color w:val="auto"/>
                      <w:spacing w:val="11"/>
                      <w:kern w:val="0"/>
                      <w:position w:val="0"/>
                      <w:sz w:val="21"/>
                      <w:u w:val="single" w:color="auto"/>
                    </w:rPr>
                    <w:t>25</w:t>
                  </w:r>
                </w:p>
              </w:tc>
            </w:tr>
            <w:tr w14:paraId="63435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61" w:type="pct"/>
                  <w:vMerge w:val="continue"/>
                  <w:tcBorders>
                    <w:tl2br w:val="nil"/>
                    <w:tr2bl w:val="nil"/>
                  </w:tcBorders>
                  <w:vAlign w:val="center"/>
                </w:tcPr>
                <w:p w14:paraId="613C45F4">
                  <w:pPr>
                    <w:widowControl/>
                    <w:spacing w:line="240" w:lineRule="auto"/>
                    <w:ind w:firstLine="0" w:firstLineChars="0"/>
                    <w:jc w:val="left"/>
                    <w:rPr>
                      <w:rFonts w:ascii="Times New Roman" w:hAnsi="Times New Roman" w:eastAsia="宋体" w:cs="Times New Roman"/>
                      <w:color w:val="auto"/>
                      <w:spacing w:val="11"/>
                      <w:kern w:val="0"/>
                      <w:position w:val="0"/>
                      <w:sz w:val="21"/>
                      <w:u w:val="single" w:color="auto"/>
                    </w:rPr>
                  </w:pPr>
                </w:p>
              </w:tc>
              <w:tc>
                <w:tcPr>
                  <w:tcW w:w="643" w:type="pct"/>
                  <w:vMerge w:val="continue"/>
                  <w:tcBorders>
                    <w:tl2br w:val="nil"/>
                    <w:tr2bl w:val="nil"/>
                  </w:tcBorders>
                  <w:vAlign w:val="center"/>
                </w:tcPr>
                <w:p w14:paraId="0AE2042A">
                  <w:pPr>
                    <w:widowControl/>
                    <w:spacing w:line="240" w:lineRule="auto"/>
                    <w:ind w:firstLine="0" w:firstLineChars="0"/>
                    <w:jc w:val="left"/>
                    <w:rPr>
                      <w:rFonts w:ascii="Times New Roman" w:hAnsi="Times New Roman" w:eastAsia="宋体" w:cs="Times New Roman"/>
                      <w:color w:val="auto"/>
                      <w:spacing w:val="11"/>
                      <w:kern w:val="0"/>
                      <w:position w:val="0"/>
                      <w:sz w:val="21"/>
                      <w:u w:val="single" w:color="auto"/>
                    </w:rPr>
                  </w:pPr>
                </w:p>
              </w:tc>
              <w:tc>
                <w:tcPr>
                  <w:tcW w:w="471" w:type="pct"/>
                  <w:tcBorders>
                    <w:tl2br w:val="nil"/>
                    <w:tr2bl w:val="nil"/>
                  </w:tcBorders>
                  <w:vAlign w:val="center"/>
                </w:tcPr>
                <w:p w14:paraId="24810C29">
                  <w:pPr>
                    <w:spacing w:line="240" w:lineRule="auto"/>
                    <w:ind w:firstLine="0" w:firstLineChars="0"/>
                    <w:jc w:val="center"/>
                    <w:rPr>
                      <w:rFonts w:ascii="Times New Roman" w:hAnsi="Times New Roman" w:eastAsia="宋体" w:cs="Times New Roman"/>
                      <w:color w:val="auto"/>
                      <w:spacing w:val="11"/>
                      <w:kern w:val="0"/>
                      <w:position w:val="0"/>
                      <w:sz w:val="21"/>
                      <w:u w:val="single" w:color="auto"/>
                    </w:rPr>
                  </w:pPr>
                  <w:r>
                    <w:rPr>
                      <w:rFonts w:hint="eastAsia" w:ascii="Times New Roman" w:hAnsi="Times New Roman" w:eastAsia="宋体" w:cs="Times New Roman"/>
                      <w:color w:val="auto"/>
                      <w:spacing w:val="11"/>
                      <w:kern w:val="0"/>
                      <w:position w:val="0"/>
                      <w:sz w:val="21"/>
                      <w:u w:val="single" w:color="auto"/>
                    </w:rPr>
                    <w:t>排放</w:t>
                  </w:r>
                  <w:r>
                    <w:rPr>
                      <w:rFonts w:ascii="Times New Roman" w:hAnsi="Times New Roman" w:eastAsia="宋体" w:cs="Times New Roman"/>
                      <w:color w:val="auto"/>
                      <w:spacing w:val="11"/>
                      <w:kern w:val="0"/>
                      <w:position w:val="0"/>
                      <w:sz w:val="21"/>
                      <w:u w:val="single" w:color="auto"/>
                    </w:rPr>
                    <w:t>量t/a</w:t>
                  </w:r>
                </w:p>
              </w:tc>
              <w:tc>
                <w:tcPr>
                  <w:tcW w:w="480" w:type="pct"/>
                  <w:tcBorders>
                    <w:tl2br w:val="nil"/>
                    <w:tr2bl w:val="nil"/>
                  </w:tcBorders>
                  <w:shd w:val="clear" w:color="auto" w:fill="auto"/>
                  <w:vAlign w:val="center"/>
                </w:tcPr>
                <w:p w14:paraId="270661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0.1562</w:t>
                  </w:r>
                </w:p>
              </w:tc>
              <w:tc>
                <w:tcPr>
                  <w:tcW w:w="497" w:type="pct"/>
                  <w:tcBorders>
                    <w:tl2br w:val="nil"/>
                    <w:tr2bl w:val="nil"/>
                  </w:tcBorders>
                  <w:shd w:val="clear" w:color="auto" w:fill="auto"/>
                  <w:vAlign w:val="center"/>
                </w:tcPr>
                <w:p w14:paraId="68E5405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0.06696</w:t>
                  </w:r>
                </w:p>
              </w:tc>
              <w:tc>
                <w:tcPr>
                  <w:tcW w:w="531" w:type="pct"/>
                  <w:tcBorders>
                    <w:tl2br w:val="nil"/>
                    <w:tr2bl w:val="nil"/>
                  </w:tcBorders>
                  <w:shd w:val="clear" w:color="auto" w:fill="auto"/>
                  <w:vAlign w:val="center"/>
                </w:tcPr>
                <w:p w14:paraId="0D84AC9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0.08928</w:t>
                  </w:r>
                </w:p>
              </w:tc>
              <w:tc>
                <w:tcPr>
                  <w:tcW w:w="548" w:type="pct"/>
                  <w:tcBorders>
                    <w:tl2br w:val="nil"/>
                    <w:tr2bl w:val="nil"/>
                  </w:tcBorders>
                  <w:shd w:val="clear" w:color="auto" w:fill="auto"/>
                  <w:vAlign w:val="center"/>
                </w:tcPr>
                <w:p w14:paraId="780488D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0.01562</w:t>
                  </w:r>
                </w:p>
              </w:tc>
              <w:tc>
                <w:tcPr>
                  <w:tcW w:w="515" w:type="pct"/>
                  <w:tcBorders>
                    <w:tl2br w:val="nil"/>
                    <w:tr2bl w:val="nil"/>
                  </w:tcBorders>
                  <w:shd w:val="clear" w:color="auto" w:fill="auto"/>
                  <w:vAlign w:val="center"/>
                </w:tcPr>
                <w:p w14:paraId="0BD3C0A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0.001786</w:t>
                  </w:r>
                </w:p>
              </w:tc>
              <w:tc>
                <w:tcPr>
                  <w:tcW w:w="525" w:type="pct"/>
                  <w:tcBorders>
                    <w:tl2br w:val="nil"/>
                    <w:tr2bl w:val="nil"/>
                  </w:tcBorders>
                  <w:shd w:val="clear" w:color="auto" w:fill="auto"/>
                  <w:vAlign w:val="center"/>
                </w:tcPr>
                <w:p w14:paraId="38B61F0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0.01786</w:t>
                  </w:r>
                </w:p>
              </w:tc>
              <w:tc>
                <w:tcPr>
                  <w:tcW w:w="525" w:type="pct"/>
                  <w:tcBorders>
                    <w:tl2br w:val="nil"/>
                    <w:tr2bl w:val="nil"/>
                  </w:tcBorders>
                  <w:shd w:val="clear" w:color="auto" w:fill="auto"/>
                  <w:vAlign w:val="center"/>
                </w:tcPr>
                <w:p w14:paraId="56B2174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0.01116</w:t>
                  </w:r>
                </w:p>
              </w:tc>
            </w:tr>
          </w:tbl>
          <w:p w14:paraId="67C28AC6">
            <w:pPr>
              <w:keepNext w:val="0"/>
              <w:keepLines w:val="0"/>
              <w:pageBreakBefore w:val="0"/>
              <w:widowControl w:val="0"/>
              <w:tabs>
                <w:tab w:val="left" w:pos="6298"/>
              </w:tabs>
              <w:kinsoku/>
              <w:wordWrap/>
              <w:overflowPunct/>
              <w:topLinePunct w:val="0"/>
              <w:autoSpaceDE/>
              <w:autoSpaceDN/>
              <w:bidi w:val="0"/>
              <w:adjustRightInd w:val="0"/>
              <w:snapToGrid w:val="0"/>
              <w:spacing w:before="157" w:beforeLines="50" w:line="360" w:lineRule="auto"/>
              <w:ind w:left="0" w:leftChars="0" w:right="0" w:firstLine="480" w:firstLineChars="200"/>
              <w:jc w:val="both"/>
              <w:textAlignment w:val="auto"/>
              <w:rPr>
                <w:rFonts w:hint="default" w:ascii="Times New Roman" w:hAnsi="Times New Roman" w:eastAsia="宋体" w:cs="Times New Roman"/>
                <w:b w:val="0"/>
                <w:bCs/>
                <w:color w:val="000000"/>
                <w:spacing w:val="11"/>
                <w:position w:val="0"/>
                <w:sz w:val="24"/>
                <w:szCs w:val="24"/>
                <w:u w:val="single" w:color="auto"/>
                <w:lang w:val="en-US" w:eastAsia="zh-CN"/>
              </w:rPr>
            </w:pPr>
            <w:r>
              <w:rPr>
                <w:rFonts w:hint="eastAsia" w:ascii="Times New Roman" w:hAnsi="宋体" w:eastAsia="宋体" w:cs="Times New Roman"/>
                <w:color w:val="auto"/>
                <w:sz w:val="24"/>
                <w:szCs w:val="24"/>
                <w:u w:val="single" w:color="auto"/>
              </w:rPr>
              <w:t>项目生活污水产生量</w:t>
            </w:r>
            <w:r>
              <w:rPr>
                <w:rFonts w:hint="eastAsia" w:ascii="Times New Roman" w:hAnsi="宋体" w:eastAsia="宋体" w:cs="Times New Roman"/>
                <w:color w:val="auto"/>
                <w:sz w:val="24"/>
                <w:szCs w:val="24"/>
                <w:u w:val="single" w:color="auto"/>
                <w:lang w:val="en-US" w:eastAsia="zh-CN"/>
              </w:rPr>
              <w:t>为446.4</w:t>
            </w:r>
            <w:r>
              <w:rPr>
                <w:rFonts w:hint="eastAsia" w:ascii="Times New Roman" w:hAnsi="宋体" w:eastAsia="宋体" w:cs="Times New Roman"/>
                <w:color w:val="auto"/>
                <w:sz w:val="24"/>
                <w:szCs w:val="24"/>
                <w:u w:val="single" w:color="auto"/>
              </w:rPr>
              <w:t>m</w:t>
            </w:r>
            <w:r>
              <w:rPr>
                <w:rFonts w:hint="eastAsia" w:ascii="Times New Roman" w:hAnsi="宋体" w:eastAsia="宋体" w:cs="Times New Roman"/>
                <w:color w:val="auto"/>
                <w:sz w:val="24"/>
                <w:szCs w:val="24"/>
                <w:u w:val="single" w:color="auto"/>
                <w:vertAlign w:val="superscript"/>
              </w:rPr>
              <w:t>3</w:t>
            </w:r>
            <w:r>
              <w:rPr>
                <w:rFonts w:hint="eastAsia" w:ascii="Times New Roman" w:hAnsi="宋体" w:eastAsia="宋体" w:cs="Times New Roman"/>
                <w:color w:val="auto"/>
                <w:sz w:val="24"/>
                <w:szCs w:val="24"/>
                <w:u w:val="single" w:color="auto"/>
              </w:rPr>
              <w:t>/a</w:t>
            </w:r>
            <w:r>
              <w:rPr>
                <w:rFonts w:hint="eastAsia" w:ascii="Times New Roman" w:hAnsi="宋体" w:eastAsia="宋体" w:cs="Times New Roman"/>
                <w:color w:val="auto"/>
                <w:sz w:val="24"/>
                <w:szCs w:val="24"/>
                <w:u w:val="single" w:color="auto"/>
                <w:lang w:eastAsia="zh-CN"/>
              </w:rPr>
              <w:t>，</w:t>
            </w:r>
            <w:r>
              <w:rPr>
                <w:rFonts w:hint="eastAsia" w:ascii="Times New Roman" w:hAnsi="宋体" w:eastAsia="宋体" w:cs="Times New Roman"/>
                <w:color w:val="auto"/>
                <w:sz w:val="24"/>
                <w:szCs w:val="24"/>
                <w:u w:val="single" w:color="auto"/>
                <w:lang w:val="en-US" w:eastAsia="zh-CN"/>
              </w:rPr>
              <w:t>厂</w:t>
            </w:r>
            <w:r>
              <w:rPr>
                <w:rFonts w:hint="eastAsia" w:ascii="Times New Roman" w:hAnsi="宋体" w:eastAsia="宋体" w:cs="Times New Roman"/>
                <w:color w:val="auto"/>
                <w:sz w:val="24"/>
                <w:szCs w:val="24"/>
                <w:u w:val="single" w:color="auto"/>
              </w:rPr>
              <w:t>区绿化占地面积约</w:t>
            </w:r>
            <w:r>
              <w:rPr>
                <w:rFonts w:hint="eastAsia" w:ascii="Times New Roman" w:hAnsi="宋体" w:eastAsia="宋体" w:cs="Times New Roman"/>
                <w:color w:val="auto"/>
                <w:sz w:val="24"/>
                <w:szCs w:val="24"/>
                <w:u w:val="single" w:color="auto"/>
                <w:lang w:val="en-US" w:eastAsia="zh-CN"/>
              </w:rPr>
              <w:t>750m</w:t>
            </w:r>
            <w:r>
              <w:rPr>
                <w:rFonts w:hint="eastAsia" w:ascii="Times New Roman" w:hAnsi="宋体" w:eastAsia="宋体" w:cs="Times New Roman"/>
                <w:color w:val="auto"/>
                <w:sz w:val="24"/>
                <w:szCs w:val="24"/>
                <w:u w:val="single" w:color="auto"/>
                <w:vertAlign w:val="superscript"/>
                <w:lang w:val="en-US" w:eastAsia="zh-CN"/>
              </w:rPr>
              <w:t>2</w:t>
            </w:r>
            <w:r>
              <w:rPr>
                <w:rFonts w:hint="eastAsia" w:ascii="Times New Roman" w:hAnsi="宋体" w:eastAsia="宋体" w:cs="Times New Roman"/>
                <w:color w:val="auto"/>
                <w:sz w:val="24"/>
                <w:szCs w:val="24"/>
                <w:u w:val="single" w:color="auto"/>
              </w:rPr>
              <w:t>，根据《湖南省地方标准用水定额》（DB43/T388-2014）中</w:t>
            </w:r>
            <w:r>
              <w:rPr>
                <w:rFonts w:hint="eastAsia" w:ascii="Times New Roman" w:hAnsi="宋体" w:eastAsia="宋体" w:cs="Times New Roman"/>
                <w:color w:val="auto"/>
                <w:sz w:val="24"/>
                <w:szCs w:val="24"/>
                <w:u w:val="single" w:color="auto"/>
                <w:lang w:val="en-US" w:eastAsia="zh-CN"/>
              </w:rPr>
              <w:t>绿化</w:t>
            </w:r>
            <w:r>
              <w:rPr>
                <w:rFonts w:hint="eastAsia" w:ascii="Times New Roman" w:hAnsi="宋体" w:eastAsia="宋体" w:cs="Times New Roman"/>
                <w:color w:val="auto"/>
                <w:sz w:val="24"/>
                <w:szCs w:val="24"/>
                <w:u w:val="single" w:color="auto"/>
              </w:rPr>
              <w:t>用水量</w:t>
            </w:r>
            <w:r>
              <w:rPr>
                <w:rFonts w:hint="eastAsia" w:ascii="Times New Roman" w:hAnsi="宋体" w:eastAsia="宋体" w:cs="Times New Roman"/>
                <w:color w:val="auto"/>
                <w:sz w:val="24"/>
                <w:szCs w:val="24"/>
                <w:u w:val="single" w:color="auto"/>
                <w:lang w:val="en-US" w:eastAsia="zh-CN"/>
              </w:rPr>
              <w:t>60L</w:t>
            </w:r>
            <w:r>
              <w:rPr>
                <w:rFonts w:hint="eastAsia" w:ascii="Times New Roman" w:hAnsi="宋体" w:eastAsia="宋体" w:cs="Times New Roman"/>
                <w:color w:val="auto"/>
                <w:sz w:val="24"/>
                <w:szCs w:val="24"/>
                <w:u w:val="single" w:color="auto"/>
              </w:rPr>
              <w:t>/</w:t>
            </w:r>
            <w:r>
              <w:rPr>
                <w:rFonts w:hint="eastAsia" w:ascii="Times New Roman" w:hAnsi="Times New Roman" w:eastAsia="宋体" w:cs="Times New Roman"/>
                <w:color w:val="auto"/>
                <w:sz w:val="24"/>
                <w:szCs w:val="24"/>
                <w:u w:val="single" w:color="auto"/>
                <w:lang w:val="en-US" w:eastAsia="zh-CN"/>
              </w:rPr>
              <w:t>m</w:t>
            </w:r>
            <w:r>
              <w:rPr>
                <w:rFonts w:hint="eastAsia" w:ascii="Times New Roman" w:hAnsi="Times New Roman" w:eastAsia="宋体" w:cs="Times New Roman"/>
                <w:color w:val="auto"/>
                <w:sz w:val="24"/>
                <w:szCs w:val="24"/>
                <w:u w:val="single" w:color="auto"/>
                <w:vertAlign w:val="superscript"/>
                <w:lang w:val="en-US" w:eastAsia="zh-CN"/>
              </w:rPr>
              <w:t>2</w:t>
            </w:r>
            <w:r>
              <w:rPr>
                <w:rFonts w:ascii="Times New Roman" w:hAnsi="Times New Roman" w:eastAsia="宋体" w:cs="Times New Roman"/>
                <w:color w:val="auto"/>
                <w:sz w:val="24"/>
                <w:szCs w:val="24"/>
                <w:u w:val="single" w:color="auto"/>
              </w:rPr>
              <w:t>·</w:t>
            </w:r>
            <w:r>
              <w:rPr>
                <w:rFonts w:hint="eastAsia" w:ascii="Times New Roman" w:hAnsi="Times New Roman" w:eastAsia="宋体" w:cs="Times New Roman"/>
                <w:color w:val="auto"/>
                <w:sz w:val="24"/>
                <w:szCs w:val="24"/>
                <w:u w:val="single" w:color="auto"/>
                <w:lang w:val="en-US" w:eastAsia="zh-CN"/>
              </w:rPr>
              <w:t>月</w:t>
            </w:r>
            <w:r>
              <w:rPr>
                <w:rFonts w:hint="eastAsia" w:ascii="Times New Roman" w:hAnsi="Times New Roman" w:eastAsia="宋体" w:cs="Times New Roman"/>
                <w:color w:val="auto"/>
                <w:sz w:val="24"/>
                <w:szCs w:val="24"/>
                <w:u w:val="single" w:color="auto"/>
              </w:rPr>
              <w:t>，则项目</w:t>
            </w:r>
            <w:r>
              <w:rPr>
                <w:rFonts w:hint="eastAsia" w:ascii="Times New Roman" w:hAnsi="Times New Roman" w:eastAsia="宋体" w:cs="Times New Roman"/>
                <w:color w:val="auto"/>
                <w:sz w:val="24"/>
                <w:szCs w:val="24"/>
                <w:u w:val="single" w:color="auto"/>
                <w:lang w:val="en-US" w:eastAsia="zh-CN"/>
              </w:rPr>
              <w:t>厂</w:t>
            </w:r>
            <w:r>
              <w:rPr>
                <w:rFonts w:hint="eastAsia" w:ascii="Times New Roman" w:hAnsi="Times New Roman" w:eastAsia="宋体" w:cs="Times New Roman"/>
                <w:color w:val="auto"/>
                <w:sz w:val="24"/>
                <w:szCs w:val="24"/>
                <w:u w:val="single" w:color="auto"/>
              </w:rPr>
              <w:t>区绿化总用水量</w:t>
            </w:r>
            <w:r>
              <w:rPr>
                <w:rFonts w:hint="eastAsia" w:ascii="Times New Roman" w:hAnsi="Times New Roman" w:eastAsia="宋体" w:cs="Times New Roman"/>
                <w:color w:val="auto"/>
                <w:sz w:val="24"/>
                <w:szCs w:val="24"/>
                <w:u w:val="single" w:color="auto"/>
                <w:lang w:val="en-US" w:eastAsia="zh-CN"/>
              </w:rPr>
              <w:t>450</w:t>
            </w:r>
            <w:r>
              <w:rPr>
                <w:rFonts w:hint="eastAsia" w:ascii="Times New Roman" w:hAnsi="Times New Roman" w:eastAsia="宋体" w:cs="Times New Roman"/>
                <w:color w:val="auto"/>
                <w:sz w:val="24"/>
                <w:szCs w:val="24"/>
                <w:u w:val="single" w:color="auto"/>
              </w:rPr>
              <w:t>m</w:t>
            </w:r>
            <w:r>
              <w:rPr>
                <w:rFonts w:hint="eastAsia" w:ascii="Times New Roman" w:hAnsi="Times New Roman" w:eastAsia="宋体" w:cs="Times New Roman"/>
                <w:color w:val="auto"/>
                <w:sz w:val="24"/>
                <w:szCs w:val="24"/>
                <w:u w:val="single" w:color="auto"/>
                <w:vertAlign w:val="superscript"/>
              </w:rPr>
              <w:t>3</w:t>
            </w:r>
            <w:r>
              <w:rPr>
                <w:rFonts w:hint="eastAsia" w:ascii="Times New Roman" w:hAnsi="Times New Roman" w:eastAsia="宋体" w:cs="Times New Roman"/>
                <w:color w:val="auto"/>
                <w:sz w:val="24"/>
                <w:szCs w:val="24"/>
                <w:u w:val="single" w:color="auto"/>
                <w:lang w:eastAsia="zh-CN"/>
              </w:rPr>
              <w:t>，</w:t>
            </w:r>
            <w:r>
              <w:rPr>
                <w:rFonts w:hint="eastAsia" w:ascii="Times New Roman" w:hAnsi="Times New Roman" w:eastAsia="宋体" w:cs="Times New Roman"/>
                <w:color w:val="auto"/>
                <w:sz w:val="24"/>
                <w:szCs w:val="24"/>
                <w:u w:val="single" w:color="auto"/>
                <w:lang w:val="en-US" w:eastAsia="zh-CN"/>
              </w:rPr>
              <w:t>故厂内绿化完全具备消纳此部分污水的能力</w:t>
            </w:r>
            <w:r>
              <w:rPr>
                <w:rFonts w:hint="eastAsia" w:cs="Times New Roman"/>
                <w:b w:val="0"/>
                <w:bCs/>
                <w:color w:val="000000"/>
                <w:spacing w:val="11"/>
                <w:position w:val="0"/>
                <w:sz w:val="24"/>
                <w:szCs w:val="24"/>
                <w:u w:val="single" w:color="auto"/>
                <w:lang w:val="en-US" w:eastAsia="zh-CN"/>
              </w:rPr>
              <w:t>，</w:t>
            </w:r>
            <w:r>
              <w:rPr>
                <w:rFonts w:hint="default" w:ascii="Times New Roman" w:hAnsi="Times New Roman" w:eastAsia="宋体" w:cs="Times New Roman"/>
                <w:b w:val="0"/>
                <w:bCs/>
                <w:color w:val="000000"/>
                <w:spacing w:val="11"/>
                <w:position w:val="0"/>
                <w:sz w:val="24"/>
                <w:szCs w:val="24"/>
                <w:u w:val="single" w:color="auto"/>
                <w:lang w:val="en-US" w:eastAsia="zh-CN"/>
              </w:rPr>
              <w:t>结合上表污染物核算结果可知，生活污水水质简单，经化粪池处理后，能够满足绿化消纳要求，故评价认为，生活污水</w:t>
            </w:r>
            <w:r>
              <w:rPr>
                <w:rFonts w:hint="eastAsia" w:cs="Times New Roman"/>
                <w:b w:val="0"/>
                <w:bCs/>
                <w:color w:val="000000"/>
                <w:spacing w:val="11"/>
                <w:position w:val="0"/>
                <w:sz w:val="24"/>
                <w:szCs w:val="24"/>
                <w:u w:val="single" w:color="auto"/>
                <w:lang w:val="en-US" w:eastAsia="zh-CN"/>
              </w:rPr>
              <w:t>用于厂区绿化</w:t>
            </w:r>
            <w:r>
              <w:rPr>
                <w:rFonts w:hint="default" w:ascii="Times New Roman" w:hAnsi="Times New Roman" w:eastAsia="宋体" w:cs="Times New Roman"/>
                <w:b w:val="0"/>
                <w:bCs/>
                <w:color w:val="000000"/>
                <w:spacing w:val="11"/>
                <w:position w:val="0"/>
                <w:sz w:val="24"/>
                <w:szCs w:val="24"/>
                <w:u w:val="single" w:color="auto"/>
                <w:lang w:val="en-US" w:eastAsia="zh-CN"/>
              </w:rPr>
              <w:t>能够满足环保要求，措施可行。</w:t>
            </w:r>
          </w:p>
          <w:p w14:paraId="3FB4A36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none" w:color="auto"/>
                <w:lang w:val="en-US" w:eastAsia="zh-CN"/>
              </w:rPr>
            </w:pPr>
            <w:r>
              <w:rPr>
                <w:rFonts w:hint="default" w:ascii="Times New Roman" w:hAnsi="Times New Roman" w:eastAsia="宋体" w:cs="Times New Roman"/>
                <w:b w:val="0"/>
                <w:bCs w:val="0"/>
                <w:color w:val="000000"/>
                <w:spacing w:val="11"/>
                <w:position w:val="0"/>
                <w:sz w:val="24"/>
                <w:szCs w:val="24"/>
                <w:u w:val="none" w:color="auto"/>
                <w:lang w:eastAsia="zh-CN"/>
              </w:rPr>
              <w:t>（</w:t>
            </w:r>
            <w:r>
              <w:rPr>
                <w:rFonts w:hint="default" w:ascii="Times New Roman" w:hAnsi="Times New Roman" w:eastAsia="宋体" w:cs="Times New Roman"/>
                <w:b w:val="0"/>
                <w:bCs w:val="0"/>
                <w:color w:val="000000"/>
                <w:spacing w:val="11"/>
                <w:position w:val="0"/>
                <w:sz w:val="24"/>
                <w:szCs w:val="24"/>
                <w:u w:val="none" w:color="auto"/>
                <w:lang w:val="en-US" w:eastAsia="zh-CN"/>
              </w:rPr>
              <w:t>5）洗砂废水</w:t>
            </w:r>
          </w:p>
          <w:p w14:paraId="18408E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highlight w:val="yellow"/>
                <w:u w:val="none" w:color="auto"/>
                <w:lang w:val="en-US" w:eastAsia="zh-CN"/>
              </w:rPr>
            </w:pPr>
            <w:r>
              <w:rPr>
                <w:rFonts w:hint="default" w:ascii="Times New Roman" w:hAnsi="Times New Roman" w:eastAsia="宋体" w:cs="Times New Roman"/>
                <w:b w:val="0"/>
                <w:bCs w:val="0"/>
                <w:color w:val="000000"/>
                <w:spacing w:val="11"/>
                <w:position w:val="0"/>
                <w:sz w:val="24"/>
                <w:szCs w:val="24"/>
                <w:u w:val="none" w:color="auto"/>
                <w:lang w:eastAsia="zh-CN"/>
              </w:rPr>
              <w:t>制砂机破碎后的砂通过输送机进入洗砂机，洗砂池料水比为</w:t>
            </w:r>
            <w:r>
              <w:rPr>
                <w:rFonts w:hint="default" w:ascii="Times New Roman" w:hAnsi="Times New Roman" w:eastAsia="宋体" w:cs="Times New Roman"/>
                <w:b w:val="0"/>
                <w:bCs w:val="0"/>
                <w:color w:val="000000"/>
                <w:spacing w:val="11"/>
                <w:position w:val="0"/>
                <w:sz w:val="24"/>
                <w:szCs w:val="24"/>
                <w:u w:val="none" w:color="auto"/>
                <w:lang w:val="en-US" w:eastAsia="zh-CN"/>
              </w:rPr>
              <w:t>1:3，</w:t>
            </w:r>
            <w:r>
              <w:rPr>
                <w:rFonts w:hint="eastAsia" w:cs="Times New Roman"/>
                <w:b w:val="0"/>
                <w:bCs w:val="0"/>
                <w:color w:val="000000"/>
                <w:spacing w:val="11"/>
                <w:position w:val="0"/>
                <w:sz w:val="24"/>
                <w:szCs w:val="24"/>
                <w:u w:val="none" w:color="auto"/>
                <w:lang w:val="en-US" w:eastAsia="zh-CN"/>
              </w:rPr>
              <w:t>本项目日需洗砂1000t，则需用水3000m</w:t>
            </w:r>
            <w:r>
              <w:rPr>
                <w:rFonts w:hint="eastAsia" w:cs="Times New Roman"/>
                <w:b w:val="0"/>
                <w:bCs w:val="0"/>
                <w:color w:val="000000"/>
                <w:spacing w:val="11"/>
                <w:position w:val="0"/>
                <w:sz w:val="24"/>
                <w:szCs w:val="24"/>
                <w:u w:val="none" w:color="auto"/>
                <w:vertAlign w:val="superscript"/>
                <w:lang w:val="en-US" w:eastAsia="zh-CN"/>
              </w:rPr>
              <w:t>3</w:t>
            </w:r>
            <w:r>
              <w:rPr>
                <w:rFonts w:hint="eastAsia" w:cs="Times New Roman"/>
                <w:b w:val="0"/>
                <w:bCs w:val="0"/>
                <w:color w:val="000000"/>
                <w:spacing w:val="11"/>
                <w:position w:val="0"/>
                <w:sz w:val="24"/>
                <w:szCs w:val="24"/>
                <w:u w:val="none" w:color="auto"/>
                <w:lang w:val="en-US" w:eastAsia="zh-CN"/>
              </w:rPr>
              <w:t>/d，其中约20%的水附着产品表面带走，则洗砂废水产生量为2400m</w:t>
            </w:r>
            <w:r>
              <w:rPr>
                <w:rFonts w:hint="eastAsia" w:cs="Times New Roman"/>
                <w:b w:val="0"/>
                <w:bCs w:val="0"/>
                <w:color w:val="000000"/>
                <w:spacing w:val="11"/>
                <w:position w:val="0"/>
                <w:sz w:val="24"/>
                <w:szCs w:val="24"/>
                <w:u w:val="none" w:color="auto"/>
                <w:vertAlign w:val="superscript"/>
                <w:lang w:val="en-US" w:eastAsia="zh-CN"/>
              </w:rPr>
              <w:t>3</w:t>
            </w:r>
            <w:r>
              <w:rPr>
                <w:rFonts w:hint="eastAsia" w:cs="Times New Roman"/>
                <w:b w:val="0"/>
                <w:bCs w:val="0"/>
                <w:color w:val="000000"/>
                <w:spacing w:val="11"/>
                <w:position w:val="0"/>
                <w:sz w:val="24"/>
                <w:szCs w:val="24"/>
                <w:u w:val="none" w:color="auto"/>
                <w:lang w:val="en-US" w:eastAsia="zh-CN"/>
              </w:rPr>
              <w:t>/d</w:t>
            </w:r>
            <w:r>
              <w:rPr>
                <w:rFonts w:hint="default" w:ascii="Times New Roman" w:hAnsi="Times New Roman" w:eastAsia="宋体" w:cs="Times New Roman"/>
                <w:b w:val="0"/>
                <w:bCs w:val="0"/>
                <w:color w:val="000000"/>
                <w:spacing w:val="11"/>
                <w:position w:val="0"/>
                <w:sz w:val="24"/>
                <w:szCs w:val="24"/>
                <w:u w:val="none" w:color="auto"/>
                <w:lang w:val="en-US" w:eastAsia="zh-CN"/>
              </w:rPr>
              <w:t>，本项目在</w:t>
            </w:r>
            <w:r>
              <w:rPr>
                <w:rFonts w:hint="eastAsia" w:cs="Times New Roman"/>
                <w:b w:val="0"/>
                <w:bCs w:val="0"/>
                <w:color w:val="000000"/>
                <w:spacing w:val="11"/>
                <w:position w:val="0"/>
                <w:sz w:val="24"/>
                <w:szCs w:val="24"/>
                <w:u w:val="none" w:color="auto"/>
                <w:lang w:val="en-US" w:eastAsia="zh-CN"/>
              </w:rPr>
              <w:t>工业广场</w:t>
            </w:r>
            <w:r>
              <w:rPr>
                <w:rFonts w:hint="default" w:ascii="Times New Roman" w:hAnsi="Times New Roman" w:eastAsia="宋体" w:cs="Times New Roman"/>
                <w:b w:val="0"/>
                <w:bCs w:val="0"/>
                <w:color w:val="000000"/>
                <w:spacing w:val="11"/>
                <w:position w:val="0"/>
                <w:sz w:val="24"/>
                <w:szCs w:val="24"/>
                <w:u w:val="none" w:color="auto"/>
                <w:lang w:val="en-US" w:eastAsia="zh-CN"/>
              </w:rPr>
              <w:t>设置泥水分离脱水系统，洗砂废水经泥水分离脱水系统处理后进入沉淀池</w:t>
            </w:r>
            <w:r>
              <w:rPr>
                <w:rFonts w:hint="eastAsia" w:cs="Times New Roman"/>
                <w:b w:val="0"/>
                <w:bCs w:val="0"/>
                <w:color w:val="000000"/>
                <w:spacing w:val="11"/>
                <w:position w:val="0"/>
                <w:sz w:val="24"/>
                <w:szCs w:val="24"/>
                <w:u w:val="none" w:color="auto"/>
                <w:lang w:val="en-US" w:eastAsia="zh-CN"/>
              </w:rPr>
              <w:t>（600m</w:t>
            </w:r>
            <w:r>
              <w:rPr>
                <w:rFonts w:hint="eastAsia" w:cs="Times New Roman"/>
                <w:b w:val="0"/>
                <w:bCs w:val="0"/>
                <w:color w:val="000000"/>
                <w:spacing w:val="11"/>
                <w:position w:val="0"/>
                <w:sz w:val="24"/>
                <w:szCs w:val="24"/>
                <w:u w:val="none" w:color="auto"/>
                <w:vertAlign w:val="superscript"/>
                <w:lang w:val="en-US" w:eastAsia="zh-CN"/>
              </w:rPr>
              <w:t>3</w:t>
            </w:r>
            <w:r>
              <w:rPr>
                <w:rFonts w:hint="eastAsia" w:cs="Times New Roman"/>
                <w:b w:val="0"/>
                <w:bCs w:val="0"/>
                <w:color w:val="000000"/>
                <w:spacing w:val="11"/>
                <w:position w:val="0"/>
                <w:sz w:val="24"/>
                <w:szCs w:val="24"/>
                <w:u w:val="none" w:color="auto"/>
                <w:lang w:val="en-US" w:eastAsia="zh-CN"/>
              </w:rPr>
              <w:t>）</w:t>
            </w:r>
            <w:r>
              <w:rPr>
                <w:rFonts w:hint="default" w:ascii="Times New Roman" w:hAnsi="Times New Roman" w:eastAsia="宋体" w:cs="Times New Roman"/>
                <w:b w:val="0"/>
                <w:bCs w:val="0"/>
                <w:color w:val="000000"/>
                <w:spacing w:val="11"/>
                <w:position w:val="0"/>
                <w:sz w:val="24"/>
                <w:szCs w:val="24"/>
                <w:u w:val="none" w:color="auto"/>
                <w:lang w:val="en-US" w:eastAsia="zh-CN"/>
              </w:rPr>
              <w:t>，回用于生产，不外排。</w:t>
            </w:r>
            <w:r>
              <w:rPr>
                <w:rFonts w:hint="eastAsia" w:cs="Times New Roman"/>
                <w:b w:val="0"/>
                <w:bCs w:val="0"/>
                <w:color w:val="000000"/>
                <w:spacing w:val="11"/>
                <w:position w:val="0"/>
                <w:sz w:val="24"/>
                <w:szCs w:val="24"/>
                <w:u w:val="none" w:color="auto"/>
                <w:lang w:val="en-US" w:eastAsia="zh-CN"/>
              </w:rPr>
              <w:t>损耗的20%以</w:t>
            </w:r>
            <w:r>
              <w:rPr>
                <w:rFonts w:hint="default" w:ascii="Times New Roman" w:hAnsi="Times New Roman" w:eastAsia="宋体" w:cs="Times New Roman"/>
                <w:b w:val="0"/>
                <w:bCs w:val="0"/>
                <w:color w:val="000000"/>
                <w:spacing w:val="11"/>
                <w:position w:val="0"/>
                <w:sz w:val="24"/>
                <w:szCs w:val="24"/>
                <w:u w:val="none" w:color="auto"/>
                <w:lang w:val="en-US" w:eastAsia="zh-CN"/>
              </w:rPr>
              <w:t>每日添加</w:t>
            </w: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新鲜水</w:t>
            </w:r>
            <w:r>
              <w:rPr>
                <w:rFonts w:hint="eastAsia" w:cs="Times New Roman"/>
                <w:b w:val="0"/>
                <w:bCs w:val="0"/>
                <w:color w:val="000000"/>
                <w:spacing w:val="11"/>
                <w:position w:val="0"/>
                <w:sz w:val="24"/>
                <w:szCs w:val="24"/>
                <w:highlight w:val="none"/>
                <w:u w:val="none" w:color="auto"/>
                <w:lang w:val="en-US" w:eastAsia="zh-CN"/>
              </w:rPr>
              <w:t>进行补充600</w:t>
            </w: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m</w:t>
            </w:r>
            <w:r>
              <w:rPr>
                <w:rFonts w:hint="default" w:ascii="Times New Roman" w:hAnsi="Times New Roman" w:eastAsia="宋体" w:cs="Times New Roman"/>
                <w:b w:val="0"/>
                <w:bCs w:val="0"/>
                <w:color w:val="000000"/>
                <w:spacing w:val="11"/>
                <w:position w:val="0"/>
                <w:sz w:val="24"/>
                <w:szCs w:val="24"/>
                <w:highlight w:val="none"/>
                <w:u w:val="non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w:t>
            </w:r>
          </w:p>
          <w:p w14:paraId="02243C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b w:val="0"/>
                <w:bCs w:val="0"/>
                <w:color w:val="000000"/>
                <w:spacing w:val="11"/>
                <w:position w:val="0"/>
                <w:sz w:val="24"/>
                <w:szCs w:val="24"/>
                <w:u w:val="single" w:color="auto"/>
                <w:lang w:eastAsia="zh-CN"/>
              </w:rPr>
            </w:pPr>
            <w:r>
              <w:rPr>
                <w:rFonts w:hint="default" w:ascii="Times New Roman" w:hAnsi="Times New Roman" w:eastAsia="宋体" w:cs="Times New Roman"/>
                <w:b w:val="0"/>
                <w:bCs w:val="0"/>
                <w:color w:val="000000"/>
                <w:spacing w:val="11"/>
                <w:position w:val="0"/>
                <w:sz w:val="24"/>
                <w:szCs w:val="24"/>
                <w:u w:val="single" w:color="auto"/>
                <w:lang w:eastAsia="zh-CN"/>
              </w:rPr>
              <w:t>（</w:t>
            </w:r>
            <w:r>
              <w:rPr>
                <w:rFonts w:hint="default" w:ascii="Times New Roman" w:hAnsi="Times New Roman" w:eastAsia="宋体" w:cs="Times New Roman"/>
                <w:b w:val="0"/>
                <w:bCs w:val="0"/>
                <w:color w:val="000000"/>
                <w:spacing w:val="11"/>
                <w:position w:val="0"/>
                <w:sz w:val="24"/>
                <w:szCs w:val="24"/>
                <w:u w:val="single" w:color="auto"/>
                <w:lang w:val="en-US" w:eastAsia="zh-CN"/>
              </w:rPr>
              <w:t>6）</w:t>
            </w:r>
            <w:r>
              <w:rPr>
                <w:rFonts w:hint="default" w:ascii="Times New Roman" w:hAnsi="Times New Roman" w:eastAsia="宋体" w:cs="Times New Roman"/>
                <w:b w:val="0"/>
                <w:bCs w:val="0"/>
                <w:color w:val="000000"/>
                <w:spacing w:val="11"/>
                <w:position w:val="0"/>
                <w:sz w:val="24"/>
                <w:szCs w:val="24"/>
                <w:u w:val="single" w:color="auto"/>
                <w:lang w:eastAsia="zh-CN"/>
              </w:rPr>
              <w:t>初期雨水</w:t>
            </w:r>
          </w:p>
          <w:p w14:paraId="27D322B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spacing w:val="11"/>
                <w:position w:val="0"/>
                <w:sz w:val="24"/>
                <w:szCs w:val="24"/>
                <w:u w:val="single" w:color="auto"/>
              </w:rPr>
            </w:pPr>
            <w:r>
              <w:rPr>
                <w:rFonts w:hint="default" w:ascii="Times New Roman" w:hAnsi="Times New Roman" w:eastAsia="宋体" w:cs="Times New Roman"/>
                <w:spacing w:val="11"/>
                <w:position w:val="0"/>
                <w:sz w:val="24"/>
                <w:szCs w:val="24"/>
                <w:u w:val="single" w:color="auto"/>
                <w:lang w:val="en-US" w:eastAsia="zh-CN"/>
              </w:rPr>
              <w:t>初期雨水中主要污染物为SS，没有重金属成分。</w:t>
            </w:r>
            <w:r>
              <w:rPr>
                <w:rFonts w:hint="default" w:ascii="Times New Roman" w:hAnsi="Times New Roman" w:eastAsia="宋体" w:cs="Times New Roman"/>
                <w:spacing w:val="11"/>
                <w:position w:val="0"/>
                <w:sz w:val="24"/>
                <w:szCs w:val="24"/>
                <w:u w:val="single" w:color="auto"/>
              </w:rPr>
              <w:t>当在一定的降雨强度和降雨历时条件下降雨形成一定量的雨水。项目厂区</w:t>
            </w:r>
            <w:r>
              <w:rPr>
                <w:rFonts w:hint="eastAsia" w:ascii="宋体" w:hAnsi="宋体" w:eastAsia="宋体" w:cs="宋体"/>
                <w:spacing w:val="11"/>
                <w:position w:val="0"/>
                <w:sz w:val="24"/>
                <w:szCs w:val="24"/>
                <w:u w:val="single" w:color="auto"/>
              </w:rPr>
              <w:t>排水方式为</w:t>
            </w:r>
            <w:r>
              <w:rPr>
                <w:rFonts w:hint="eastAsia" w:ascii="宋体" w:hAnsi="宋体" w:eastAsia="宋体" w:cs="宋体"/>
                <w:spacing w:val="11"/>
                <w:position w:val="0"/>
                <w:sz w:val="24"/>
                <w:szCs w:val="24"/>
                <w:u w:val="single" w:color="auto"/>
                <w:lang w:eastAsia="zh-CN"/>
              </w:rPr>
              <w:t>“</w:t>
            </w:r>
            <w:r>
              <w:rPr>
                <w:rFonts w:hint="eastAsia" w:ascii="宋体" w:hAnsi="宋体" w:eastAsia="宋体" w:cs="宋体"/>
                <w:spacing w:val="11"/>
                <w:position w:val="0"/>
                <w:sz w:val="24"/>
                <w:szCs w:val="24"/>
                <w:u w:val="single" w:color="auto"/>
              </w:rPr>
              <w:t>雨污分流</w:t>
            </w:r>
            <w:r>
              <w:rPr>
                <w:rFonts w:hint="eastAsia" w:ascii="宋体" w:hAnsi="宋体" w:eastAsia="宋体" w:cs="宋体"/>
                <w:spacing w:val="11"/>
                <w:position w:val="0"/>
                <w:sz w:val="24"/>
                <w:szCs w:val="24"/>
                <w:u w:val="single" w:color="auto"/>
                <w:lang w:eastAsia="zh-CN"/>
              </w:rPr>
              <w:t>”</w:t>
            </w:r>
            <w:r>
              <w:rPr>
                <w:rFonts w:hint="eastAsia" w:ascii="宋体" w:hAnsi="宋体" w:eastAsia="宋体" w:cs="宋体"/>
                <w:spacing w:val="11"/>
                <w:position w:val="0"/>
                <w:sz w:val="24"/>
                <w:szCs w:val="24"/>
                <w:u w:val="single" w:color="auto"/>
              </w:rPr>
              <w:t>，</w:t>
            </w:r>
            <w:r>
              <w:rPr>
                <w:rFonts w:hint="eastAsia" w:ascii="宋体" w:hAnsi="宋体" w:eastAsia="宋体" w:cs="宋体"/>
                <w:spacing w:val="11"/>
                <w:position w:val="0"/>
                <w:sz w:val="24"/>
                <w:szCs w:val="24"/>
                <w:u w:val="single" w:color="auto"/>
                <w:lang w:val="en-US" w:eastAsia="zh-CN"/>
              </w:rPr>
              <w:t>建设单位拟在开采区坡脚处以及工业广场</w:t>
            </w:r>
            <w:r>
              <w:rPr>
                <w:rFonts w:hint="default" w:ascii="Times New Roman" w:hAnsi="Times New Roman" w:eastAsia="宋体" w:cs="Times New Roman"/>
                <w:spacing w:val="11"/>
                <w:position w:val="0"/>
                <w:sz w:val="24"/>
                <w:szCs w:val="24"/>
                <w:u w:val="single" w:color="auto"/>
              </w:rPr>
              <w:t>设置</w:t>
            </w:r>
            <w:r>
              <w:rPr>
                <w:rFonts w:hint="default" w:ascii="Times New Roman" w:hAnsi="Times New Roman" w:eastAsia="宋体" w:cs="Times New Roman"/>
                <w:spacing w:val="11"/>
                <w:position w:val="0"/>
                <w:sz w:val="24"/>
                <w:szCs w:val="24"/>
                <w:u w:val="single" w:color="auto"/>
                <w:lang w:val="en-US" w:eastAsia="zh-CN"/>
              </w:rPr>
              <w:t>截水沟</w:t>
            </w:r>
            <w:r>
              <w:rPr>
                <w:rFonts w:hint="default" w:ascii="Times New Roman" w:hAnsi="Times New Roman" w:eastAsia="宋体" w:cs="Times New Roman"/>
                <w:spacing w:val="11"/>
                <w:position w:val="0"/>
                <w:sz w:val="24"/>
                <w:szCs w:val="24"/>
                <w:u w:val="single" w:color="auto"/>
              </w:rPr>
              <w:t>。本项目初期雨水收集范围为</w:t>
            </w:r>
            <w:r>
              <w:rPr>
                <w:rFonts w:hint="default" w:ascii="Times New Roman" w:hAnsi="Times New Roman" w:eastAsia="宋体" w:cs="Times New Roman"/>
                <w:spacing w:val="11"/>
                <w:position w:val="0"/>
                <w:sz w:val="24"/>
                <w:szCs w:val="24"/>
                <w:u w:val="single" w:color="auto"/>
                <w:lang w:val="en-US" w:eastAsia="zh-CN"/>
              </w:rPr>
              <w:t>开</w:t>
            </w:r>
            <w:r>
              <w:rPr>
                <w:rFonts w:hint="default" w:ascii="Times New Roman" w:hAnsi="Times New Roman" w:eastAsia="宋体" w:cs="Times New Roman"/>
                <w:spacing w:val="11"/>
                <w:position w:val="0"/>
                <w:sz w:val="24"/>
                <w:szCs w:val="24"/>
                <w:u w:val="single" w:color="auto"/>
              </w:rPr>
              <w:t>采区</w:t>
            </w:r>
            <w:r>
              <w:rPr>
                <w:rFonts w:hint="default" w:ascii="Times New Roman" w:hAnsi="Times New Roman" w:eastAsia="宋体" w:cs="Times New Roman"/>
                <w:spacing w:val="11"/>
                <w:position w:val="0"/>
                <w:sz w:val="24"/>
                <w:szCs w:val="24"/>
                <w:u w:val="single" w:color="auto"/>
                <w:lang w:val="en-US" w:eastAsia="zh-CN"/>
              </w:rPr>
              <w:t>以及工业广场</w:t>
            </w:r>
            <w:r>
              <w:rPr>
                <w:rFonts w:hint="default" w:ascii="Times New Roman" w:hAnsi="Times New Roman" w:eastAsia="宋体" w:cs="Times New Roman"/>
                <w:spacing w:val="11"/>
                <w:position w:val="0"/>
                <w:sz w:val="24"/>
                <w:szCs w:val="24"/>
                <w:u w:val="single" w:color="auto"/>
              </w:rPr>
              <w:t>的雨水，</w:t>
            </w:r>
            <w:r>
              <w:rPr>
                <w:rFonts w:hint="default" w:ascii="Times New Roman" w:hAnsi="Times New Roman" w:eastAsia="宋体" w:cs="Times New Roman"/>
                <w:spacing w:val="11"/>
                <w:position w:val="0"/>
                <w:sz w:val="24"/>
                <w:szCs w:val="24"/>
                <w:u w:val="single" w:color="auto"/>
                <w:lang w:val="en-US" w:eastAsia="zh-CN"/>
              </w:rPr>
              <w:t>开采区</w:t>
            </w:r>
            <w:r>
              <w:rPr>
                <w:rFonts w:hint="default" w:ascii="Times New Roman" w:hAnsi="Times New Roman" w:eastAsia="宋体" w:cs="Times New Roman"/>
                <w:spacing w:val="11"/>
                <w:position w:val="0"/>
                <w:sz w:val="24"/>
                <w:szCs w:val="24"/>
                <w:u w:val="single" w:color="auto"/>
              </w:rPr>
              <w:t>集雨面积按</w:t>
            </w:r>
            <w:r>
              <w:rPr>
                <w:rFonts w:hint="eastAsia" w:ascii="Times New Roman" w:hAnsi="Times New Roman" w:eastAsia="宋体" w:cs="Times New Roman"/>
                <w:spacing w:val="11"/>
                <w:position w:val="0"/>
                <w:sz w:val="24"/>
                <w:szCs w:val="24"/>
                <w:u w:val="single" w:color="auto"/>
                <w:lang w:val="en-US" w:eastAsia="zh-CN"/>
              </w:rPr>
              <w:t>23000</w:t>
            </w:r>
            <w:r>
              <w:rPr>
                <w:rFonts w:hint="default" w:ascii="Times New Roman" w:hAnsi="Times New Roman" w:eastAsia="宋体" w:cs="Times New Roman"/>
                <w:spacing w:val="11"/>
                <w:position w:val="0"/>
                <w:sz w:val="24"/>
                <w:szCs w:val="24"/>
                <w:u w:val="single" w:color="auto"/>
              </w:rPr>
              <w:t>m</w:t>
            </w:r>
            <w:r>
              <w:rPr>
                <w:rFonts w:hint="default" w:ascii="Times New Roman" w:hAnsi="Times New Roman" w:eastAsia="宋体" w:cs="Times New Roman"/>
                <w:spacing w:val="11"/>
                <w:position w:val="0"/>
                <w:sz w:val="24"/>
                <w:szCs w:val="24"/>
                <w:u w:val="single" w:color="auto"/>
                <w:vertAlign w:val="superscript"/>
                <w:lang w:val="en-US" w:eastAsia="zh-CN"/>
              </w:rPr>
              <w:t>2</w:t>
            </w:r>
            <w:r>
              <w:rPr>
                <w:rFonts w:hint="default" w:ascii="Times New Roman" w:hAnsi="Times New Roman" w:eastAsia="宋体" w:cs="Times New Roman"/>
                <w:spacing w:val="11"/>
                <w:position w:val="0"/>
                <w:sz w:val="24"/>
                <w:szCs w:val="24"/>
                <w:u w:val="single" w:color="auto"/>
              </w:rPr>
              <w:t>计</w:t>
            </w:r>
            <w:r>
              <w:rPr>
                <w:rFonts w:hint="eastAsia" w:ascii="Times New Roman" w:hAnsi="Times New Roman" w:eastAsia="宋体" w:cs="Times New Roman"/>
                <w:spacing w:val="11"/>
                <w:position w:val="0"/>
                <w:sz w:val="24"/>
                <w:szCs w:val="24"/>
                <w:u w:val="single" w:color="auto"/>
                <w:lang w:eastAsia="zh-CN"/>
              </w:rPr>
              <w:t>，</w:t>
            </w:r>
            <w:r>
              <w:rPr>
                <w:rFonts w:hint="eastAsia" w:ascii="Times New Roman" w:hAnsi="Times New Roman" w:eastAsia="宋体" w:cs="Times New Roman"/>
                <w:spacing w:val="11"/>
                <w:position w:val="0"/>
                <w:sz w:val="24"/>
                <w:szCs w:val="24"/>
                <w:u w:val="single" w:color="auto"/>
                <w:lang w:val="en-US" w:eastAsia="zh-CN"/>
              </w:rPr>
              <w:t>工业广场</w:t>
            </w:r>
            <w:r>
              <w:rPr>
                <w:rFonts w:hint="default" w:ascii="Times New Roman" w:hAnsi="Times New Roman" w:eastAsia="宋体" w:cs="Times New Roman"/>
                <w:spacing w:val="11"/>
                <w:position w:val="0"/>
                <w:sz w:val="24"/>
                <w:szCs w:val="24"/>
                <w:u w:val="single" w:color="auto"/>
              </w:rPr>
              <w:t>集雨面积按</w:t>
            </w:r>
            <w:r>
              <w:rPr>
                <w:rFonts w:hint="eastAsia" w:ascii="Times New Roman" w:hAnsi="Times New Roman" w:eastAsia="宋体" w:cs="Times New Roman"/>
                <w:spacing w:val="11"/>
                <w:position w:val="0"/>
                <w:sz w:val="24"/>
                <w:szCs w:val="24"/>
                <w:u w:val="single" w:color="auto"/>
                <w:lang w:val="en-US" w:eastAsia="zh-CN"/>
              </w:rPr>
              <w:t>18000</w:t>
            </w:r>
            <w:r>
              <w:rPr>
                <w:rFonts w:hint="default" w:ascii="Times New Roman" w:hAnsi="Times New Roman" w:eastAsia="宋体" w:cs="Times New Roman"/>
                <w:spacing w:val="11"/>
                <w:position w:val="0"/>
                <w:sz w:val="24"/>
                <w:szCs w:val="24"/>
                <w:u w:val="single" w:color="auto"/>
              </w:rPr>
              <w:t>m</w:t>
            </w:r>
            <w:r>
              <w:rPr>
                <w:rFonts w:hint="default" w:ascii="Times New Roman" w:hAnsi="Times New Roman" w:eastAsia="宋体" w:cs="Times New Roman"/>
                <w:spacing w:val="11"/>
                <w:position w:val="0"/>
                <w:sz w:val="24"/>
                <w:szCs w:val="24"/>
                <w:u w:val="single" w:color="auto"/>
                <w:vertAlign w:val="superscript"/>
                <w:lang w:val="en-US" w:eastAsia="zh-CN"/>
              </w:rPr>
              <w:t>2</w:t>
            </w:r>
            <w:r>
              <w:rPr>
                <w:rFonts w:hint="default" w:ascii="Times New Roman" w:hAnsi="Times New Roman" w:eastAsia="宋体" w:cs="Times New Roman"/>
                <w:spacing w:val="11"/>
                <w:position w:val="0"/>
                <w:sz w:val="24"/>
                <w:szCs w:val="24"/>
                <w:u w:val="single" w:color="auto"/>
              </w:rPr>
              <w:t>计。暴雨强度公式采用暴雨强度公式：</w:t>
            </w:r>
          </w:p>
          <w:p w14:paraId="0AEF478E">
            <w:pPr>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eastAsia="宋体" w:cs="Times New Roman"/>
                <w:spacing w:val="11"/>
                <w:position w:val="0"/>
                <w:sz w:val="24"/>
                <w:szCs w:val="24"/>
                <w:u w:val="single" w:color="auto"/>
              </w:rPr>
            </w:pPr>
            <w:r>
              <w:rPr>
                <w:rFonts w:hint="default" w:ascii="Times New Roman" w:hAnsi="Times New Roman" w:eastAsia="宋体" w:cs="Times New Roman"/>
                <w:spacing w:val="11"/>
                <w:position w:val="0"/>
                <w:sz w:val="24"/>
                <w:szCs w:val="24"/>
                <w:u w:val="single" w:color="auto"/>
                <w:lang w:val="de-DE"/>
              </w:rPr>
              <w:object>
                <v:shape id="_x0000_i1025" o:spt="75" type="#_x0000_t75" style="height:31pt;width:109pt;" o:ole="t" filled="f" o:preferrelative="t" stroked="f" coordsize="21600,21600">
                  <v:path/>
                  <v:fill on="f" focussize="0,0"/>
                  <v:stroke on="f"/>
                  <v:imagedata r:id="rId11" o:title=""/>
                  <o:lock v:ext="edit" aspectratio="t"/>
                  <w10:wrap type="none"/>
                  <w10:anchorlock/>
                </v:shape>
                <o:OLEObject Type="Embed" ProgID="Equation.3" ShapeID="_x0000_i1025" DrawAspect="Content" ObjectID="_1468075725" r:id="rId10">
                  <o:LockedField>false</o:LockedField>
                </o:OLEObject>
              </w:object>
            </w:r>
          </w:p>
          <w:p w14:paraId="5E85E50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式中：</w:t>
            </w:r>
          </w:p>
          <w:p w14:paraId="0143508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q——设计暴雨强度(L/s·ha)；</w:t>
            </w:r>
          </w:p>
          <w:p w14:paraId="6A8F51D9">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t——雨水径流时间，取为15min；</w:t>
            </w:r>
          </w:p>
          <w:p w14:paraId="63F303C7">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P——设计重现期(年)，设计重现取1年。</w:t>
            </w:r>
          </w:p>
          <w:p w14:paraId="4B46D41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雨水设计流量：Q=aqF</w:t>
            </w:r>
          </w:p>
          <w:p w14:paraId="79AB8D9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式中：</w:t>
            </w:r>
          </w:p>
          <w:p w14:paraId="2105DA2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Q——雨水设计流量（L/s）；</w:t>
            </w:r>
          </w:p>
          <w:p w14:paraId="5A3EECD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q——设计暴雨强度（L/s·ha）；</w:t>
            </w:r>
          </w:p>
          <w:p w14:paraId="14537D9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a——平均径流吸水，取为</w:t>
            </w:r>
            <w:r>
              <w:rPr>
                <w:rFonts w:hint="eastAsia" w:cs="Times New Roman"/>
                <w:caps w:val="0"/>
                <w:smallCaps w:val="0"/>
                <w:color w:val="auto"/>
                <w:spacing w:val="11"/>
                <w:position w:val="0"/>
                <w:sz w:val="24"/>
                <w:highlight w:val="none"/>
                <w:u w:val="single" w:color="auto"/>
                <w:lang w:val="en-US" w:eastAsia="zh-CN"/>
              </w:rPr>
              <w:t>0.45</w:t>
            </w:r>
            <w:r>
              <w:rPr>
                <w:rFonts w:hint="default" w:ascii="Times New Roman" w:hAnsi="Times New Roman" w:eastAsia="宋体" w:cs="Times New Roman"/>
                <w:caps w:val="0"/>
                <w:smallCaps w:val="0"/>
                <w:color w:val="auto"/>
                <w:spacing w:val="11"/>
                <w:position w:val="0"/>
                <w:sz w:val="24"/>
                <w:highlight w:val="none"/>
                <w:u w:val="single" w:color="auto"/>
              </w:rPr>
              <w:t>；</w:t>
            </w:r>
          </w:p>
          <w:p w14:paraId="453750D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F——汇水面积（公顷），</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开采区汇水面积约</w:t>
            </w:r>
            <w:r>
              <w:rPr>
                <w:rFonts w:hint="eastAsia" w:cs="Times New Roman"/>
                <w:caps w:val="0"/>
                <w:smallCaps w:val="0"/>
                <w:color w:val="auto"/>
                <w:spacing w:val="11"/>
                <w:position w:val="0"/>
                <w:sz w:val="24"/>
                <w:highlight w:val="none"/>
                <w:u w:val="single" w:color="auto"/>
                <w:lang w:val="en-US" w:eastAsia="zh-CN"/>
              </w:rPr>
              <w:t>2.3</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公顷</w:t>
            </w:r>
            <w:r>
              <w:rPr>
                <w:rFonts w:hint="eastAsia" w:cs="Times New Roman"/>
                <w:caps w:val="0"/>
                <w:smallCaps w:val="0"/>
                <w:color w:val="auto"/>
                <w:spacing w:val="11"/>
                <w:position w:val="0"/>
                <w:sz w:val="24"/>
                <w:highlight w:val="none"/>
                <w:u w:val="single" w:color="auto"/>
                <w:lang w:val="en-US" w:eastAsia="zh-CN"/>
              </w:rPr>
              <w:t>，工业广场汇水面积约1.8公顷</w:t>
            </w:r>
            <w:r>
              <w:rPr>
                <w:rFonts w:hint="default" w:ascii="Times New Roman" w:hAnsi="Times New Roman" w:eastAsia="宋体" w:cs="Times New Roman"/>
                <w:caps w:val="0"/>
                <w:smallCaps w:val="0"/>
                <w:color w:val="auto"/>
                <w:spacing w:val="11"/>
                <w:position w:val="0"/>
                <w:sz w:val="24"/>
                <w:highlight w:val="none"/>
                <w:u w:val="single" w:color="auto"/>
              </w:rPr>
              <w:t>。</w:t>
            </w:r>
          </w:p>
          <w:p w14:paraId="2FAFF26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计算得出设计暴雨强度约为</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190.54</w:t>
            </w:r>
            <w:r>
              <w:rPr>
                <w:rFonts w:hint="default" w:ascii="Times New Roman" w:hAnsi="Times New Roman" w:eastAsia="宋体" w:cs="Times New Roman"/>
                <w:caps w:val="0"/>
                <w:smallCaps w:val="0"/>
                <w:color w:val="auto"/>
                <w:spacing w:val="11"/>
                <w:position w:val="0"/>
                <w:sz w:val="24"/>
                <w:highlight w:val="none"/>
                <w:u w:val="single" w:color="auto"/>
              </w:rPr>
              <w:t>L/s·ha。</w:t>
            </w:r>
          </w:p>
          <w:p w14:paraId="2740AC9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highlight w:val="none"/>
                <w:u w:val="single" w:color="auto"/>
              </w:rPr>
              <w:t>根据雨水量计算公式，可得出</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开采区初期雨水设计流量Q=197.21L/s</w:t>
            </w:r>
            <w:r>
              <w:rPr>
                <w:rFonts w:hint="eastAsia" w:cs="Times New Roman"/>
                <w:caps w:val="0"/>
                <w:smallCaps w:val="0"/>
                <w:color w:val="auto"/>
                <w:spacing w:val="11"/>
                <w:position w:val="0"/>
                <w:sz w:val="24"/>
                <w:highlight w:val="none"/>
                <w:u w:val="single" w:color="auto"/>
                <w:lang w:val="en-US" w:eastAsia="zh-CN"/>
              </w:rPr>
              <w:t>，工业广场初期雨水设计流量Q=154.34L/s</w:t>
            </w:r>
            <w:r>
              <w:rPr>
                <w:rFonts w:hint="default" w:ascii="Times New Roman" w:hAnsi="Times New Roman" w:eastAsia="宋体" w:cs="Times New Roman"/>
                <w:caps w:val="0"/>
                <w:smallCaps w:val="0"/>
                <w:color w:val="auto"/>
                <w:spacing w:val="11"/>
                <w:position w:val="0"/>
                <w:sz w:val="24"/>
                <w:highlight w:val="none"/>
                <w:u w:val="single" w:color="auto"/>
              </w:rPr>
              <w:t>。径流时间按15min，暴雨天数按10次/年计算，则本</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项目开采区初期雨水</w:t>
            </w:r>
            <w:r>
              <w:rPr>
                <w:rFonts w:hint="eastAsia" w:cs="Times New Roman"/>
                <w:caps w:val="0"/>
                <w:smallCaps w:val="0"/>
                <w:color w:val="auto"/>
                <w:spacing w:val="11"/>
                <w:position w:val="0"/>
                <w:sz w:val="24"/>
                <w:highlight w:val="none"/>
                <w:u w:val="single" w:color="auto"/>
                <w:lang w:val="en-US" w:eastAsia="zh-CN"/>
              </w:rPr>
              <w:t>收集</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量约为</w:t>
            </w:r>
            <w:r>
              <w:rPr>
                <w:rFonts w:hint="eastAsia" w:cs="Times New Roman"/>
                <w:caps w:val="0"/>
                <w:smallCaps w:val="0"/>
                <w:color w:val="auto"/>
                <w:spacing w:val="11"/>
                <w:position w:val="0"/>
                <w:sz w:val="24"/>
                <w:highlight w:val="none"/>
                <w:u w:val="single" w:color="auto"/>
                <w:lang w:val="en-US" w:eastAsia="zh-CN"/>
              </w:rPr>
              <w:t>177.49</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m</w:t>
            </w:r>
            <w:r>
              <w:rPr>
                <w:rFonts w:hint="default" w:ascii="Times New Roman" w:hAnsi="Times New Roman" w:eastAsia="宋体" w:cs="Times New Roman"/>
                <w:caps w:val="0"/>
                <w:smallCaps w:val="0"/>
                <w:color w:val="auto"/>
                <w:spacing w:val="11"/>
                <w:position w:val="0"/>
                <w:sz w:val="24"/>
                <w:highlight w:val="none"/>
                <w:u w:val="single" w:color="auto"/>
                <w:vertAlign w:val="superscript"/>
                <w:lang w:val="en-US" w:eastAsia="zh-CN"/>
              </w:rPr>
              <w:t>3</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/次</w:t>
            </w:r>
            <w:r>
              <w:rPr>
                <w:rFonts w:hint="eastAsia" w:cs="Times New Roman"/>
                <w:caps w:val="0"/>
                <w:smallCaps w:val="0"/>
                <w:color w:val="auto"/>
                <w:spacing w:val="11"/>
                <w:position w:val="0"/>
                <w:sz w:val="24"/>
                <w:highlight w:val="none"/>
                <w:u w:val="single" w:color="auto"/>
                <w:lang w:val="en-US" w:eastAsia="zh-CN"/>
              </w:rPr>
              <w:t>（</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1774.9</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m</w:t>
            </w:r>
            <w:r>
              <w:rPr>
                <w:rFonts w:hint="default" w:ascii="Times New Roman" w:hAnsi="Times New Roman" w:eastAsia="宋体" w:cs="Times New Roman"/>
                <w:caps w:val="0"/>
                <w:smallCaps w:val="0"/>
                <w:color w:val="auto"/>
                <w:spacing w:val="11"/>
                <w:position w:val="0"/>
                <w:sz w:val="24"/>
                <w:highlight w:val="none"/>
                <w:u w:val="single" w:color="auto"/>
                <w:vertAlign w:val="superscript"/>
                <w:lang w:val="en-US" w:eastAsia="zh-CN"/>
              </w:rPr>
              <w:t>3</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/a</w:t>
            </w:r>
            <w:r>
              <w:rPr>
                <w:rFonts w:hint="eastAsia" w:cs="Times New Roman"/>
                <w:caps w:val="0"/>
                <w:smallCaps w:val="0"/>
                <w:color w:val="auto"/>
                <w:spacing w:val="11"/>
                <w:position w:val="0"/>
                <w:sz w:val="24"/>
                <w:highlight w:val="none"/>
                <w:u w:val="single" w:color="auto"/>
                <w:lang w:val="en-US" w:eastAsia="zh-CN"/>
              </w:rPr>
              <w:t>）</w:t>
            </w:r>
            <w:r>
              <w:rPr>
                <w:rFonts w:hint="default" w:ascii="Times New Roman" w:hAnsi="Times New Roman" w:eastAsia="宋体" w:cs="Times New Roman"/>
                <w:caps w:val="0"/>
                <w:smallCaps w:val="0"/>
                <w:color w:val="auto"/>
                <w:spacing w:val="11"/>
                <w:position w:val="0"/>
                <w:sz w:val="24"/>
                <w:highlight w:val="none"/>
                <w:u w:val="single" w:color="auto"/>
                <w:lang w:eastAsia="zh-CN"/>
              </w:rPr>
              <w:t>，</w:t>
            </w:r>
            <w:r>
              <w:rPr>
                <w:rFonts w:hint="eastAsia" w:cs="Times New Roman"/>
                <w:caps w:val="0"/>
                <w:smallCaps w:val="0"/>
                <w:color w:val="auto"/>
                <w:spacing w:val="11"/>
                <w:position w:val="0"/>
                <w:sz w:val="24"/>
                <w:highlight w:val="none"/>
                <w:u w:val="single" w:color="auto"/>
                <w:lang w:val="en-US" w:eastAsia="zh-CN"/>
              </w:rPr>
              <w:t>本项目利用厂内原有遗留的采坑（容积约1500m</w:t>
            </w:r>
            <w:r>
              <w:rPr>
                <w:rFonts w:hint="eastAsia" w:cs="Times New Roman"/>
                <w:caps w:val="0"/>
                <w:smallCaps w:val="0"/>
                <w:color w:val="auto"/>
                <w:spacing w:val="11"/>
                <w:position w:val="0"/>
                <w:sz w:val="24"/>
                <w:highlight w:val="none"/>
                <w:u w:val="single" w:color="auto"/>
                <w:vertAlign w:val="superscript"/>
                <w:lang w:val="en-US" w:eastAsia="zh-CN"/>
              </w:rPr>
              <w:t>3</w:t>
            </w:r>
            <w:r>
              <w:rPr>
                <w:rFonts w:hint="eastAsia" w:cs="Times New Roman"/>
                <w:caps w:val="0"/>
                <w:smallCaps w:val="0"/>
                <w:color w:val="auto"/>
                <w:spacing w:val="11"/>
                <w:position w:val="0"/>
                <w:sz w:val="24"/>
                <w:highlight w:val="none"/>
                <w:u w:val="single" w:color="auto"/>
                <w:lang w:val="en-US" w:eastAsia="zh-CN"/>
              </w:rPr>
              <w:t>）收集开采区初期雨水，</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由于原有采坑位于开采区低洼处，地表径流水损耗率约30%，收集的地表径流水为</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124.243</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m</w:t>
            </w:r>
            <w:r>
              <w:rPr>
                <w:rFonts w:hint="default" w:ascii="Times New Roman" w:hAnsi="Times New Roman" w:eastAsia="宋体" w:cs="Times New Roman"/>
                <w:caps w:val="0"/>
                <w:smallCaps w:val="0"/>
                <w:color w:val="auto"/>
                <w:spacing w:val="11"/>
                <w:position w:val="0"/>
                <w:sz w:val="24"/>
                <w:highlight w:val="none"/>
                <w:u w:val="single" w:color="auto"/>
                <w:vertAlign w:val="superscript"/>
                <w:lang w:val="en-US" w:eastAsia="zh-CN"/>
              </w:rPr>
              <w:t>3</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/次（</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1242.43</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m</w:t>
            </w:r>
            <w:r>
              <w:rPr>
                <w:rFonts w:hint="default" w:ascii="Times New Roman" w:hAnsi="Times New Roman" w:eastAsia="宋体" w:cs="Times New Roman"/>
                <w:caps w:val="0"/>
                <w:smallCaps w:val="0"/>
                <w:color w:val="auto"/>
                <w:spacing w:val="11"/>
                <w:position w:val="0"/>
                <w:sz w:val="24"/>
                <w:highlight w:val="none"/>
                <w:u w:val="single" w:color="auto"/>
                <w:vertAlign w:val="superscript"/>
                <w:lang w:val="en-US" w:eastAsia="zh-CN"/>
              </w:rPr>
              <w:t>3</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/a）</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；工业广场</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初期雨水</w:t>
            </w:r>
            <w:r>
              <w:rPr>
                <w:rFonts w:hint="eastAsia" w:cs="Times New Roman"/>
                <w:caps w:val="0"/>
                <w:smallCaps w:val="0"/>
                <w:color w:val="auto"/>
                <w:spacing w:val="11"/>
                <w:position w:val="0"/>
                <w:sz w:val="24"/>
                <w:highlight w:val="none"/>
                <w:u w:val="single" w:color="auto"/>
                <w:lang w:val="en-US" w:eastAsia="zh-CN"/>
              </w:rPr>
              <w:t>收集</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量约为</w:t>
            </w:r>
            <w:r>
              <w:rPr>
                <w:rFonts w:hint="eastAsia" w:cs="Times New Roman"/>
                <w:caps w:val="0"/>
                <w:smallCaps w:val="0"/>
                <w:color w:val="auto"/>
                <w:spacing w:val="11"/>
                <w:position w:val="0"/>
                <w:sz w:val="24"/>
                <w:highlight w:val="none"/>
                <w:u w:val="single" w:color="auto"/>
                <w:lang w:val="en-US" w:eastAsia="zh-CN"/>
              </w:rPr>
              <w:t>138.91</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m</w:t>
            </w:r>
            <w:r>
              <w:rPr>
                <w:rFonts w:hint="default" w:ascii="Times New Roman" w:hAnsi="Times New Roman" w:eastAsia="宋体" w:cs="Times New Roman"/>
                <w:caps w:val="0"/>
                <w:smallCaps w:val="0"/>
                <w:color w:val="auto"/>
                <w:spacing w:val="11"/>
                <w:position w:val="0"/>
                <w:sz w:val="24"/>
                <w:highlight w:val="none"/>
                <w:u w:val="single" w:color="auto"/>
                <w:vertAlign w:val="superscript"/>
                <w:lang w:val="en-US" w:eastAsia="zh-CN"/>
              </w:rPr>
              <w:t>3</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/次</w:t>
            </w:r>
            <w:r>
              <w:rPr>
                <w:rFonts w:hint="eastAsia" w:ascii="Times New Roman" w:hAnsi="Times New Roman" w:eastAsia="宋体" w:cs="Times New Roman"/>
                <w:caps w:val="0"/>
                <w:smallCaps w:val="0"/>
                <w:color w:val="auto"/>
                <w:spacing w:val="11"/>
                <w:position w:val="0"/>
                <w:sz w:val="24"/>
                <w:highlight w:val="none"/>
                <w:u w:val="single" w:color="auto"/>
                <w:lang w:eastAsia="zh-CN"/>
              </w:rPr>
              <w:t>（</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1389.1</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m</w:t>
            </w:r>
            <w:r>
              <w:rPr>
                <w:rFonts w:hint="default" w:ascii="Times New Roman" w:hAnsi="Times New Roman" w:eastAsia="宋体" w:cs="Times New Roman"/>
                <w:caps w:val="0"/>
                <w:smallCaps w:val="0"/>
                <w:color w:val="auto"/>
                <w:spacing w:val="11"/>
                <w:position w:val="0"/>
                <w:sz w:val="24"/>
                <w:highlight w:val="none"/>
                <w:u w:val="single" w:color="auto"/>
                <w:vertAlign w:val="superscript"/>
                <w:lang w:val="en-US" w:eastAsia="zh-CN"/>
              </w:rPr>
              <w:t>3</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/a</w:t>
            </w:r>
            <w:r>
              <w:rPr>
                <w:rFonts w:hint="eastAsia" w:ascii="Times New Roman" w:hAnsi="Times New Roman" w:eastAsia="宋体" w:cs="Times New Roman"/>
                <w:caps w:val="0"/>
                <w:smallCaps w:val="0"/>
                <w:color w:val="auto"/>
                <w:spacing w:val="11"/>
                <w:position w:val="0"/>
                <w:sz w:val="24"/>
                <w:highlight w:val="none"/>
                <w:u w:val="single" w:color="auto"/>
                <w:lang w:eastAsia="zh-CN"/>
              </w:rPr>
              <w:t>）</w:t>
            </w:r>
            <w:r>
              <w:rPr>
                <w:rFonts w:hint="eastAsia" w:cs="Times New Roman"/>
                <w:caps w:val="0"/>
                <w:smallCaps w:val="0"/>
                <w:color w:val="auto"/>
                <w:spacing w:val="11"/>
                <w:position w:val="0"/>
                <w:sz w:val="24"/>
                <w:highlight w:val="none"/>
                <w:u w:val="single" w:color="auto"/>
                <w:lang w:val="en-US" w:eastAsia="zh-CN"/>
              </w:rPr>
              <w:t>，建设单位拟在工业广场截水沟尾端设置一个140m</w:t>
            </w:r>
            <w:r>
              <w:rPr>
                <w:rFonts w:hint="eastAsia" w:cs="Times New Roman"/>
                <w:caps w:val="0"/>
                <w:smallCaps w:val="0"/>
                <w:color w:val="auto"/>
                <w:spacing w:val="11"/>
                <w:position w:val="0"/>
                <w:sz w:val="24"/>
                <w:highlight w:val="none"/>
                <w:u w:val="single" w:color="auto"/>
                <w:vertAlign w:val="superscript"/>
                <w:lang w:val="en-US" w:eastAsia="zh-CN"/>
              </w:rPr>
              <w:t>3</w:t>
            </w:r>
            <w:r>
              <w:rPr>
                <w:rFonts w:hint="eastAsia" w:cs="Times New Roman"/>
                <w:caps w:val="0"/>
                <w:smallCaps w:val="0"/>
                <w:color w:val="auto"/>
                <w:spacing w:val="11"/>
                <w:position w:val="0"/>
                <w:sz w:val="24"/>
                <w:highlight w:val="none"/>
                <w:u w:val="single" w:color="auto"/>
                <w:lang w:val="en-US" w:eastAsia="zh-CN"/>
              </w:rPr>
              <w:t>的沉淀池，足够收集初期雨水量。</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初期雨水通过建设的</w:t>
            </w:r>
            <w:r>
              <w:rPr>
                <w:rFonts w:hint="eastAsia" w:cs="Times New Roman"/>
                <w:caps w:val="0"/>
                <w:smallCaps w:val="0"/>
                <w:color w:val="auto"/>
                <w:spacing w:val="11"/>
                <w:position w:val="0"/>
                <w:sz w:val="24"/>
                <w:highlight w:val="none"/>
                <w:u w:val="single" w:color="auto"/>
                <w:lang w:val="en-US" w:eastAsia="zh-CN"/>
              </w:rPr>
              <w:t>截水沟</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流入雨水沉淀池，经沉淀后用于厂区抑尘</w:t>
            </w:r>
            <w:r>
              <w:rPr>
                <w:rFonts w:hint="eastAsia" w:cs="Times New Roman"/>
                <w:caps w:val="0"/>
                <w:smallCaps w:val="0"/>
                <w:color w:val="auto"/>
                <w:spacing w:val="11"/>
                <w:position w:val="0"/>
                <w:sz w:val="24"/>
                <w:highlight w:val="none"/>
                <w:u w:val="single" w:color="auto"/>
                <w:lang w:val="en-US" w:eastAsia="zh-CN"/>
              </w:rPr>
              <w:t>以及生产用水</w:t>
            </w:r>
            <w:r>
              <w:rPr>
                <w:rFonts w:hint="default" w:ascii="Times New Roman" w:hAnsi="Times New Roman" w:eastAsia="宋体" w:cs="Times New Roman"/>
                <w:caps w:val="0"/>
                <w:smallCaps w:val="0"/>
                <w:color w:val="auto"/>
                <w:spacing w:val="11"/>
                <w:position w:val="0"/>
                <w:sz w:val="24"/>
                <w:highlight w:val="none"/>
                <w:u w:val="single" w:color="auto"/>
                <w:lang w:val="en-US" w:eastAsia="zh-CN"/>
              </w:rPr>
              <w:t>。</w:t>
            </w:r>
          </w:p>
          <w:p w14:paraId="64D858E3">
            <w:pPr>
              <w:pStyle w:val="7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position w:val="0"/>
                <w:sz w:val="24"/>
                <w:highlight w:val="none"/>
                <w:u w:val="none"/>
                <w:lang w:val="en-US" w:eastAsia="zh-CN"/>
              </w:rPr>
            </w:pPr>
            <w:r>
              <w:rPr>
                <w:rFonts w:hint="default" w:ascii="Times New Roman" w:hAnsi="Times New Roman" w:eastAsia="宋体" w:cs="Times New Roman"/>
                <w:caps w:val="0"/>
                <w:smallCaps w:val="0"/>
                <w:color w:val="auto"/>
                <w:spacing w:val="11"/>
                <w:position w:val="0"/>
                <w:sz w:val="24"/>
                <w:highlight w:val="none"/>
                <w:u w:val="none"/>
                <w:lang w:val="en-US" w:eastAsia="zh-CN"/>
              </w:rPr>
              <w:drawing>
                <wp:inline distT="0" distB="0" distL="114300" distR="114300">
                  <wp:extent cx="5142865" cy="4269740"/>
                  <wp:effectExtent l="0" t="0" r="0" b="0"/>
                  <wp:docPr id="5" name="ECB019B1-382A-4266-B25C-5B523AA43C14-2" descr="C:/Users/HP/AppData/Local/Temp/wps.BIoLqm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2" descr="C:/Users/HP/AppData/Local/Temp/wps.BIoLqmwps"/>
                          <pic:cNvPicPr>
                            <a:picLocks noChangeAspect="1"/>
                          </pic:cNvPicPr>
                        </pic:nvPicPr>
                        <pic:blipFill>
                          <a:blip r:embed="rId12"/>
                          <a:stretch>
                            <a:fillRect/>
                          </a:stretch>
                        </pic:blipFill>
                        <pic:spPr>
                          <a:xfrm>
                            <a:off x="0" y="0"/>
                            <a:ext cx="5142865" cy="4269740"/>
                          </a:xfrm>
                          <a:prstGeom prst="rect">
                            <a:avLst/>
                          </a:prstGeom>
                        </pic:spPr>
                      </pic:pic>
                    </a:graphicData>
                  </a:graphic>
                </wp:inline>
              </w:drawing>
            </w:r>
          </w:p>
          <w:p w14:paraId="5ABCA2E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color w:val="000000"/>
                <w:spacing w:val="11"/>
                <w:position w:val="0"/>
                <w:sz w:val="21"/>
                <w:szCs w:val="21"/>
                <w:highlight w:val="none"/>
                <w:u w:val="none" w:color="auto"/>
                <w:lang w:val="en-US"/>
              </w:rPr>
            </w:pPr>
            <w:r>
              <w:rPr>
                <w:rFonts w:hint="default" w:ascii="Times New Roman" w:hAnsi="Times New Roman" w:eastAsia="宋体" w:cs="Times New Roman"/>
                <w:b/>
                <w:color w:val="000000"/>
                <w:spacing w:val="11"/>
                <w:position w:val="0"/>
                <w:sz w:val="21"/>
                <w:szCs w:val="21"/>
                <w:highlight w:val="none"/>
                <w:u w:val="none" w:color="auto"/>
                <w:lang w:val="en-US" w:eastAsia="zh-CN"/>
              </w:rPr>
              <w:t>图4-1  项目水平衡图</w:t>
            </w:r>
            <w:r>
              <w:rPr>
                <w:rFonts w:hint="eastAsia" w:cs="Times New Roman"/>
                <w:b/>
                <w:color w:val="000000"/>
                <w:spacing w:val="11"/>
                <w:position w:val="0"/>
                <w:sz w:val="21"/>
                <w:szCs w:val="21"/>
                <w:highlight w:val="none"/>
                <w:u w:val="none" w:color="auto"/>
                <w:lang w:val="en-US" w:eastAsia="zh-CN"/>
              </w:rPr>
              <w:t>（m</w:t>
            </w:r>
            <w:r>
              <w:rPr>
                <w:rFonts w:hint="eastAsia" w:cs="Times New Roman"/>
                <w:b/>
                <w:color w:val="000000"/>
                <w:spacing w:val="11"/>
                <w:position w:val="0"/>
                <w:sz w:val="21"/>
                <w:szCs w:val="21"/>
                <w:highlight w:val="none"/>
                <w:u w:val="none" w:color="auto"/>
                <w:vertAlign w:val="superscript"/>
                <w:lang w:val="en-US" w:eastAsia="zh-CN"/>
              </w:rPr>
              <w:t>3</w:t>
            </w:r>
            <w:r>
              <w:rPr>
                <w:rFonts w:hint="eastAsia" w:cs="Times New Roman"/>
                <w:b/>
                <w:color w:val="000000"/>
                <w:spacing w:val="11"/>
                <w:position w:val="0"/>
                <w:sz w:val="21"/>
                <w:szCs w:val="21"/>
                <w:highlight w:val="none"/>
                <w:u w:val="none" w:color="auto"/>
                <w:lang w:val="en-US" w:eastAsia="zh-CN"/>
              </w:rPr>
              <w:t>/a）</w:t>
            </w:r>
          </w:p>
          <w:p w14:paraId="14E1F49E">
            <w:pPr>
              <w:keepNext w:val="0"/>
              <w:keepLines w:val="0"/>
              <w:pageBreakBefore w:val="0"/>
              <w:widowControl w:val="0"/>
              <w:tabs>
                <w:tab w:val="left" w:pos="6298"/>
              </w:tabs>
              <w:kinsoku/>
              <w:wordWrap/>
              <w:overflowPunct/>
              <w:topLinePunct w:val="0"/>
              <w:autoSpaceDE/>
              <w:autoSpaceDN/>
              <w:bidi w:val="0"/>
              <w:adjustRightInd w:val="0"/>
              <w:snapToGrid w:val="0"/>
              <w:spacing w:line="360" w:lineRule="auto"/>
              <w:ind w:left="0" w:leftChars="0" w:right="0" w:firstLine="526" w:firstLineChars="200"/>
              <w:textAlignment w:val="auto"/>
              <w:rPr>
                <w:rFonts w:hint="default" w:ascii="Times New Roman" w:hAnsi="Times New Roman" w:eastAsia="宋体" w:cs="Times New Roman"/>
                <w:b/>
                <w:bCs w:val="0"/>
                <w:color w:val="000000"/>
                <w:spacing w:val="11"/>
                <w:position w:val="0"/>
                <w:sz w:val="24"/>
                <w:szCs w:val="24"/>
                <w:u w:val="none" w:color="auto"/>
                <w:lang w:val="en-US" w:eastAsia="zh-CN"/>
              </w:rPr>
            </w:pPr>
            <w:r>
              <w:rPr>
                <w:rFonts w:hint="default" w:ascii="Times New Roman" w:hAnsi="Times New Roman" w:eastAsia="宋体" w:cs="Times New Roman"/>
                <w:b/>
                <w:bCs w:val="0"/>
                <w:color w:val="000000"/>
                <w:spacing w:val="11"/>
                <w:position w:val="0"/>
                <w:sz w:val="24"/>
                <w:szCs w:val="24"/>
                <w:u w:val="none" w:color="auto"/>
                <w:lang w:val="en-US" w:eastAsia="zh-CN"/>
              </w:rPr>
              <w:t>2、废气</w:t>
            </w:r>
          </w:p>
          <w:p w14:paraId="4CDC4149">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lang w:val="en-US" w:eastAsia="zh-CN"/>
              </w:rPr>
              <w:t>本场内产生的废气污染物主要包括凿岩、钻孔粉尘</w:t>
            </w:r>
            <w:r>
              <w:rPr>
                <w:rFonts w:hint="eastAsia"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rPr>
              <w:t>采场粉尘</w:t>
            </w:r>
            <w:r>
              <w:rPr>
                <w:rFonts w:hint="eastAsia"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rPr>
              <w:t>爆破</w:t>
            </w:r>
            <w:r>
              <w:rPr>
                <w:rFonts w:hint="default" w:ascii="Times New Roman" w:hAnsi="Times New Roman" w:eastAsia="宋体" w:cs="Times New Roman"/>
                <w:color w:val="000000"/>
                <w:spacing w:val="11"/>
                <w:position w:val="0"/>
                <w:sz w:val="24"/>
                <w:szCs w:val="24"/>
                <w:u w:val="single" w:color="auto"/>
                <w:lang w:val="en-US" w:eastAsia="zh-CN"/>
              </w:rPr>
              <w:t>粉尘</w:t>
            </w:r>
            <w:r>
              <w:rPr>
                <w:rFonts w:hint="eastAsia"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rPr>
              <w:t>运输扬尘</w:t>
            </w:r>
            <w:r>
              <w:rPr>
                <w:rFonts w:hint="eastAsia"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kern w:val="0"/>
                <w:position w:val="0"/>
                <w:sz w:val="24"/>
                <w:szCs w:val="24"/>
                <w:u w:val="single" w:color="auto"/>
              </w:rPr>
              <w:t>排土场起尘</w:t>
            </w:r>
            <w:r>
              <w:rPr>
                <w:rFonts w:hint="eastAsia" w:cs="Times New Roman"/>
                <w:color w:val="000000"/>
                <w:spacing w:val="11"/>
                <w:kern w:val="0"/>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lang w:val="en-US" w:eastAsia="zh-CN"/>
              </w:rPr>
              <w:t>加工粉尘</w:t>
            </w:r>
            <w:r>
              <w:rPr>
                <w:rFonts w:hint="eastAsia" w:cs="Times New Roman"/>
                <w:color w:val="000000"/>
                <w:spacing w:val="11"/>
                <w:position w:val="0"/>
                <w:sz w:val="24"/>
                <w:szCs w:val="24"/>
                <w:u w:val="single" w:color="auto"/>
                <w:lang w:val="en-US" w:eastAsia="zh-CN"/>
              </w:rPr>
              <w:t>以及食堂油烟</w:t>
            </w:r>
            <w:r>
              <w:rPr>
                <w:rFonts w:hint="default" w:ascii="Times New Roman" w:hAnsi="Times New Roman" w:eastAsia="宋体" w:cs="Times New Roman"/>
                <w:color w:val="000000"/>
                <w:spacing w:val="11"/>
                <w:position w:val="0"/>
                <w:sz w:val="24"/>
                <w:szCs w:val="24"/>
                <w:u w:val="single" w:color="auto"/>
              </w:rPr>
              <w:t>。</w:t>
            </w:r>
          </w:p>
          <w:p w14:paraId="6D170A11">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kern w:val="0"/>
                <w:position w:val="0"/>
                <w:sz w:val="24"/>
                <w:szCs w:val="24"/>
                <w:u w:val="single" w:color="auto"/>
              </w:rPr>
            </w:pPr>
            <w:r>
              <w:rPr>
                <w:rFonts w:hint="eastAsia" w:cs="Times New Roman"/>
                <w:color w:val="000000"/>
                <w:spacing w:val="11"/>
                <w:kern w:val="0"/>
                <w:position w:val="0"/>
                <w:sz w:val="24"/>
                <w:szCs w:val="24"/>
                <w:u w:val="single" w:color="auto"/>
                <w:lang w:eastAsia="zh-CN"/>
              </w:rPr>
              <w:t>（</w:t>
            </w:r>
            <w:r>
              <w:rPr>
                <w:rFonts w:hint="eastAsia" w:cs="Times New Roman"/>
                <w:color w:val="000000"/>
                <w:spacing w:val="11"/>
                <w:kern w:val="0"/>
                <w:position w:val="0"/>
                <w:sz w:val="24"/>
                <w:szCs w:val="24"/>
                <w:u w:val="single" w:color="auto"/>
                <w:lang w:val="en-US" w:eastAsia="zh-CN"/>
              </w:rPr>
              <w:t>1</w:t>
            </w:r>
            <w:r>
              <w:rPr>
                <w:rFonts w:hint="eastAsia" w:cs="Times New Roman"/>
                <w:color w:val="000000"/>
                <w:spacing w:val="11"/>
                <w:kern w:val="0"/>
                <w:position w:val="0"/>
                <w:sz w:val="24"/>
                <w:szCs w:val="24"/>
                <w:u w:val="single" w:color="auto"/>
                <w:lang w:eastAsia="zh-CN"/>
              </w:rPr>
              <w:t>）</w:t>
            </w:r>
            <w:r>
              <w:rPr>
                <w:rFonts w:hint="default" w:ascii="Times New Roman" w:hAnsi="Times New Roman" w:eastAsia="宋体" w:cs="Times New Roman"/>
                <w:color w:val="000000"/>
                <w:spacing w:val="11"/>
                <w:kern w:val="0"/>
                <w:position w:val="0"/>
                <w:sz w:val="24"/>
                <w:szCs w:val="24"/>
                <w:u w:val="single" w:color="auto"/>
                <w:lang w:val="en-US" w:eastAsia="zh-CN"/>
              </w:rPr>
              <w:t>凿岩、钻孔粉尘</w:t>
            </w:r>
          </w:p>
          <w:p w14:paraId="15120F44">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kern w:val="0"/>
                <w:position w:val="0"/>
                <w:sz w:val="24"/>
                <w:szCs w:val="24"/>
                <w:u w:val="single" w:color="auto"/>
              </w:rPr>
            </w:pPr>
            <w:r>
              <w:rPr>
                <w:rFonts w:hint="default" w:ascii="Times New Roman" w:hAnsi="Times New Roman" w:eastAsia="宋体" w:cs="Times New Roman"/>
                <w:color w:val="000000"/>
                <w:spacing w:val="11"/>
                <w:kern w:val="0"/>
                <w:position w:val="0"/>
                <w:sz w:val="24"/>
                <w:szCs w:val="24"/>
                <w:u w:val="single" w:color="auto"/>
                <w:lang w:val="en-US" w:eastAsia="zh-CN"/>
              </w:rPr>
              <w:t>项目露天开采进行爆破前，需对岩石进行钻孔和填埋炸药，在钻孔过程中将产生一定量的粉尘。根据《逸散性工业粉尘控制技术》（中国环境科学出版社，1989年）可知，凿岩钻孔时逸散粉尘产生量为0.004kg/t（石料）。本项目矿山开采量</w:t>
            </w:r>
            <w:r>
              <w:rPr>
                <w:rFonts w:hint="eastAsia" w:cs="Times New Roman"/>
                <w:color w:val="000000"/>
                <w:spacing w:val="11"/>
                <w:kern w:val="0"/>
                <w:position w:val="0"/>
                <w:sz w:val="24"/>
                <w:szCs w:val="24"/>
                <w:u w:val="single" w:color="auto"/>
                <w:lang w:val="en-US" w:eastAsia="zh-CN"/>
              </w:rPr>
              <w:t>6</w:t>
            </w:r>
            <w:r>
              <w:rPr>
                <w:rFonts w:hint="default" w:ascii="Times New Roman" w:hAnsi="Times New Roman" w:eastAsia="宋体" w:cs="Times New Roman"/>
                <w:color w:val="000000"/>
                <w:spacing w:val="11"/>
                <w:kern w:val="0"/>
                <w:position w:val="0"/>
                <w:sz w:val="24"/>
                <w:szCs w:val="24"/>
                <w:u w:val="single" w:color="auto"/>
                <w:lang w:val="en-US" w:eastAsia="zh-CN"/>
              </w:rPr>
              <w:t>0万t/a，则矿山凿岩钻孔时逸散粉尘产生量为2</w:t>
            </w:r>
            <w:r>
              <w:rPr>
                <w:rFonts w:hint="eastAsia" w:cs="Times New Roman"/>
                <w:color w:val="000000"/>
                <w:spacing w:val="11"/>
                <w:kern w:val="0"/>
                <w:position w:val="0"/>
                <w:sz w:val="24"/>
                <w:szCs w:val="24"/>
                <w:u w:val="single" w:color="auto"/>
                <w:lang w:val="en-US" w:eastAsia="zh-CN"/>
              </w:rPr>
              <w:t>.4</w:t>
            </w:r>
            <w:r>
              <w:rPr>
                <w:rFonts w:hint="default" w:ascii="Times New Roman" w:hAnsi="Times New Roman" w:eastAsia="宋体" w:cs="Times New Roman"/>
                <w:color w:val="000000"/>
                <w:spacing w:val="11"/>
                <w:kern w:val="0"/>
                <w:position w:val="0"/>
                <w:sz w:val="24"/>
                <w:szCs w:val="24"/>
                <w:u w:val="single" w:color="auto"/>
                <w:lang w:val="en-US" w:eastAsia="zh-CN"/>
              </w:rPr>
              <w:t xml:space="preserve">t/a。 </w:t>
            </w:r>
          </w:p>
          <w:p w14:paraId="5A396279">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kern w:val="0"/>
                <w:position w:val="0"/>
                <w:sz w:val="24"/>
                <w:szCs w:val="24"/>
                <w:u w:val="single" w:color="auto"/>
              </w:rPr>
            </w:pPr>
            <w:r>
              <w:rPr>
                <w:rFonts w:hint="default" w:ascii="Times New Roman" w:hAnsi="Times New Roman" w:eastAsia="宋体" w:cs="Times New Roman"/>
                <w:color w:val="000000"/>
                <w:spacing w:val="11"/>
                <w:kern w:val="0"/>
                <w:position w:val="0"/>
                <w:sz w:val="24"/>
                <w:szCs w:val="24"/>
                <w:u w:val="single" w:color="auto"/>
                <w:lang w:val="en-US" w:eastAsia="zh-CN"/>
              </w:rPr>
              <w:t>本项目矿山</w:t>
            </w:r>
            <w:r>
              <w:rPr>
                <w:rFonts w:hint="eastAsia" w:cs="Times New Roman"/>
                <w:color w:val="000000"/>
                <w:spacing w:val="11"/>
                <w:kern w:val="0"/>
                <w:position w:val="0"/>
                <w:sz w:val="24"/>
                <w:szCs w:val="24"/>
                <w:u w:val="single" w:color="auto"/>
                <w:lang w:val="en-US" w:eastAsia="zh-CN"/>
              </w:rPr>
              <w:t>拟</w:t>
            </w:r>
            <w:r>
              <w:rPr>
                <w:rFonts w:hint="default" w:ascii="Times New Roman" w:hAnsi="Times New Roman" w:eastAsia="宋体" w:cs="Times New Roman"/>
                <w:color w:val="000000"/>
                <w:spacing w:val="11"/>
                <w:kern w:val="0"/>
                <w:position w:val="0"/>
                <w:sz w:val="24"/>
                <w:szCs w:val="24"/>
                <w:u w:val="single" w:color="auto"/>
                <w:lang w:val="en-US" w:eastAsia="zh-CN"/>
              </w:rPr>
              <w:t>选用自带收尘装置的环保型钻机设备，配合湿式凿岩钻孔、洒水保湿等措施，上述措施能够有效控制粉尘的产生，可降低约8</w:t>
            </w:r>
            <w:r>
              <w:rPr>
                <w:rFonts w:hint="eastAsia" w:cs="Times New Roman"/>
                <w:color w:val="000000"/>
                <w:spacing w:val="11"/>
                <w:kern w:val="0"/>
                <w:position w:val="0"/>
                <w:sz w:val="24"/>
                <w:szCs w:val="24"/>
                <w:u w:val="single" w:color="auto"/>
                <w:lang w:val="en-US" w:eastAsia="zh-CN"/>
              </w:rPr>
              <w:t>0</w:t>
            </w:r>
            <w:r>
              <w:rPr>
                <w:rFonts w:hint="default" w:ascii="Times New Roman" w:hAnsi="Times New Roman" w:eastAsia="宋体" w:cs="Times New Roman"/>
                <w:color w:val="000000"/>
                <w:spacing w:val="11"/>
                <w:kern w:val="0"/>
                <w:position w:val="0"/>
                <w:sz w:val="24"/>
                <w:szCs w:val="24"/>
                <w:u w:val="single" w:color="auto"/>
                <w:lang w:val="en-US" w:eastAsia="zh-CN"/>
              </w:rPr>
              <w:t>%的逸散粉尘量，则钻孔时逸散粉尘排放量为</w:t>
            </w:r>
            <w:r>
              <w:rPr>
                <w:rFonts w:hint="eastAsia" w:cs="Times New Roman"/>
                <w:color w:val="000000"/>
                <w:spacing w:val="11"/>
                <w:kern w:val="0"/>
                <w:position w:val="0"/>
                <w:sz w:val="24"/>
                <w:szCs w:val="24"/>
                <w:u w:val="single" w:color="auto"/>
                <w:lang w:val="en-US" w:eastAsia="zh-CN"/>
              </w:rPr>
              <w:t>1.92</w:t>
            </w:r>
            <w:r>
              <w:rPr>
                <w:rFonts w:hint="default" w:ascii="Times New Roman" w:hAnsi="Times New Roman" w:eastAsia="宋体" w:cs="Times New Roman"/>
                <w:color w:val="000000"/>
                <w:spacing w:val="11"/>
                <w:kern w:val="0"/>
                <w:position w:val="0"/>
                <w:sz w:val="24"/>
                <w:szCs w:val="24"/>
                <w:u w:val="single" w:color="auto"/>
                <w:lang w:val="en-US" w:eastAsia="zh-CN"/>
              </w:rPr>
              <w:t>t/a。</w:t>
            </w:r>
          </w:p>
          <w:p w14:paraId="55B5C4D3">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eastAsia" w:ascii="Times New Roman" w:hAnsi="Times New Roman" w:eastAsia="宋体" w:cs="Times New Roman"/>
                <w:color w:val="000000"/>
                <w:spacing w:val="11"/>
                <w:kern w:val="0"/>
                <w:position w:val="0"/>
                <w:sz w:val="24"/>
                <w:szCs w:val="24"/>
                <w:u w:val="single" w:color="auto"/>
                <w:lang w:val="en-US" w:eastAsia="zh-CN"/>
              </w:rPr>
            </w:pPr>
            <w:r>
              <w:rPr>
                <w:rFonts w:hint="eastAsia" w:cs="Times New Roman"/>
                <w:color w:val="000000"/>
                <w:spacing w:val="11"/>
                <w:kern w:val="0"/>
                <w:position w:val="0"/>
                <w:sz w:val="24"/>
                <w:szCs w:val="24"/>
                <w:u w:val="single" w:color="auto"/>
                <w:lang w:val="en-US" w:eastAsia="zh-CN"/>
              </w:rPr>
              <w:t>（2）采场粉尘</w:t>
            </w:r>
          </w:p>
          <w:p w14:paraId="247E5890">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kern w:val="0"/>
                <w:position w:val="0"/>
                <w:sz w:val="24"/>
                <w:szCs w:val="24"/>
                <w:u w:val="single" w:color="auto"/>
              </w:rPr>
            </w:pPr>
            <w:r>
              <w:rPr>
                <w:rFonts w:hint="default" w:ascii="Times New Roman" w:hAnsi="Times New Roman" w:eastAsia="宋体" w:cs="Times New Roman"/>
                <w:color w:val="000000"/>
                <w:spacing w:val="11"/>
                <w:kern w:val="0"/>
                <w:position w:val="0"/>
                <w:sz w:val="24"/>
                <w:szCs w:val="24"/>
                <w:u w:val="single" w:color="auto"/>
                <w:lang w:val="en-US" w:eastAsia="zh-CN"/>
              </w:rPr>
              <w:t>开采过程主要包括表土剥离、机械铲装，开采过程均会产生一定量的粉尘。项目开采的矿产类型为灰岩矿，年开采量为</w:t>
            </w:r>
            <w:r>
              <w:rPr>
                <w:rFonts w:hint="eastAsia" w:cs="Times New Roman"/>
                <w:color w:val="000000"/>
                <w:spacing w:val="11"/>
                <w:kern w:val="0"/>
                <w:position w:val="0"/>
                <w:sz w:val="24"/>
                <w:szCs w:val="24"/>
                <w:u w:val="single" w:color="auto"/>
                <w:lang w:val="en-US" w:eastAsia="zh-CN"/>
              </w:rPr>
              <w:t>60</w:t>
            </w:r>
            <w:r>
              <w:rPr>
                <w:rFonts w:hint="default" w:ascii="Times New Roman" w:hAnsi="Times New Roman" w:eastAsia="宋体" w:cs="Times New Roman"/>
                <w:color w:val="000000"/>
                <w:spacing w:val="11"/>
                <w:kern w:val="0"/>
                <w:position w:val="0"/>
                <w:sz w:val="24"/>
                <w:szCs w:val="24"/>
                <w:u w:val="single" w:color="auto"/>
                <w:lang w:val="en-US" w:eastAsia="zh-CN"/>
              </w:rPr>
              <w:t>万t。根据《第二次全国污染源普查产排污核算系数手册（试用版）》1011 石灰石、石膏开采行业，开采工序（南方）的产污系数为0.0114千克/吨-产品。则项目开采过程颗粒物的产生量为</w:t>
            </w:r>
            <w:r>
              <w:rPr>
                <w:rFonts w:hint="eastAsia" w:cs="Times New Roman"/>
                <w:color w:val="000000"/>
                <w:spacing w:val="11"/>
                <w:kern w:val="0"/>
                <w:position w:val="0"/>
                <w:sz w:val="24"/>
                <w:szCs w:val="24"/>
                <w:u w:val="single" w:color="auto"/>
                <w:lang w:val="en-US" w:eastAsia="zh-CN"/>
              </w:rPr>
              <w:t>：60</w:t>
            </w:r>
            <w:r>
              <w:rPr>
                <w:rFonts w:hint="default" w:ascii="Times New Roman" w:hAnsi="Times New Roman" w:eastAsia="宋体" w:cs="Times New Roman"/>
                <w:color w:val="000000"/>
                <w:spacing w:val="11"/>
                <w:kern w:val="0"/>
                <w:position w:val="0"/>
                <w:sz w:val="24"/>
                <w:szCs w:val="24"/>
                <w:u w:val="single" w:color="auto"/>
                <w:lang w:val="en-US" w:eastAsia="zh-CN"/>
              </w:rPr>
              <w:t>万t/a×0.0114kg/t-产品×</w:t>
            </w:r>
            <w:r>
              <w:rPr>
                <w:rFonts w:hint="eastAsia" w:cs="Times New Roman"/>
                <w:color w:val="000000"/>
                <w:spacing w:val="11"/>
                <w:kern w:val="0"/>
                <w:position w:val="0"/>
                <w:sz w:val="24"/>
                <w:szCs w:val="24"/>
                <w:u w:val="single" w:color="auto"/>
                <w:lang w:val="en-US" w:eastAsia="zh-CN"/>
              </w:rPr>
              <w:t>0.001</w:t>
            </w:r>
            <w:r>
              <w:rPr>
                <w:rFonts w:hint="default" w:ascii="Times New Roman" w:hAnsi="Times New Roman" w:eastAsia="宋体" w:cs="Times New Roman"/>
                <w:color w:val="000000"/>
                <w:spacing w:val="11"/>
                <w:kern w:val="0"/>
                <w:position w:val="0"/>
                <w:sz w:val="24"/>
                <w:szCs w:val="24"/>
                <w:u w:val="single" w:color="auto"/>
                <w:lang w:val="en-US" w:eastAsia="zh-CN"/>
              </w:rPr>
              <w:t>=</w:t>
            </w:r>
            <w:r>
              <w:rPr>
                <w:rFonts w:hint="eastAsia" w:cs="Times New Roman"/>
                <w:color w:val="000000"/>
                <w:spacing w:val="11"/>
                <w:kern w:val="0"/>
                <w:position w:val="0"/>
                <w:sz w:val="24"/>
                <w:szCs w:val="24"/>
                <w:u w:val="single" w:color="auto"/>
                <w:lang w:val="en-US" w:eastAsia="zh-CN"/>
              </w:rPr>
              <w:t>6.84</w:t>
            </w:r>
            <w:r>
              <w:rPr>
                <w:rFonts w:hint="default" w:ascii="Times New Roman" w:hAnsi="Times New Roman" w:eastAsia="宋体" w:cs="Times New Roman"/>
                <w:color w:val="000000"/>
                <w:spacing w:val="11"/>
                <w:kern w:val="0"/>
                <w:position w:val="0"/>
                <w:sz w:val="24"/>
                <w:szCs w:val="24"/>
                <w:u w:val="single" w:color="auto"/>
                <w:lang w:val="en-US" w:eastAsia="zh-CN"/>
              </w:rPr>
              <w:t>t/a。</w:t>
            </w:r>
          </w:p>
          <w:p w14:paraId="2CD30050">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kern w:val="0"/>
                <w:position w:val="0"/>
                <w:sz w:val="24"/>
                <w:szCs w:val="24"/>
                <w:u w:val="single" w:color="auto"/>
              </w:rPr>
            </w:pPr>
            <w:r>
              <w:rPr>
                <w:rFonts w:hint="default" w:ascii="Times New Roman" w:hAnsi="Times New Roman" w:eastAsia="宋体" w:cs="Times New Roman"/>
                <w:color w:val="000000"/>
                <w:spacing w:val="11"/>
                <w:kern w:val="0"/>
                <w:position w:val="0"/>
                <w:sz w:val="24"/>
                <w:szCs w:val="24"/>
                <w:u w:val="single" w:color="auto"/>
                <w:lang w:val="en-US" w:eastAsia="zh-CN"/>
              </w:rPr>
              <w:t>通过采取铲装前后及装车过程中进行洒水抑尘，加上粉尘在矿区内自然沉降，可降低约80%的逸散粉尘量，则开采过程粉尘无组织排放量为1.</w:t>
            </w:r>
            <w:r>
              <w:rPr>
                <w:rFonts w:hint="eastAsia" w:cs="Times New Roman"/>
                <w:color w:val="000000"/>
                <w:spacing w:val="11"/>
                <w:kern w:val="0"/>
                <w:position w:val="0"/>
                <w:sz w:val="24"/>
                <w:szCs w:val="24"/>
                <w:u w:val="single" w:color="auto"/>
                <w:lang w:val="en-US" w:eastAsia="zh-CN"/>
              </w:rPr>
              <w:t>368</w:t>
            </w:r>
            <w:r>
              <w:rPr>
                <w:rFonts w:hint="default" w:ascii="Times New Roman" w:hAnsi="Times New Roman" w:eastAsia="宋体" w:cs="Times New Roman"/>
                <w:color w:val="000000"/>
                <w:spacing w:val="11"/>
                <w:kern w:val="0"/>
                <w:position w:val="0"/>
                <w:sz w:val="24"/>
                <w:szCs w:val="24"/>
                <w:u w:val="single" w:color="auto"/>
                <w:lang w:val="en-US" w:eastAsia="zh-CN"/>
              </w:rPr>
              <w:t>t/a。</w:t>
            </w:r>
          </w:p>
          <w:p w14:paraId="46065719">
            <w:pPr>
              <w:pStyle w:val="39"/>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bidi="ar"/>
              </w:rPr>
            </w:pPr>
            <w:r>
              <w:rPr>
                <w:rFonts w:hint="eastAsia" w:ascii="Times New Roman" w:cs="Times New Roman"/>
                <w:color w:val="000000"/>
                <w:spacing w:val="11"/>
                <w:position w:val="0"/>
                <w:sz w:val="24"/>
                <w:szCs w:val="24"/>
                <w:u w:val="single" w:color="auto"/>
                <w:lang w:val="en-US" w:eastAsia="zh-CN" w:bidi="ar"/>
              </w:rPr>
              <w:t>（3）</w:t>
            </w:r>
            <w:r>
              <w:rPr>
                <w:rFonts w:hint="default" w:ascii="Times New Roman" w:hAnsi="Times New Roman" w:eastAsia="宋体" w:cs="Times New Roman"/>
                <w:color w:val="000000"/>
                <w:spacing w:val="11"/>
                <w:position w:val="0"/>
                <w:sz w:val="24"/>
                <w:szCs w:val="24"/>
                <w:u w:val="single" w:color="auto"/>
                <w:lang w:bidi="ar"/>
              </w:rPr>
              <w:t>爆破</w:t>
            </w:r>
            <w:r>
              <w:rPr>
                <w:rFonts w:hint="default" w:ascii="Times New Roman" w:hAnsi="Times New Roman" w:eastAsia="宋体" w:cs="Times New Roman"/>
                <w:color w:val="000000"/>
                <w:spacing w:val="11"/>
                <w:position w:val="0"/>
                <w:sz w:val="24"/>
                <w:szCs w:val="24"/>
                <w:u w:val="single" w:color="auto"/>
                <w:lang w:val="en-US" w:eastAsia="zh-CN" w:bidi="ar"/>
              </w:rPr>
              <w:t>粉尘</w:t>
            </w:r>
          </w:p>
          <w:p w14:paraId="7A53432F">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lang w:bidi="ar"/>
              </w:rPr>
              <w:t>根据首都经济贸易大学的张兴凯、北京科技大学李怀宇1996年</w:t>
            </w:r>
            <w:r>
              <w:rPr>
                <w:rFonts w:hint="default" w:ascii="Times New Roman" w:hAnsi="Times New Roman" w:eastAsia="宋体" w:cs="Times New Roman"/>
                <w:color w:val="000000"/>
                <w:spacing w:val="11"/>
                <w:position w:val="0"/>
                <w:sz w:val="24"/>
                <w:szCs w:val="24"/>
                <w:u w:val="single" w:color="auto"/>
              </w:rPr>
              <w:t>《金属矿山》第3期</w:t>
            </w:r>
            <w:r>
              <w:rPr>
                <w:rFonts w:hint="default" w:ascii="Times New Roman" w:hAnsi="Times New Roman" w:eastAsia="宋体" w:cs="Times New Roman"/>
                <w:color w:val="000000"/>
                <w:spacing w:val="11"/>
                <w:position w:val="0"/>
                <w:sz w:val="24"/>
                <w:szCs w:val="24"/>
                <w:u w:val="single" w:color="auto"/>
                <w:lang w:bidi="ar"/>
              </w:rPr>
              <w:t>发表的《露天矿爆破粉尘排放量的计算分析》中的数据及类比相同企业可知</w:t>
            </w:r>
            <w:r>
              <w:rPr>
                <w:rFonts w:hint="default" w:ascii="Times New Roman" w:hAnsi="Times New Roman" w:eastAsia="宋体" w:cs="Times New Roman"/>
                <w:color w:val="000000"/>
                <w:spacing w:val="11"/>
                <w:position w:val="0"/>
                <w:sz w:val="24"/>
                <w:szCs w:val="24"/>
                <w:u w:val="single" w:color="auto"/>
              </w:rPr>
              <w:t>，露天矿爆破粉尘产生量为54.2kg/t（炸药），爆炸时CO排放量为34kg/t（炸药）。</w:t>
            </w:r>
            <w:r>
              <w:rPr>
                <w:rFonts w:hint="default" w:ascii="Times New Roman" w:hAnsi="Times New Roman" w:eastAsia="宋体" w:cs="Times New Roman"/>
                <w:color w:val="000000"/>
                <w:spacing w:val="11"/>
                <w:position w:val="0"/>
                <w:sz w:val="24"/>
                <w:szCs w:val="24"/>
                <w:u w:val="single" w:color="auto"/>
                <w:lang w:val="en-US" w:eastAsia="zh-CN"/>
              </w:rPr>
              <w:t>本项目</w:t>
            </w:r>
            <w:r>
              <w:rPr>
                <w:rFonts w:hint="default" w:ascii="Times New Roman" w:hAnsi="Times New Roman" w:eastAsia="宋体" w:cs="Times New Roman"/>
                <w:color w:val="000000"/>
                <w:spacing w:val="11"/>
                <w:position w:val="0"/>
                <w:sz w:val="24"/>
                <w:szCs w:val="24"/>
                <w:u w:val="single" w:color="auto"/>
              </w:rPr>
              <w:t>所需炸</w:t>
            </w:r>
            <w:r>
              <w:rPr>
                <w:rFonts w:hint="default" w:ascii="Times New Roman" w:hAnsi="Times New Roman" w:eastAsia="宋体" w:cs="Times New Roman"/>
                <w:color w:val="000000"/>
                <w:spacing w:val="11"/>
                <w:position w:val="0"/>
                <w:sz w:val="24"/>
                <w:szCs w:val="24"/>
                <w:highlight w:val="none"/>
                <w:u w:val="single" w:color="auto"/>
              </w:rPr>
              <w:t>药量总计为</w:t>
            </w:r>
            <w:r>
              <w:rPr>
                <w:rFonts w:hint="default" w:ascii="Times New Roman" w:hAnsi="Times New Roman" w:eastAsia="宋体" w:cs="Times New Roman"/>
                <w:color w:val="000000"/>
                <w:spacing w:val="11"/>
                <w:position w:val="0"/>
                <w:sz w:val="24"/>
                <w:szCs w:val="24"/>
                <w:highlight w:val="none"/>
                <w:u w:val="single" w:color="auto"/>
                <w:lang w:val="en-US" w:eastAsia="zh-CN"/>
              </w:rPr>
              <w:t>100</w:t>
            </w:r>
            <w:r>
              <w:rPr>
                <w:rFonts w:hint="default" w:ascii="Times New Roman" w:hAnsi="Times New Roman" w:eastAsia="宋体" w:cs="Times New Roman"/>
                <w:color w:val="000000"/>
                <w:spacing w:val="11"/>
                <w:position w:val="0"/>
                <w:sz w:val="24"/>
                <w:szCs w:val="24"/>
                <w:highlight w:val="none"/>
                <w:u w:val="single" w:color="auto"/>
              </w:rPr>
              <w:t>t/a，经过计算得出爆破污染物产生量为：粉尘</w:t>
            </w:r>
            <w:r>
              <w:rPr>
                <w:rFonts w:hint="default" w:ascii="Times New Roman" w:hAnsi="Times New Roman" w:eastAsia="宋体" w:cs="Times New Roman"/>
                <w:color w:val="000000"/>
                <w:spacing w:val="11"/>
                <w:position w:val="0"/>
                <w:sz w:val="24"/>
                <w:szCs w:val="24"/>
                <w:highlight w:val="none"/>
                <w:u w:val="single" w:color="auto"/>
                <w:lang w:val="en-US" w:eastAsia="zh-CN"/>
              </w:rPr>
              <w:t>5.4</w:t>
            </w:r>
            <w:r>
              <w:rPr>
                <w:rFonts w:hint="eastAsia" w:cs="Times New Roman"/>
                <w:color w:val="000000"/>
                <w:spacing w:val="11"/>
                <w:position w:val="0"/>
                <w:sz w:val="24"/>
                <w:szCs w:val="24"/>
                <w:highlight w:val="none"/>
                <w:u w:val="single" w:color="auto"/>
                <w:lang w:val="en-US" w:eastAsia="zh-CN"/>
              </w:rPr>
              <w:t>2</w:t>
            </w:r>
            <w:r>
              <w:rPr>
                <w:rFonts w:hint="default" w:ascii="Times New Roman" w:hAnsi="Times New Roman" w:eastAsia="宋体" w:cs="Times New Roman"/>
                <w:color w:val="000000"/>
                <w:spacing w:val="11"/>
                <w:position w:val="0"/>
                <w:sz w:val="24"/>
                <w:szCs w:val="24"/>
                <w:highlight w:val="none"/>
                <w:u w:val="single" w:color="auto"/>
              </w:rPr>
              <w:t>t/a、CO</w:t>
            </w:r>
            <w:r>
              <w:rPr>
                <w:rFonts w:hint="default" w:ascii="Times New Roman" w:hAnsi="Times New Roman" w:eastAsia="宋体" w:cs="Times New Roman"/>
                <w:color w:val="000000"/>
                <w:spacing w:val="11"/>
                <w:position w:val="0"/>
                <w:sz w:val="24"/>
                <w:szCs w:val="24"/>
                <w:highlight w:val="none"/>
                <w:u w:val="single" w:color="auto"/>
                <w:lang w:eastAsia="zh-CN"/>
              </w:rPr>
              <w:t>：</w:t>
            </w:r>
            <w:r>
              <w:rPr>
                <w:rFonts w:hint="default" w:ascii="Times New Roman" w:hAnsi="Times New Roman" w:eastAsia="宋体" w:cs="Times New Roman"/>
                <w:color w:val="000000"/>
                <w:spacing w:val="11"/>
                <w:position w:val="0"/>
                <w:sz w:val="24"/>
                <w:szCs w:val="24"/>
                <w:highlight w:val="none"/>
                <w:u w:val="single" w:color="auto"/>
                <w:lang w:val="en-US" w:eastAsia="zh-CN"/>
              </w:rPr>
              <w:t>3.4</w:t>
            </w:r>
            <w:r>
              <w:rPr>
                <w:rFonts w:hint="default" w:ascii="Times New Roman" w:hAnsi="Times New Roman" w:eastAsia="宋体" w:cs="Times New Roman"/>
                <w:color w:val="000000"/>
                <w:spacing w:val="11"/>
                <w:position w:val="0"/>
                <w:sz w:val="24"/>
                <w:szCs w:val="24"/>
                <w:highlight w:val="none"/>
                <w:u w:val="single" w:color="auto"/>
              </w:rPr>
              <w:t>t/a。爆破</w:t>
            </w:r>
            <w:r>
              <w:rPr>
                <w:rFonts w:hint="default" w:ascii="Times New Roman" w:hAnsi="Times New Roman" w:eastAsia="宋体" w:cs="Times New Roman"/>
                <w:color w:val="000000"/>
                <w:spacing w:val="11"/>
                <w:position w:val="0"/>
                <w:sz w:val="24"/>
                <w:szCs w:val="24"/>
                <w:u w:val="single" w:color="auto"/>
              </w:rPr>
              <w:t>粉尘为无组织排放，通过水封爆破并对爆破面进行洒水抑尘，同时增</w:t>
            </w:r>
            <w:r>
              <w:rPr>
                <w:rFonts w:hint="default" w:ascii="Times New Roman" w:hAnsi="Times New Roman" w:eastAsia="宋体" w:cs="Times New Roman"/>
                <w:color w:val="000000"/>
                <w:spacing w:val="11"/>
                <w:position w:val="0"/>
                <w:sz w:val="24"/>
                <w:szCs w:val="24"/>
                <w:highlight w:val="none"/>
                <w:u w:val="single" w:color="auto"/>
              </w:rPr>
              <w:t>设水炮喷雾增湿，可降低约85%的粉尘排放量，故爆破粉尘排放量为0.</w:t>
            </w:r>
            <w:r>
              <w:rPr>
                <w:rFonts w:hint="default" w:ascii="Times New Roman" w:hAnsi="Times New Roman" w:eastAsia="宋体" w:cs="Times New Roman"/>
                <w:color w:val="000000"/>
                <w:spacing w:val="11"/>
                <w:position w:val="0"/>
                <w:sz w:val="24"/>
                <w:szCs w:val="24"/>
                <w:highlight w:val="none"/>
                <w:u w:val="single" w:color="auto"/>
                <w:lang w:val="en-US" w:eastAsia="zh-CN"/>
              </w:rPr>
              <w:t>81</w:t>
            </w:r>
            <w:r>
              <w:rPr>
                <w:rFonts w:hint="eastAsia" w:cs="Times New Roman"/>
                <w:color w:val="000000"/>
                <w:spacing w:val="11"/>
                <w:position w:val="0"/>
                <w:sz w:val="24"/>
                <w:szCs w:val="24"/>
                <w:highlight w:val="none"/>
                <w:u w:val="single" w:color="auto"/>
                <w:lang w:val="en-US" w:eastAsia="zh-CN"/>
              </w:rPr>
              <w:t>3</w:t>
            </w:r>
            <w:r>
              <w:rPr>
                <w:rFonts w:hint="default" w:ascii="Times New Roman" w:hAnsi="Times New Roman" w:eastAsia="宋体" w:cs="Times New Roman"/>
                <w:color w:val="000000"/>
                <w:spacing w:val="11"/>
                <w:position w:val="0"/>
                <w:sz w:val="24"/>
                <w:szCs w:val="24"/>
                <w:highlight w:val="none"/>
                <w:u w:val="single" w:color="auto"/>
              </w:rPr>
              <w:t>t/a</w:t>
            </w:r>
            <w:r>
              <w:rPr>
                <w:rFonts w:hint="default" w:ascii="Times New Roman" w:hAnsi="Times New Roman" w:eastAsia="宋体" w:cs="Times New Roman"/>
                <w:color w:val="000000"/>
                <w:spacing w:val="11"/>
                <w:position w:val="0"/>
                <w:sz w:val="24"/>
                <w:szCs w:val="24"/>
                <w:highlight w:val="none"/>
                <w:u w:val="single" w:color="auto"/>
                <w:lang w:eastAsia="zh-CN"/>
              </w:rPr>
              <w:t>，</w:t>
            </w:r>
            <w:r>
              <w:rPr>
                <w:rFonts w:hint="default" w:ascii="Times New Roman" w:hAnsi="Times New Roman" w:eastAsia="宋体" w:cs="Times New Roman"/>
                <w:color w:val="000000"/>
                <w:spacing w:val="11"/>
                <w:position w:val="0"/>
                <w:sz w:val="24"/>
                <w:szCs w:val="24"/>
                <w:u w:val="single" w:color="auto"/>
                <w:lang w:val="en-US" w:eastAsia="zh-CN"/>
              </w:rPr>
              <w:t>均以无组织形式外排</w:t>
            </w:r>
            <w:r>
              <w:rPr>
                <w:rFonts w:hint="default" w:ascii="Times New Roman" w:hAnsi="Times New Roman" w:eastAsia="宋体" w:cs="Times New Roman"/>
                <w:color w:val="000000"/>
                <w:spacing w:val="11"/>
                <w:position w:val="0"/>
                <w:sz w:val="24"/>
                <w:szCs w:val="24"/>
                <w:u w:val="single" w:color="auto"/>
              </w:rPr>
              <w:t>。</w:t>
            </w:r>
          </w:p>
          <w:p w14:paraId="273CEAC9">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项目爆破过程中会产生一定的NOx，矿山开采过程中爆破</w:t>
            </w:r>
            <w:r>
              <w:rPr>
                <w:rFonts w:hint="default" w:ascii="Times New Roman" w:hAnsi="Times New Roman" w:eastAsia="宋体" w:cs="Times New Roman"/>
                <w:color w:val="000000"/>
                <w:spacing w:val="11"/>
                <w:position w:val="0"/>
                <w:sz w:val="24"/>
                <w:szCs w:val="24"/>
                <w:u w:val="single" w:color="auto"/>
                <w:lang w:val="en-US" w:eastAsia="zh-CN"/>
              </w:rPr>
              <w:t>时间不定</w:t>
            </w:r>
            <w:r>
              <w:rPr>
                <w:rFonts w:hint="default" w:ascii="Times New Roman" w:hAnsi="Times New Roman" w:eastAsia="宋体" w:cs="Times New Roman"/>
                <w:color w:val="000000"/>
                <w:spacing w:val="11"/>
                <w:position w:val="0"/>
                <w:sz w:val="24"/>
                <w:szCs w:val="24"/>
                <w:u w:val="single" w:color="auto"/>
              </w:rPr>
              <w:t>，产生的NOx属于间歇性、无组织排放，难以定量；项目地势开阔，产生的NOx容易扩散对周边环境影响较小。</w:t>
            </w:r>
          </w:p>
          <w:p w14:paraId="08A86C50">
            <w:pPr>
              <w:pStyle w:val="15"/>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yellow"/>
                <w:u w:val="single" w:color="auto"/>
                <w:lang w:val="en-US" w:eastAsia="zh-CN"/>
              </w:rPr>
            </w:pPr>
            <w:r>
              <w:rPr>
                <w:rFonts w:hint="eastAsia" w:cs="Times New Roman"/>
                <w:color w:val="000000"/>
                <w:spacing w:val="11"/>
                <w:position w:val="0"/>
                <w:sz w:val="24"/>
                <w:szCs w:val="24"/>
                <w:u w:val="single" w:color="auto"/>
                <w:lang w:eastAsia="zh-CN"/>
              </w:rPr>
              <w:t>（</w:t>
            </w:r>
            <w:r>
              <w:rPr>
                <w:rFonts w:hint="eastAsia" w:cs="Times New Roman"/>
                <w:color w:val="000000"/>
                <w:spacing w:val="11"/>
                <w:position w:val="0"/>
                <w:sz w:val="24"/>
                <w:szCs w:val="24"/>
                <w:u w:val="single" w:color="auto"/>
                <w:lang w:val="en-US" w:eastAsia="zh-CN"/>
              </w:rPr>
              <w:t>4</w:t>
            </w:r>
            <w:r>
              <w:rPr>
                <w:rFonts w:hint="eastAsia"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rPr>
              <w:t>运输扬尘</w:t>
            </w:r>
          </w:p>
          <w:p w14:paraId="2F86E49B">
            <w:pPr>
              <w:pStyle w:val="15"/>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挖掘机、铲车、货车在矿区工作过程中产生一定的运输扬尘，其强度与路面种类、季节干湿以及运输车运行速度等因素有关。运输道路上所产生的扬尘采用经验公式，即：</w:t>
            </w:r>
          </w:p>
          <w:p w14:paraId="511B615D">
            <w:pPr>
              <w:pStyle w:val="15"/>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center"/>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Qi=0.0079VW</w:t>
            </w:r>
            <w:r>
              <w:rPr>
                <w:rFonts w:hint="default" w:ascii="Times New Roman" w:hAnsi="Times New Roman" w:eastAsia="宋体" w:cs="Times New Roman"/>
                <w:color w:val="000000"/>
                <w:spacing w:val="11"/>
                <w:position w:val="0"/>
                <w:sz w:val="24"/>
                <w:szCs w:val="24"/>
                <w:u w:val="single" w:color="auto"/>
                <w:vertAlign w:val="superscript"/>
              </w:rPr>
              <w:t>0.85</w:t>
            </w:r>
            <w:r>
              <w:rPr>
                <w:rFonts w:hint="default" w:ascii="Times New Roman" w:hAnsi="Times New Roman" w:eastAsia="宋体" w:cs="Times New Roman"/>
                <w:color w:val="000000"/>
                <w:spacing w:val="11"/>
                <w:position w:val="0"/>
                <w:sz w:val="24"/>
                <w:szCs w:val="24"/>
                <w:u w:val="single" w:color="auto"/>
              </w:rPr>
              <w:t>P</w:t>
            </w:r>
            <w:r>
              <w:rPr>
                <w:rFonts w:hint="default" w:ascii="Times New Roman" w:hAnsi="Times New Roman" w:eastAsia="宋体" w:cs="Times New Roman"/>
                <w:color w:val="000000"/>
                <w:spacing w:val="11"/>
                <w:position w:val="0"/>
                <w:sz w:val="24"/>
                <w:szCs w:val="24"/>
                <w:u w:val="single" w:color="auto"/>
                <w:vertAlign w:val="superscript"/>
              </w:rPr>
              <w:t>0.72</w:t>
            </w:r>
          </w:p>
          <w:p w14:paraId="5EE764D5">
            <w:pPr>
              <w:pStyle w:val="15"/>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式中：Qi——每辆运输车行驶扬尘量，kg/km•辆；</w:t>
            </w:r>
          </w:p>
          <w:p w14:paraId="3FCB8B23">
            <w:pPr>
              <w:pStyle w:val="15"/>
              <w:keepNext w:val="0"/>
              <w:keepLines w:val="0"/>
              <w:pageBreakBefore w:val="0"/>
              <w:widowControl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V——运输车行驶速度，30km/h；</w:t>
            </w:r>
          </w:p>
          <w:p w14:paraId="1A8600D4">
            <w:pPr>
              <w:pStyle w:val="15"/>
              <w:keepNext w:val="0"/>
              <w:keepLines w:val="0"/>
              <w:pageBreakBefore w:val="0"/>
              <w:widowControl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rPr>
              <w:t>W——运输车</w:t>
            </w:r>
            <w:r>
              <w:rPr>
                <w:rFonts w:hint="default" w:ascii="Times New Roman" w:hAnsi="Times New Roman" w:eastAsia="宋体" w:cs="Times New Roman"/>
                <w:color w:val="000000"/>
                <w:spacing w:val="11"/>
                <w:position w:val="0"/>
                <w:sz w:val="24"/>
                <w:szCs w:val="24"/>
                <w:highlight w:val="none"/>
                <w:u w:val="single" w:color="auto"/>
              </w:rPr>
              <w:t>载重，</w:t>
            </w:r>
            <w:r>
              <w:rPr>
                <w:rFonts w:hint="eastAsia" w:cs="Times New Roman"/>
                <w:color w:val="000000"/>
                <w:spacing w:val="11"/>
                <w:position w:val="0"/>
                <w:sz w:val="24"/>
                <w:szCs w:val="24"/>
                <w:highlight w:val="none"/>
                <w:u w:val="single" w:color="auto"/>
                <w:lang w:val="en-US" w:eastAsia="zh-CN"/>
              </w:rPr>
              <w:t>3</w:t>
            </w:r>
            <w:r>
              <w:rPr>
                <w:rFonts w:hint="default" w:ascii="Times New Roman" w:hAnsi="Times New Roman" w:eastAsia="宋体" w:cs="Times New Roman"/>
                <w:color w:val="000000"/>
                <w:spacing w:val="11"/>
                <w:position w:val="0"/>
                <w:sz w:val="24"/>
                <w:szCs w:val="24"/>
                <w:highlight w:val="none"/>
                <w:u w:val="single" w:color="auto"/>
              </w:rPr>
              <w:t>0t；</w:t>
            </w:r>
          </w:p>
          <w:p w14:paraId="0826A4E0">
            <w:pPr>
              <w:pStyle w:val="15"/>
              <w:keepNext w:val="0"/>
              <w:keepLines w:val="0"/>
              <w:pageBreakBefore w:val="0"/>
              <w:widowControl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P——道路表面粉尘量，0.2kg/m</w:t>
            </w:r>
            <w:r>
              <w:rPr>
                <w:rFonts w:hint="default" w:ascii="Times New Roman" w:hAnsi="Times New Roman" w:eastAsia="宋体" w:cs="Times New Roman"/>
                <w:color w:val="000000"/>
                <w:spacing w:val="11"/>
                <w:position w:val="0"/>
                <w:sz w:val="24"/>
                <w:szCs w:val="24"/>
                <w:u w:val="single" w:color="auto"/>
                <w:vertAlign w:val="superscript"/>
              </w:rPr>
              <w:t>2</w:t>
            </w:r>
            <w:r>
              <w:rPr>
                <w:rFonts w:hint="default" w:ascii="Times New Roman" w:hAnsi="Times New Roman" w:eastAsia="宋体" w:cs="Times New Roman"/>
                <w:color w:val="000000"/>
                <w:spacing w:val="11"/>
                <w:position w:val="0"/>
                <w:sz w:val="24"/>
                <w:szCs w:val="24"/>
                <w:u w:val="single" w:color="auto"/>
              </w:rPr>
              <w:t>。</w:t>
            </w:r>
          </w:p>
          <w:p w14:paraId="7F639745">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yellow"/>
                <w:u w:val="single" w:color="auto"/>
              </w:rPr>
            </w:pPr>
            <w:r>
              <w:rPr>
                <w:rFonts w:hint="default" w:ascii="Times New Roman" w:hAnsi="Times New Roman" w:eastAsia="宋体" w:cs="Times New Roman"/>
                <w:color w:val="000000"/>
                <w:spacing w:val="11"/>
                <w:position w:val="0"/>
                <w:sz w:val="24"/>
                <w:szCs w:val="24"/>
                <w:u w:val="single" w:color="auto"/>
              </w:rPr>
              <w:t>由以上参</w:t>
            </w:r>
            <w:r>
              <w:rPr>
                <w:rFonts w:hint="default" w:ascii="Times New Roman" w:hAnsi="Times New Roman" w:eastAsia="宋体" w:cs="Times New Roman"/>
                <w:color w:val="000000"/>
                <w:spacing w:val="11"/>
                <w:position w:val="0"/>
                <w:sz w:val="24"/>
                <w:szCs w:val="24"/>
                <w:highlight w:val="none"/>
                <w:u w:val="single" w:color="auto"/>
              </w:rPr>
              <w:t>数计算每辆运输车形式扬尘量为</w:t>
            </w:r>
            <w:r>
              <w:rPr>
                <w:rFonts w:hint="eastAsia" w:cs="Times New Roman"/>
                <w:color w:val="000000"/>
                <w:spacing w:val="11"/>
                <w:position w:val="0"/>
                <w:sz w:val="24"/>
                <w:szCs w:val="24"/>
                <w:highlight w:val="none"/>
                <w:u w:val="single" w:color="auto"/>
                <w:lang w:val="en-US" w:eastAsia="zh-CN"/>
              </w:rPr>
              <w:t>1.32</w:t>
            </w:r>
            <w:r>
              <w:rPr>
                <w:rFonts w:hint="default" w:ascii="Times New Roman" w:hAnsi="Times New Roman" w:eastAsia="宋体" w:cs="Times New Roman"/>
                <w:color w:val="000000"/>
                <w:spacing w:val="11"/>
                <w:position w:val="0"/>
                <w:sz w:val="24"/>
                <w:szCs w:val="24"/>
                <w:highlight w:val="none"/>
                <w:u w:val="single" w:color="auto"/>
              </w:rPr>
              <w:t>kg/km</w:t>
            </w:r>
            <w:r>
              <w:rPr>
                <w:rFonts w:hint="default" w:ascii="Times New Roman" w:hAnsi="Times New Roman" w:eastAsia="微软雅黑" w:cs="Times New Roman"/>
                <w:color w:val="000000"/>
                <w:spacing w:val="11"/>
                <w:position w:val="0"/>
                <w:sz w:val="24"/>
                <w:szCs w:val="24"/>
                <w:highlight w:val="none"/>
                <w:u w:val="single" w:color="auto"/>
              </w:rPr>
              <w:t>•</w:t>
            </w:r>
            <w:r>
              <w:rPr>
                <w:rFonts w:hint="default" w:ascii="Times New Roman" w:hAnsi="Times New Roman" w:eastAsia="宋体" w:cs="Times New Roman"/>
                <w:color w:val="000000"/>
                <w:spacing w:val="11"/>
                <w:position w:val="0"/>
                <w:sz w:val="24"/>
                <w:szCs w:val="24"/>
                <w:highlight w:val="none"/>
                <w:u w:val="single" w:color="auto"/>
              </w:rPr>
              <w:t>辆。矿山平均运距0.</w:t>
            </w:r>
            <w:r>
              <w:rPr>
                <w:rFonts w:hint="eastAsia" w:cs="Times New Roman"/>
                <w:color w:val="000000"/>
                <w:spacing w:val="11"/>
                <w:position w:val="0"/>
                <w:sz w:val="24"/>
                <w:szCs w:val="24"/>
                <w:highlight w:val="none"/>
                <w:u w:val="single" w:color="auto"/>
                <w:lang w:val="en-US" w:eastAsia="zh-CN"/>
              </w:rPr>
              <w:t>65</w:t>
            </w:r>
            <w:r>
              <w:rPr>
                <w:rFonts w:hint="default" w:ascii="Times New Roman" w:hAnsi="Times New Roman" w:eastAsia="宋体" w:cs="Times New Roman"/>
                <w:color w:val="000000"/>
                <w:spacing w:val="11"/>
                <w:position w:val="0"/>
                <w:sz w:val="24"/>
                <w:szCs w:val="24"/>
                <w:highlight w:val="none"/>
                <w:u w:val="single" w:color="auto"/>
              </w:rPr>
              <w:t>km，年运输辆次</w:t>
            </w:r>
            <w:r>
              <w:rPr>
                <w:rFonts w:hint="eastAsia" w:cs="Times New Roman"/>
                <w:color w:val="000000"/>
                <w:spacing w:val="11"/>
                <w:position w:val="0"/>
                <w:sz w:val="24"/>
                <w:szCs w:val="24"/>
                <w:highlight w:val="none"/>
                <w:u w:val="single" w:color="auto"/>
                <w:lang w:val="en-US" w:eastAsia="zh-CN"/>
              </w:rPr>
              <w:t>2</w:t>
            </w:r>
            <w:r>
              <w:rPr>
                <w:rFonts w:hint="default" w:ascii="Times New Roman" w:hAnsi="Times New Roman" w:eastAsia="宋体" w:cs="Times New Roman"/>
                <w:color w:val="000000"/>
                <w:spacing w:val="11"/>
                <w:position w:val="0"/>
                <w:sz w:val="24"/>
                <w:szCs w:val="24"/>
                <w:highlight w:val="none"/>
                <w:u w:val="single" w:color="auto"/>
                <w:lang w:val="en-US" w:eastAsia="zh-CN"/>
              </w:rPr>
              <w:t>0000</w:t>
            </w:r>
            <w:r>
              <w:rPr>
                <w:rFonts w:hint="default" w:ascii="Times New Roman" w:hAnsi="Times New Roman" w:eastAsia="宋体" w:cs="Times New Roman"/>
                <w:color w:val="000000"/>
                <w:spacing w:val="11"/>
                <w:position w:val="0"/>
                <w:sz w:val="24"/>
                <w:szCs w:val="24"/>
                <w:highlight w:val="none"/>
                <w:u w:val="single" w:color="auto"/>
              </w:rPr>
              <w:t>辆次，运输车道路扬尘</w:t>
            </w:r>
            <w:r>
              <w:rPr>
                <w:rFonts w:hint="eastAsia" w:cs="Times New Roman"/>
                <w:color w:val="000000"/>
                <w:spacing w:val="11"/>
                <w:position w:val="0"/>
                <w:sz w:val="24"/>
                <w:szCs w:val="24"/>
                <w:highlight w:val="none"/>
                <w:u w:val="single" w:color="auto"/>
                <w:lang w:val="en-US" w:eastAsia="zh-CN"/>
              </w:rPr>
              <w:t>经</w:t>
            </w:r>
            <w:r>
              <w:rPr>
                <w:rFonts w:hint="default" w:ascii="Times New Roman" w:hAnsi="Times New Roman" w:eastAsia="宋体" w:cs="Times New Roman"/>
                <w:color w:val="000000"/>
                <w:spacing w:val="11"/>
                <w:position w:val="0"/>
                <w:sz w:val="24"/>
                <w:szCs w:val="24"/>
                <w:highlight w:val="none"/>
                <w:u w:val="single" w:color="auto"/>
              </w:rPr>
              <w:t>计算</w:t>
            </w:r>
            <w:r>
              <w:rPr>
                <w:rFonts w:hint="eastAsia" w:cs="Times New Roman"/>
                <w:color w:val="000000"/>
                <w:spacing w:val="11"/>
                <w:position w:val="0"/>
                <w:sz w:val="24"/>
                <w:szCs w:val="24"/>
                <w:highlight w:val="none"/>
                <w:u w:val="single" w:color="auto"/>
                <w:lang w:eastAsia="zh-CN"/>
              </w:rPr>
              <w:t>，</w:t>
            </w:r>
            <w:r>
              <w:rPr>
                <w:rFonts w:hint="default" w:ascii="Times New Roman" w:hAnsi="Times New Roman" w:eastAsia="宋体" w:cs="Times New Roman"/>
                <w:color w:val="000000"/>
                <w:spacing w:val="11"/>
                <w:position w:val="0"/>
                <w:sz w:val="24"/>
                <w:szCs w:val="24"/>
                <w:highlight w:val="none"/>
                <w:u w:val="single" w:color="auto"/>
              </w:rPr>
              <w:t>无组织粉尘量约为</w:t>
            </w:r>
            <w:r>
              <w:rPr>
                <w:rFonts w:hint="eastAsia" w:cs="Times New Roman"/>
                <w:color w:val="000000"/>
                <w:spacing w:val="11"/>
                <w:position w:val="0"/>
                <w:sz w:val="24"/>
                <w:szCs w:val="24"/>
                <w:highlight w:val="none"/>
                <w:u w:val="single" w:color="auto"/>
                <w:lang w:val="en-US" w:eastAsia="zh-CN"/>
              </w:rPr>
              <w:t>34.32</w:t>
            </w:r>
            <w:r>
              <w:rPr>
                <w:rFonts w:hint="default" w:ascii="Times New Roman" w:hAnsi="Times New Roman" w:eastAsia="宋体" w:cs="Times New Roman"/>
                <w:color w:val="000000"/>
                <w:spacing w:val="11"/>
                <w:position w:val="0"/>
                <w:sz w:val="24"/>
                <w:szCs w:val="24"/>
                <w:highlight w:val="none"/>
                <w:u w:val="single" w:color="auto"/>
              </w:rPr>
              <w:t>t/a，类比同类矿山运输</w:t>
            </w:r>
            <w:r>
              <w:rPr>
                <w:rFonts w:hint="eastAsia" w:cs="Times New Roman"/>
                <w:color w:val="000000"/>
                <w:spacing w:val="11"/>
                <w:position w:val="0"/>
                <w:sz w:val="24"/>
                <w:szCs w:val="24"/>
                <w:highlight w:val="none"/>
                <w:u w:val="single" w:color="auto"/>
                <w:lang w:val="en-US" w:eastAsia="zh-CN"/>
              </w:rPr>
              <w:t>项目，</w:t>
            </w:r>
            <w:r>
              <w:rPr>
                <w:rFonts w:hint="default" w:ascii="Times New Roman" w:hAnsi="Times New Roman" w:eastAsia="宋体" w:cs="Times New Roman"/>
                <w:color w:val="000000"/>
                <w:spacing w:val="11"/>
                <w:position w:val="0"/>
                <w:sz w:val="24"/>
                <w:szCs w:val="24"/>
                <w:highlight w:val="none"/>
                <w:u w:val="single" w:color="auto"/>
              </w:rPr>
              <w:t>公路两侧粉尘浓度监测一般在10mg/m</w:t>
            </w:r>
            <w:r>
              <w:rPr>
                <w:rFonts w:hint="default" w:ascii="Times New Roman" w:hAnsi="Times New Roman" w:eastAsia="宋体" w:cs="Times New Roman"/>
                <w:color w:val="000000"/>
                <w:spacing w:val="11"/>
                <w:position w:val="0"/>
                <w:sz w:val="24"/>
                <w:szCs w:val="24"/>
                <w:highlight w:val="none"/>
                <w:u w:val="single" w:color="auto"/>
                <w:vertAlign w:val="superscript"/>
              </w:rPr>
              <w:t>3</w:t>
            </w:r>
            <w:r>
              <w:rPr>
                <w:rFonts w:hint="default" w:ascii="Times New Roman" w:hAnsi="Times New Roman" w:eastAsia="宋体" w:cs="Times New Roman"/>
                <w:color w:val="000000"/>
                <w:spacing w:val="11"/>
                <w:position w:val="0"/>
                <w:sz w:val="24"/>
                <w:szCs w:val="24"/>
                <w:highlight w:val="none"/>
                <w:u w:val="single" w:color="auto"/>
              </w:rPr>
              <w:t>左右。通过</w:t>
            </w:r>
            <w:r>
              <w:rPr>
                <w:rFonts w:hint="default" w:ascii="Times New Roman" w:hAnsi="Times New Roman" w:eastAsia="宋体" w:cs="Times New Roman"/>
                <w:color w:val="000000"/>
                <w:spacing w:val="11"/>
                <w:position w:val="0"/>
                <w:sz w:val="24"/>
                <w:szCs w:val="24"/>
                <w:highlight w:val="none"/>
                <w:u w:val="single" w:color="auto"/>
                <w:lang w:val="en-US" w:eastAsia="zh-CN"/>
              </w:rPr>
              <w:t>在厂区设置洒水车，对厂区</w:t>
            </w:r>
            <w:r>
              <w:rPr>
                <w:rFonts w:hint="default" w:ascii="Times New Roman" w:hAnsi="Times New Roman" w:eastAsia="宋体" w:cs="Times New Roman"/>
                <w:color w:val="000000"/>
                <w:spacing w:val="11"/>
                <w:position w:val="0"/>
                <w:sz w:val="24"/>
                <w:szCs w:val="24"/>
                <w:highlight w:val="none"/>
                <w:u w:val="single" w:color="auto"/>
              </w:rPr>
              <w:t>路面</w:t>
            </w:r>
            <w:r>
              <w:rPr>
                <w:rFonts w:hint="default" w:ascii="Times New Roman" w:hAnsi="Times New Roman" w:eastAsia="宋体" w:cs="Times New Roman"/>
                <w:color w:val="000000"/>
                <w:spacing w:val="11"/>
                <w:position w:val="0"/>
                <w:sz w:val="24"/>
                <w:szCs w:val="24"/>
                <w:highlight w:val="none"/>
                <w:u w:val="single" w:color="auto"/>
                <w:lang w:val="en-US" w:eastAsia="zh-CN"/>
              </w:rPr>
              <w:t>实行</w:t>
            </w:r>
            <w:r>
              <w:rPr>
                <w:rFonts w:hint="default" w:ascii="Times New Roman" w:hAnsi="Times New Roman" w:eastAsia="宋体" w:cs="Times New Roman"/>
                <w:color w:val="000000"/>
                <w:spacing w:val="11"/>
                <w:position w:val="0"/>
                <w:sz w:val="24"/>
                <w:szCs w:val="24"/>
                <w:highlight w:val="none"/>
                <w:u w:val="single" w:color="auto"/>
              </w:rPr>
              <w:t>硬化</w:t>
            </w:r>
            <w:r>
              <w:rPr>
                <w:rFonts w:hint="default" w:ascii="Times New Roman" w:hAnsi="Times New Roman" w:eastAsia="宋体" w:cs="Times New Roman"/>
                <w:color w:val="000000"/>
                <w:spacing w:val="11"/>
                <w:position w:val="0"/>
                <w:sz w:val="24"/>
                <w:szCs w:val="24"/>
                <w:highlight w:val="none"/>
                <w:u w:val="single" w:color="auto"/>
                <w:lang w:val="en-US" w:eastAsia="zh-CN"/>
              </w:rPr>
              <w:t>处理</w:t>
            </w:r>
            <w:r>
              <w:rPr>
                <w:rFonts w:hint="eastAsia" w:cs="Times New Roman"/>
                <w:color w:val="000000"/>
                <w:spacing w:val="11"/>
                <w:position w:val="0"/>
                <w:sz w:val="24"/>
                <w:szCs w:val="24"/>
                <w:highlight w:val="none"/>
                <w:u w:val="single" w:color="auto"/>
                <w:lang w:val="en-US" w:eastAsia="zh-CN"/>
              </w:rPr>
              <w:t>，在道路两旁种植绿植以及树木</w:t>
            </w:r>
            <w:r>
              <w:rPr>
                <w:rFonts w:hint="default" w:ascii="Times New Roman" w:hAnsi="Times New Roman" w:eastAsia="宋体" w:cs="Times New Roman"/>
                <w:color w:val="000000"/>
                <w:spacing w:val="11"/>
                <w:position w:val="0"/>
                <w:sz w:val="24"/>
                <w:szCs w:val="24"/>
                <w:highlight w:val="none"/>
                <w:u w:val="single" w:color="auto"/>
                <w:lang w:val="en-US" w:eastAsia="zh-CN"/>
              </w:rPr>
              <w:t>，同时厂区设置洗车平台，对进出厂区车辆进行保洁清洗</w:t>
            </w:r>
            <w:r>
              <w:rPr>
                <w:rFonts w:hint="default" w:ascii="Times New Roman" w:hAnsi="Times New Roman" w:eastAsia="宋体" w:cs="Times New Roman"/>
                <w:color w:val="000000"/>
                <w:spacing w:val="11"/>
                <w:position w:val="0"/>
                <w:sz w:val="24"/>
                <w:szCs w:val="24"/>
                <w:highlight w:val="none"/>
                <w:u w:val="single" w:color="auto"/>
              </w:rPr>
              <w:t>，可将粉尘降低8</w:t>
            </w:r>
            <w:r>
              <w:rPr>
                <w:rFonts w:hint="default" w:ascii="Times New Roman" w:hAnsi="Times New Roman" w:eastAsia="宋体" w:cs="Times New Roman"/>
                <w:color w:val="000000"/>
                <w:spacing w:val="11"/>
                <w:position w:val="0"/>
                <w:sz w:val="24"/>
                <w:szCs w:val="24"/>
                <w:highlight w:val="none"/>
                <w:u w:val="single" w:color="auto"/>
                <w:lang w:val="en-US" w:eastAsia="zh-CN"/>
              </w:rPr>
              <w:t>5</w:t>
            </w:r>
            <w:r>
              <w:rPr>
                <w:rFonts w:hint="default" w:ascii="Times New Roman" w:hAnsi="Times New Roman" w:eastAsia="宋体" w:cs="Times New Roman"/>
                <w:color w:val="000000"/>
                <w:spacing w:val="11"/>
                <w:position w:val="0"/>
                <w:sz w:val="24"/>
                <w:szCs w:val="24"/>
                <w:highlight w:val="none"/>
                <w:u w:val="single" w:color="auto"/>
              </w:rPr>
              <w:t>%，排放量为</w:t>
            </w:r>
            <w:r>
              <w:rPr>
                <w:rFonts w:hint="eastAsia" w:cs="Times New Roman"/>
                <w:color w:val="000000"/>
                <w:spacing w:val="11"/>
                <w:position w:val="0"/>
                <w:sz w:val="24"/>
                <w:szCs w:val="24"/>
                <w:highlight w:val="none"/>
                <w:u w:val="single" w:color="auto"/>
                <w:lang w:val="en-US" w:eastAsia="zh-CN"/>
              </w:rPr>
              <w:t>5.148</w:t>
            </w:r>
            <w:r>
              <w:rPr>
                <w:rFonts w:hint="default" w:ascii="Times New Roman" w:hAnsi="Times New Roman" w:eastAsia="宋体" w:cs="Times New Roman"/>
                <w:color w:val="000000"/>
                <w:spacing w:val="11"/>
                <w:position w:val="0"/>
                <w:sz w:val="24"/>
                <w:szCs w:val="24"/>
                <w:highlight w:val="none"/>
                <w:u w:val="single" w:color="auto"/>
              </w:rPr>
              <w:t>t/a。</w:t>
            </w:r>
          </w:p>
          <w:p w14:paraId="77D1E8B0">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zh-CN"/>
              </w:rPr>
            </w:pPr>
            <w:r>
              <w:rPr>
                <w:rFonts w:hint="eastAsia" w:cs="Times New Roman"/>
                <w:color w:val="000000"/>
                <w:spacing w:val="11"/>
                <w:position w:val="0"/>
                <w:sz w:val="24"/>
                <w:szCs w:val="24"/>
                <w:u w:val="single" w:color="auto"/>
                <w:lang w:eastAsia="zh-CN"/>
              </w:rPr>
              <w:t>（</w:t>
            </w:r>
            <w:r>
              <w:rPr>
                <w:rFonts w:hint="eastAsia" w:cs="Times New Roman"/>
                <w:color w:val="000000"/>
                <w:spacing w:val="11"/>
                <w:position w:val="0"/>
                <w:sz w:val="24"/>
                <w:szCs w:val="24"/>
                <w:u w:val="single" w:color="auto"/>
                <w:lang w:val="en-US" w:eastAsia="zh-CN"/>
              </w:rPr>
              <w:t>5</w:t>
            </w:r>
            <w:r>
              <w:rPr>
                <w:rFonts w:hint="eastAsia"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kern w:val="0"/>
                <w:position w:val="0"/>
                <w:sz w:val="24"/>
                <w:szCs w:val="24"/>
                <w:u w:val="single" w:color="auto"/>
              </w:rPr>
              <w:t>排土场起尘</w:t>
            </w:r>
          </w:p>
          <w:p w14:paraId="79AF2473">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项目剥离层堆存于排土场。排土场在干燥情况下，受风力的影响会产生少量的扬尘，排土场扬尘产生量采用西安冶金建筑学院的干堆扬尘计算公式：</w:t>
            </w:r>
          </w:p>
          <w:p w14:paraId="0080069A">
            <w:pPr>
              <w:keepNext w:val="0"/>
              <w:keepLines w:val="0"/>
              <w:pageBreakBefore w:val="0"/>
              <w:widowControl w:val="0"/>
              <w:kinsoku/>
              <w:wordWrap/>
              <w:overflowPunct/>
              <w:topLinePunct w:val="0"/>
              <w:bidi w:val="0"/>
              <w:adjustRightInd w:val="0"/>
              <w:snapToGrid w:val="0"/>
              <w:spacing w:line="360" w:lineRule="auto"/>
              <w:ind w:right="0" w:firstLine="0" w:firstLineChars="0"/>
              <w:jc w:val="center"/>
              <w:textAlignment w:val="auto"/>
              <w:rPr>
                <w:rFonts w:hint="default" w:ascii="Times New Roman" w:hAnsi="Times New Roman" w:eastAsia="宋体" w:cs="Times New Roman"/>
                <w:color w:val="auto"/>
                <w:spacing w:val="11"/>
                <w:position w:val="0"/>
                <w:sz w:val="24"/>
                <w:szCs w:val="24"/>
                <w:u w:val="single" w:color="auto"/>
                <w:lang w:val="en-US" w:eastAsia="zh-CN"/>
              </w:rPr>
            </w:pPr>
            <w:r>
              <w:rPr>
                <w:rFonts w:hint="default" w:ascii="Times New Roman" w:hAnsi="Times New Roman" w:eastAsia="宋体" w:cs="Times New Roman"/>
                <w:color w:val="auto"/>
                <w:spacing w:val="11"/>
                <w:position w:val="0"/>
                <w:sz w:val="24"/>
                <w:szCs w:val="24"/>
                <w:u w:val="single" w:color="auto"/>
                <w:lang w:val="en-US" w:eastAsia="zh-CN"/>
              </w:rPr>
              <w:drawing>
                <wp:inline distT="0" distB="0" distL="114300" distR="114300">
                  <wp:extent cx="1669415" cy="260350"/>
                  <wp:effectExtent l="0" t="0" r="698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1669415" cy="260350"/>
                          </a:xfrm>
                          <a:prstGeom prst="rect">
                            <a:avLst/>
                          </a:prstGeom>
                          <a:noFill/>
                          <a:ln>
                            <a:noFill/>
                          </a:ln>
                        </pic:spPr>
                      </pic:pic>
                    </a:graphicData>
                  </a:graphic>
                </wp:inline>
              </w:drawing>
            </w:r>
          </w:p>
          <w:p w14:paraId="310E62CF">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auto"/>
                <w:spacing w:val="11"/>
                <w:position w:val="0"/>
                <w:sz w:val="24"/>
                <w:szCs w:val="24"/>
                <w:u w:val="single" w:color="auto"/>
                <w:lang w:val="en-US" w:eastAsia="zh-CN"/>
              </w:rPr>
            </w:pPr>
            <w:r>
              <w:rPr>
                <w:rFonts w:hint="default" w:ascii="Times New Roman" w:hAnsi="Times New Roman" w:eastAsia="宋体" w:cs="Times New Roman"/>
                <w:color w:val="auto"/>
                <w:spacing w:val="11"/>
                <w:position w:val="0"/>
                <w:sz w:val="24"/>
                <w:szCs w:val="24"/>
                <w:u w:val="single" w:color="auto"/>
                <w:lang w:val="en-US" w:eastAsia="zh-CN"/>
              </w:rPr>
              <w:t xml:space="preserve">其中：Q—扬尘产生量，单位mg/s； </w:t>
            </w:r>
          </w:p>
          <w:p w14:paraId="1107C1C4">
            <w:pPr>
              <w:keepNext w:val="0"/>
              <w:keepLines w:val="0"/>
              <w:pageBreakBefore w:val="0"/>
              <w:widowControl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eastAsia="宋体" w:cs="Times New Roman"/>
                <w:color w:val="auto"/>
                <w:spacing w:val="11"/>
                <w:position w:val="0"/>
                <w:sz w:val="24"/>
                <w:szCs w:val="24"/>
                <w:u w:val="single" w:color="auto"/>
                <w:lang w:val="en-US" w:eastAsia="zh-CN"/>
              </w:rPr>
            </w:pPr>
            <w:r>
              <w:rPr>
                <w:rFonts w:hint="default" w:ascii="Times New Roman" w:hAnsi="Times New Roman" w:eastAsia="宋体" w:cs="Times New Roman"/>
                <w:color w:val="auto"/>
                <w:spacing w:val="11"/>
                <w:position w:val="0"/>
                <w:sz w:val="24"/>
                <w:szCs w:val="24"/>
                <w:u w:val="single" w:color="auto"/>
                <w:lang w:val="en-US" w:eastAsia="zh-CN"/>
              </w:rPr>
              <w:t>S—堆场面积，单位m</w:t>
            </w:r>
            <w:r>
              <w:rPr>
                <w:rFonts w:hint="default" w:ascii="Times New Roman" w:hAnsi="Times New Roman" w:eastAsia="宋体" w:cs="Times New Roman"/>
                <w:color w:val="auto"/>
                <w:spacing w:val="11"/>
                <w:position w:val="0"/>
                <w:sz w:val="24"/>
                <w:szCs w:val="24"/>
                <w:u w:val="single" w:color="auto"/>
                <w:vertAlign w:val="superscript"/>
                <w:lang w:val="en-US" w:eastAsia="zh-CN"/>
              </w:rPr>
              <w:t>2</w:t>
            </w:r>
            <w:r>
              <w:rPr>
                <w:rFonts w:hint="default" w:ascii="Times New Roman" w:hAnsi="Times New Roman" w:eastAsia="宋体" w:cs="Times New Roman"/>
                <w:color w:val="auto"/>
                <w:spacing w:val="11"/>
                <w:position w:val="0"/>
                <w:sz w:val="24"/>
                <w:szCs w:val="24"/>
                <w:u w:val="single" w:color="auto"/>
                <w:lang w:val="en-US" w:eastAsia="zh-CN"/>
              </w:rPr>
              <w:t>，</w:t>
            </w:r>
            <w:r>
              <w:rPr>
                <w:rFonts w:hint="eastAsia" w:ascii="Times New Roman" w:hAnsi="Times New Roman" w:eastAsia="宋体" w:cs="Times New Roman"/>
                <w:color w:val="auto"/>
                <w:spacing w:val="11"/>
                <w:position w:val="0"/>
                <w:sz w:val="24"/>
                <w:szCs w:val="24"/>
                <w:u w:val="single" w:color="auto"/>
                <w:lang w:val="en-US" w:eastAsia="zh-CN"/>
              </w:rPr>
              <w:t>排土场</w:t>
            </w:r>
            <w:r>
              <w:rPr>
                <w:rFonts w:hint="default" w:ascii="Times New Roman" w:hAnsi="Times New Roman" w:eastAsia="宋体" w:cs="Times New Roman"/>
                <w:color w:val="auto"/>
                <w:spacing w:val="11"/>
                <w:position w:val="0"/>
                <w:sz w:val="24"/>
                <w:szCs w:val="24"/>
                <w:u w:val="single" w:color="auto"/>
                <w:lang w:val="en-US" w:eastAsia="zh-CN"/>
              </w:rPr>
              <w:t>占地面积</w:t>
            </w:r>
            <w:r>
              <w:rPr>
                <w:rFonts w:hint="eastAsia" w:ascii="Times New Roman" w:hAnsi="Times New Roman" w:eastAsia="宋体" w:cs="Times New Roman"/>
                <w:color w:val="auto"/>
                <w:spacing w:val="11"/>
                <w:position w:val="0"/>
                <w:sz w:val="24"/>
                <w:szCs w:val="24"/>
                <w:u w:val="single" w:color="auto"/>
                <w:lang w:val="en-US" w:eastAsia="zh-CN"/>
              </w:rPr>
              <w:t>7200</w:t>
            </w:r>
            <w:r>
              <w:rPr>
                <w:rFonts w:hint="default" w:ascii="Times New Roman" w:hAnsi="Times New Roman" w:eastAsia="宋体" w:cs="Times New Roman"/>
                <w:color w:val="auto"/>
                <w:spacing w:val="11"/>
                <w:position w:val="0"/>
                <w:sz w:val="24"/>
                <w:szCs w:val="24"/>
                <w:u w:val="single" w:color="auto"/>
                <w:lang w:val="en-US" w:eastAsia="zh-CN"/>
              </w:rPr>
              <w:t>m</w:t>
            </w:r>
            <w:r>
              <w:rPr>
                <w:rFonts w:hint="default" w:ascii="Times New Roman" w:hAnsi="Times New Roman" w:eastAsia="宋体" w:cs="Times New Roman"/>
                <w:color w:val="auto"/>
                <w:spacing w:val="11"/>
                <w:position w:val="0"/>
                <w:sz w:val="24"/>
                <w:szCs w:val="24"/>
                <w:u w:val="single" w:color="auto"/>
                <w:vertAlign w:val="superscript"/>
                <w:lang w:val="en-US" w:eastAsia="zh-CN"/>
              </w:rPr>
              <w:t>2</w:t>
            </w:r>
            <w:r>
              <w:rPr>
                <w:rFonts w:hint="default" w:ascii="Times New Roman" w:hAnsi="Times New Roman" w:eastAsia="宋体" w:cs="Times New Roman"/>
                <w:color w:val="auto"/>
                <w:spacing w:val="11"/>
                <w:position w:val="0"/>
                <w:sz w:val="24"/>
                <w:szCs w:val="24"/>
                <w:u w:val="single" w:color="auto"/>
                <w:lang w:val="en-US" w:eastAsia="zh-CN"/>
              </w:rPr>
              <w:t xml:space="preserve">； </w:t>
            </w:r>
          </w:p>
          <w:p w14:paraId="2E3F2810">
            <w:pPr>
              <w:keepNext w:val="0"/>
              <w:keepLines w:val="0"/>
              <w:pageBreakBefore w:val="0"/>
              <w:widowControl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eastAsia="宋体" w:cs="Times New Roman"/>
                <w:color w:val="auto"/>
                <w:spacing w:val="11"/>
                <w:position w:val="0"/>
                <w:sz w:val="24"/>
                <w:szCs w:val="24"/>
                <w:u w:val="single" w:color="auto"/>
                <w:lang w:val="en-US" w:eastAsia="zh-CN"/>
              </w:rPr>
            </w:pPr>
            <w:r>
              <w:rPr>
                <w:rFonts w:hint="default" w:ascii="Times New Roman" w:hAnsi="Times New Roman" w:eastAsia="宋体" w:cs="Times New Roman"/>
                <w:color w:val="auto"/>
                <w:spacing w:val="11"/>
                <w:position w:val="0"/>
                <w:sz w:val="24"/>
                <w:szCs w:val="24"/>
                <w:u w:val="single" w:color="auto"/>
                <w:lang w:val="en-US" w:eastAsia="zh-CN"/>
              </w:rPr>
              <w:t>V—风速，单位m/s，取</w:t>
            </w:r>
            <w:r>
              <w:rPr>
                <w:rFonts w:hint="eastAsia" w:ascii="Times New Roman" w:hAnsi="Times New Roman" w:eastAsia="宋体" w:cs="Times New Roman"/>
                <w:color w:val="auto"/>
                <w:spacing w:val="11"/>
                <w:position w:val="0"/>
                <w:sz w:val="24"/>
                <w:szCs w:val="24"/>
                <w:u w:val="single" w:color="auto"/>
                <w:lang w:val="en-US" w:eastAsia="zh-CN"/>
              </w:rPr>
              <w:t>新田</w:t>
            </w:r>
            <w:r>
              <w:rPr>
                <w:rFonts w:hint="default" w:ascii="Times New Roman" w:hAnsi="Times New Roman" w:eastAsia="宋体" w:cs="Times New Roman"/>
                <w:color w:val="auto"/>
                <w:spacing w:val="11"/>
                <w:position w:val="0"/>
                <w:sz w:val="24"/>
                <w:szCs w:val="24"/>
                <w:u w:val="single" w:color="auto"/>
                <w:lang w:val="en-US" w:eastAsia="zh-CN"/>
              </w:rPr>
              <w:t>县多年平均风速</w:t>
            </w:r>
            <w:r>
              <w:rPr>
                <w:rFonts w:hint="eastAsia" w:ascii="Times New Roman" w:hAnsi="Times New Roman" w:eastAsia="宋体" w:cs="Times New Roman"/>
                <w:color w:val="auto"/>
                <w:spacing w:val="11"/>
                <w:position w:val="0"/>
                <w:sz w:val="24"/>
                <w:szCs w:val="24"/>
                <w:u w:val="single" w:color="auto"/>
                <w:lang w:val="en-US" w:eastAsia="zh-CN"/>
              </w:rPr>
              <w:t>1.1</w:t>
            </w:r>
            <w:r>
              <w:rPr>
                <w:rFonts w:hint="default" w:ascii="Times New Roman" w:hAnsi="Times New Roman" w:eastAsia="宋体" w:cs="Times New Roman"/>
                <w:color w:val="auto"/>
                <w:spacing w:val="11"/>
                <w:position w:val="0"/>
                <w:sz w:val="24"/>
                <w:szCs w:val="24"/>
                <w:u w:val="single" w:color="auto"/>
                <w:lang w:val="en-US" w:eastAsia="zh-CN"/>
              </w:rPr>
              <w:t>m/s；</w:t>
            </w:r>
          </w:p>
          <w:p w14:paraId="197B5805">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auto"/>
                <w:spacing w:val="11"/>
                <w:position w:val="0"/>
                <w:sz w:val="24"/>
                <w:szCs w:val="24"/>
                <w:u w:val="single" w:color="auto"/>
                <w:lang w:val="en-US" w:eastAsia="zh-CN"/>
              </w:rPr>
            </w:pPr>
            <w:r>
              <w:rPr>
                <w:rFonts w:hint="default" w:ascii="Times New Roman" w:hAnsi="Times New Roman" w:eastAsia="宋体" w:cs="Times New Roman"/>
                <w:color w:val="auto"/>
                <w:spacing w:val="11"/>
                <w:position w:val="0"/>
                <w:sz w:val="24"/>
                <w:szCs w:val="24"/>
                <w:u w:val="single" w:color="auto"/>
                <w:lang w:val="en-US" w:eastAsia="zh-CN"/>
              </w:rPr>
              <w:t>经估算，项目排土场在不采取任何防尘抑尘措施的情况下，排土场产尘量约为</w:t>
            </w:r>
            <w:r>
              <w:rPr>
                <w:rFonts w:hint="eastAsia" w:ascii="Times New Roman" w:hAnsi="Times New Roman" w:eastAsia="宋体" w:cs="Times New Roman"/>
                <w:color w:val="auto"/>
                <w:spacing w:val="11"/>
                <w:position w:val="0"/>
                <w:sz w:val="24"/>
                <w:szCs w:val="24"/>
                <w:u w:val="single" w:color="auto"/>
                <w:lang w:val="en-US" w:eastAsia="zh-CN"/>
              </w:rPr>
              <w:t>4.87</w:t>
            </w:r>
            <w:r>
              <w:rPr>
                <w:rFonts w:hint="default" w:ascii="Times New Roman" w:hAnsi="Times New Roman" w:eastAsia="宋体" w:cs="Times New Roman"/>
                <w:color w:val="auto"/>
                <w:spacing w:val="11"/>
                <w:position w:val="0"/>
                <w:sz w:val="24"/>
                <w:szCs w:val="24"/>
                <w:u w:val="single" w:color="auto"/>
                <w:lang w:val="en-US" w:eastAsia="zh-CN"/>
              </w:rPr>
              <w:t>mg/s，0.</w:t>
            </w:r>
            <w:r>
              <w:rPr>
                <w:rFonts w:hint="eastAsia" w:ascii="Times New Roman" w:hAnsi="Times New Roman" w:eastAsia="宋体" w:cs="Times New Roman"/>
                <w:color w:val="auto"/>
                <w:spacing w:val="11"/>
                <w:position w:val="0"/>
                <w:sz w:val="24"/>
                <w:szCs w:val="24"/>
                <w:u w:val="single" w:color="auto"/>
                <w:lang w:val="en-US" w:eastAsia="zh-CN"/>
              </w:rPr>
              <w:t>0175</w:t>
            </w:r>
            <w:r>
              <w:rPr>
                <w:rFonts w:hint="default" w:ascii="Times New Roman" w:hAnsi="Times New Roman" w:eastAsia="宋体" w:cs="Times New Roman"/>
                <w:color w:val="auto"/>
                <w:spacing w:val="11"/>
                <w:position w:val="0"/>
                <w:sz w:val="24"/>
                <w:szCs w:val="24"/>
                <w:u w:val="single" w:color="auto"/>
                <w:lang w:val="en-US" w:eastAsia="zh-CN"/>
              </w:rPr>
              <w:t>kg/h（</w:t>
            </w:r>
            <w:r>
              <w:rPr>
                <w:rFonts w:hint="eastAsia" w:ascii="Times New Roman" w:hAnsi="Times New Roman" w:eastAsia="宋体" w:cs="Times New Roman"/>
                <w:color w:val="auto"/>
                <w:spacing w:val="11"/>
                <w:position w:val="0"/>
                <w:sz w:val="24"/>
                <w:szCs w:val="24"/>
                <w:u w:val="single" w:color="auto"/>
                <w:lang w:val="en-US" w:eastAsia="zh-CN"/>
              </w:rPr>
              <w:t>0.042</w:t>
            </w:r>
            <w:r>
              <w:rPr>
                <w:rFonts w:hint="default" w:ascii="Times New Roman" w:hAnsi="Times New Roman" w:eastAsia="宋体" w:cs="Times New Roman"/>
                <w:color w:val="auto"/>
                <w:spacing w:val="11"/>
                <w:position w:val="0"/>
                <w:sz w:val="24"/>
                <w:szCs w:val="24"/>
                <w:u w:val="single" w:color="auto"/>
                <w:lang w:val="en-US" w:eastAsia="zh-CN"/>
              </w:rPr>
              <w:t>t/a）；</w:t>
            </w:r>
            <w:r>
              <w:rPr>
                <w:rFonts w:hint="eastAsia" w:ascii="Times New Roman" w:hAnsi="Times New Roman" w:eastAsia="宋体" w:cs="Times New Roman"/>
                <w:color w:val="auto"/>
                <w:spacing w:val="11"/>
                <w:position w:val="0"/>
                <w:sz w:val="24"/>
                <w:szCs w:val="24"/>
                <w:u w:val="single" w:color="auto"/>
                <w:lang w:val="en-US" w:eastAsia="zh-CN"/>
              </w:rPr>
              <w:t>建设单位</w:t>
            </w:r>
            <w:r>
              <w:rPr>
                <w:rFonts w:hint="default" w:ascii="Times New Roman" w:hAnsi="Times New Roman" w:eastAsia="宋体" w:cs="Times New Roman"/>
                <w:color w:val="auto"/>
                <w:spacing w:val="11"/>
                <w:position w:val="0"/>
                <w:sz w:val="24"/>
                <w:szCs w:val="24"/>
                <w:u w:val="single" w:color="auto"/>
                <w:lang w:val="en-US" w:eastAsia="zh-CN"/>
              </w:rPr>
              <w:t>拟定期对排土场进行洒水扬尘、定期压实、使用防尘网覆盖。在建设单位积极采取上述措施，并严格规范管理的情况下，抑尘效率可取</w:t>
            </w:r>
            <w:r>
              <w:rPr>
                <w:rFonts w:hint="eastAsia" w:ascii="Times New Roman" w:hAnsi="Times New Roman" w:eastAsia="宋体" w:cs="Times New Roman"/>
                <w:color w:val="auto"/>
                <w:spacing w:val="11"/>
                <w:position w:val="0"/>
                <w:sz w:val="24"/>
                <w:szCs w:val="24"/>
                <w:u w:val="single" w:color="auto"/>
                <w:lang w:val="en-US" w:eastAsia="zh-CN"/>
              </w:rPr>
              <w:t>60</w:t>
            </w:r>
            <w:r>
              <w:rPr>
                <w:rFonts w:hint="default" w:ascii="Times New Roman" w:hAnsi="Times New Roman" w:eastAsia="宋体" w:cs="Times New Roman"/>
                <w:color w:val="auto"/>
                <w:spacing w:val="11"/>
                <w:position w:val="0"/>
                <w:sz w:val="24"/>
                <w:szCs w:val="24"/>
                <w:u w:val="single" w:color="auto"/>
                <w:lang w:val="en-US" w:eastAsia="zh-CN"/>
              </w:rPr>
              <w:t>%，则排土场的粉尘排放量为</w:t>
            </w:r>
            <w:r>
              <w:rPr>
                <w:rFonts w:hint="eastAsia" w:ascii="Times New Roman" w:hAnsi="Times New Roman" w:eastAsia="宋体" w:cs="Times New Roman"/>
                <w:color w:val="auto"/>
                <w:spacing w:val="11"/>
                <w:position w:val="0"/>
                <w:sz w:val="24"/>
                <w:szCs w:val="24"/>
                <w:u w:val="single" w:color="auto"/>
                <w:lang w:val="en-US" w:eastAsia="zh-CN"/>
              </w:rPr>
              <w:t>0.0168</w:t>
            </w:r>
            <w:r>
              <w:rPr>
                <w:rFonts w:hint="default" w:ascii="Times New Roman" w:hAnsi="Times New Roman" w:eastAsia="宋体" w:cs="Times New Roman"/>
                <w:color w:val="auto"/>
                <w:spacing w:val="11"/>
                <w:position w:val="0"/>
                <w:sz w:val="24"/>
                <w:szCs w:val="24"/>
                <w:u w:val="single" w:color="auto"/>
                <w:lang w:val="en-US" w:eastAsia="zh-CN"/>
              </w:rPr>
              <w:t>t/a（0.0</w:t>
            </w:r>
            <w:r>
              <w:rPr>
                <w:rFonts w:hint="eastAsia" w:ascii="Times New Roman" w:hAnsi="Times New Roman" w:eastAsia="宋体" w:cs="Times New Roman"/>
                <w:color w:val="auto"/>
                <w:spacing w:val="11"/>
                <w:position w:val="0"/>
                <w:sz w:val="24"/>
                <w:szCs w:val="24"/>
                <w:u w:val="single" w:color="auto"/>
                <w:lang w:val="en-US" w:eastAsia="zh-CN"/>
              </w:rPr>
              <w:t>0</w:t>
            </w:r>
            <w:r>
              <w:rPr>
                <w:rFonts w:hint="default" w:ascii="Times New Roman" w:hAnsi="Times New Roman" w:eastAsia="宋体" w:cs="Times New Roman"/>
                <w:color w:val="auto"/>
                <w:spacing w:val="11"/>
                <w:position w:val="0"/>
                <w:sz w:val="24"/>
                <w:szCs w:val="24"/>
                <w:u w:val="single" w:color="auto"/>
                <w:lang w:val="en-US" w:eastAsia="zh-CN"/>
              </w:rPr>
              <w:t>7kg/h）。</w:t>
            </w:r>
          </w:p>
          <w:p w14:paraId="55BD9269">
            <w:pPr>
              <w:pStyle w:val="31"/>
              <w:ind w:left="0" w:leftChars="0" w:firstLine="524" w:firstLineChars="200"/>
              <w:rPr>
                <w:rFonts w:hint="default" w:ascii="Times New Roman" w:hAnsi="Times New Roman" w:eastAsia="宋体" w:cs="Times New Roman"/>
                <w:color w:val="auto"/>
                <w:spacing w:val="11"/>
                <w:position w:val="0"/>
                <w:sz w:val="24"/>
                <w:szCs w:val="24"/>
                <w:u w:val="single" w:color="auto"/>
                <w:lang w:val="en-US" w:eastAsia="zh-CN"/>
              </w:rPr>
            </w:pPr>
            <w:r>
              <w:rPr>
                <w:rFonts w:hint="eastAsia" w:cs="Times New Roman"/>
                <w:color w:val="auto"/>
                <w:spacing w:val="11"/>
                <w:position w:val="0"/>
                <w:sz w:val="24"/>
                <w:szCs w:val="24"/>
                <w:u w:val="single" w:color="auto"/>
                <w:lang w:val="en-US" w:eastAsia="zh-CN"/>
              </w:rPr>
              <w:t>（6）装卸粉尘</w:t>
            </w:r>
          </w:p>
          <w:p w14:paraId="1645F7CD">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auto"/>
                <w:spacing w:val="11"/>
                <w:position w:val="0"/>
                <w:sz w:val="24"/>
                <w:szCs w:val="24"/>
                <w:u w:val="single" w:color="auto"/>
              </w:rPr>
            </w:pPr>
            <w:r>
              <w:rPr>
                <w:rFonts w:hint="default" w:ascii="Times New Roman" w:hAnsi="Times New Roman" w:eastAsia="宋体" w:cs="Times New Roman"/>
                <w:color w:val="auto"/>
                <w:spacing w:val="11"/>
                <w:position w:val="0"/>
                <w:sz w:val="24"/>
                <w:szCs w:val="24"/>
                <w:u w:val="single" w:color="auto"/>
                <w:lang w:val="en-US" w:eastAsia="zh-CN"/>
              </w:rPr>
              <w:t>由于矿石装卸过程，存在机械落差，故易起尘，此部分粉尘产生量参照</w:t>
            </w:r>
            <w:r>
              <w:rPr>
                <w:rFonts w:hint="default" w:ascii="Times New Roman" w:hAnsi="Times New Roman" w:eastAsia="宋体" w:cs="Times New Roman"/>
                <w:color w:val="auto"/>
                <w:spacing w:val="11"/>
                <w:position w:val="0"/>
                <w:sz w:val="24"/>
                <w:szCs w:val="24"/>
                <w:u w:val="single" w:color="auto"/>
              </w:rPr>
              <w:t>交通部水运研究所和武汉水运工程学院提出的装卸起尘量的经验公式估算，经验公式为：</w:t>
            </w:r>
          </w:p>
          <w:p w14:paraId="56626029">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center"/>
              <w:textAlignment w:val="auto"/>
              <w:rPr>
                <w:rFonts w:hint="default" w:ascii="Times New Roman" w:hAnsi="Times New Roman" w:eastAsia="宋体" w:cs="Times New Roman"/>
                <w:color w:val="auto"/>
                <w:spacing w:val="11"/>
                <w:position w:val="0"/>
                <w:sz w:val="24"/>
                <w:szCs w:val="24"/>
                <w:u w:val="single" w:color="auto"/>
              </w:rPr>
            </w:pPr>
            <w:r>
              <w:rPr>
                <w:rFonts w:hint="default" w:ascii="Times New Roman" w:hAnsi="Times New Roman" w:eastAsia="宋体" w:cs="Times New Roman"/>
                <w:color w:val="auto"/>
                <w:spacing w:val="11"/>
                <w:position w:val="0"/>
                <w:sz w:val="24"/>
                <w:szCs w:val="24"/>
                <w:u w:val="single" w:color="auto"/>
              </w:rPr>
              <w:drawing>
                <wp:inline distT="0" distB="0" distL="114300" distR="114300">
                  <wp:extent cx="2633980" cy="494665"/>
                  <wp:effectExtent l="0" t="0" r="13970" b="63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4"/>
                          <a:stretch>
                            <a:fillRect/>
                          </a:stretch>
                        </pic:blipFill>
                        <pic:spPr>
                          <a:xfrm>
                            <a:off x="0" y="0"/>
                            <a:ext cx="2633980" cy="494665"/>
                          </a:xfrm>
                          <a:prstGeom prst="rect">
                            <a:avLst/>
                          </a:prstGeom>
                          <a:noFill/>
                          <a:ln>
                            <a:noFill/>
                          </a:ln>
                        </pic:spPr>
                      </pic:pic>
                    </a:graphicData>
                  </a:graphic>
                </wp:inline>
              </w:drawing>
            </w:r>
            <w:r>
              <w:rPr>
                <w:rFonts w:hint="default" w:ascii="Times New Roman" w:hAnsi="Times New Roman" w:eastAsia="宋体" w:cs="Times New Roman"/>
                <w:color w:val="auto"/>
                <w:spacing w:val="11"/>
                <w:position w:val="0"/>
                <w:sz w:val="24"/>
                <w:szCs w:val="24"/>
                <w:u w:val="single" w:color="auto"/>
              </w:rPr>
              <w:t></w:t>
            </w:r>
          </w:p>
          <w:p w14:paraId="13DB9B12">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auto"/>
                <w:spacing w:val="11"/>
                <w:position w:val="0"/>
                <w:sz w:val="24"/>
                <w:szCs w:val="24"/>
                <w:u w:val="single" w:color="auto"/>
              </w:rPr>
            </w:pPr>
            <w:r>
              <w:rPr>
                <w:rFonts w:hint="default" w:ascii="Times New Roman" w:hAnsi="Times New Roman" w:eastAsia="宋体" w:cs="Times New Roman"/>
                <w:color w:val="auto"/>
                <w:spacing w:val="11"/>
                <w:position w:val="0"/>
                <w:sz w:val="24"/>
                <w:szCs w:val="24"/>
                <w:u w:val="single" w:color="auto"/>
              </w:rPr>
              <w:t>式中：</w:t>
            </w:r>
            <w:r>
              <w:rPr>
                <w:rFonts w:hint="default" w:ascii="Times New Roman" w:hAnsi="Times New Roman" w:eastAsia="宋体" w:cs="Times New Roman"/>
                <w:i/>
                <w:color w:val="auto"/>
                <w:spacing w:val="11"/>
                <w:position w:val="0"/>
                <w:sz w:val="24"/>
                <w:szCs w:val="24"/>
                <w:u w:val="single" w:color="auto"/>
              </w:rPr>
              <w:t>Q</w:t>
            </w:r>
            <w:r>
              <w:rPr>
                <w:rFonts w:hint="default" w:ascii="Times New Roman" w:hAnsi="Times New Roman" w:eastAsia="宋体" w:cs="Times New Roman"/>
                <w:color w:val="auto"/>
                <w:spacing w:val="11"/>
                <w:position w:val="0"/>
                <w:sz w:val="24"/>
                <w:szCs w:val="24"/>
                <w:u w:val="single" w:color="auto"/>
              </w:rPr>
              <w:t>—物料装车时机械落差起尘量，（kg/s）；</w:t>
            </w:r>
          </w:p>
          <w:p w14:paraId="49B3F19B">
            <w:pPr>
              <w:keepNext w:val="0"/>
              <w:keepLines w:val="0"/>
              <w:pageBreakBefore w:val="0"/>
              <w:widowControl w:val="0"/>
              <w:kinsoku/>
              <w:wordWrap/>
              <w:overflowPunct/>
              <w:topLinePunct w:val="0"/>
              <w:bidi w:val="0"/>
              <w:adjustRightInd w:val="0"/>
              <w:snapToGrid w:val="0"/>
              <w:spacing w:line="360" w:lineRule="auto"/>
              <w:ind w:left="0" w:leftChars="0" w:right="0" w:firstLine="1310" w:firstLineChars="500"/>
              <w:jc w:val="left"/>
              <w:textAlignment w:val="auto"/>
              <w:rPr>
                <w:rFonts w:hint="default" w:ascii="Times New Roman" w:hAnsi="Times New Roman" w:eastAsia="宋体" w:cs="Times New Roman"/>
                <w:color w:val="auto"/>
                <w:spacing w:val="11"/>
                <w:position w:val="0"/>
                <w:sz w:val="24"/>
                <w:szCs w:val="24"/>
                <w:u w:val="single" w:color="auto"/>
              </w:rPr>
            </w:pPr>
            <w:r>
              <w:rPr>
                <w:rFonts w:hint="default" w:ascii="Times New Roman" w:hAnsi="Times New Roman" w:eastAsia="宋体" w:cs="Times New Roman"/>
                <w:i/>
                <w:color w:val="auto"/>
                <w:spacing w:val="11"/>
                <w:position w:val="0"/>
                <w:sz w:val="24"/>
                <w:szCs w:val="24"/>
                <w:u w:val="single" w:color="auto"/>
              </w:rPr>
              <w:t>U</w:t>
            </w:r>
            <w:r>
              <w:rPr>
                <w:rFonts w:hint="default" w:ascii="Times New Roman" w:hAnsi="Times New Roman" w:eastAsia="宋体" w:cs="Times New Roman"/>
                <w:color w:val="auto"/>
                <w:spacing w:val="11"/>
                <w:position w:val="0"/>
                <w:sz w:val="24"/>
                <w:szCs w:val="24"/>
                <w:u w:val="single" w:color="auto"/>
              </w:rPr>
              <w:t>—平均风速，新田县取1.1m/s；</w:t>
            </w:r>
          </w:p>
          <w:p w14:paraId="5A99FAF1">
            <w:pPr>
              <w:keepNext w:val="0"/>
              <w:keepLines w:val="0"/>
              <w:pageBreakBefore w:val="0"/>
              <w:widowControl w:val="0"/>
              <w:kinsoku/>
              <w:wordWrap/>
              <w:overflowPunct/>
              <w:topLinePunct w:val="0"/>
              <w:bidi w:val="0"/>
              <w:adjustRightInd w:val="0"/>
              <w:snapToGrid w:val="0"/>
              <w:spacing w:line="360" w:lineRule="auto"/>
              <w:ind w:left="0" w:leftChars="0" w:right="0" w:firstLine="1310" w:firstLineChars="500"/>
              <w:jc w:val="left"/>
              <w:textAlignment w:val="auto"/>
              <w:rPr>
                <w:rFonts w:hint="default" w:ascii="Times New Roman" w:hAnsi="Times New Roman" w:eastAsia="宋体" w:cs="Times New Roman"/>
                <w:color w:val="auto"/>
                <w:spacing w:val="11"/>
                <w:position w:val="0"/>
                <w:sz w:val="24"/>
                <w:szCs w:val="24"/>
                <w:u w:val="single" w:color="auto"/>
              </w:rPr>
            </w:pPr>
            <w:r>
              <w:rPr>
                <w:rFonts w:hint="default" w:ascii="Times New Roman" w:hAnsi="Times New Roman" w:eastAsia="宋体" w:cs="Times New Roman"/>
                <w:i/>
                <w:color w:val="auto"/>
                <w:spacing w:val="11"/>
                <w:position w:val="0"/>
                <w:sz w:val="24"/>
                <w:szCs w:val="24"/>
                <w:u w:val="single" w:color="auto"/>
              </w:rPr>
              <w:t>H</w:t>
            </w:r>
            <w:r>
              <w:rPr>
                <w:rFonts w:hint="default" w:ascii="Times New Roman" w:hAnsi="Times New Roman" w:eastAsia="宋体" w:cs="Times New Roman"/>
                <w:color w:val="auto"/>
                <w:spacing w:val="11"/>
                <w:position w:val="0"/>
                <w:sz w:val="24"/>
                <w:szCs w:val="24"/>
                <w:u w:val="single" w:color="auto"/>
              </w:rPr>
              <w:t>—物料落差，取2m。</w:t>
            </w:r>
          </w:p>
          <w:p w14:paraId="5D8D95AA">
            <w:pPr>
              <w:keepNext w:val="0"/>
              <w:keepLines w:val="0"/>
              <w:pageBreakBefore w:val="0"/>
              <w:widowControl w:val="0"/>
              <w:kinsoku/>
              <w:wordWrap/>
              <w:overflowPunct/>
              <w:topLinePunct w:val="0"/>
              <w:bidi w:val="0"/>
              <w:adjustRightInd w:val="0"/>
              <w:snapToGrid w:val="0"/>
              <w:spacing w:line="360" w:lineRule="auto"/>
              <w:ind w:left="0" w:leftChars="0" w:right="0" w:firstLine="1310" w:firstLineChars="500"/>
              <w:jc w:val="left"/>
              <w:textAlignment w:val="auto"/>
              <w:rPr>
                <w:rFonts w:hint="default" w:ascii="Times New Roman" w:hAnsi="Times New Roman" w:eastAsia="宋体" w:cs="Times New Roman"/>
                <w:color w:val="auto"/>
                <w:spacing w:val="11"/>
                <w:position w:val="0"/>
                <w:sz w:val="24"/>
                <w:szCs w:val="24"/>
                <w:u w:val="single" w:color="auto"/>
              </w:rPr>
            </w:pPr>
            <w:r>
              <w:rPr>
                <w:rFonts w:hint="default" w:ascii="Times New Roman" w:hAnsi="Times New Roman" w:eastAsia="宋体" w:cs="Times New Roman"/>
                <w:i/>
                <w:color w:val="auto"/>
                <w:spacing w:val="11"/>
                <w:position w:val="0"/>
                <w:sz w:val="24"/>
                <w:szCs w:val="24"/>
                <w:u w:val="single" w:color="auto"/>
              </w:rPr>
              <w:t>w</w:t>
            </w:r>
            <w:r>
              <w:rPr>
                <w:rFonts w:hint="default" w:ascii="Times New Roman" w:hAnsi="Times New Roman" w:eastAsia="宋体" w:cs="Times New Roman"/>
                <w:color w:val="auto"/>
                <w:spacing w:val="11"/>
                <w:position w:val="0"/>
                <w:sz w:val="24"/>
                <w:szCs w:val="24"/>
                <w:u w:val="single" w:color="auto"/>
              </w:rPr>
              <w:t>—物料含水率，%，2%；</w:t>
            </w:r>
          </w:p>
          <w:p w14:paraId="7F25F6A4">
            <w:pPr>
              <w:keepNext w:val="0"/>
              <w:keepLines w:val="0"/>
              <w:pageBreakBefore w:val="0"/>
              <w:widowControl w:val="0"/>
              <w:kinsoku/>
              <w:wordWrap/>
              <w:overflowPunct/>
              <w:topLinePunct w:val="0"/>
              <w:bidi w:val="0"/>
              <w:adjustRightInd w:val="0"/>
              <w:snapToGrid w:val="0"/>
              <w:spacing w:line="360" w:lineRule="auto"/>
              <w:ind w:left="0" w:leftChars="0" w:right="0" w:firstLine="1310" w:firstLineChars="500"/>
              <w:jc w:val="left"/>
              <w:textAlignment w:val="auto"/>
              <w:rPr>
                <w:rFonts w:hint="default" w:ascii="Times New Roman" w:hAnsi="Times New Roman" w:eastAsia="宋体" w:cs="Times New Roman"/>
                <w:color w:val="auto"/>
                <w:spacing w:val="11"/>
                <w:position w:val="0"/>
                <w:sz w:val="24"/>
                <w:szCs w:val="24"/>
                <w:u w:val="single" w:color="auto"/>
              </w:rPr>
            </w:pPr>
            <w:r>
              <w:rPr>
                <w:rFonts w:hint="default" w:ascii="Times New Roman" w:hAnsi="Times New Roman" w:eastAsia="宋体" w:cs="Times New Roman"/>
                <w:i/>
                <w:color w:val="auto"/>
                <w:spacing w:val="11"/>
                <w:position w:val="0"/>
                <w:sz w:val="24"/>
                <w:szCs w:val="24"/>
                <w:u w:val="single" w:color="auto"/>
              </w:rPr>
              <w:t>t</w:t>
            </w:r>
            <w:r>
              <w:rPr>
                <w:rFonts w:hint="default" w:ascii="Times New Roman" w:hAnsi="Times New Roman" w:eastAsia="宋体" w:cs="Times New Roman"/>
                <w:color w:val="auto"/>
                <w:spacing w:val="11"/>
                <w:position w:val="0"/>
                <w:sz w:val="24"/>
                <w:szCs w:val="24"/>
                <w:u w:val="single" w:color="auto"/>
              </w:rPr>
              <w:t>—物料装车所用时间，t/s，取3。</w:t>
            </w:r>
          </w:p>
          <w:p w14:paraId="6461A093">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auto"/>
                <w:spacing w:val="11"/>
                <w:position w:val="0"/>
                <w:sz w:val="24"/>
                <w:szCs w:val="24"/>
                <w:u w:val="single" w:color="auto"/>
              </w:rPr>
            </w:pPr>
            <w:r>
              <w:rPr>
                <w:rFonts w:hint="default" w:ascii="Times New Roman" w:hAnsi="Times New Roman" w:eastAsia="宋体" w:cs="Times New Roman"/>
                <w:color w:val="auto"/>
                <w:spacing w:val="11"/>
                <w:position w:val="0"/>
                <w:sz w:val="24"/>
                <w:szCs w:val="24"/>
                <w:u w:val="single" w:color="auto"/>
              </w:rPr>
              <w:t>经计算，一次矿石装卸时机械落差起尘量为0.027kg/s，本项目运营期每年需运输矿石</w:t>
            </w:r>
            <w:r>
              <w:rPr>
                <w:rFonts w:hint="eastAsia" w:ascii="Times New Roman" w:hAnsi="Times New Roman" w:eastAsia="宋体" w:cs="Times New Roman"/>
                <w:color w:val="auto"/>
                <w:spacing w:val="11"/>
                <w:position w:val="0"/>
                <w:sz w:val="24"/>
                <w:szCs w:val="24"/>
                <w:u w:val="single" w:color="auto"/>
                <w:lang w:val="en-US" w:eastAsia="zh-CN"/>
              </w:rPr>
              <w:t>60</w:t>
            </w:r>
            <w:r>
              <w:rPr>
                <w:rFonts w:hint="default" w:ascii="Times New Roman" w:hAnsi="Times New Roman" w:eastAsia="宋体" w:cs="Times New Roman"/>
                <w:color w:val="auto"/>
                <w:spacing w:val="11"/>
                <w:position w:val="0"/>
                <w:sz w:val="24"/>
                <w:szCs w:val="24"/>
                <w:u w:val="single" w:color="auto"/>
              </w:rPr>
              <w:t>万t，每辆自卸汽车每次载重量为30t，则矿石堆场需卸料</w:t>
            </w:r>
            <w:r>
              <w:rPr>
                <w:rFonts w:hint="eastAsia" w:ascii="Times New Roman" w:hAnsi="Times New Roman" w:eastAsia="宋体" w:cs="Times New Roman"/>
                <w:color w:val="auto"/>
                <w:spacing w:val="11"/>
                <w:position w:val="0"/>
                <w:sz w:val="24"/>
                <w:szCs w:val="24"/>
                <w:u w:val="single" w:color="auto"/>
                <w:lang w:val="en-US" w:eastAsia="zh-CN"/>
              </w:rPr>
              <w:t>2</w:t>
            </w:r>
            <w:r>
              <w:rPr>
                <w:rFonts w:hint="default" w:ascii="Times New Roman" w:hAnsi="Times New Roman" w:eastAsia="宋体" w:cs="Times New Roman"/>
                <w:color w:val="auto"/>
                <w:spacing w:val="11"/>
                <w:position w:val="0"/>
                <w:sz w:val="24"/>
                <w:szCs w:val="24"/>
                <w:u w:val="single" w:color="auto"/>
              </w:rPr>
              <w:t>万次，则本项目运营期自卸汽车卸料起尘量约为</w:t>
            </w:r>
            <w:r>
              <w:rPr>
                <w:rFonts w:hint="eastAsia" w:ascii="Times New Roman" w:hAnsi="Times New Roman" w:eastAsia="宋体" w:cs="Times New Roman"/>
                <w:color w:val="auto"/>
                <w:spacing w:val="11"/>
                <w:position w:val="0"/>
                <w:sz w:val="24"/>
                <w:szCs w:val="24"/>
                <w:u w:val="single" w:color="auto"/>
                <w:lang w:val="en-US" w:eastAsia="zh-CN"/>
              </w:rPr>
              <w:t>5.4</w:t>
            </w:r>
            <w:r>
              <w:rPr>
                <w:rFonts w:hint="default" w:ascii="Times New Roman" w:hAnsi="Times New Roman" w:eastAsia="宋体" w:cs="Times New Roman"/>
                <w:color w:val="auto"/>
                <w:spacing w:val="11"/>
                <w:position w:val="0"/>
                <w:sz w:val="24"/>
                <w:szCs w:val="24"/>
                <w:u w:val="single" w:color="auto"/>
              </w:rPr>
              <w:t>t/a。通过采用洒水车每天定期洒水降尘，去除效率能达到</w:t>
            </w:r>
            <w:r>
              <w:rPr>
                <w:rFonts w:hint="eastAsia" w:ascii="Times New Roman" w:hAnsi="Times New Roman" w:cs="Times New Roman"/>
                <w:color w:val="auto"/>
                <w:spacing w:val="11"/>
                <w:position w:val="0"/>
                <w:sz w:val="24"/>
                <w:szCs w:val="24"/>
                <w:u w:val="single" w:color="auto"/>
                <w:lang w:val="en-US" w:eastAsia="zh-CN"/>
              </w:rPr>
              <w:t>85</w:t>
            </w:r>
            <w:r>
              <w:rPr>
                <w:rFonts w:hint="default" w:ascii="Times New Roman" w:hAnsi="Times New Roman" w:eastAsia="宋体" w:cs="Times New Roman"/>
                <w:color w:val="auto"/>
                <w:spacing w:val="11"/>
                <w:position w:val="0"/>
                <w:sz w:val="24"/>
                <w:szCs w:val="24"/>
                <w:u w:val="single" w:color="auto"/>
              </w:rPr>
              <w:t>%，</w:t>
            </w:r>
            <w:r>
              <w:rPr>
                <w:rFonts w:hint="default" w:ascii="Times New Roman" w:hAnsi="Times New Roman" w:eastAsia="宋体" w:cs="Times New Roman"/>
                <w:color w:val="auto"/>
                <w:spacing w:val="11"/>
                <w:position w:val="0"/>
                <w:sz w:val="24"/>
                <w:szCs w:val="24"/>
                <w:u w:val="single" w:color="auto"/>
                <w:lang w:val="en-US" w:eastAsia="zh-CN"/>
              </w:rPr>
              <w:t>此部分</w:t>
            </w:r>
            <w:r>
              <w:rPr>
                <w:rFonts w:hint="default" w:ascii="Times New Roman" w:hAnsi="Times New Roman" w:eastAsia="宋体" w:cs="Times New Roman"/>
                <w:color w:val="auto"/>
                <w:spacing w:val="11"/>
                <w:position w:val="0"/>
                <w:sz w:val="24"/>
                <w:szCs w:val="24"/>
                <w:u w:val="single" w:color="auto"/>
              </w:rPr>
              <w:t>粉尘排放量</w:t>
            </w:r>
            <w:r>
              <w:rPr>
                <w:rFonts w:hint="default" w:ascii="Times New Roman" w:hAnsi="Times New Roman" w:eastAsia="宋体" w:cs="Times New Roman"/>
                <w:color w:val="auto"/>
                <w:spacing w:val="11"/>
                <w:position w:val="0"/>
                <w:sz w:val="24"/>
                <w:szCs w:val="24"/>
                <w:u w:val="single" w:color="auto"/>
                <w:lang w:val="en-US" w:eastAsia="zh-CN"/>
              </w:rPr>
              <w:t>约</w:t>
            </w:r>
            <w:r>
              <w:rPr>
                <w:rFonts w:hint="default" w:ascii="Times New Roman" w:hAnsi="Times New Roman" w:eastAsia="宋体" w:cs="Times New Roman"/>
                <w:color w:val="auto"/>
                <w:spacing w:val="11"/>
                <w:position w:val="0"/>
                <w:sz w:val="24"/>
                <w:szCs w:val="24"/>
                <w:u w:val="single" w:color="auto"/>
              </w:rPr>
              <w:t>为</w:t>
            </w:r>
            <w:r>
              <w:rPr>
                <w:rFonts w:hint="eastAsia" w:ascii="Times New Roman" w:hAnsi="Times New Roman" w:eastAsia="宋体" w:cs="Times New Roman"/>
                <w:color w:val="auto"/>
                <w:spacing w:val="11"/>
                <w:position w:val="0"/>
                <w:sz w:val="24"/>
                <w:szCs w:val="24"/>
                <w:u w:val="single" w:color="auto"/>
                <w:lang w:val="en-US" w:eastAsia="zh-CN"/>
              </w:rPr>
              <w:t>0.81</w:t>
            </w:r>
            <w:r>
              <w:rPr>
                <w:rFonts w:hint="default" w:ascii="Times New Roman" w:hAnsi="Times New Roman" w:eastAsia="宋体" w:cs="Times New Roman"/>
                <w:color w:val="auto"/>
                <w:spacing w:val="11"/>
                <w:position w:val="0"/>
                <w:sz w:val="24"/>
                <w:szCs w:val="24"/>
                <w:u w:val="single" w:color="auto"/>
              </w:rPr>
              <w:t>t/a</w:t>
            </w:r>
            <w:r>
              <w:rPr>
                <w:rFonts w:hint="default" w:ascii="Times New Roman" w:hAnsi="Times New Roman" w:eastAsia="宋体" w:cs="Times New Roman"/>
                <w:color w:val="auto"/>
                <w:spacing w:val="11"/>
                <w:position w:val="0"/>
                <w:sz w:val="24"/>
                <w:szCs w:val="24"/>
                <w:u w:val="single" w:color="auto"/>
                <w:lang w:eastAsia="zh-CN"/>
              </w:rPr>
              <w:t>，</w:t>
            </w:r>
            <w:r>
              <w:rPr>
                <w:rFonts w:hint="default" w:ascii="Times New Roman" w:hAnsi="Times New Roman" w:eastAsia="宋体" w:cs="Times New Roman"/>
                <w:color w:val="auto"/>
                <w:spacing w:val="11"/>
                <w:position w:val="0"/>
                <w:sz w:val="24"/>
                <w:szCs w:val="24"/>
                <w:u w:val="single" w:color="auto"/>
                <w:lang w:val="en-US" w:eastAsia="zh-CN"/>
              </w:rPr>
              <w:t>均以无组织形式外排</w:t>
            </w:r>
            <w:r>
              <w:rPr>
                <w:rFonts w:hint="default" w:ascii="Times New Roman" w:hAnsi="Times New Roman" w:eastAsia="宋体" w:cs="Times New Roman"/>
                <w:color w:val="auto"/>
                <w:spacing w:val="11"/>
                <w:position w:val="0"/>
                <w:sz w:val="24"/>
                <w:szCs w:val="24"/>
                <w:u w:val="single" w:color="auto"/>
              </w:rPr>
              <w:t>。</w:t>
            </w:r>
          </w:p>
          <w:p w14:paraId="58BCBE91">
            <w:pPr>
              <w:pStyle w:val="30"/>
              <w:keepNext w:val="0"/>
              <w:keepLines w:val="0"/>
              <w:pageBreakBefore w:val="0"/>
              <w:widowControl w:val="0"/>
              <w:kinsoku/>
              <w:wordWrap/>
              <w:overflowPunct/>
              <w:topLinePunct w:val="0"/>
              <w:autoSpaceDE/>
              <w:autoSpaceDN/>
              <w:bidi w:val="0"/>
              <w:adjustRightInd w:val="0"/>
              <w:snapToGrid w:val="0"/>
              <w:spacing w:before="0" w:after="0"/>
              <w:ind w:right="0" w:firstLine="480" w:firstLineChars="200"/>
              <w:textAlignment w:val="auto"/>
              <w:rPr>
                <w:rFonts w:hint="eastAsia"/>
                <w:u w:val="single" w:color="auto"/>
                <w:lang w:val="en-US" w:eastAsia="zh-CN"/>
              </w:rPr>
            </w:pPr>
            <w:r>
              <w:rPr>
                <w:rFonts w:hint="eastAsia"/>
                <w:u w:val="single" w:color="auto"/>
                <w:lang w:val="en-US" w:eastAsia="zh-CN"/>
              </w:rPr>
              <w:t>（7）成品库堆放扬尘</w:t>
            </w:r>
          </w:p>
          <w:p w14:paraId="120988CE">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auto"/>
                <w:spacing w:val="11"/>
                <w:position w:val="0"/>
                <w:sz w:val="24"/>
                <w:szCs w:val="24"/>
                <w:u w:val="single" w:color="auto"/>
                <w:lang w:val="en-US" w:eastAsia="zh-CN"/>
              </w:rPr>
            </w:pPr>
            <w:r>
              <w:rPr>
                <w:rFonts w:hint="eastAsia" w:ascii="Times New Roman" w:hAnsi="Times New Roman" w:cs="Times New Roman"/>
                <w:color w:val="auto"/>
                <w:spacing w:val="11"/>
                <w:position w:val="0"/>
                <w:sz w:val="24"/>
                <w:szCs w:val="24"/>
                <w:u w:val="single" w:color="auto"/>
                <w:lang w:val="en-US" w:eastAsia="zh-CN"/>
              </w:rPr>
              <w:t>本项目成品堆放在封闭式厂房内，</w:t>
            </w:r>
            <w:r>
              <w:rPr>
                <w:rFonts w:hint="default" w:ascii="Times New Roman" w:hAnsi="Times New Roman" w:eastAsia="宋体" w:cs="Times New Roman"/>
                <w:color w:val="auto"/>
                <w:spacing w:val="11"/>
                <w:position w:val="0"/>
                <w:sz w:val="24"/>
                <w:szCs w:val="24"/>
                <w:u w:val="single" w:color="auto"/>
                <w:lang w:val="en-US" w:eastAsia="zh-CN"/>
              </w:rPr>
              <w:t>在干燥情况下，受风力的影响会产生少量的扬尘，扬尘产生量采取西安冶金建筑学院的干堆扬尘计算公式</w:t>
            </w:r>
            <w:r>
              <w:rPr>
                <w:rFonts w:hint="eastAsia" w:ascii="Times New Roman" w:hAnsi="Times New Roman" w:cs="Times New Roman"/>
                <w:color w:val="auto"/>
                <w:spacing w:val="11"/>
                <w:position w:val="0"/>
                <w:sz w:val="24"/>
                <w:szCs w:val="24"/>
                <w:u w:val="single" w:color="auto"/>
                <w:lang w:val="en-US" w:eastAsia="zh-CN"/>
              </w:rPr>
              <w:t>：</w:t>
            </w:r>
          </w:p>
          <w:p w14:paraId="0FBB9087">
            <w:pPr>
              <w:keepNext w:val="0"/>
              <w:keepLines w:val="0"/>
              <w:pageBreakBefore w:val="0"/>
              <w:widowControl w:val="0"/>
              <w:kinsoku/>
              <w:wordWrap/>
              <w:overflowPunct/>
              <w:topLinePunct w:val="0"/>
              <w:bidi w:val="0"/>
              <w:adjustRightInd w:val="0"/>
              <w:snapToGrid w:val="0"/>
              <w:spacing w:line="360" w:lineRule="auto"/>
              <w:ind w:right="0"/>
              <w:jc w:val="center"/>
              <w:textAlignment w:val="auto"/>
              <w:rPr>
                <w:rFonts w:hint="default" w:ascii="Times New Roman" w:hAnsi="Times New Roman" w:eastAsia="宋体" w:cs="Times New Roman"/>
                <w:color w:val="auto"/>
                <w:spacing w:val="11"/>
                <w:position w:val="0"/>
                <w:sz w:val="24"/>
                <w:szCs w:val="24"/>
                <w:u w:val="single" w:color="auto"/>
                <w:lang w:val="en-US" w:eastAsia="zh-CN"/>
              </w:rPr>
            </w:pPr>
            <w:r>
              <w:rPr>
                <w:rFonts w:hint="default" w:ascii="Times New Roman" w:hAnsi="Times New Roman" w:eastAsia="宋体" w:cs="Times New Roman"/>
                <w:color w:val="auto"/>
                <w:spacing w:val="11"/>
                <w:position w:val="0"/>
                <w:sz w:val="24"/>
                <w:szCs w:val="24"/>
                <w:u w:val="single" w:color="auto"/>
                <w:lang w:val="en-US" w:eastAsia="zh-CN"/>
              </w:rPr>
              <w:drawing>
                <wp:inline distT="0" distB="0" distL="114300" distR="114300">
                  <wp:extent cx="1669415" cy="260350"/>
                  <wp:effectExtent l="0" t="0" r="698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1669415" cy="260350"/>
                          </a:xfrm>
                          <a:prstGeom prst="rect">
                            <a:avLst/>
                          </a:prstGeom>
                          <a:noFill/>
                          <a:ln>
                            <a:noFill/>
                          </a:ln>
                        </pic:spPr>
                      </pic:pic>
                    </a:graphicData>
                  </a:graphic>
                </wp:inline>
              </w:drawing>
            </w:r>
          </w:p>
          <w:p w14:paraId="38935822">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auto"/>
                <w:spacing w:val="11"/>
                <w:position w:val="0"/>
                <w:sz w:val="24"/>
                <w:szCs w:val="24"/>
                <w:u w:val="single" w:color="auto"/>
                <w:lang w:val="en-US" w:eastAsia="zh-CN"/>
              </w:rPr>
            </w:pPr>
            <w:r>
              <w:rPr>
                <w:rFonts w:hint="default" w:ascii="Times New Roman" w:hAnsi="Times New Roman" w:eastAsia="宋体" w:cs="Times New Roman"/>
                <w:color w:val="auto"/>
                <w:spacing w:val="11"/>
                <w:position w:val="0"/>
                <w:sz w:val="24"/>
                <w:szCs w:val="24"/>
                <w:u w:val="single" w:color="auto"/>
                <w:lang w:val="en-US" w:eastAsia="zh-CN"/>
              </w:rPr>
              <w:t xml:space="preserve">其中：Q—扬尘产生量，单位mg/s； </w:t>
            </w:r>
          </w:p>
          <w:p w14:paraId="3706B497">
            <w:pPr>
              <w:keepNext w:val="0"/>
              <w:keepLines w:val="0"/>
              <w:pageBreakBefore w:val="0"/>
              <w:widowControl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eastAsia="宋体" w:cs="Times New Roman"/>
                <w:color w:val="auto"/>
                <w:spacing w:val="11"/>
                <w:position w:val="0"/>
                <w:sz w:val="24"/>
                <w:szCs w:val="24"/>
                <w:u w:val="single" w:color="auto"/>
                <w:lang w:val="en-US" w:eastAsia="zh-CN"/>
              </w:rPr>
            </w:pPr>
            <w:r>
              <w:rPr>
                <w:rFonts w:hint="default" w:ascii="Times New Roman" w:hAnsi="Times New Roman" w:eastAsia="宋体" w:cs="Times New Roman"/>
                <w:color w:val="auto"/>
                <w:spacing w:val="11"/>
                <w:position w:val="0"/>
                <w:sz w:val="24"/>
                <w:szCs w:val="24"/>
                <w:u w:val="single" w:color="auto"/>
                <w:lang w:val="en-US" w:eastAsia="zh-CN"/>
              </w:rPr>
              <w:t>S—堆场面积，单位m</w:t>
            </w:r>
            <w:r>
              <w:rPr>
                <w:rFonts w:hint="default" w:ascii="Times New Roman" w:hAnsi="Times New Roman" w:eastAsia="宋体" w:cs="Times New Roman"/>
                <w:color w:val="auto"/>
                <w:spacing w:val="11"/>
                <w:position w:val="0"/>
                <w:sz w:val="24"/>
                <w:szCs w:val="24"/>
                <w:u w:val="single" w:color="auto"/>
                <w:vertAlign w:val="superscript"/>
                <w:lang w:val="en-US" w:eastAsia="zh-CN"/>
              </w:rPr>
              <w:t>2</w:t>
            </w:r>
            <w:r>
              <w:rPr>
                <w:rFonts w:hint="default" w:ascii="Times New Roman" w:hAnsi="Times New Roman" w:eastAsia="宋体" w:cs="Times New Roman"/>
                <w:color w:val="auto"/>
                <w:spacing w:val="11"/>
                <w:position w:val="0"/>
                <w:sz w:val="24"/>
                <w:szCs w:val="24"/>
                <w:u w:val="single" w:color="auto"/>
                <w:lang w:val="en-US" w:eastAsia="zh-CN"/>
              </w:rPr>
              <w:t>，成品库占地面积</w:t>
            </w:r>
            <w:r>
              <w:rPr>
                <w:rFonts w:hint="eastAsia" w:ascii="Times New Roman" w:hAnsi="Times New Roman" w:cs="Times New Roman"/>
                <w:color w:val="auto"/>
                <w:spacing w:val="11"/>
                <w:position w:val="0"/>
                <w:sz w:val="24"/>
                <w:szCs w:val="24"/>
                <w:u w:val="single" w:color="auto"/>
                <w:lang w:val="en-US" w:eastAsia="zh-CN"/>
              </w:rPr>
              <w:t>2300</w:t>
            </w:r>
            <w:r>
              <w:rPr>
                <w:rFonts w:hint="default" w:ascii="Times New Roman" w:hAnsi="Times New Roman" w:eastAsia="宋体" w:cs="Times New Roman"/>
                <w:color w:val="auto"/>
                <w:spacing w:val="11"/>
                <w:position w:val="0"/>
                <w:sz w:val="24"/>
                <w:szCs w:val="24"/>
                <w:u w:val="single" w:color="auto"/>
                <w:lang w:val="en-US" w:eastAsia="zh-CN"/>
              </w:rPr>
              <w:t>m</w:t>
            </w:r>
            <w:r>
              <w:rPr>
                <w:rFonts w:hint="default" w:ascii="Times New Roman" w:hAnsi="Times New Roman" w:eastAsia="宋体" w:cs="Times New Roman"/>
                <w:color w:val="auto"/>
                <w:spacing w:val="11"/>
                <w:position w:val="0"/>
                <w:sz w:val="24"/>
                <w:szCs w:val="24"/>
                <w:u w:val="single" w:color="auto"/>
                <w:vertAlign w:val="superscript"/>
                <w:lang w:val="en-US" w:eastAsia="zh-CN"/>
              </w:rPr>
              <w:t>2</w:t>
            </w:r>
            <w:r>
              <w:rPr>
                <w:rFonts w:hint="default" w:ascii="Times New Roman" w:hAnsi="Times New Roman" w:eastAsia="宋体" w:cs="Times New Roman"/>
                <w:color w:val="auto"/>
                <w:spacing w:val="11"/>
                <w:position w:val="0"/>
                <w:sz w:val="24"/>
                <w:szCs w:val="24"/>
                <w:u w:val="single" w:color="auto"/>
                <w:lang w:val="en-US" w:eastAsia="zh-CN"/>
              </w:rPr>
              <w:t xml:space="preserve">； </w:t>
            </w:r>
          </w:p>
          <w:p w14:paraId="4D3980C9">
            <w:pPr>
              <w:keepNext w:val="0"/>
              <w:keepLines w:val="0"/>
              <w:pageBreakBefore w:val="0"/>
              <w:widowControl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eastAsia="宋体" w:cs="Times New Roman"/>
                <w:color w:val="auto"/>
                <w:spacing w:val="11"/>
                <w:position w:val="0"/>
                <w:sz w:val="24"/>
                <w:szCs w:val="24"/>
                <w:u w:val="single" w:color="auto"/>
                <w:lang w:val="en-US" w:eastAsia="zh-CN"/>
              </w:rPr>
            </w:pPr>
            <w:r>
              <w:rPr>
                <w:rFonts w:hint="default" w:ascii="Times New Roman" w:hAnsi="Times New Roman" w:eastAsia="宋体" w:cs="Times New Roman"/>
                <w:color w:val="auto"/>
                <w:spacing w:val="11"/>
                <w:position w:val="0"/>
                <w:sz w:val="24"/>
                <w:szCs w:val="24"/>
                <w:u w:val="single" w:color="auto"/>
                <w:lang w:val="en-US" w:eastAsia="zh-CN"/>
              </w:rPr>
              <w:t>V—风速，单位m/s，取</w:t>
            </w:r>
            <w:r>
              <w:rPr>
                <w:rFonts w:hint="eastAsia" w:ascii="Times New Roman" w:hAnsi="Times New Roman" w:cs="Times New Roman"/>
                <w:color w:val="auto"/>
                <w:spacing w:val="11"/>
                <w:position w:val="0"/>
                <w:sz w:val="24"/>
                <w:szCs w:val="24"/>
                <w:u w:val="single" w:color="auto"/>
                <w:lang w:val="en-US" w:eastAsia="zh-CN"/>
              </w:rPr>
              <w:t>新田</w:t>
            </w:r>
            <w:r>
              <w:rPr>
                <w:rFonts w:hint="default" w:ascii="Times New Roman" w:hAnsi="Times New Roman" w:eastAsia="宋体" w:cs="Times New Roman"/>
                <w:color w:val="auto"/>
                <w:spacing w:val="11"/>
                <w:position w:val="0"/>
                <w:sz w:val="24"/>
                <w:szCs w:val="24"/>
                <w:u w:val="single" w:color="auto"/>
                <w:lang w:val="en-US" w:eastAsia="zh-CN"/>
              </w:rPr>
              <w:t>县多年平均风速</w:t>
            </w:r>
            <w:r>
              <w:rPr>
                <w:rFonts w:hint="eastAsia" w:ascii="Times New Roman" w:hAnsi="Times New Roman" w:cs="Times New Roman"/>
                <w:color w:val="auto"/>
                <w:spacing w:val="11"/>
                <w:position w:val="0"/>
                <w:sz w:val="24"/>
                <w:szCs w:val="24"/>
                <w:u w:val="single" w:color="auto"/>
                <w:lang w:val="en-US" w:eastAsia="zh-CN"/>
              </w:rPr>
              <w:t>1.1</w:t>
            </w:r>
            <w:r>
              <w:rPr>
                <w:rFonts w:hint="default" w:ascii="Times New Roman" w:hAnsi="Times New Roman" w:eastAsia="宋体" w:cs="Times New Roman"/>
                <w:color w:val="auto"/>
                <w:spacing w:val="11"/>
                <w:position w:val="0"/>
                <w:sz w:val="24"/>
                <w:szCs w:val="24"/>
                <w:u w:val="single" w:color="auto"/>
                <w:lang w:val="en-US" w:eastAsia="zh-CN"/>
              </w:rPr>
              <w:t>m/s；</w:t>
            </w:r>
          </w:p>
          <w:p w14:paraId="7E4D3D5E">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auto"/>
                <w:spacing w:val="11"/>
                <w:position w:val="0"/>
                <w:sz w:val="24"/>
                <w:szCs w:val="24"/>
                <w:u w:val="single" w:color="auto"/>
                <w:lang w:val="en-US" w:eastAsia="zh-CN"/>
              </w:rPr>
            </w:pPr>
            <w:r>
              <w:rPr>
                <w:rFonts w:hint="default" w:ascii="Times New Roman" w:hAnsi="Times New Roman" w:eastAsia="宋体" w:cs="Times New Roman"/>
                <w:color w:val="auto"/>
                <w:spacing w:val="11"/>
                <w:position w:val="0"/>
                <w:sz w:val="24"/>
                <w:szCs w:val="24"/>
                <w:u w:val="single" w:color="auto"/>
                <w:lang w:val="en-US" w:eastAsia="zh-CN"/>
              </w:rPr>
              <w:t>经估算，项目成品库扬尘产尘量约为</w:t>
            </w:r>
            <w:r>
              <w:rPr>
                <w:rFonts w:hint="eastAsia" w:ascii="Times New Roman" w:hAnsi="Times New Roman" w:cs="Times New Roman"/>
                <w:color w:val="auto"/>
                <w:spacing w:val="11"/>
                <w:position w:val="0"/>
                <w:sz w:val="24"/>
                <w:szCs w:val="24"/>
                <w:u w:val="single" w:color="auto"/>
                <w:lang w:val="en-US" w:eastAsia="zh-CN"/>
              </w:rPr>
              <w:t>1.56</w:t>
            </w:r>
            <w:r>
              <w:rPr>
                <w:rFonts w:hint="default" w:ascii="Times New Roman" w:hAnsi="Times New Roman" w:eastAsia="宋体" w:cs="Times New Roman"/>
                <w:color w:val="auto"/>
                <w:spacing w:val="11"/>
                <w:position w:val="0"/>
                <w:sz w:val="24"/>
                <w:szCs w:val="24"/>
                <w:u w:val="single" w:color="auto"/>
                <w:lang w:val="en-US" w:eastAsia="zh-CN"/>
              </w:rPr>
              <w:t>mg/s，0.00</w:t>
            </w:r>
            <w:r>
              <w:rPr>
                <w:rFonts w:hint="eastAsia" w:ascii="Times New Roman" w:hAnsi="Times New Roman" w:cs="Times New Roman"/>
                <w:color w:val="auto"/>
                <w:spacing w:val="11"/>
                <w:position w:val="0"/>
                <w:sz w:val="24"/>
                <w:szCs w:val="24"/>
                <w:u w:val="single" w:color="auto"/>
                <w:lang w:val="en-US" w:eastAsia="zh-CN"/>
              </w:rPr>
              <w:t>562</w:t>
            </w:r>
            <w:r>
              <w:rPr>
                <w:rFonts w:hint="default" w:ascii="Times New Roman" w:hAnsi="Times New Roman" w:eastAsia="宋体" w:cs="Times New Roman"/>
                <w:color w:val="auto"/>
                <w:spacing w:val="11"/>
                <w:position w:val="0"/>
                <w:sz w:val="24"/>
                <w:szCs w:val="24"/>
                <w:u w:val="single" w:color="auto"/>
                <w:lang w:val="en-US" w:eastAsia="zh-CN"/>
              </w:rPr>
              <w:t>kg/h（</w:t>
            </w:r>
            <w:r>
              <w:rPr>
                <w:rFonts w:hint="eastAsia" w:ascii="Times New Roman" w:hAnsi="Times New Roman" w:cs="Times New Roman"/>
                <w:color w:val="auto"/>
                <w:spacing w:val="11"/>
                <w:position w:val="0"/>
                <w:sz w:val="24"/>
                <w:szCs w:val="24"/>
                <w:u w:val="single" w:color="auto"/>
                <w:lang w:val="en-US" w:eastAsia="zh-CN"/>
              </w:rPr>
              <w:t>13.49kg</w:t>
            </w:r>
            <w:r>
              <w:rPr>
                <w:rFonts w:hint="default" w:ascii="Times New Roman" w:hAnsi="Times New Roman" w:eastAsia="宋体" w:cs="Times New Roman"/>
                <w:color w:val="auto"/>
                <w:spacing w:val="11"/>
                <w:position w:val="0"/>
                <w:sz w:val="24"/>
                <w:szCs w:val="24"/>
                <w:u w:val="single" w:color="auto"/>
                <w:lang w:val="en-US" w:eastAsia="zh-CN"/>
              </w:rPr>
              <w:t>/a）</w:t>
            </w:r>
            <w:r>
              <w:rPr>
                <w:rFonts w:hint="eastAsia" w:ascii="Times New Roman" w:hAnsi="Times New Roman" w:cs="Times New Roman"/>
                <w:color w:val="auto"/>
                <w:spacing w:val="11"/>
                <w:position w:val="0"/>
                <w:sz w:val="24"/>
                <w:szCs w:val="24"/>
                <w:u w:val="single" w:color="auto"/>
                <w:lang w:val="en-US" w:eastAsia="zh-CN"/>
              </w:rPr>
              <w:t>，</w:t>
            </w:r>
            <w:r>
              <w:rPr>
                <w:rFonts w:hint="default" w:ascii="Times New Roman" w:hAnsi="Times New Roman" w:eastAsia="宋体" w:cs="Times New Roman"/>
                <w:color w:val="auto"/>
                <w:spacing w:val="11"/>
                <w:position w:val="0"/>
                <w:sz w:val="24"/>
                <w:szCs w:val="24"/>
                <w:u w:val="single" w:color="auto"/>
                <w:lang w:val="en-US" w:eastAsia="zh-CN"/>
              </w:rPr>
              <w:t>项目拟</w:t>
            </w:r>
            <w:r>
              <w:rPr>
                <w:rFonts w:hint="eastAsia" w:ascii="Times New Roman" w:hAnsi="Times New Roman" w:cs="Times New Roman"/>
                <w:color w:val="auto"/>
                <w:spacing w:val="11"/>
                <w:position w:val="0"/>
                <w:sz w:val="24"/>
                <w:szCs w:val="24"/>
                <w:u w:val="single" w:color="auto"/>
                <w:lang w:val="en-US" w:eastAsia="zh-CN"/>
              </w:rPr>
              <w:t>采取洒水等措施改善</w:t>
            </w:r>
            <w:r>
              <w:rPr>
                <w:rFonts w:hint="default" w:ascii="Times New Roman" w:hAnsi="Times New Roman" w:eastAsia="宋体" w:cs="Times New Roman"/>
                <w:color w:val="auto"/>
                <w:spacing w:val="11"/>
                <w:position w:val="0"/>
                <w:sz w:val="24"/>
                <w:szCs w:val="24"/>
                <w:u w:val="single" w:color="auto"/>
                <w:lang w:val="en-US" w:eastAsia="zh-CN"/>
              </w:rPr>
              <w:t>成品库</w:t>
            </w:r>
            <w:r>
              <w:rPr>
                <w:rFonts w:hint="eastAsia" w:ascii="Times New Roman" w:hAnsi="Times New Roman" w:cs="Times New Roman"/>
                <w:color w:val="auto"/>
                <w:spacing w:val="11"/>
                <w:position w:val="0"/>
                <w:sz w:val="24"/>
                <w:szCs w:val="24"/>
                <w:u w:val="single" w:color="auto"/>
                <w:lang w:val="en-US" w:eastAsia="zh-CN"/>
              </w:rPr>
              <w:t>扬尘对周边环境的影响</w:t>
            </w:r>
            <w:r>
              <w:rPr>
                <w:rFonts w:hint="default" w:ascii="Times New Roman" w:hAnsi="Times New Roman" w:eastAsia="宋体" w:cs="Times New Roman"/>
                <w:color w:val="auto"/>
                <w:spacing w:val="11"/>
                <w:position w:val="0"/>
                <w:sz w:val="24"/>
                <w:szCs w:val="24"/>
                <w:u w:val="single" w:color="auto"/>
                <w:lang w:val="en-US" w:eastAsia="zh-CN"/>
              </w:rPr>
              <w:t>。</w:t>
            </w:r>
            <w:r>
              <w:rPr>
                <w:rFonts w:hint="eastAsia" w:ascii="Times New Roman" w:hAnsi="Times New Roman" w:cs="Times New Roman"/>
                <w:color w:val="auto"/>
                <w:spacing w:val="11"/>
                <w:position w:val="0"/>
                <w:sz w:val="24"/>
                <w:szCs w:val="24"/>
                <w:u w:val="single" w:color="auto"/>
                <w:lang w:val="en-US" w:eastAsia="zh-CN"/>
              </w:rPr>
              <w:t>本项目成品堆放在封闭式厂房内，</w:t>
            </w:r>
            <w:r>
              <w:rPr>
                <w:rFonts w:hint="default" w:ascii="Times New Roman" w:hAnsi="Times New Roman" w:eastAsia="宋体" w:cs="Times New Roman"/>
                <w:color w:val="auto"/>
                <w:spacing w:val="11"/>
                <w:position w:val="0"/>
                <w:sz w:val="24"/>
                <w:szCs w:val="24"/>
                <w:u w:val="single" w:color="auto"/>
                <w:lang w:val="en-US" w:eastAsia="zh-CN"/>
              </w:rPr>
              <w:t>在建设单位积极采取上述措施，并严格规范管理的情况下，抑尘效率可取</w:t>
            </w:r>
            <w:r>
              <w:rPr>
                <w:rFonts w:hint="eastAsia" w:ascii="Times New Roman" w:hAnsi="Times New Roman" w:cs="Times New Roman"/>
                <w:color w:val="auto"/>
                <w:spacing w:val="11"/>
                <w:position w:val="0"/>
                <w:sz w:val="24"/>
                <w:szCs w:val="24"/>
                <w:u w:val="single" w:color="auto"/>
                <w:lang w:val="en-US" w:eastAsia="zh-CN"/>
              </w:rPr>
              <w:t>85</w:t>
            </w:r>
            <w:r>
              <w:rPr>
                <w:rFonts w:hint="default" w:ascii="Times New Roman" w:hAnsi="Times New Roman" w:eastAsia="宋体" w:cs="Times New Roman"/>
                <w:color w:val="auto"/>
                <w:spacing w:val="11"/>
                <w:position w:val="0"/>
                <w:sz w:val="24"/>
                <w:szCs w:val="24"/>
                <w:u w:val="single" w:color="auto"/>
                <w:lang w:val="en-US" w:eastAsia="zh-CN"/>
              </w:rPr>
              <w:t>%，则产品堆场的粉尘排放量为</w:t>
            </w:r>
            <w:r>
              <w:rPr>
                <w:rFonts w:hint="eastAsia" w:ascii="Times New Roman" w:hAnsi="Times New Roman" w:cs="Times New Roman"/>
                <w:color w:val="auto"/>
                <w:spacing w:val="11"/>
                <w:position w:val="0"/>
                <w:sz w:val="24"/>
                <w:szCs w:val="24"/>
                <w:u w:val="single" w:color="auto"/>
                <w:lang w:val="en-US" w:eastAsia="zh-CN"/>
              </w:rPr>
              <w:t>2.024kg</w:t>
            </w:r>
            <w:r>
              <w:rPr>
                <w:rFonts w:hint="default" w:ascii="Times New Roman" w:hAnsi="Times New Roman" w:eastAsia="宋体" w:cs="Times New Roman"/>
                <w:color w:val="auto"/>
                <w:spacing w:val="11"/>
                <w:position w:val="0"/>
                <w:sz w:val="24"/>
                <w:szCs w:val="24"/>
                <w:u w:val="single" w:color="auto"/>
                <w:lang w:val="en-US" w:eastAsia="zh-CN"/>
              </w:rPr>
              <w:t>/a（0.0</w:t>
            </w:r>
            <w:r>
              <w:rPr>
                <w:rFonts w:hint="eastAsia" w:ascii="Times New Roman" w:hAnsi="Times New Roman" w:cs="Times New Roman"/>
                <w:color w:val="auto"/>
                <w:spacing w:val="11"/>
                <w:position w:val="0"/>
                <w:sz w:val="24"/>
                <w:szCs w:val="24"/>
                <w:u w:val="single" w:color="auto"/>
                <w:lang w:val="en-US" w:eastAsia="zh-CN"/>
              </w:rPr>
              <w:t>0084</w:t>
            </w:r>
            <w:r>
              <w:rPr>
                <w:rFonts w:hint="default" w:ascii="Times New Roman" w:hAnsi="Times New Roman" w:eastAsia="宋体" w:cs="Times New Roman"/>
                <w:color w:val="auto"/>
                <w:spacing w:val="11"/>
                <w:position w:val="0"/>
                <w:sz w:val="24"/>
                <w:szCs w:val="24"/>
                <w:u w:val="single" w:color="auto"/>
                <w:lang w:val="en-US" w:eastAsia="zh-CN"/>
              </w:rPr>
              <w:t>kg/h）。</w:t>
            </w:r>
          </w:p>
          <w:p w14:paraId="360ED777">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eastAsia" w:cs="Times New Roman"/>
                <w:color w:val="000000"/>
                <w:spacing w:val="11"/>
                <w:position w:val="0"/>
                <w:sz w:val="24"/>
                <w:szCs w:val="24"/>
                <w:u w:val="single" w:color="auto"/>
                <w:lang w:val="en-US" w:eastAsia="zh-CN"/>
              </w:rPr>
              <w:t>（8）</w:t>
            </w:r>
            <w:r>
              <w:rPr>
                <w:rFonts w:hint="default" w:ascii="Times New Roman" w:hAnsi="Times New Roman" w:eastAsia="宋体" w:cs="Times New Roman"/>
                <w:color w:val="000000"/>
                <w:spacing w:val="11"/>
                <w:position w:val="0"/>
                <w:sz w:val="24"/>
                <w:szCs w:val="24"/>
                <w:u w:val="single" w:color="auto"/>
                <w:lang w:val="en-US" w:eastAsia="zh-CN"/>
              </w:rPr>
              <w:t>加工粉尘</w:t>
            </w:r>
          </w:p>
          <w:p w14:paraId="0E42A988">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zh-CN" w:eastAsia="zh-CN"/>
              </w:rPr>
            </w:pPr>
            <w:r>
              <w:rPr>
                <w:rFonts w:hint="default" w:ascii="Times New Roman" w:hAnsi="Times New Roman" w:eastAsia="宋体" w:cs="Times New Roman"/>
                <w:color w:val="000000"/>
                <w:spacing w:val="11"/>
                <w:position w:val="0"/>
                <w:sz w:val="24"/>
                <w:szCs w:val="24"/>
                <w:u w:val="single" w:color="auto"/>
                <w:lang w:val="zh-CN" w:eastAsia="zh-CN"/>
              </w:rPr>
              <w:t>本项目</w:t>
            </w:r>
            <w:r>
              <w:rPr>
                <w:rFonts w:hint="default" w:ascii="Times New Roman" w:hAnsi="Times New Roman" w:eastAsia="宋体" w:cs="Times New Roman"/>
                <w:color w:val="000000"/>
                <w:spacing w:val="11"/>
                <w:position w:val="0"/>
                <w:sz w:val="24"/>
                <w:szCs w:val="24"/>
                <w:u w:val="single" w:color="auto"/>
                <w:lang w:val="zh-CN"/>
              </w:rPr>
              <w:t>生产工艺主要分为</w:t>
            </w:r>
            <w:r>
              <w:rPr>
                <w:rFonts w:hint="default" w:ascii="Times New Roman" w:hAnsi="Times New Roman" w:eastAsia="宋体" w:cs="Times New Roman"/>
                <w:color w:val="000000"/>
                <w:spacing w:val="11"/>
                <w:position w:val="0"/>
                <w:sz w:val="24"/>
                <w:szCs w:val="24"/>
                <w:u w:val="single" w:color="auto"/>
                <w:lang w:val="zh-CN" w:eastAsia="zh-CN"/>
              </w:rPr>
              <w:t>矿石破碎及筛分粉尘、机制砂破碎粉尘</w:t>
            </w:r>
            <w:r>
              <w:rPr>
                <w:rFonts w:hint="default" w:ascii="Times New Roman" w:hAnsi="Times New Roman" w:eastAsia="宋体" w:cs="Times New Roman"/>
                <w:color w:val="000000"/>
                <w:spacing w:val="11"/>
                <w:position w:val="0"/>
                <w:sz w:val="24"/>
                <w:szCs w:val="24"/>
                <w:u w:val="single" w:color="auto"/>
                <w:lang w:val="zh-CN"/>
              </w:rPr>
              <w:t>等</w:t>
            </w:r>
            <w:r>
              <w:rPr>
                <w:rFonts w:hint="default" w:ascii="Times New Roman" w:hAnsi="Times New Roman" w:eastAsia="宋体" w:cs="Times New Roman"/>
                <w:color w:val="000000"/>
                <w:spacing w:val="11"/>
                <w:position w:val="0"/>
                <w:sz w:val="24"/>
                <w:szCs w:val="24"/>
                <w:u w:val="single" w:color="auto"/>
                <w:lang w:val="zh-CN" w:eastAsia="zh-CN"/>
              </w:rPr>
              <w:t>。</w:t>
            </w:r>
          </w:p>
          <w:p w14:paraId="17BB6310">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en-US" w:eastAsia="zh-CN"/>
              </w:rPr>
            </w:pPr>
            <w:r>
              <w:rPr>
                <w:rFonts w:hint="eastAsia" w:cs="Times New Roman"/>
                <w:color w:val="000000"/>
                <w:spacing w:val="11"/>
                <w:position w:val="0"/>
                <w:sz w:val="24"/>
                <w:szCs w:val="24"/>
                <w:highlight w:val="none"/>
                <w:u w:val="single" w:color="auto"/>
                <w:lang w:val="en-US" w:eastAsia="zh-CN"/>
              </w:rPr>
              <w:t>①</w:t>
            </w:r>
            <w:r>
              <w:rPr>
                <w:rFonts w:hint="default" w:ascii="Times New Roman" w:hAnsi="Times New Roman" w:eastAsia="宋体" w:cs="Times New Roman"/>
                <w:color w:val="000000"/>
                <w:spacing w:val="11"/>
                <w:position w:val="0"/>
                <w:sz w:val="24"/>
                <w:szCs w:val="24"/>
                <w:highlight w:val="none"/>
                <w:u w:val="single" w:color="auto"/>
                <w:lang w:val="en-US" w:eastAsia="zh-CN"/>
              </w:rPr>
              <w:t>矿石破碎及筛分粉尘</w:t>
            </w:r>
          </w:p>
          <w:p w14:paraId="42A75A8B">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zh-CN"/>
              </w:rPr>
            </w:pPr>
            <w:r>
              <w:rPr>
                <w:rFonts w:hint="default" w:ascii="Times New Roman" w:hAnsi="Times New Roman" w:eastAsia="宋体" w:cs="Times New Roman"/>
                <w:color w:val="000000"/>
                <w:spacing w:val="11"/>
                <w:position w:val="0"/>
                <w:sz w:val="24"/>
                <w:szCs w:val="24"/>
                <w:highlight w:val="none"/>
                <w:u w:val="single" w:color="auto"/>
                <w:lang w:val="zh-CN" w:eastAsia="zh-CN"/>
              </w:rPr>
              <w:t>本项目破碎生产线主要工艺流程为“一级破碎+二级破碎+一次筛分+二次筛分”，即“两级破碎+两次筛分”工艺</w:t>
            </w:r>
            <w:r>
              <w:rPr>
                <w:rFonts w:hint="eastAsia" w:cs="Times New Roman"/>
                <w:color w:val="000000"/>
                <w:spacing w:val="11"/>
                <w:position w:val="0"/>
                <w:sz w:val="24"/>
                <w:szCs w:val="24"/>
                <w:highlight w:val="none"/>
                <w:u w:val="single" w:color="auto"/>
                <w:lang w:val="zh-CN" w:eastAsia="zh-CN"/>
              </w:rPr>
              <w:t>，破碎生产线位于全封闭式生产车间内，采用密闭输送带</w:t>
            </w:r>
            <w:r>
              <w:rPr>
                <w:rFonts w:hint="default" w:ascii="Times New Roman" w:hAnsi="Times New Roman" w:eastAsia="宋体" w:cs="Times New Roman"/>
                <w:color w:val="000000"/>
                <w:spacing w:val="11"/>
                <w:position w:val="0"/>
                <w:sz w:val="24"/>
                <w:szCs w:val="24"/>
                <w:highlight w:val="none"/>
                <w:u w:val="single" w:color="auto"/>
                <w:lang w:val="zh-CN" w:eastAsia="zh-CN"/>
              </w:rPr>
              <w:t>。其主要产尘点为破碎机、振动筛。</w:t>
            </w:r>
          </w:p>
          <w:p w14:paraId="2D3209D1">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zh-CN"/>
              </w:rPr>
            </w:pPr>
            <w:r>
              <w:rPr>
                <w:rFonts w:hint="default" w:ascii="Times New Roman" w:hAnsi="Times New Roman" w:eastAsia="宋体" w:cs="Times New Roman"/>
                <w:color w:val="000000"/>
                <w:spacing w:val="11"/>
                <w:position w:val="0"/>
                <w:sz w:val="24"/>
                <w:szCs w:val="24"/>
                <w:highlight w:val="none"/>
                <w:u w:val="single" w:color="auto"/>
                <w:lang w:val="zh-CN" w:eastAsia="zh-CN"/>
              </w:rPr>
              <w:t>a、一破粉尘</w:t>
            </w:r>
          </w:p>
          <w:p w14:paraId="2CB8661A">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zh-CN"/>
              </w:rPr>
            </w:pPr>
            <w:r>
              <w:rPr>
                <w:rFonts w:hint="default" w:ascii="Times New Roman" w:hAnsi="Times New Roman" w:eastAsia="宋体" w:cs="Times New Roman"/>
                <w:color w:val="000000"/>
                <w:spacing w:val="11"/>
                <w:position w:val="0"/>
                <w:sz w:val="24"/>
                <w:szCs w:val="24"/>
                <w:highlight w:val="none"/>
                <w:u w:val="single" w:color="auto"/>
                <w:lang w:val="zh-CN" w:eastAsia="zh-CN"/>
              </w:rPr>
              <w:t>参考《逸散性工业粉尘控制技术》、《工业污染核算》等书，并类比调查同类型加工行业产排污数据，本项目破碎生产线一破工序起尘量约为0.01kg/t原料，破碎生产线年破碎加工矿石300万吨，则本项目一破粉尘产生量约为</w:t>
            </w:r>
            <w:r>
              <w:rPr>
                <w:rFonts w:hint="eastAsia" w:cs="Times New Roman"/>
                <w:color w:val="000000"/>
                <w:spacing w:val="11"/>
                <w:position w:val="0"/>
                <w:sz w:val="24"/>
                <w:szCs w:val="24"/>
                <w:highlight w:val="none"/>
                <w:u w:val="single" w:color="auto"/>
                <w:lang w:val="en-US" w:eastAsia="zh-CN"/>
              </w:rPr>
              <w:t>6</w:t>
            </w:r>
            <w:r>
              <w:rPr>
                <w:rFonts w:hint="default" w:ascii="Times New Roman" w:hAnsi="Times New Roman" w:eastAsia="宋体" w:cs="Times New Roman"/>
                <w:color w:val="000000"/>
                <w:spacing w:val="11"/>
                <w:position w:val="0"/>
                <w:sz w:val="24"/>
                <w:szCs w:val="24"/>
                <w:highlight w:val="none"/>
                <w:u w:val="single" w:color="auto"/>
                <w:lang w:val="zh-CN" w:eastAsia="zh-CN"/>
              </w:rPr>
              <w:t>t/a，产生速率为</w:t>
            </w:r>
            <w:r>
              <w:rPr>
                <w:rFonts w:hint="eastAsia" w:cs="Times New Roman"/>
                <w:color w:val="000000"/>
                <w:spacing w:val="11"/>
                <w:position w:val="0"/>
                <w:sz w:val="24"/>
                <w:szCs w:val="24"/>
                <w:highlight w:val="none"/>
                <w:u w:val="single" w:color="auto"/>
                <w:lang w:val="en-US" w:eastAsia="zh-CN"/>
              </w:rPr>
              <w:t>2.5</w:t>
            </w:r>
            <w:r>
              <w:rPr>
                <w:rFonts w:hint="default" w:ascii="Times New Roman" w:hAnsi="Times New Roman" w:eastAsia="宋体" w:cs="Times New Roman"/>
                <w:color w:val="000000"/>
                <w:spacing w:val="11"/>
                <w:position w:val="0"/>
                <w:sz w:val="24"/>
                <w:szCs w:val="24"/>
                <w:highlight w:val="none"/>
                <w:u w:val="single" w:color="auto"/>
                <w:lang w:val="zh-CN" w:eastAsia="zh-CN"/>
              </w:rPr>
              <w:t>kg/h。</w:t>
            </w:r>
          </w:p>
          <w:p w14:paraId="21401487">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zh-CN"/>
              </w:rPr>
            </w:pPr>
            <w:r>
              <w:rPr>
                <w:rFonts w:hint="default" w:ascii="Times New Roman" w:hAnsi="Times New Roman" w:eastAsia="宋体" w:cs="Times New Roman"/>
                <w:color w:val="000000"/>
                <w:spacing w:val="11"/>
                <w:position w:val="0"/>
                <w:sz w:val="24"/>
                <w:szCs w:val="24"/>
                <w:highlight w:val="none"/>
                <w:u w:val="single" w:color="auto"/>
                <w:lang w:val="zh-CN" w:eastAsia="zh-CN"/>
              </w:rPr>
              <w:t>项目一破工序位于封闭生产车间，项目拟在一破进出料口设置抑尘装置，一破粉尘经抑尘后成无组织排放，除尘效率取70%，则一破粉尘排放量为</w:t>
            </w:r>
            <w:r>
              <w:rPr>
                <w:rFonts w:hint="eastAsia" w:cs="Times New Roman"/>
                <w:color w:val="000000"/>
                <w:spacing w:val="11"/>
                <w:position w:val="0"/>
                <w:sz w:val="24"/>
                <w:szCs w:val="24"/>
                <w:highlight w:val="none"/>
                <w:u w:val="single" w:color="auto"/>
                <w:lang w:val="en-US" w:eastAsia="zh-CN"/>
              </w:rPr>
              <w:t>1.8</w:t>
            </w:r>
            <w:r>
              <w:rPr>
                <w:rFonts w:hint="default" w:ascii="Times New Roman" w:hAnsi="Times New Roman" w:eastAsia="宋体" w:cs="Times New Roman"/>
                <w:color w:val="000000"/>
                <w:spacing w:val="11"/>
                <w:position w:val="0"/>
                <w:sz w:val="24"/>
                <w:szCs w:val="24"/>
                <w:highlight w:val="none"/>
                <w:u w:val="single" w:color="auto"/>
                <w:lang w:val="zh-CN" w:eastAsia="zh-CN"/>
              </w:rPr>
              <w:t>t/a，排放速率为</w:t>
            </w:r>
            <w:r>
              <w:rPr>
                <w:rFonts w:hint="eastAsia" w:cs="Times New Roman"/>
                <w:color w:val="000000"/>
                <w:spacing w:val="11"/>
                <w:position w:val="0"/>
                <w:sz w:val="24"/>
                <w:szCs w:val="24"/>
                <w:highlight w:val="none"/>
                <w:u w:val="single" w:color="auto"/>
                <w:lang w:val="en-US" w:eastAsia="zh-CN"/>
              </w:rPr>
              <w:t>0.75</w:t>
            </w:r>
            <w:r>
              <w:rPr>
                <w:rFonts w:hint="default" w:ascii="Times New Roman" w:hAnsi="Times New Roman" w:eastAsia="宋体" w:cs="Times New Roman"/>
                <w:color w:val="000000"/>
                <w:spacing w:val="11"/>
                <w:position w:val="0"/>
                <w:sz w:val="24"/>
                <w:szCs w:val="24"/>
                <w:highlight w:val="none"/>
                <w:u w:val="single" w:color="auto"/>
                <w:lang w:val="zh-CN" w:eastAsia="zh-CN"/>
              </w:rPr>
              <w:t>kg/h。</w:t>
            </w:r>
          </w:p>
          <w:p w14:paraId="498DCDC2">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zh-CN"/>
              </w:rPr>
            </w:pPr>
            <w:r>
              <w:rPr>
                <w:rFonts w:hint="default" w:ascii="Times New Roman" w:hAnsi="Times New Roman" w:eastAsia="宋体" w:cs="Times New Roman"/>
                <w:color w:val="000000"/>
                <w:spacing w:val="11"/>
                <w:position w:val="0"/>
                <w:sz w:val="24"/>
                <w:szCs w:val="24"/>
                <w:highlight w:val="none"/>
                <w:u w:val="single" w:color="auto"/>
                <w:lang w:val="zh-CN" w:eastAsia="zh-CN"/>
              </w:rPr>
              <w:t xml:space="preserve">b、二破粉尘 </w:t>
            </w:r>
          </w:p>
          <w:p w14:paraId="5817328D">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zh-CN"/>
              </w:rPr>
            </w:pPr>
            <w:r>
              <w:rPr>
                <w:rFonts w:hint="default" w:ascii="Times New Roman" w:hAnsi="Times New Roman" w:eastAsia="宋体" w:cs="Times New Roman"/>
                <w:color w:val="000000"/>
                <w:spacing w:val="11"/>
                <w:position w:val="0"/>
                <w:sz w:val="24"/>
                <w:szCs w:val="24"/>
                <w:highlight w:val="none"/>
                <w:u w:val="single" w:color="auto"/>
                <w:lang w:val="zh-CN" w:eastAsia="zh-CN"/>
              </w:rPr>
              <w:t>参考《逸散性工业粉尘控制技术》、《工业污染核算》等书，并类比调查同类型加工行业产排污数据，本项目破碎生产线二破起尘量约为0.035kg/t-破碎料，破碎生产线年破碎加工矿石</w:t>
            </w:r>
            <w:r>
              <w:rPr>
                <w:rFonts w:hint="eastAsia" w:cs="Times New Roman"/>
                <w:color w:val="000000"/>
                <w:spacing w:val="11"/>
                <w:position w:val="0"/>
                <w:sz w:val="24"/>
                <w:szCs w:val="24"/>
                <w:highlight w:val="none"/>
                <w:u w:val="single" w:color="auto"/>
                <w:lang w:val="en-US" w:eastAsia="zh-CN"/>
              </w:rPr>
              <w:t>60</w:t>
            </w:r>
            <w:r>
              <w:rPr>
                <w:rFonts w:hint="default" w:ascii="Times New Roman" w:hAnsi="Times New Roman" w:eastAsia="宋体" w:cs="Times New Roman"/>
                <w:color w:val="000000"/>
                <w:spacing w:val="11"/>
                <w:position w:val="0"/>
                <w:sz w:val="24"/>
                <w:szCs w:val="24"/>
                <w:highlight w:val="none"/>
                <w:u w:val="single" w:color="auto"/>
                <w:lang w:val="zh-CN" w:eastAsia="zh-CN"/>
              </w:rPr>
              <w:t>万吨，则本项目二破粉尘产生量约为</w:t>
            </w:r>
            <w:r>
              <w:rPr>
                <w:rFonts w:hint="eastAsia" w:cs="Times New Roman"/>
                <w:color w:val="000000"/>
                <w:spacing w:val="11"/>
                <w:position w:val="0"/>
                <w:sz w:val="24"/>
                <w:szCs w:val="24"/>
                <w:highlight w:val="none"/>
                <w:u w:val="single" w:color="auto"/>
                <w:lang w:val="en-US" w:eastAsia="zh-CN"/>
              </w:rPr>
              <w:t>21</w:t>
            </w:r>
            <w:r>
              <w:rPr>
                <w:rFonts w:hint="default" w:ascii="Times New Roman" w:hAnsi="Times New Roman" w:eastAsia="宋体" w:cs="Times New Roman"/>
                <w:color w:val="000000"/>
                <w:spacing w:val="11"/>
                <w:position w:val="0"/>
                <w:sz w:val="24"/>
                <w:szCs w:val="24"/>
                <w:highlight w:val="none"/>
                <w:u w:val="single" w:color="auto"/>
                <w:lang w:val="zh-CN" w:eastAsia="zh-CN"/>
              </w:rPr>
              <w:t>t/a，产生速率为</w:t>
            </w:r>
            <w:r>
              <w:rPr>
                <w:rFonts w:hint="eastAsia" w:cs="Times New Roman"/>
                <w:color w:val="000000"/>
                <w:spacing w:val="11"/>
                <w:position w:val="0"/>
                <w:sz w:val="24"/>
                <w:szCs w:val="24"/>
                <w:highlight w:val="none"/>
                <w:u w:val="single" w:color="auto"/>
                <w:lang w:val="en-US" w:eastAsia="zh-CN"/>
              </w:rPr>
              <w:t>8.75</w:t>
            </w:r>
            <w:r>
              <w:rPr>
                <w:rFonts w:hint="default" w:ascii="Times New Roman" w:hAnsi="Times New Roman" w:eastAsia="宋体" w:cs="Times New Roman"/>
                <w:color w:val="000000"/>
                <w:spacing w:val="11"/>
                <w:position w:val="0"/>
                <w:sz w:val="24"/>
                <w:szCs w:val="24"/>
                <w:highlight w:val="none"/>
                <w:u w:val="single" w:color="auto"/>
                <w:lang w:val="zh-CN" w:eastAsia="zh-CN"/>
              </w:rPr>
              <w:t xml:space="preserve">kg/h。 </w:t>
            </w:r>
          </w:p>
          <w:p w14:paraId="202F197B">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zh-CN"/>
              </w:rPr>
            </w:pPr>
            <w:r>
              <w:rPr>
                <w:rFonts w:hint="default" w:ascii="Times New Roman" w:hAnsi="Times New Roman" w:eastAsia="宋体" w:cs="Times New Roman"/>
                <w:color w:val="000000"/>
                <w:spacing w:val="11"/>
                <w:position w:val="0"/>
                <w:sz w:val="24"/>
                <w:szCs w:val="24"/>
                <w:highlight w:val="none"/>
                <w:u w:val="single" w:color="auto"/>
                <w:lang w:val="zh-CN" w:eastAsia="zh-CN"/>
              </w:rPr>
              <w:t>项目在二破进出料口进行封闭，</w:t>
            </w:r>
            <w:r>
              <w:rPr>
                <w:rFonts w:hint="eastAsia" w:cs="Times New Roman"/>
                <w:color w:val="000000"/>
                <w:spacing w:val="11"/>
                <w:position w:val="0"/>
                <w:sz w:val="24"/>
                <w:szCs w:val="24"/>
                <w:highlight w:val="none"/>
                <w:u w:val="single" w:color="auto"/>
                <w:lang w:val="en-US" w:eastAsia="zh-CN"/>
              </w:rPr>
              <w:t>产生的粉尘</w:t>
            </w:r>
            <w:r>
              <w:rPr>
                <w:rFonts w:hint="default" w:ascii="Times New Roman" w:hAnsi="Times New Roman" w:eastAsia="宋体" w:cs="Times New Roman"/>
                <w:color w:val="000000"/>
                <w:spacing w:val="11"/>
                <w:position w:val="0"/>
                <w:sz w:val="24"/>
                <w:szCs w:val="24"/>
                <w:highlight w:val="none"/>
                <w:u w:val="single" w:color="auto"/>
                <w:lang w:val="zh-CN" w:eastAsia="zh-CN"/>
              </w:rPr>
              <w:t>安装集气罩＋布袋除尘器进行收集处理，处理后由15m高排气筒</w:t>
            </w:r>
            <w:r>
              <w:rPr>
                <w:rFonts w:hint="eastAsia" w:cs="Times New Roman"/>
                <w:color w:val="000000"/>
                <w:spacing w:val="11"/>
                <w:position w:val="0"/>
                <w:sz w:val="24"/>
                <w:szCs w:val="24"/>
                <w:highlight w:val="none"/>
                <w:u w:val="single" w:color="auto"/>
                <w:lang w:val="zh-CN" w:eastAsia="zh-CN"/>
              </w:rPr>
              <w:t>（</w:t>
            </w:r>
            <w:r>
              <w:rPr>
                <w:rFonts w:hint="default" w:ascii="Times New Roman" w:hAnsi="Times New Roman" w:eastAsia="宋体" w:cs="Times New Roman"/>
                <w:color w:val="000000"/>
                <w:spacing w:val="11"/>
                <w:position w:val="0"/>
                <w:sz w:val="24"/>
                <w:szCs w:val="24"/>
                <w:highlight w:val="none"/>
                <w:u w:val="single" w:color="auto"/>
                <w:lang w:val="zh-CN" w:eastAsia="zh-CN"/>
              </w:rPr>
              <w:t>DA001</w:t>
            </w:r>
            <w:r>
              <w:rPr>
                <w:rFonts w:hint="eastAsia" w:cs="Times New Roman"/>
                <w:color w:val="000000"/>
                <w:spacing w:val="11"/>
                <w:position w:val="0"/>
                <w:sz w:val="24"/>
                <w:szCs w:val="24"/>
                <w:highlight w:val="none"/>
                <w:u w:val="single" w:color="auto"/>
                <w:lang w:val="zh-CN" w:eastAsia="zh-CN"/>
              </w:rPr>
              <w:t>）</w:t>
            </w:r>
            <w:r>
              <w:rPr>
                <w:rFonts w:hint="default" w:ascii="Times New Roman" w:hAnsi="Times New Roman" w:eastAsia="宋体" w:cs="Times New Roman"/>
                <w:color w:val="000000"/>
                <w:spacing w:val="11"/>
                <w:position w:val="0"/>
                <w:sz w:val="24"/>
                <w:szCs w:val="24"/>
                <w:highlight w:val="none"/>
                <w:u w:val="single" w:color="auto"/>
                <w:lang w:val="zh-CN" w:eastAsia="zh-CN"/>
              </w:rPr>
              <w:t>排放，收集效率</w:t>
            </w:r>
            <w:r>
              <w:rPr>
                <w:rFonts w:hint="eastAsia" w:cs="Times New Roman"/>
                <w:color w:val="000000"/>
                <w:spacing w:val="11"/>
                <w:position w:val="0"/>
                <w:sz w:val="24"/>
                <w:szCs w:val="24"/>
                <w:highlight w:val="none"/>
                <w:u w:val="single" w:color="auto"/>
                <w:lang w:val="en-US" w:eastAsia="zh-CN"/>
              </w:rPr>
              <w:t>75</w:t>
            </w:r>
            <w:r>
              <w:rPr>
                <w:rFonts w:hint="default" w:ascii="Times New Roman" w:hAnsi="Times New Roman" w:eastAsia="宋体" w:cs="Times New Roman"/>
                <w:color w:val="000000"/>
                <w:spacing w:val="11"/>
                <w:position w:val="0"/>
                <w:sz w:val="24"/>
                <w:szCs w:val="24"/>
                <w:highlight w:val="none"/>
                <w:u w:val="single" w:color="auto"/>
                <w:lang w:val="zh-CN" w:eastAsia="zh-CN"/>
              </w:rPr>
              <w:t>%，处理效率99%，风机风量为</w:t>
            </w:r>
            <w:r>
              <w:rPr>
                <w:rFonts w:hint="eastAsia" w:cs="Times New Roman"/>
                <w:color w:val="000000"/>
                <w:spacing w:val="11"/>
                <w:position w:val="0"/>
                <w:sz w:val="24"/>
                <w:szCs w:val="24"/>
                <w:highlight w:val="none"/>
                <w:u w:val="single" w:color="auto"/>
                <w:lang w:val="en-US" w:eastAsia="zh-CN"/>
              </w:rPr>
              <w:t>20</w:t>
            </w:r>
            <w:r>
              <w:rPr>
                <w:rFonts w:hint="default" w:ascii="Times New Roman" w:hAnsi="Times New Roman" w:eastAsia="宋体" w:cs="Times New Roman"/>
                <w:color w:val="000000"/>
                <w:spacing w:val="11"/>
                <w:position w:val="0"/>
                <w:sz w:val="24"/>
                <w:szCs w:val="24"/>
                <w:highlight w:val="none"/>
                <w:u w:val="single" w:color="auto"/>
                <w:lang w:val="zh-CN" w:eastAsia="zh-CN"/>
              </w:rPr>
              <w:t>000m</w:t>
            </w:r>
            <w:r>
              <w:rPr>
                <w:rFonts w:hint="default" w:ascii="Times New Roman" w:hAnsi="Times New Roman" w:eastAsia="宋体" w:cs="Times New Roman"/>
                <w:color w:val="000000"/>
                <w:spacing w:val="11"/>
                <w:position w:val="0"/>
                <w:sz w:val="24"/>
                <w:szCs w:val="24"/>
                <w:highlight w:val="none"/>
                <w:u w:val="single" w:color="auto"/>
                <w:vertAlign w:val="superscript"/>
                <w:lang w:val="zh-CN" w:eastAsia="zh-CN"/>
              </w:rPr>
              <w:t>3</w:t>
            </w:r>
            <w:r>
              <w:rPr>
                <w:rFonts w:hint="default" w:ascii="Times New Roman" w:hAnsi="Times New Roman" w:eastAsia="宋体" w:cs="Times New Roman"/>
                <w:color w:val="000000"/>
                <w:spacing w:val="11"/>
                <w:position w:val="0"/>
                <w:sz w:val="24"/>
                <w:szCs w:val="24"/>
                <w:highlight w:val="none"/>
                <w:u w:val="single" w:color="auto"/>
                <w:lang w:val="zh-CN" w:eastAsia="zh-CN"/>
              </w:rPr>
              <w:t>/h，本项目二破工序位于全封闭生产车间，且建设单位拟在破碎设备产尘点安装喷雾除尘装置，车间空气湿度高，故未被收集粉尘约90%的粉尘会沉降在车间内。</w:t>
            </w:r>
          </w:p>
          <w:p w14:paraId="34EB767A">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zh-CN"/>
              </w:rPr>
            </w:pPr>
            <w:r>
              <w:rPr>
                <w:rFonts w:hint="default" w:ascii="Times New Roman" w:hAnsi="Times New Roman" w:eastAsia="宋体" w:cs="Times New Roman"/>
                <w:color w:val="000000"/>
                <w:spacing w:val="11"/>
                <w:position w:val="0"/>
                <w:sz w:val="24"/>
                <w:szCs w:val="24"/>
                <w:highlight w:val="none"/>
                <w:u w:val="single" w:color="auto"/>
                <w:lang w:val="zh-CN" w:eastAsia="zh-CN"/>
              </w:rPr>
              <w:t>因此，二破粉尘收集量为</w:t>
            </w:r>
            <w:r>
              <w:rPr>
                <w:rFonts w:hint="eastAsia" w:cs="Times New Roman"/>
                <w:color w:val="000000"/>
                <w:spacing w:val="11"/>
                <w:position w:val="0"/>
                <w:sz w:val="24"/>
                <w:szCs w:val="24"/>
                <w:highlight w:val="none"/>
                <w:u w:val="single" w:color="auto"/>
                <w:lang w:val="en-US" w:eastAsia="zh-CN"/>
              </w:rPr>
              <w:t>15.75</w:t>
            </w:r>
            <w:r>
              <w:rPr>
                <w:rFonts w:hint="default" w:ascii="Times New Roman" w:hAnsi="Times New Roman" w:eastAsia="宋体" w:cs="Times New Roman"/>
                <w:color w:val="000000"/>
                <w:spacing w:val="11"/>
                <w:position w:val="0"/>
                <w:sz w:val="24"/>
                <w:szCs w:val="24"/>
                <w:highlight w:val="none"/>
                <w:u w:val="single" w:color="auto"/>
                <w:lang w:val="zh-CN" w:eastAsia="zh-CN"/>
              </w:rPr>
              <w:t>t/a，有组织排放量为</w:t>
            </w:r>
            <w:r>
              <w:rPr>
                <w:rFonts w:hint="eastAsia" w:cs="Times New Roman"/>
                <w:color w:val="000000"/>
                <w:spacing w:val="11"/>
                <w:position w:val="0"/>
                <w:sz w:val="24"/>
                <w:szCs w:val="24"/>
                <w:highlight w:val="none"/>
                <w:u w:val="single" w:color="auto"/>
                <w:lang w:val="en-US" w:eastAsia="zh-CN"/>
              </w:rPr>
              <w:t>0.1575</w:t>
            </w:r>
            <w:r>
              <w:rPr>
                <w:rFonts w:hint="default" w:ascii="Times New Roman" w:hAnsi="Times New Roman" w:eastAsia="宋体" w:cs="Times New Roman"/>
                <w:color w:val="000000"/>
                <w:spacing w:val="11"/>
                <w:position w:val="0"/>
                <w:sz w:val="24"/>
                <w:szCs w:val="24"/>
                <w:highlight w:val="none"/>
                <w:u w:val="single" w:color="auto"/>
                <w:lang w:val="zh-CN" w:eastAsia="zh-CN"/>
              </w:rPr>
              <w:t>t/a</w:t>
            </w:r>
            <w:r>
              <w:rPr>
                <w:rFonts w:hint="eastAsia" w:cs="Times New Roman"/>
                <w:color w:val="000000"/>
                <w:spacing w:val="11"/>
                <w:position w:val="0"/>
                <w:sz w:val="24"/>
                <w:szCs w:val="24"/>
                <w:highlight w:val="none"/>
                <w:u w:val="single" w:color="auto"/>
                <w:lang w:val="zh-CN" w:eastAsia="zh-CN"/>
              </w:rPr>
              <w:t>（</w:t>
            </w:r>
            <w:r>
              <w:rPr>
                <w:rFonts w:hint="eastAsia" w:ascii="Times New Roman" w:hAnsi="Times New Roman" w:eastAsia="宋体" w:cs="Times New Roman"/>
                <w:color w:val="000000"/>
                <w:spacing w:val="11"/>
                <w:position w:val="0"/>
                <w:sz w:val="24"/>
                <w:szCs w:val="24"/>
                <w:highlight w:val="none"/>
                <w:u w:val="single" w:color="auto"/>
                <w:lang w:val="en-US" w:eastAsia="zh-CN"/>
              </w:rPr>
              <w:t>0.066</w:t>
            </w:r>
            <w:r>
              <w:rPr>
                <w:rFonts w:hint="default" w:ascii="Times New Roman" w:hAnsi="Times New Roman" w:eastAsia="宋体" w:cs="Times New Roman"/>
                <w:color w:val="000000"/>
                <w:spacing w:val="11"/>
                <w:position w:val="0"/>
                <w:sz w:val="24"/>
                <w:szCs w:val="24"/>
                <w:highlight w:val="none"/>
                <w:u w:val="single" w:color="auto"/>
                <w:lang w:val="zh-CN" w:eastAsia="zh-CN"/>
              </w:rPr>
              <w:t>kg/h</w:t>
            </w:r>
            <w:r>
              <w:rPr>
                <w:rFonts w:hint="eastAsia" w:cs="Times New Roman"/>
                <w:color w:val="000000"/>
                <w:spacing w:val="11"/>
                <w:position w:val="0"/>
                <w:sz w:val="24"/>
                <w:szCs w:val="24"/>
                <w:highlight w:val="none"/>
                <w:u w:val="single" w:color="auto"/>
                <w:lang w:val="zh-CN" w:eastAsia="zh-CN"/>
              </w:rPr>
              <w:t>）</w:t>
            </w:r>
            <w:r>
              <w:rPr>
                <w:rFonts w:hint="default" w:ascii="Times New Roman" w:hAnsi="Times New Roman" w:eastAsia="宋体" w:cs="Times New Roman"/>
                <w:color w:val="000000"/>
                <w:spacing w:val="11"/>
                <w:position w:val="0"/>
                <w:sz w:val="24"/>
                <w:szCs w:val="24"/>
                <w:highlight w:val="none"/>
                <w:u w:val="single" w:color="auto"/>
                <w:lang w:val="zh-CN" w:eastAsia="zh-CN"/>
              </w:rPr>
              <w:t>，排放浓度为</w:t>
            </w:r>
            <w:r>
              <w:rPr>
                <w:rFonts w:hint="eastAsia" w:cs="Times New Roman"/>
                <w:color w:val="000000"/>
                <w:spacing w:val="11"/>
                <w:position w:val="0"/>
                <w:sz w:val="24"/>
                <w:szCs w:val="24"/>
                <w:highlight w:val="none"/>
                <w:u w:val="single" w:color="auto"/>
                <w:lang w:val="en-US" w:eastAsia="zh-CN"/>
              </w:rPr>
              <w:t>3.3</w:t>
            </w:r>
            <w:r>
              <w:rPr>
                <w:rFonts w:hint="default" w:ascii="Times New Roman" w:hAnsi="Times New Roman" w:eastAsia="宋体" w:cs="Times New Roman"/>
                <w:color w:val="000000"/>
                <w:spacing w:val="11"/>
                <w:position w:val="0"/>
                <w:sz w:val="24"/>
                <w:szCs w:val="24"/>
                <w:highlight w:val="none"/>
                <w:u w:val="single" w:color="auto"/>
                <w:lang w:val="zh-CN" w:eastAsia="zh-CN"/>
              </w:rPr>
              <w:t>mg/m</w:t>
            </w:r>
            <w:r>
              <w:rPr>
                <w:rFonts w:hint="default" w:ascii="Times New Roman" w:hAnsi="Times New Roman" w:eastAsia="宋体" w:cs="Times New Roman"/>
                <w:color w:val="000000"/>
                <w:spacing w:val="11"/>
                <w:position w:val="0"/>
                <w:sz w:val="24"/>
                <w:szCs w:val="24"/>
                <w:highlight w:val="none"/>
                <w:u w:val="single" w:color="auto"/>
                <w:vertAlign w:val="superscript"/>
                <w:lang w:val="zh-CN" w:eastAsia="zh-CN"/>
              </w:rPr>
              <w:t>3</w:t>
            </w:r>
            <w:r>
              <w:rPr>
                <w:rFonts w:hint="default" w:ascii="Times New Roman" w:hAnsi="Times New Roman" w:eastAsia="宋体" w:cs="Times New Roman"/>
                <w:color w:val="000000"/>
                <w:spacing w:val="11"/>
                <w:position w:val="0"/>
                <w:sz w:val="24"/>
                <w:szCs w:val="24"/>
                <w:highlight w:val="none"/>
                <w:u w:val="single" w:color="auto"/>
                <w:lang w:val="zh-CN" w:eastAsia="zh-CN"/>
              </w:rPr>
              <w:t>，二破粉尘未被收集量为</w:t>
            </w:r>
            <w:r>
              <w:rPr>
                <w:rFonts w:hint="eastAsia" w:cs="Times New Roman"/>
                <w:color w:val="000000"/>
                <w:spacing w:val="11"/>
                <w:position w:val="0"/>
                <w:sz w:val="24"/>
                <w:szCs w:val="24"/>
                <w:highlight w:val="none"/>
                <w:u w:val="single" w:color="auto"/>
                <w:lang w:val="en-US" w:eastAsia="zh-CN"/>
              </w:rPr>
              <w:t>5.25</w:t>
            </w:r>
            <w:r>
              <w:rPr>
                <w:rFonts w:hint="default" w:ascii="Times New Roman" w:hAnsi="Times New Roman" w:eastAsia="宋体" w:cs="Times New Roman"/>
                <w:color w:val="000000"/>
                <w:spacing w:val="11"/>
                <w:position w:val="0"/>
                <w:sz w:val="24"/>
                <w:szCs w:val="24"/>
                <w:highlight w:val="none"/>
                <w:u w:val="single" w:color="auto"/>
                <w:lang w:val="zh-CN" w:eastAsia="zh-CN"/>
              </w:rPr>
              <w:t>t/a，无组织排放量为</w:t>
            </w:r>
            <w:r>
              <w:rPr>
                <w:rFonts w:hint="eastAsia" w:cs="Times New Roman"/>
                <w:color w:val="000000"/>
                <w:spacing w:val="11"/>
                <w:position w:val="0"/>
                <w:sz w:val="24"/>
                <w:szCs w:val="24"/>
                <w:highlight w:val="none"/>
                <w:u w:val="single" w:color="auto"/>
                <w:lang w:val="en-US" w:eastAsia="zh-CN"/>
              </w:rPr>
              <w:t>0.525</w:t>
            </w:r>
            <w:r>
              <w:rPr>
                <w:rFonts w:hint="default" w:ascii="Times New Roman" w:hAnsi="Times New Roman" w:eastAsia="宋体" w:cs="Times New Roman"/>
                <w:color w:val="000000"/>
                <w:spacing w:val="11"/>
                <w:position w:val="0"/>
                <w:sz w:val="24"/>
                <w:szCs w:val="24"/>
                <w:highlight w:val="none"/>
                <w:u w:val="single" w:color="auto"/>
                <w:lang w:val="zh-CN" w:eastAsia="zh-CN"/>
              </w:rPr>
              <w:t>t/a，排放速率为0.</w:t>
            </w:r>
            <w:r>
              <w:rPr>
                <w:rFonts w:hint="eastAsia" w:cs="Times New Roman"/>
                <w:color w:val="000000"/>
                <w:spacing w:val="11"/>
                <w:position w:val="0"/>
                <w:sz w:val="24"/>
                <w:szCs w:val="24"/>
                <w:highlight w:val="none"/>
                <w:u w:val="single" w:color="auto"/>
                <w:lang w:val="en-US" w:eastAsia="zh-CN"/>
              </w:rPr>
              <w:t>22</w:t>
            </w:r>
            <w:r>
              <w:rPr>
                <w:rFonts w:hint="default" w:ascii="Times New Roman" w:hAnsi="Times New Roman" w:eastAsia="宋体" w:cs="Times New Roman"/>
                <w:color w:val="000000"/>
                <w:spacing w:val="11"/>
                <w:position w:val="0"/>
                <w:sz w:val="24"/>
                <w:szCs w:val="24"/>
                <w:highlight w:val="none"/>
                <w:u w:val="single" w:color="auto"/>
                <w:lang w:val="zh-CN" w:eastAsia="zh-CN"/>
              </w:rPr>
              <w:t>kg/h。</w:t>
            </w:r>
          </w:p>
          <w:p w14:paraId="5037F8B0">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zh-CN"/>
              </w:rPr>
            </w:pPr>
            <w:r>
              <w:rPr>
                <w:rFonts w:hint="default" w:ascii="Times New Roman" w:hAnsi="Times New Roman" w:eastAsia="宋体" w:cs="Times New Roman"/>
                <w:color w:val="000000"/>
                <w:spacing w:val="11"/>
                <w:position w:val="0"/>
                <w:sz w:val="24"/>
                <w:szCs w:val="24"/>
                <w:highlight w:val="none"/>
                <w:u w:val="single" w:color="auto"/>
                <w:lang w:val="zh-CN" w:eastAsia="zh-CN"/>
              </w:rPr>
              <w:t xml:space="preserve">c、一筛粉尘 </w:t>
            </w:r>
          </w:p>
          <w:p w14:paraId="2B3F41F6">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zh-CN"/>
              </w:rPr>
            </w:pPr>
            <w:r>
              <w:rPr>
                <w:rFonts w:hint="default" w:ascii="Times New Roman" w:hAnsi="Times New Roman" w:eastAsia="宋体" w:cs="Times New Roman"/>
                <w:color w:val="000000"/>
                <w:spacing w:val="11"/>
                <w:position w:val="0"/>
                <w:sz w:val="24"/>
                <w:szCs w:val="24"/>
                <w:highlight w:val="none"/>
                <w:u w:val="single" w:color="auto"/>
                <w:lang w:val="zh-CN" w:eastAsia="zh-CN"/>
              </w:rPr>
              <w:t>参考《逸散性工业粉尘控制技术》、《工业污染核算》等书，并类比调查同类型加工行业产排污数据，本项目破碎生产线一筛工序起尘量约为0.05kg/t（破碎料）。破碎生产线年破碎加工矿石</w:t>
            </w:r>
            <w:r>
              <w:rPr>
                <w:rFonts w:hint="eastAsia" w:cs="Times New Roman"/>
                <w:color w:val="000000"/>
                <w:spacing w:val="11"/>
                <w:position w:val="0"/>
                <w:sz w:val="24"/>
                <w:szCs w:val="24"/>
                <w:highlight w:val="none"/>
                <w:u w:val="single" w:color="auto"/>
                <w:lang w:val="en-US" w:eastAsia="zh-CN"/>
              </w:rPr>
              <w:t>60</w:t>
            </w:r>
            <w:r>
              <w:rPr>
                <w:rFonts w:hint="default" w:ascii="Times New Roman" w:hAnsi="Times New Roman" w:eastAsia="宋体" w:cs="Times New Roman"/>
                <w:color w:val="000000"/>
                <w:spacing w:val="11"/>
                <w:position w:val="0"/>
                <w:sz w:val="24"/>
                <w:szCs w:val="24"/>
                <w:highlight w:val="none"/>
                <w:u w:val="single" w:color="auto"/>
                <w:lang w:val="zh-CN" w:eastAsia="zh-CN"/>
              </w:rPr>
              <w:t>万吨，则本项目一筛粉尘产生量约为</w:t>
            </w:r>
            <w:r>
              <w:rPr>
                <w:rFonts w:hint="eastAsia" w:cs="Times New Roman"/>
                <w:color w:val="000000"/>
                <w:spacing w:val="11"/>
                <w:position w:val="0"/>
                <w:sz w:val="24"/>
                <w:szCs w:val="24"/>
                <w:highlight w:val="none"/>
                <w:u w:val="single" w:color="auto"/>
                <w:lang w:val="en-US" w:eastAsia="zh-CN"/>
              </w:rPr>
              <w:t>3</w:t>
            </w:r>
            <w:r>
              <w:rPr>
                <w:rFonts w:hint="default" w:ascii="Times New Roman" w:hAnsi="Times New Roman" w:eastAsia="宋体" w:cs="Times New Roman"/>
                <w:color w:val="000000"/>
                <w:spacing w:val="11"/>
                <w:position w:val="0"/>
                <w:sz w:val="24"/>
                <w:szCs w:val="24"/>
                <w:highlight w:val="none"/>
                <w:u w:val="single" w:color="auto"/>
                <w:lang w:val="zh-CN" w:eastAsia="zh-CN"/>
              </w:rPr>
              <w:t>0t/a，产生速率为</w:t>
            </w:r>
            <w:r>
              <w:rPr>
                <w:rFonts w:hint="eastAsia" w:cs="Times New Roman"/>
                <w:color w:val="000000"/>
                <w:spacing w:val="11"/>
                <w:position w:val="0"/>
                <w:sz w:val="24"/>
                <w:szCs w:val="24"/>
                <w:highlight w:val="none"/>
                <w:u w:val="single" w:color="auto"/>
                <w:lang w:val="en-US" w:eastAsia="zh-CN"/>
              </w:rPr>
              <w:t>12.5</w:t>
            </w:r>
            <w:r>
              <w:rPr>
                <w:rFonts w:hint="default" w:ascii="Times New Roman" w:hAnsi="Times New Roman" w:eastAsia="宋体" w:cs="Times New Roman"/>
                <w:color w:val="000000"/>
                <w:spacing w:val="11"/>
                <w:position w:val="0"/>
                <w:sz w:val="24"/>
                <w:szCs w:val="24"/>
                <w:highlight w:val="none"/>
                <w:u w:val="single" w:color="auto"/>
                <w:lang w:val="zh-CN" w:eastAsia="zh-CN"/>
              </w:rPr>
              <w:t xml:space="preserve">kg/h。 </w:t>
            </w:r>
          </w:p>
          <w:p w14:paraId="1A2A15D1">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zh-CN" w:eastAsia="zh-CN"/>
              </w:rPr>
            </w:pPr>
            <w:r>
              <w:rPr>
                <w:rFonts w:hint="default" w:ascii="Times New Roman" w:hAnsi="Times New Roman" w:eastAsia="宋体" w:cs="Times New Roman"/>
                <w:color w:val="000000"/>
                <w:spacing w:val="11"/>
                <w:position w:val="0"/>
                <w:sz w:val="24"/>
                <w:szCs w:val="24"/>
                <w:highlight w:val="none"/>
                <w:u w:val="single" w:color="auto"/>
                <w:lang w:val="zh-CN" w:eastAsia="zh-CN"/>
              </w:rPr>
              <w:t>项目在一筛进出料口进行封闭，产生的粉尘安装集气罩＋布袋除尘器进行收集处理，处理后由15m高排气筒DA002排放，收集效率</w:t>
            </w:r>
            <w:r>
              <w:rPr>
                <w:rFonts w:hint="eastAsia" w:cs="Times New Roman"/>
                <w:color w:val="000000"/>
                <w:spacing w:val="11"/>
                <w:position w:val="0"/>
                <w:sz w:val="24"/>
                <w:szCs w:val="24"/>
                <w:highlight w:val="none"/>
                <w:u w:val="single" w:color="auto"/>
                <w:lang w:val="en-US" w:eastAsia="zh-CN"/>
              </w:rPr>
              <w:t>75</w:t>
            </w:r>
            <w:r>
              <w:rPr>
                <w:rFonts w:hint="default" w:ascii="Times New Roman" w:hAnsi="Times New Roman" w:eastAsia="宋体" w:cs="Times New Roman"/>
                <w:color w:val="000000"/>
                <w:spacing w:val="11"/>
                <w:position w:val="0"/>
                <w:sz w:val="24"/>
                <w:szCs w:val="24"/>
                <w:highlight w:val="none"/>
                <w:u w:val="single" w:color="auto"/>
                <w:lang w:val="zh-CN" w:eastAsia="zh-CN"/>
              </w:rPr>
              <w:t>%，处理效率99%，风机风量为</w:t>
            </w:r>
            <w:r>
              <w:rPr>
                <w:rFonts w:hint="eastAsia" w:cs="Times New Roman"/>
                <w:color w:val="000000"/>
                <w:spacing w:val="11"/>
                <w:position w:val="0"/>
                <w:sz w:val="24"/>
                <w:szCs w:val="24"/>
                <w:highlight w:val="none"/>
                <w:u w:val="single" w:color="auto"/>
                <w:lang w:val="en-US" w:eastAsia="zh-CN"/>
              </w:rPr>
              <w:t>1</w:t>
            </w:r>
            <w:r>
              <w:rPr>
                <w:rFonts w:hint="default" w:ascii="Times New Roman" w:hAnsi="Times New Roman" w:eastAsia="宋体" w:cs="Times New Roman"/>
                <w:color w:val="000000"/>
                <w:spacing w:val="11"/>
                <w:position w:val="0"/>
                <w:sz w:val="24"/>
                <w:szCs w:val="24"/>
                <w:highlight w:val="none"/>
                <w:u w:val="single" w:color="auto"/>
                <w:lang w:val="zh-CN" w:eastAsia="zh-CN"/>
              </w:rPr>
              <w:t>0000m</w:t>
            </w:r>
            <w:r>
              <w:rPr>
                <w:rFonts w:hint="default" w:ascii="Times New Roman" w:hAnsi="Times New Roman" w:eastAsia="宋体" w:cs="Times New Roman"/>
                <w:color w:val="000000"/>
                <w:spacing w:val="11"/>
                <w:position w:val="0"/>
                <w:sz w:val="24"/>
                <w:szCs w:val="24"/>
                <w:highlight w:val="none"/>
                <w:u w:val="single" w:color="auto"/>
                <w:vertAlign w:val="superscript"/>
                <w:lang w:val="zh-CN" w:eastAsia="zh-CN"/>
              </w:rPr>
              <w:t>3</w:t>
            </w:r>
            <w:r>
              <w:rPr>
                <w:rFonts w:hint="default" w:ascii="Times New Roman" w:hAnsi="Times New Roman" w:eastAsia="宋体" w:cs="Times New Roman"/>
                <w:color w:val="000000"/>
                <w:spacing w:val="11"/>
                <w:position w:val="0"/>
                <w:sz w:val="24"/>
                <w:szCs w:val="24"/>
                <w:highlight w:val="none"/>
                <w:u w:val="single" w:color="auto"/>
                <w:lang w:val="zh-CN" w:eastAsia="zh-CN"/>
              </w:rPr>
              <w:t>/h，本项目筛分工序位于全封闭生产车间，且建设单位拟在筛分设备产尘点安装喷雾除尘装置，车间空气湿度高，故未被收集粉尘约90%的粉尘会沉降在车间内。</w:t>
            </w:r>
          </w:p>
          <w:p w14:paraId="5F2064E9">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zh-CN" w:eastAsia="zh-CN"/>
              </w:rPr>
            </w:pPr>
            <w:r>
              <w:rPr>
                <w:rFonts w:hint="default" w:ascii="Times New Roman" w:hAnsi="Times New Roman" w:eastAsia="宋体" w:cs="Times New Roman"/>
                <w:color w:val="000000"/>
                <w:spacing w:val="11"/>
                <w:position w:val="0"/>
                <w:sz w:val="24"/>
                <w:szCs w:val="24"/>
                <w:highlight w:val="none"/>
                <w:u w:val="single" w:color="auto"/>
                <w:lang w:val="zh-CN" w:eastAsia="zh-CN"/>
              </w:rPr>
              <w:t>因此，一筛粉尘收集量为</w:t>
            </w:r>
            <w:r>
              <w:rPr>
                <w:rFonts w:hint="eastAsia" w:cs="Times New Roman"/>
                <w:color w:val="000000"/>
                <w:spacing w:val="11"/>
                <w:position w:val="0"/>
                <w:sz w:val="24"/>
                <w:szCs w:val="24"/>
                <w:highlight w:val="none"/>
                <w:u w:val="single" w:color="auto"/>
                <w:lang w:val="en-US" w:eastAsia="zh-CN"/>
              </w:rPr>
              <w:t>22.5</w:t>
            </w:r>
            <w:r>
              <w:rPr>
                <w:rFonts w:hint="default" w:ascii="Times New Roman" w:hAnsi="Times New Roman" w:eastAsia="宋体" w:cs="Times New Roman"/>
                <w:color w:val="000000"/>
                <w:spacing w:val="11"/>
                <w:position w:val="0"/>
                <w:sz w:val="24"/>
                <w:szCs w:val="24"/>
                <w:highlight w:val="none"/>
                <w:u w:val="single" w:color="auto"/>
                <w:lang w:val="zh-CN" w:eastAsia="zh-CN"/>
              </w:rPr>
              <w:t>t/a，有组织排放量为</w:t>
            </w:r>
            <w:r>
              <w:rPr>
                <w:rFonts w:hint="eastAsia" w:cs="Times New Roman"/>
                <w:color w:val="000000"/>
                <w:spacing w:val="11"/>
                <w:position w:val="0"/>
                <w:sz w:val="24"/>
                <w:szCs w:val="24"/>
                <w:highlight w:val="none"/>
                <w:u w:val="single" w:color="auto"/>
                <w:lang w:val="en-US" w:eastAsia="zh-CN"/>
              </w:rPr>
              <w:t>0.225</w:t>
            </w:r>
            <w:r>
              <w:rPr>
                <w:rFonts w:hint="default" w:ascii="Times New Roman" w:hAnsi="Times New Roman" w:eastAsia="宋体" w:cs="Times New Roman"/>
                <w:color w:val="000000"/>
                <w:spacing w:val="11"/>
                <w:position w:val="0"/>
                <w:sz w:val="24"/>
                <w:szCs w:val="24"/>
                <w:highlight w:val="none"/>
                <w:u w:val="single" w:color="auto"/>
                <w:lang w:val="zh-CN" w:eastAsia="zh-CN"/>
              </w:rPr>
              <w:t>t/a</w:t>
            </w:r>
            <w:r>
              <w:rPr>
                <w:rFonts w:hint="eastAsia" w:cs="Times New Roman"/>
                <w:color w:val="000000"/>
                <w:spacing w:val="11"/>
                <w:position w:val="0"/>
                <w:sz w:val="24"/>
                <w:szCs w:val="24"/>
                <w:highlight w:val="none"/>
                <w:u w:val="single" w:color="auto"/>
                <w:lang w:val="zh-CN" w:eastAsia="zh-CN"/>
              </w:rPr>
              <w:t>（</w:t>
            </w:r>
            <w:r>
              <w:rPr>
                <w:rFonts w:hint="eastAsia" w:ascii="Times New Roman" w:hAnsi="Times New Roman" w:eastAsia="宋体" w:cs="Times New Roman"/>
                <w:color w:val="000000"/>
                <w:spacing w:val="11"/>
                <w:position w:val="0"/>
                <w:sz w:val="24"/>
                <w:szCs w:val="24"/>
                <w:highlight w:val="none"/>
                <w:u w:val="single" w:color="auto"/>
                <w:lang w:val="en-US" w:eastAsia="zh-CN"/>
              </w:rPr>
              <w:t>0.094</w:t>
            </w:r>
            <w:r>
              <w:rPr>
                <w:rFonts w:hint="default" w:ascii="Times New Roman" w:hAnsi="Times New Roman" w:eastAsia="宋体" w:cs="Times New Roman"/>
                <w:color w:val="000000"/>
                <w:spacing w:val="11"/>
                <w:position w:val="0"/>
                <w:sz w:val="24"/>
                <w:szCs w:val="24"/>
                <w:highlight w:val="none"/>
                <w:u w:val="single" w:color="auto"/>
                <w:lang w:val="zh-CN" w:eastAsia="zh-CN"/>
              </w:rPr>
              <w:t>kg/h</w:t>
            </w:r>
            <w:r>
              <w:rPr>
                <w:rFonts w:hint="eastAsia" w:cs="Times New Roman"/>
                <w:color w:val="000000"/>
                <w:spacing w:val="11"/>
                <w:position w:val="0"/>
                <w:sz w:val="24"/>
                <w:szCs w:val="24"/>
                <w:highlight w:val="none"/>
                <w:u w:val="single" w:color="auto"/>
                <w:lang w:val="zh-CN" w:eastAsia="zh-CN"/>
              </w:rPr>
              <w:t>）</w:t>
            </w:r>
            <w:r>
              <w:rPr>
                <w:rFonts w:hint="default" w:ascii="Times New Roman" w:hAnsi="Times New Roman" w:eastAsia="宋体" w:cs="Times New Roman"/>
                <w:color w:val="000000"/>
                <w:spacing w:val="11"/>
                <w:position w:val="0"/>
                <w:sz w:val="24"/>
                <w:szCs w:val="24"/>
                <w:highlight w:val="none"/>
                <w:u w:val="single" w:color="auto"/>
                <w:lang w:val="zh-CN" w:eastAsia="zh-CN"/>
              </w:rPr>
              <w:t>，排放浓度为</w:t>
            </w:r>
            <w:r>
              <w:rPr>
                <w:rFonts w:hint="eastAsia" w:cs="Times New Roman"/>
                <w:color w:val="000000"/>
                <w:spacing w:val="11"/>
                <w:position w:val="0"/>
                <w:sz w:val="24"/>
                <w:szCs w:val="24"/>
                <w:highlight w:val="none"/>
                <w:u w:val="single" w:color="auto"/>
                <w:lang w:val="en-US" w:eastAsia="zh-CN"/>
              </w:rPr>
              <w:t>9.4</w:t>
            </w:r>
            <w:r>
              <w:rPr>
                <w:rFonts w:hint="default" w:ascii="Times New Roman" w:hAnsi="Times New Roman" w:eastAsia="宋体" w:cs="Times New Roman"/>
                <w:color w:val="000000"/>
                <w:spacing w:val="11"/>
                <w:position w:val="0"/>
                <w:sz w:val="24"/>
                <w:szCs w:val="24"/>
                <w:highlight w:val="none"/>
                <w:u w:val="single" w:color="auto"/>
                <w:lang w:val="zh-CN" w:eastAsia="zh-CN"/>
              </w:rPr>
              <w:t>mg/m</w:t>
            </w:r>
            <w:r>
              <w:rPr>
                <w:rFonts w:hint="default" w:ascii="Times New Roman" w:hAnsi="Times New Roman" w:eastAsia="宋体" w:cs="Times New Roman"/>
                <w:color w:val="000000"/>
                <w:spacing w:val="11"/>
                <w:position w:val="0"/>
                <w:sz w:val="24"/>
                <w:szCs w:val="24"/>
                <w:highlight w:val="none"/>
                <w:u w:val="single" w:color="auto"/>
                <w:vertAlign w:val="superscript"/>
                <w:lang w:val="zh-CN" w:eastAsia="zh-CN"/>
              </w:rPr>
              <w:t>3</w:t>
            </w:r>
            <w:r>
              <w:rPr>
                <w:rFonts w:hint="default" w:ascii="Times New Roman" w:hAnsi="Times New Roman" w:eastAsia="宋体" w:cs="Times New Roman"/>
                <w:color w:val="000000"/>
                <w:spacing w:val="11"/>
                <w:position w:val="0"/>
                <w:sz w:val="24"/>
                <w:szCs w:val="24"/>
                <w:highlight w:val="none"/>
                <w:u w:val="single" w:color="auto"/>
                <w:lang w:val="zh-CN" w:eastAsia="zh-CN"/>
              </w:rPr>
              <w:t>，一筛粉尘未被收集量为</w:t>
            </w:r>
            <w:r>
              <w:rPr>
                <w:rFonts w:hint="eastAsia" w:cs="Times New Roman"/>
                <w:color w:val="000000"/>
                <w:spacing w:val="11"/>
                <w:position w:val="0"/>
                <w:sz w:val="24"/>
                <w:szCs w:val="24"/>
                <w:highlight w:val="none"/>
                <w:u w:val="single" w:color="auto"/>
                <w:lang w:val="en-US" w:eastAsia="zh-CN"/>
              </w:rPr>
              <w:t>7.5</w:t>
            </w:r>
            <w:r>
              <w:rPr>
                <w:rFonts w:hint="default" w:ascii="Times New Roman" w:hAnsi="Times New Roman" w:eastAsia="宋体" w:cs="Times New Roman"/>
                <w:color w:val="000000"/>
                <w:spacing w:val="11"/>
                <w:position w:val="0"/>
                <w:sz w:val="24"/>
                <w:szCs w:val="24"/>
                <w:highlight w:val="none"/>
                <w:u w:val="single" w:color="auto"/>
                <w:lang w:val="zh-CN" w:eastAsia="zh-CN"/>
              </w:rPr>
              <w:t>t/a，无组织排放量为</w:t>
            </w:r>
            <w:r>
              <w:rPr>
                <w:rFonts w:hint="eastAsia" w:cs="Times New Roman"/>
                <w:color w:val="000000"/>
                <w:spacing w:val="11"/>
                <w:position w:val="0"/>
                <w:sz w:val="24"/>
                <w:szCs w:val="24"/>
                <w:highlight w:val="none"/>
                <w:u w:val="single" w:color="auto"/>
                <w:lang w:val="en-US" w:eastAsia="zh-CN"/>
              </w:rPr>
              <w:t>0.75</w:t>
            </w:r>
            <w:r>
              <w:rPr>
                <w:rFonts w:hint="default" w:ascii="Times New Roman" w:hAnsi="Times New Roman" w:eastAsia="宋体" w:cs="Times New Roman"/>
                <w:color w:val="000000"/>
                <w:spacing w:val="11"/>
                <w:position w:val="0"/>
                <w:sz w:val="24"/>
                <w:szCs w:val="24"/>
                <w:highlight w:val="none"/>
                <w:u w:val="single" w:color="auto"/>
                <w:lang w:val="zh-CN" w:eastAsia="zh-CN"/>
              </w:rPr>
              <w:t>t/a，排放速率为0.</w:t>
            </w:r>
            <w:r>
              <w:rPr>
                <w:rFonts w:hint="eastAsia" w:cs="Times New Roman"/>
                <w:color w:val="000000"/>
                <w:spacing w:val="11"/>
                <w:position w:val="0"/>
                <w:sz w:val="24"/>
                <w:szCs w:val="24"/>
                <w:highlight w:val="none"/>
                <w:u w:val="single" w:color="auto"/>
                <w:lang w:val="en-US" w:eastAsia="zh-CN"/>
              </w:rPr>
              <w:t>31</w:t>
            </w:r>
            <w:r>
              <w:rPr>
                <w:rFonts w:hint="default" w:ascii="Times New Roman" w:hAnsi="Times New Roman" w:eastAsia="宋体" w:cs="Times New Roman"/>
                <w:color w:val="000000"/>
                <w:spacing w:val="11"/>
                <w:position w:val="0"/>
                <w:sz w:val="24"/>
                <w:szCs w:val="24"/>
                <w:highlight w:val="none"/>
                <w:u w:val="single" w:color="auto"/>
                <w:lang w:val="zh-CN" w:eastAsia="zh-CN"/>
              </w:rPr>
              <w:t>kg/h。</w:t>
            </w:r>
          </w:p>
          <w:p w14:paraId="64597F43">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zh-CN" w:eastAsia="zh-CN"/>
              </w:rPr>
            </w:pPr>
            <w:r>
              <w:rPr>
                <w:rFonts w:hint="default" w:ascii="Times New Roman" w:hAnsi="Times New Roman" w:eastAsia="宋体" w:cs="Times New Roman"/>
                <w:color w:val="000000"/>
                <w:spacing w:val="11"/>
                <w:position w:val="0"/>
                <w:sz w:val="24"/>
                <w:szCs w:val="24"/>
                <w:highlight w:val="none"/>
                <w:u w:val="single" w:color="auto"/>
                <w:lang w:val="zh-CN" w:eastAsia="zh-CN"/>
              </w:rPr>
              <w:t>c、二筛粉尘</w:t>
            </w:r>
          </w:p>
          <w:p w14:paraId="09E094C3">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zh-CN" w:eastAsia="zh-CN"/>
              </w:rPr>
            </w:pPr>
            <w:r>
              <w:rPr>
                <w:rFonts w:hint="default" w:ascii="Times New Roman" w:hAnsi="Times New Roman" w:eastAsia="宋体" w:cs="Times New Roman"/>
                <w:color w:val="000000"/>
                <w:spacing w:val="11"/>
                <w:position w:val="0"/>
                <w:sz w:val="24"/>
                <w:szCs w:val="24"/>
                <w:highlight w:val="none"/>
                <w:u w:val="single" w:color="auto"/>
                <w:lang w:val="zh-CN" w:eastAsia="zh-CN"/>
              </w:rPr>
              <w:t>参考《逸散性工业粉尘控制技术》、《工业污染核算》等书，并类比调查同类型加工行业产排污数据，本项目破碎生产线一筛工序起尘量约为0.05kg/t（破碎料）。破碎生产线年破碎加工矿石</w:t>
            </w:r>
            <w:r>
              <w:rPr>
                <w:rFonts w:hint="eastAsia" w:cs="Times New Roman"/>
                <w:color w:val="000000"/>
                <w:spacing w:val="11"/>
                <w:position w:val="0"/>
                <w:sz w:val="24"/>
                <w:szCs w:val="24"/>
                <w:highlight w:val="none"/>
                <w:u w:val="single" w:color="auto"/>
                <w:lang w:val="en-US" w:eastAsia="zh-CN"/>
              </w:rPr>
              <w:t>60</w:t>
            </w:r>
            <w:r>
              <w:rPr>
                <w:rFonts w:hint="default" w:ascii="Times New Roman" w:hAnsi="Times New Roman" w:eastAsia="宋体" w:cs="Times New Roman"/>
                <w:color w:val="000000"/>
                <w:spacing w:val="11"/>
                <w:position w:val="0"/>
                <w:sz w:val="24"/>
                <w:szCs w:val="24"/>
                <w:highlight w:val="none"/>
                <w:u w:val="single" w:color="auto"/>
                <w:lang w:val="zh-CN" w:eastAsia="zh-CN"/>
              </w:rPr>
              <w:t>万吨，则本项目二筛粉尘产生量约为</w:t>
            </w:r>
            <w:r>
              <w:rPr>
                <w:rFonts w:hint="eastAsia" w:cs="Times New Roman"/>
                <w:color w:val="000000"/>
                <w:spacing w:val="11"/>
                <w:position w:val="0"/>
                <w:sz w:val="24"/>
                <w:szCs w:val="24"/>
                <w:highlight w:val="none"/>
                <w:u w:val="single" w:color="auto"/>
                <w:lang w:val="en-US" w:eastAsia="zh-CN"/>
              </w:rPr>
              <w:t>30</w:t>
            </w:r>
            <w:r>
              <w:rPr>
                <w:rFonts w:hint="default" w:ascii="Times New Roman" w:hAnsi="Times New Roman" w:eastAsia="宋体" w:cs="Times New Roman"/>
                <w:color w:val="000000"/>
                <w:spacing w:val="11"/>
                <w:position w:val="0"/>
                <w:sz w:val="24"/>
                <w:szCs w:val="24"/>
                <w:highlight w:val="none"/>
                <w:u w:val="single" w:color="auto"/>
                <w:lang w:val="zh-CN" w:eastAsia="zh-CN"/>
              </w:rPr>
              <w:t>t/a，产生速率为</w:t>
            </w:r>
            <w:r>
              <w:rPr>
                <w:rFonts w:hint="eastAsia" w:cs="Times New Roman"/>
                <w:color w:val="000000"/>
                <w:spacing w:val="11"/>
                <w:position w:val="0"/>
                <w:sz w:val="24"/>
                <w:szCs w:val="24"/>
                <w:highlight w:val="none"/>
                <w:u w:val="single" w:color="auto"/>
                <w:lang w:val="en-US" w:eastAsia="zh-CN"/>
              </w:rPr>
              <w:t>12.5</w:t>
            </w:r>
            <w:r>
              <w:rPr>
                <w:rFonts w:hint="default" w:ascii="Times New Roman" w:hAnsi="Times New Roman" w:eastAsia="宋体" w:cs="Times New Roman"/>
                <w:color w:val="000000"/>
                <w:spacing w:val="11"/>
                <w:position w:val="0"/>
                <w:sz w:val="24"/>
                <w:szCs w:val="24"/>
                <w:highlight w:val="none"/>
                <w:u w:val="single" w:color="auto"/>
                <w:lang w:val="zh-CN" w:eastAsia="zh-CN"/>
              </w:rPr>
              <w:t xml:space="preserve">kg/h。 </w:t>
            </w:r>
          </w:p>
          <w:p w14:paraId="5471A4F4">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zh-CN" w:eastAsia="zh-CN"/>
              </w:rPr>
            </w:pPr>
            <w:r>
              <w:rPr>
                <w:rFonts w:hint="default" w:ascii="Times New Roman" w:hAnsi="Times New Roman" w:eastAsia="宋体" w:cs="Times New Roman"/>
                <w:color w:val="000000"/>
                <w:spacing w:val="11"/>
                <w:position w:val="0"/>
                <w:sz w:val="24"/>
                <w:szCs w:val="24"/>
                <w:highlight w:val="none"/>
                <w:u w:val="single" w:color="auto"/>
                <w:lang w:val="zh-CN" w:eastAsia="zh-CN"/>
              </w:rPr>
              <w:t>项目在二筛进出料口进行封闭，产生的粉尘安装集气罩＋布袋除尘器进行收集处理，处理后由15m高排气筒</w:t>
            </w:r>
            <w:r>
              <w:rPr>
                <w:rFonts w:hint="eastAsia" w:cs="Times New Roman"/>
                <w:color w:val="000000"/>
                <w:spacing w:val="11"/>
                <w:position w:val="0"/>
                <w:sz w:val="24"/>
                <w:szCs w:val="24"/>
                <w:highlight w:val="none"/>
                <w:u w:val="single" w:color="auto"/>
                <w:lang w:val="zh-CN" w:eastAsia="zh-CN"/>
              </w:rPr>
              <w:t>（</w:t>
            </w:r>
            <w:r>
              <w:rPr>
                <w:rFonts w:hint="default" w:ascii="Times New Roman" w:hAnsi="Times New Roman" w:eastAsia="宋体" w:cs="Times New Roman"/>
                <w:color w:val="000000"/>
                <w:spacing w:val="11"/>
                <w:position w:val="0"/>
                <w:sz w:val="24"/>
                <w:szCs w:val="24"/>
                <w:highlight w:val="none"/>
                <w:u w:val="single" w:color="auto"/>
                <w:lang w:val="zh-CN" w:eastAsia="zh-CN"/>
              </w:rPr>
              <w:t>DA00</w:t>
            </w:r>
            <w:r>
              <w:rPr>
                <w:rFonts w:hint="eastAsia" w:ascii="Times New Roman" w:hAnsi="Times New Roman" w:eastAsia="宋体" w:cs="Times New Roman"/>
                <w:color w:val="000000"/>
                <w:spacing w:val="11"/>
                <w:position w:val="0"/>
                <w:sz w:val="24"/>
                <w:szCs w:val="24"/>
                <w:highlight w:val="none"/>
                <w:u w:val="single" w:color="auto"/>
                <w:lang w:val="en-US" w:eastAsia="zh-CN"/>
              </w:rPr>
              <w:t>1</w:t>
            </w:r>
            <w:r>
              <w:rPr>
                <w:rFonts w:hint="eastAsia" w:cs="Times New Roman"/>
                <w:color w:val="000000"/>
                <w:spacing w:val="11"/>
                <w:position w:val="0"/>
                <w:sz w:val="24"/>
                <w:szCs w:val="24"/>
                <w:highlight w:val="none"/>
                <w:u w:val="single" w:color="auto"/>
                <w:lang w:val="zh-CN" w:eastAsia="zh-CN"/>
              </w:rPr>
              <w:t>）</w:t>
            </w:r>
            <w:r>
              <w:rPr>
                <w:rFonts w:hint="default" w:ascii="Times New Roman" w:hAnsi="Times New Roman" w:eastAsia="宋体" w:cs="Times New Roman"/>
                <w:color w:val="000000"/>
                <w:spacing w:val="11"/>
                <w:position w:val="0"/>
                <w:sz w:val="24"/>
                <w:szCs w:val="24"/>
                <w:highlight w:val="none"/>
                <w:u w:val="single" w:color="auto"/>
                <w:lang w:val="zh-CN" w:eastAsia="zh-CN"/>
              </w:rPr>
              <w:t>排放，收集效率</w:t>
            </w:r>
            <w:r>
              <w:rPr>
                <w:rFonts w:hint="eastAsia" w:cs="Times New Roman"/>
                <w:color w:val="000000"/>
                <w:spacing w:val="11"/>
                <w:position w:val="0"/>
                <w:sz w:val="24"/>
                <w:szCs w:val="24"/>
                <w:highlight w:val="none"/>
                <w:u w:val="single" w:color="auto"/>
                <w:lang w:val="en-US" w:eastAsia="zh-CN"/>
              </w:rPr>
              <w:t>75</w:t>
            </w:r>
            <w:r>
              <w:rPr>
                <w:rFonts w:hint="default" w:ascii="Times New Roman" w:hAnsi="Times New Roman" w:eastAsia="宋体" w:cs="Times New Roman"/>
                <w:color w:val="000000"/>
                <w:spacing w:val="11"/>
                <w:position w:val="0"/>
                <w:sz w:val="24"/>
                <w:szCs w:val="24"/>
                <w:highlight w:val="none"/>
                <w:u w:val="single" w:color="auto"/>
                <w:lang w:val="zh-CN" w:eastAsia="zh-CN"/>
              </w:rPr>
              <w:t>%，处理效率99%，风机风量为</w:t>
            </w:r>
            <w:r>
              <w:rPr>
                <w:rFonts w:hint="eastAsia" w:cs="Times New Roman"/>
                <w:color w:val="000000"/>
                <w:spacing w:val="11"/>
                <w:position w:val="0"/>
                <w:sz w:val="24"/>
                <w:szCs w:val="24"/>
                <w:highlight w:val="none"/>
                <w:u w:val="single" w:color="auto"/>
                <w:lang w:val="en-US" w:eastAsia="zh-CN"/>
              </w:rPr>
              <w:t>2</w:t>
            </w:r>
            <w:r>
              <w:rPr>
                <w:rFonts w:hint="default" w:ascii="Times New Roman" w:hAnsi="Times New Roman" w:eastAsia="宋体" w:cs="Times New Roman"/>
                <w:color w:val="000000"/>
                <w:spacing w:val="11"/>
                <w:position w:val="0"/>
                <w:sz w:val="24"/>
                <w:szCs w:val="24"/>
                <w:highlight w:val="none"/>
                <w:u w:val="single" w:color="auto"/>
                <w:lang w:val="zh-CN" w:eastAsia="zh-CN"/>
              </w:rPr>
              <w:t>0000m</w:t>
            </w:r>
            <w:r>
              <w:rPr>
                <w:rFonts w:hint="default" w:ascii="Times New Roman" w:hAnsi="Times New Roman" w:eastAsia="宋体" w:cs="Times New Roman"/>
                <w:color w:val="000000"/>
                <w:spacing w:val="11"/>
                <w:position w:val="0"/>
                <w:sz w:val="24"/>
                <w:szCs w:val="24"/>
                <w:highlight w:val="none"/>
                <w:u w:val="single" w:color="auto"/>
                <w:vertAlign w:val="superscript"/>
                <w:lang w:val="zh-CN" w:eastAsia="zh-CN"/>
              </w:rPr>
              <w:t>3</w:t>
            </w:r>
            <w:r>
              <w:rPr>
                <w:rFonts w:hint="default" w:ascii="Times New Roman" w:hAnsi="Times New Roman" w:eastAsia="宋体" w:cs="Times New Roman"/>
                <w:color w:val="000000"/>
                <w:spacing w:val="11"/>
                <w:position w:val="0"/>
                <w:sz w:val="24"/>
                <w:szCs w:val="24"/>
                <w:highlight w:val="none"/>
                <w:u w:val="single" w:color="auto"/>
                <w:lang w:val="zh-CN" w:eastAsia="zh-CN"/>
              </w:rPr>
              <w:t>/h，本项目筛分工序位于全封闭生产车间，且建设单位拟在筛分设备产尘点安装喷雾除尘装置，车间空气湿度高，故未被收集粉尘约90%的粉尘会沉降在车间内。</w:t>
            </w:r>
          </w:p>
          <w:p w14:paraId="2620237C">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zh-CN" w:eastAsia="zh-CN"/>
              </w:rPr>
            </w:pPr>
            <w:r>
              <w:rPr>
                <w:rFonts w:hint="default" w:ascii="Times New Roman" w:hAnsi="Times New Roman" w:eastAsia="宋体" w:cs="Times New Roman"/>
                <w:color w:val="000000"/>
                <w:spacing w:val="11"/>
                <w:position w:val="0"/>
                <w:sz w:val="24"/>
                <w:szCs w:val="24"/>
                <w:highlight w:val="none"/>
                <w:u w:val="single" w:color="auto"/>
                <w:lang w:val="zh-CN" w:eastAsia="zh-CN"/>
              </w:rPr>
              <w:t>因此，二筛粉尘收集量为</w:t>
            </w:r>
            <w:r>
              <w:rPr>
                <w:rFonts w:hint="eastAsia" w:cs="Times New Roman"/>
                <w:color w:val="000000"/>
                <w:spacing w:val="11"/>
                <w:position w:val="0"/>
                <w:sz w:val="24"/>
                <w:szCs w:val="24"/>
                <w:highlight w:val="none"/>
                <w:u w:val="single" w:color="auto"/>
                <w:lang w:val="en-US" w:eastAsia="zh-CN"/>
              </w:rPr>
              <w:t>22.5</w:t>
            </w:r>
            <w:r>
              <w:rPr>
                <w:rFonts w:hint="default" w:ascii="Times New Roman" w:hAnsi="Times New Roman" w:eastAsia="宋体" w:cs="Times New Roman"/>
                <w:color w:val="000000"/>
                <w:spacing w:val="11"/>
                <w:position w:val="0"/>
                <w:sz w:val="24"/>
                <w:szCs w:val="24"/>
                <w:highlight w:val="none"/>
                <w:u w:val="single" w:color="auto"/>
                <w:lang w:val="zh-CN" w:eastAsia="zh-CN"/>
              </w:rPr>
              <w:t>t/a，有组织排放量为</w:t>
            </w:r>
            <w:r>
              <w:rPr>
                <w:rFonts w:hint="eastAsia" w:cs="Times New Roman"/>
                <w:color w:val="000000"/>
                <w:spacing w:val="11"/>
                <w:position w:val="0"/>
                <w:sz w:val="24"/>
                <w:szCs w:val="24"/>
                <w:highlight w:val="none"/>
                <w:u w:val="single" w:color="auto"/>
                <w:lang w:val="en-US" w:eastAsia="zh-CN"/>
              </w:rPr>
              <w:t>0.225</w:t>
            </w:r>
            <w:r>
              <w:rPr>
                <w:rFonts w:hint="default" w:ascii="Times New Roman" w:hAnsi="Times New Roman" w:eastAsia="宋体" w:cs="Times New Roman"/>
                <w:color w:val="000000"/>
                <w:spacing w:val="11"/>
                <w:position w:val="0"/>
                <w:sz w:val="24"/>
                <w:szCs w:val="24"/>
                <w:highlight w:val="none"/>
                <w:u w:val="single" w:color="auto"/>
                <w:lang w:val="zh-CN" w:eastAsia="zh-CN"/>
              </w:rPr>
              <w:t>t/a</w:t>
            </w:r>
            <w:r>
              <w:rPr>
                <w:rFonts w:hint="eastAsia" w:cs="Times New Roman"/>
                <w:color w:val="000000"/>
                <w:spacing w:val="11"/>
                <w:position w:val="0"/>
                <w:sz w:val="24"/>
                <w:szCs w:val="24"/>
                <w:highlight w:val="none"/>
                <w:u w:val="single" w:color="auto"/>
                <w:lang w:val="zh-CN" w:eastAsia="zh-CN"/>
              </w:rPr>
              <w:t>（</w:t>
            </w:r>
            <w:r>
              <w:rPr>
                <w:rFonts w:hint="eastAsia" w:ascii="Times New Roman" w:hAnsi="Times New Roman" w:eastAsia="宋体" w:cs="Times New Roman"/>
                <w:color w:val="000000"/>
                <w:spacing w:val="11"/>
                <w:position w:val="0"/>
                <w:sz w:val="24"/>
                <w:szCs w:val="24"/>
                <w:highlight w:val="none"/>
                <w:u w:val="single" w:color="auto"/>
                <w:lang w:val="en-US" w:eastAsia="zh-CN"/>
              </w:rPr>
              <w:t>0.094</w:t>
            </w:r>
            <w:r>
              <w:rPr>
                <w:rFonts w:hint="default" w:ascii="Times New Roman" w:hAnsi="Times New Roman" w:eastAsia="宋体" w:cs="Times New Roman"/>
                <w:color w:val="000000"/>
                <w:spacing w:val="11"/>
                <w:position w:val="0"/>
                <w:sz w:val="24"/>
                <w:szCs w:val="24"/>
                <w:highlight w:val="none"/>
                <w:u w:val="single" w:color="auto"/>
                <w:lang w:val="zh-CN" w:eastAsia="zh-CN"/>
              </w:rPr>
              <w:t>kg/h</w:t>
            </w:r>
            <w:r>
              <w:rPr>
                <w:rFonts w:hint="eastAsia" w:cs="Times New Roman"/>
                <w:color w:val="000000"/>
                <w:spacing w:val="11"/>
                <w:position w:val="0"/>
                <w:sz w:val="24"/>
                <w:szCs w:val="24"/>
                <w:highlight w:val="none"/>
                <w:u w:val="single" w:color="auto"/>
                <w:lang w:val="zh-CN" w:eastAsia="zh-CN"/>
              </w:rPr>
              <w:t>）</w:t>
            </w:r>
            <w:r>
              <w:rPr>
                <w:rFonts w:hint="default" w:ascii="Times New Roman" w:hAnsi="Times New Roman" w:eastAsia="宋体" w:cs="Times New Roman"/>
                <w:color w:val="000000"/>
                <w:spacing w:val="11"/>
                <w:position w:val="0"/>
                <w:sz w:val="24"/>
                <w:szCs w:val="24"/>
                <w:highlight w:val="none"/>
                <w:u w:val="single" w:color="auto"/>
                <w:lang w:val="zh-CN" w:eastAsia="zh-CN"/>
              </w:rPr>
              <w:t>，排放浓度为</w:t>
            </w:r>
            <w:r>
              <w:rPr>
                <w:rFonts w:hint="eastAsia" w:cs="Times New Roman"/>
                <w:color w:val="000000"/>
                <w:spacing w:val="11"/>
                <w:position w:val="0"/>
                <w:sz w:val="24"/>
                <w:szCs w:val="24"/>
                <w:highlight w:val="none"/>
                <w:u w:val="single" w:color="auto"/>
                <w:lang w:val="en-US" w:eastAsia="zh-CN"/>
              </w:rPr>
              <w:t>4.7</w:t>
            </w:r>
            <w:r>
              <w:rPr>
                <w:rFonts w:hint="default" w:ascii="Times New Roman" w:hAnsi="Times New Roman" w:eastAsia="宋体" w:cs="Times New Roman"/>
                <w:color w:val="000000"/>
                <w:spacing w:val="11"/>
                <w:position w:val="0"/>
                <w:sz w:val="24"/>
                <w:szCs w:val="24"/>
                <w:highlight w:val="none"/>
                <w:u w:val="single" w:color="auto"/>
                <w:lang w:val="zh-CN" w:eastAsia="zh-CN"/>
              </w:rPr>
              <w:t>mg/m</w:t>
            </w:r>
            <w:r>
              <w:rPr>
                <w:rFonts w:hint="default" w:ascii="Times New Roman" w:hAnsi="Times New Roman" w:eastAsia="宋体" w:cs="Times New Roman"/>
                <w:color w:val="000000"/>
                <w:spacing w:val="11"/>
                <w:position w:val="0"/>
                <w:sz w:val="24"/>
                <w:szCs w:val="24"/>
                <w:highlight w:val="none"/>
                <w:u w:val="single" w:color="auto"/>
                <w:vertAlign w:val="superscript"/>
                <w:lang w:val="zh-CN" w:eastAsia="zh-CN"/>
              </w:rPr>
              <w:t>3</w:t>
            </w:r>
            <w:r>
              <w:rPr>
                <w:rFonts w:hint="default" w:ascii="Times New Roman" w:hAnsi="Times New Roman" w:eastAsia="宋体" w:cs="Times New Roman"/>
                <w:color w:val="000000"/>
                <w:spacing w:val="11"/>
                <w:position w:val="0"/>
                <w:sz w:val="24"/>
                <w:szCs w:val="24"/>
                <w:highlight w:val="none"/>
                <w:u w:val="single" w:color="auto"/>
                <w:lang w:val="zh-CN" w:eastAsia="zh-CN"/>
              </w:rPr>
              <w:t>，二筛粉尘未被收集量为</w:t>
            </w:r>
            <w:r>
              <w:rPr>
                <w:rFonts w:hint="eastAsia" w:cs="Times New Roman"/>
                <w:color w:val="000000"/>
                <w:spacing w:val="11"/>
                <w:position w:val="0"/>
                <w:sz w:val="24"/>
                <w:szCs w:val="24"/>
                <w:highlight w:val="none"/>
                <w:u w:val="single" w:color="auto"/>
                <w:lang w:val="en-US" w:eastAsia="zh-CN"/>
              </w:rPr>
              <w:t>7.5</w:t>
            </w:r>
            <w:r>
              <w:rPr>
                <w:rFonts w:hint="default" w:ascii="Times New Roman" w:hAnsi="Times New Roman" w:eastAsia="宋体" w:cs="Times New Roman"/>
                <w:color w:val="000000"/>
                <w:spacing w:val="11"/>
                <w:position w:val="0"/>
                <w:sz w:val="24"/>
                <w:szCs w:val="24"/>
                <w:highlight w:val="none"/>
                <w:u w:val="single" w:color="auto"/>
                <w:lang w:val="zh-CN" w:eastAsia="zh-CN"/>
              </w:rPr>
              <w:t>t/a，无组织排放量为</w:t>
            </w:r>
            <w:r>
              <w:rPr>
                <w:rFonts w:hint="eastAsia" w:cs="Times New Roman"/>
                <w:color w:val="000000"/>
                <w:spacing w:val="11"/>
                <w:position w:val="0"/>
                <w:sz w:val="24"/>
                <w:szCs w:val="24"/>
                <w:highlight w:val="none"/>
                <w:u w:val="single" w:color="auto"/>
                <w:lang w:val="en-US" w:eastAsia="zh-CN"/>
              </w:rPr>
              <w:t>0.75</w:t>
            </w:r>
            <w:r>
              <w:rPr>
                <w:rFonts w:hint="default" w:ascii="Times New Roman" w:hAnsi="Times New Roman" w:eastAsia="宋体" w:cs="Times New Roman"/>
                <w:color w:val="000000"/>
                <w:spacing w:val="11"/>
                <w:position w:val="0"/>
                <w:sz w:val="24"/>
                <w:szCs w:val="24"/>
                <w:highlight w:val="none"/>
                <w:u w:val="single" w:color="auto"/>
                <w:lang w:val="zh-CN" w:eastAsia="zh-CN"/>
              </w:rPr>
              <w:t>t/a，排放速率为</w:t>
            </w:r>
            <w:r>
              <w:rPr>
                <w:rFonts w:hint="eastAsia" w:cs="Times New Roman"/>
                <w:color w:val="000000"/>
                <w:spacing w:val="11"/>
                <w:position w:val="0"/>
                <w:sz w:val="24"/>
                <w:szCs w:val="24"/>
                <w:highlight w:val="none"/>
                <w:u w:val="single" w:color="auto"/>
                <w:lang w:val="en-US" w:eastAsia="zh-CN"/>
              </w:rPr>
              <w:t>0.31</w:t>
            </w:r>
            <w:r>
              <w:rPr>
                <w:rFonts w:hint="default" w:ascii="Times New Roman" w:hAnsi="Times New Roman" w:eastAsia="宋体" w:cs="Times New Roman"/>
                <w:color w:val="000000"/>
                <w:spacing w:val="11"/>
                <w:position w:val="0"/>
                <w:sz w:val="24"/>
                <w:szCs w:val="24"/>
                <w:highlight w:val="none"/>
                <w:u w:val="single" w:color="auto"/>
                <w:lang w:val="zh-CN" w:eastAsia="zh-CN"/>
              </w:rPr>
              <w:t>kg/h。</w:t>
            </w:r>
          </w:p>
          <w:p w14:paraId="77B38885">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en-US" w:eastAsia="zh-CN"/>
              </w:rPr>
            </w:pPr>
            <w:r>
              <w:rPr>
                <w:rFonts w:hint="default" w:ascii="Times New Roman" w:hAnsi="Times New Roman" w:eastAsia="宋体" w:cs="Times New Roman"/>
                <w:color w:val="000000"/>
                <w:spacing w:val="11"/>
                <w:position w:val="0"/>
                <w:sz w:val="24"/>
                <w:szCs w:val="24"/>
                <w:highlight w:val="none"/>
                <w:u w:val="single" w:color="auto"/>
                <w:lang w:val="en-US" w:eastAsia="zh-CN"/>
              </w:rPr>
              <w:t>B.机制砂破碎粉尘</w:t>
            </w:r>
          </w:p>
          <w:p w14:paraId="02CB529C">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zh-CN"/>
              </w:rPr>
            </w:pPr>
            <w:r>
              <w:rPr>
                <w:rFonts w:hint="default" w:ascii="Times New Roman" w:hAnsi="Times New Roman" w:eastAsia="宋体" w:cs="Times New Roman"/>
                <w:color w:val="000000"/>
                <w:spacing w:val="11"/>
                <w:position w:val="0"/>
                <w:sz w:val="24"/>
                <w:szCs w:val="24"/>
                <w:highlight w:val="none"/>
                <w:u w:val="single" w:color="auto"/>
                <w:lang w:val="zh-CN" w:eastAsia="zh-CN"/>
              </w:rPr>
              <w:t>本项目机制砂生产线主要利用破碎生产线制成的部分产品再次加工成机制砂，主要工艺流程为</w:t>
            </w:r>
            <w:r>
              <w:rPr>
                <w:rFonts w:hint="eastAsia" w:cs="Times New Roman"/>
                <w:color w:val="000000"/>
                <w:spacing w:val="11"/>
                <w:position w:val="0"/>
                <w:sz w:val="24"/>
                <w:szCs w:val="24"/>
                <w:highlight w:val="none"/>
                <w:u w:val="single" w:color="auto"/>
                <w:lang w:val="en-US" w:eastAsia="zh-CN"/>
              </w:rPr>
              <w:t>破碎-</w:t>
            </w:r>
            <w:r>
              <w:rPr>
                <w:rFonts w:hint="default" w:ascii="Times New Roman" w:hAnsi="Times New Roman" w:eastAsia="宋体" w:cs="Times New Roman"/>
                <w:color w:val="000000"/>
                <w:spacing w:val="11"/>
                <w:position w:val="0"/>
                <w:sz w:val="24"/>
                <w:szCs w:val="24"/>
                <w:highlight w:val="none"/>
                <w:u w:val="single" w:color="auto"/>
                <w:lang w:val="zh-CN" w:eastAsia="zh-CN"/>
              </w:rPr>
              <w:t>制砂，</w:t>
            </w:r>
            <w:r>
              <w:rPr>
                <w:rFonts w:hint="eastAsia" w:cs="Times New Roman"/>
                <w:color w:val="000000"/>
                <w:spacing w:val="11"/>
                <w:position w:val="0"/>
                <w:sz w:val="24"/>
                <w:szCs w:val="24"/>
                <w:highlight w:val="none"/>
                <w:u w:val="single" w:color="auto"/>
                <w:lang w:val="en-US" w:eastAsia="zh-CN"/>
              </w:rPr>
              <w:t>本项目为湿式制砂，因此</w:t>
            </w:r>
            <w:r>
              <w:rPr>
                <w:rFonts w:hint="default" w:ascii="Times New Roman" w:hAnsi="Times New Roman" w:eastAsia="宋体" w:cs="Times New Roman"/>
                <w:color w:val="000000"/>
                <w:spacing w:val="11"/>
                <w:position w:val="0"/>
                <w:sz w:val="24"/>
                <w:szCs w:val="24"/>
                <w:highlight w:val="none"/>
                <w:u w:val="single" w:color="auto"/>
                <w:lang w:val="zh-CN" w:eastAsia="zh-CN"/>
              </w:rPr>
              <w:t xml:space="preserve">其主要产尘点为破碎机。 </w:t>
            </w:r>
          </w:p>
          <w:p w14:paraId="11A15CE5">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zh-CN"/>
              </w:rPr>
            </w:pPr>
            <w:r>
              <w:rPr>
                <w:rFonts w:hint="default" w:ascii="Times New Roman" w:hAnsi="Times New Roman" w:eastAsia="宋体" w:cs="Times New Roman"/>
                <w:color w:val="000000"/>
                <w:spacing w:val="11"/>
                <w:position w:val="0"/>
                <w:sz w:val="24"/>
                <w:szCs w:val="24"/>
                <w:highlight w:val="none"/>
                <w:u w:val="single" w:color="auto"/>
                <w:lang w:val="zh-CN" w:eastAsia="zh-CN"/>
              </w:rPr>
              <w:t>参照《逸散性工业粉尘控制技术》、《工业污染核算》以及类比同类型加工企业数据，本次环评制砂生产线产尘量按0.5kg/t-加工料计，本项目制砂破碎生产线加工的量为</w:t>
            </w:r>
            <w:r>
              <w:rPr>
                <w:rFonts w:hint="eastAsia" w:cs="Times New Roman"/>
                <w:color w:val="000000"/>
                <w:spacing w:val="11"/>
                <w:position w:val="0"/>
                <w:sz w:val="24"/>
                <w:szCs w:val="24"/>
                <w:highlight w:val="none"/>
                <w:u w:val="single" w:color="auto"/>
                <w:lang w:val="en-US" w:eastAsia="zh-CN"/>
              </w:rPr>
              <w:t>30</w:t>
            </w:r>
            <w:r>
              <w:rPr>
                <w:rFonts w:hint="default" w:ascii="Times New Roman" w:hAnsi="Times New Roman" w:eastAsia="宋体" w:cs="Times New Roman"/>
                <w:color w:val="000000"/>
                <w:spacing w:val="11"/>
                <w:position w:val="0"/>
                <w:sz w:val="24"/>
                <w:szCs w:val="24"/>
                <w:highlight w:val="none"/>
                <w:u w:val="single" w:color="auto"/>
                <w:lang w:val="en-US" w:eastAsia="zh-CN"/>
              </w:rPr>
              <w:t>万</w:t>
            </w:r>
            <w:r>
              <w:rPr>
                <w:rFonts w:hint="default" w:ascii="Times New Roman" w:hAnsi="Times New Roman" w:eastAsia="宋体" w:cs="Times New Roman"/>
                <w:color w:val="000000"/>
                <w:spacing w:val="11"/>
                <w:position w:val="0"/>
                <w:sz w:val="24"/>
                <w:szCs w:val="24"/>
                <w:highlight w:val="none"/>
                <w:u w:val="single" w:color="auto"/>
                <w:lang w:val="zh-CN" w:eastAsia="zh-CN"/>
              </w:rPr>
              <w:t>t/a，则制砂</w:t>
            </w:r>
            <w:r>
              <w:rPr>
                <w:rFonts w:hint="eastAsia" w:cs="Times New Roman"/>
                <w:color w:val="000000"/>
                <w:spacing w:val="11"/>
                <w:position w:val="0"/>
                <w:sz w:val="24"/>
                <w:szCs w:val="24"/>
                <w:highlight w:val="none"/>
                <w:u w:val="single" w:color="auto"/>
                <w:lang w:val="en-US" w:eastAsia="zh-CN"/>
              </w:rPr>
              <w:t>破碎</w:t>
            </w:r>
            <w:r>
              <w:rPr>
                <w:rFonts w:hint="default" w:ascii="Times New Roman" w:hAnsi="Times New Roman" w:eastAsia="宋体" w:cs="Times New Roman"/>
                <w:color w:val="000000"/>
                <w:spacing w:val="11"/>
                <w:position w:val="0"/>
                <w:sz w:val="24"/>
                <w:szCs w:val="24"/>
                <w:highlight w:val="none"/>
                <w:u w:val="single" w:color="auto"/>
                <w:lang w:val="zh-CN" w:eastAsia="zh-CN"/>
              </w:rPr>
              <w:t>生产线的粉尘产生量为</w:t>
            </w:r>
            <w:r>
              <w:rPr>
                <w:rFonts w:hint="eastAsia" w:cs="Times New Roman"/>
                <w:color w:val="000000"/>
                <w:spacing w:val="11"/>
                <w:position w:val="0"/>
                <w:sz w:val="24"/>
                <w:szCs w:val="24"/>
                <w:highlight w:val="none"/>
                <w:u w:val="single" w:color="auto"/>
                <w:lang w:val="en-US" w:eastAsia="zh-CN"/>
              </w:rPr>
              <w:t>150</w:t>
            </w:r>
            <w:r>
              <w:rPr>
                <w:rFonts w:hint="default" w:ascii="Times New Roman" w:hAnsi="Times New Roman" w:eastAsia="宋体" w:cs="Times New Roman"/>
                <w:color w:val="000000"/>
                <w:spacing w:val="11"/>
                <w:position w:val="0"/>
                <w:sz w:val="24"/>
                <w:szCs w:val="24"/>
                <w:highlight w:val="none"/>
                <w:u w:val="single" w:color="auto"/>
                <w:lang w:val="zh-CN" w:eastAsia="zh-CN"/>
              </w:rPr>
              <w:t>t/a，产生速率为</w:t>
            </w:r>
            <w:r>
              <w:rPr>
                <w:rFonts w:hint="eastAsia" w:cs="Times New Roman"/>
                <w:color w:val="000000"/>
                <w:spacing w:val="11"/>
                <w:position w:val="0"/>
                <w:sz w:val="24"/>
                <w:szCs w:val="24"/>
                <w:highlight w:val="none"/>
                <w:u w:val="single" w:color="auto"/>
                <w:lang w:val="en-US" w:eastAsia="zh-CN"/>
              </w:rPr>
              <w:t>62.5</w:t>
            </w:r>
            <w:r>
              <w:rPr>
                <w:rFonts w:hint="default" w:ascii="Times New Roman" w:hAnsi="Times New Roman" w:eastAsia="宋体" w:cs="Times New Roman"/>
                <w:color w:val="000000"/>
                <w:spacing w:val="11"/>
                <w:position w:val="0"/>
                <w:sz w:val="24"/>
                <w:szCs w:val="24"/>
                <w:highlight w:val="none"/>
                <w:u w:val="single" w:color="auto"/>
                <w:lang w:val="zh-CN" w:eastAsia="zh-CN"/>
              </w:rPr>
              <w:t xml:space="preserve">kg/h。 </w:t>
            </w:r>
          </w:p>
          <w:p w14:paraId="4AEBFBFC">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zh-CN"/>
              </w:rPr>
            </w:pPr>
            <w:r>
              <w:rPr>
                <w:rFonts w:hint="default" w:ascii="Times New Roman" w:hAnsi="Times New Roman" w:eastAsia="宋体" w:cs="Times New Roman"/>
                <w:color w:val="000000"/>
                <w:spacing w:val="11"/>
                <w:position w:val="0"/>
                <w:sz w:val="24"/>
                <w:szCs w:val="24"/>
                <w:highlight w:val="none"/>
                <w:u w:val="single" w:color="auto"/>
                <w:lang w:val="zh-CN" w:eastAsia="zh-CN"/>
              </w:rPr>
              <w:t>本项目制砂生产线</w:t>
            </w:r>
            <w:r>
              <w:rPr>
                <w:rFonts w:hint="eastAsia" w:cs="Times New Roman"/>
                <w:color w:val="000000"/>
                <w:spacing w:val="11"/>
                <w:position w:val="0"/>
                <w:sz w:val="24"/>
                <w:szCs w:val="24"/>
                <w:highlight w:val="none"/>
                <w:u w:val="single" w:color="auto"/>
                <w:lang w:val="en-US" w:eastAsia="zh-CN"/>
              </w:rPr>
              <w:t>位于全</w:t>
            </w:r>
            <w:r>
              <w:rPr>
                <w:rFonts w:hint="default" w:ascii="Times New Roman" w:hAnsi="Times New Roman" w:eastAsia="宋体" w:cs="Times New Roman"/>
                <w:color w:val="000000"/>
                <w:spacing w:val="11"/>
                <w:position w:val="0"/>
                <w:sz w:val="24"/>
                <w:szCs w:val="24"/>
                <w:highlight w:val="none"/>
                <w:u w:val="single" w:color="auto"/>
                <w:lang w:val="zh-CN" w:eastAsia="zh-CN"/>
              </w:rPr>
              <w:t>封闭式生产车间</w:t>
            </w:r>
            <w:r>
              <w:rPr>
                <w:rFonts w:hint="eastAsia" w:cs="Times New Roman"/>
                <w:color w:val="000000"/>
                <w:spacing w:val="11"/>
                <w:position w:val="0"/>
                <w:sz w:val="24"/>
                <w:szCs w:val="24"/>
                <w:highlight w:val="none"/>
                <w:u w:val="single" w:color="auto"/>
                <w:lang w:val="en-US" w:eastAsia="zh-CN"/>
              </w:rPr>
              <w:t>内</w:t>
            </w:r>
            <w:r>
              <w:rPr>
                <w:rFonts w:hint="default" w:ascii="Times New Roman" w:hAnsi="Times New Roman" w:eastAsia="宋体" w:cs="Times New Roman"/>
                <w:color w:val="000000"/>
                <w:spacing w:val="11"/>
                <w:position w:val="0"/>
                <w:sz w:val="24"/>
                <w:szCs w:val="24"/>
                <w:highlight w:val="none"/>
                <w:u w:val="single" w:color="auto"/>
                <w:lang w:val="zh-CN" w:eastAsia="zh-CN"/>
              </w:rPr>
              <w:t>，采用密闭输送带，项目在破碎机进出料口进行封闭，产生的粉尘安装集气罩＋布袋除尘器进行收集处理，处理后由15m高排气筒</w:t>
            </w:r>
            <w:r>
              <w:rPr>
                <w:rFonts w:hint="eastAsia" w:cs="Times New Roman"/>
                <w:color w:val="000000"/>
                <w:spacing w:val="11"/>
                <w:position w:val="0"/>
                <w:sz w:val="24"/>
                <w:szCs w:val="24"/>
                <w:highlight w:val="none"/>
                <w:u w:val="single" w:color="auto"/>
                <w:lang w:val="zh-CN" w:eastAsia="zh-CN"/>
              </w:rPr>
              <w:t>（</w:t>
            </w:r>
            <w:r>
              <w:rPr>
                <w:rFonts w:hint="default" w:ascii="Times New Roman" w:hAnsi="Times New Roman" w:eastAsia="宋体" w:cs="Times New Roman"/>
                <w:color w:val="000000"/>
                <w:spacing w:val="11"/>
                <w:position w:val="0"/>
                <w:sz w:val="24"/>
                <w:szCs w:val="24"/>
                <w:highlight w:val="none"/>
                <w:u w:val="single" w:color="auto"/>
                <w:lang w:val="zh-CN" w:eastAsia="zh-CN"/>
              </w:rPr>
              <w:t>DA00</w:t>
            </w:r>
            <w:r>
              <w:rPr>
                <w:rFonts w:hint="default" w:ascii="Times New Roman" w:hAnsi="Times New Roman" w:eastAsia="宋体" w:cs="Times New Roman"/>
                <w:color w:val="000000"/>
                <w:spacing w:val="11"/>
                <w:position w:val="0"/>
                <w:sz w:val="24"/>
                <w:szCs w:val="24"/>
                <w:highlight w:val="none"/>
                <w:u w:val="single" w:color="auto"/>
                <w:lang w:val="en-US" w:eastAsia="zh-CN"/>
              </w:rPr>
              <w:t>3</w:t>
            </w:r>
            <w:r>
              <w:rPr>
                <w:rFonts w:hint="eastAsia" w:cs="Times New Roman"/>
                <w:color w:val="000000"/>
                <w:spacing w:val="11"/>
                <w:position w:val="0"/>
                <w:sz w:val="24"/>
                <w:szCs w:val="24"/>
                <w:highlight w:val="none"/>
                <w:u w:val="single" w:color="auto"/>
                <w:lang w:val="zh-CN" w:eastAsia="zh-CN"/>
              </w:rPr>
              <w:t>）</w:t>
            </w:r>
            <w:r>
              <w:rPr>
                <w:rFonts w:hint="default" w:ascii="Times New Roman" w:hAnsi="Times New Roman" w:eastAsia="宋体" w:cs="Times New Roman"/>
                <w:color w:val="000000"/>
                <w:spacing w:val="11"/>
                <w:position w:val="0"/>
                <w:sz w:val="24"/>
                <w:szCs w:val="24"/>
                <w:highlight w:val="none"/>
                <w:u w:val="single" w:color="auto"/>
                <w:lang w:val="zh-CN" w:eastAsia="zh-CN"/>
              </w:rPr>
              <w:t>排放，收集效率</w:t>
            </w:r>
            <w:r>
              <w:rPr>
                <w:rFonts w:hint="eastAsia" w:cs="Times New Roman"/>
                <w:color w:val="000000"/>
                <w:spacing w:val="11"/>
                <w:position w:val="0"/>
                <w:sz w:val="24"/>
                <w:szCs w:val="24"/>
                <w:highlight w:val="none"/>
                <w:u w:val="single" w:color="auto"/>
                <w:lang w:val="en-US" w:eastAsia="zh-CN"/>
              </w:rPr>
              <w:t>75</w:t>
            </w:r>
            <w:r>
              <w:rPr>
                <w:rFonts w:hint="default" w:ascii="Times New Roman" w:hAnsi="Times New Roman" w:eastAsia="宋体" w:cs="Times New Roman"/>
                <w:color w:val="000000"/>
                <w:spacing w:val="11"/>
                <w:position w:val="0"/>
                <w:sz w:val="24"/>
                <w:szCs w:val="24"/>
                <w:highlight w:val="none"/>
                <w:u w:val="single" w:color="auto"/>
                <w:lang w:val="zh-CN" w:eastAsia="zh-CN"/>
              </w:rPr>
              <w:t>%，处理效率99%，风机风量为</w:t>
            </w:r>
            <w:r>
              <w:rPr>
                <w:rFonts w:hint="default" w:ascii="Times New Roman" w:hAnsi="Times New Roman" w:eastAsia="宋体" w:cs="Times New Roman"/>
                <w:color w:val="000000"/>
                <w:spacing w:val="11"/>
                <w:position w:val="0"/>
                <w:sz w:val="24"/>
                <w:szCs w:val="24"/>
                <w:highlight w:val="none"/>
                <w:u w:val="single" w:color="auto"/>
                <w:lang w:val="en-US" w:eastAsia="zh-CN"/>
              </w:rPr>
              <w:t>1</w:t>
            </w:r>
            <w:r>
              <w:rPr>
                <w:rFonts w:hint="default" w:ascii="Times New Roman" w:hAnsi="Times New Roman" w:eastAsia="宋体" w:cs="Times New Roman"/>
                <w:color w:val="000000"/>
                <w:spacing w:val="11"/>
                <w:position w:val="0"/>
                <w:sz w:val="24"/>
                <w:szCs w:val="24"/>
                <w:highlight w:val="none"/>
                <w:u w:val="single" w:color="auto"/>
                <w:lang w:val="zh-CN" w:eastAsia="zh-CN"/>
              </w:rPr>
              <w:t>0000m</w:t>
            </w:r>
            <w:r>
              <w:rPr>
                <w:rFonts w:hint="default" w:ascii="Times New Roman" w:hAnsi="Times New Roman" w:eastAsia="宋体" w:cs="Times New Roman"/>
                <w:color w:val="000000"/>
                <w:spacing w:val="11"/>
                <w:position w:val="0"/>
                <w:sz w:val="24"/>
                <w:szCs w:val="24"/>
                <w:highlight w:val="none"/>
                <w:u w:val="single" w:color="auto"/>
                <w:vertAlign w:val="superscript"/>
                <w:lang w:val="zh-CN" w:eastAsia="zh-CN"/>
              </w:rPr>
              <w:t>3</w:t>
            </w:r>
            <w:r>
              <w:rPr>
                <w:rFonts w:hint="default" w:ascii="Times New Roman" w:hAnsi="Times New Roman" w:eastAsia="宋体" w:cs="Times New Roman"/>
                <w:color w:val="000000"/>
                <w:spacing w:val="11"/>
                <w:position w:val="0"/>
                <w:sz w:val="24"/>
                <w:szCs w:val="24"/>
                <w:highlight w:val="none"/>
                <w:u w:val="single" w:color="auto"/>
                <w:lang w:val="zh-CN" w:eastAsia="zh-CN"/>
              </w:rPr>
              <w:t>/h，且建设单位拟在破碎机产尘点安装喷雾除尘装置，车间空气湿度高，故未被收集粉尘约90%的粉尘会沉降在车间内。</w:t>
            </w:r>
          </w:p>
          <w:p w14:paraId="0DE33908">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zh-CN" w:eastAsia="zh-CN"/>
              </w:rPr>
            </w:pPr>
            <w:r>
              <w:rPr>
                <w:rFonts w:hint="default" w:ascii="Times New Roman" w:hAnsi="Times New Roman" w:eastAsia="宋体" w:cs="Times New Roman"/>
                <w:color w:val="000000"/>
                <w:spacing w:val="11"/>
                <w:position w:val="0"/>
                <w:sz w:val="24"/>
                <w:szCs w:val="24"/>
                <w:highlight w:val="none"/>
                <w:u w:val="single" w:color="auto"/>
                <w:lang w:val="zh-CN" w:eastAsia="zh-CN"/>
              </w:rPr>
              <w:t>因此，破碎粉尘收集量为</w:t>
            </w:r>
            <w:r>
              <w:rPr>
                <w:rFonts w:hint="eastAsia" w:cs="Times New Roman"/>
                <w:color w:val="000000"/>
                <w:spacing w:val="11"/>
                <w:position w:val="0"/>
                <w:sz w:val="24"/>
                <w:szCs w:val="24"/>
                <w:highlight w:val="none"/>
                <w:u w:val="single" w:color="auto"/>
                <w:lang w:val="en-US" w:eastAsia="zh-CN"/>
              </w:rPr>
              <w:t>112.5</w:t>
            </w:r>
            <w:r>
              <w:rPr>
                <w:rFonts w:hint="default" w:ascii="Times New Roman" w:hAnsi="Times New Roman" w:eastAsia="宋体" w:cs="Times New Roman"/>
                <w:color w:val="000000"/>
                <w:spacing w:val="11"/>
                <w:position w:val="0"/>
                <w:sz w:val="24"/>
                <w:szCs w:val="24"/>
                <w:highlight w:val="none"/>
                <w:u w:val="single" w:color="auto"/>
                <w:lang w:val="zh-CN" w:eastAsia="zh-CN"/>
              </w:rPr>
              <w:t>t/a，有组织排放量为</w:t>
            </w:r>
            <w:r>
              <w:rPr>
                <w:rFonts w:hint="eastAsia" w:cs="Times New Roman"/>
                <w:color w:val="000000"/>
                <w:spacing w:val="11"/>
                <w:position w:val="0"/>
                <w:sz w:val="24"/>
                <w:szCs w:val="24"/>
                <w:highlight w:val="none"/>
                <w:u w:val="single" w:color="auto"/>
                <w:lang w:val="en-US" w:eastAsia="zh-CN"/>
              </w:rPr>
              <w:t>1.125</w:t>
            </w:r>
            <w:r>
              <w:rPr>
                <w:rFonts w:hint="default" w:ascii="Times New Roman" w:hAnsi="Times New Roman" w:eastAsia="宋体" w:cs="Times New Roman"/>
                <w:color w:val="000000"/>
                <w:spacing w:val="11"/>
                <w:position w:val="0"/>
                <w:sz w:val="24"/>
                <w:szCs w:val="24"/>
                <w:highlight w:val="none"/>
                <w:u w:val="single" w:color="auto"/>
                <w:lang w:val="zh-CN" w:eastAsia="zh-CN"/>
              </w:rPr>
              <w:t>t/a</w:t>
            </w:r>
            <w:r>
              <w:rPr>
                <w:rFonts w:hint="eastAsia" w:cs="Times New Roman"/>
                <w:color w:val="000000"/>
                <w:spacing w:val="11"/>
                <w:position w:val="0"/>
                <w:sz w:val="24"/>
                <w:szCs w:val="24"/>
                <w:highlight w:val="none"/>
                <w:u w:val="single" w:color="auto"/>
                <w:lang w:val="zh-CN" w:eastAsia="zh-CN"/>
              </w:rPr>
              <w:t>（</w:t>
            </w:r>
            <w:r>
              <w:rPr>
                <w:rFonts w:hint="eastAsia" w:ascii="Times New Roman" w:hAnsi="Times New Roman" w:eastAsia="宋体" w:cs="Times New Roman"/>
                <w:color w:val="000000"/>
                <w:spacing w:val="11"/>
                <w:position w:val="0"/>
                <w:sz w:val="24"/>
                <w:szCs w:val="24"/>
                <w:highlight w:val="none"/>
                <w:u w:val="single" w:color="auto"/>
                <w:lang w:val="en-US" w:eastAsia="zh-CN"/>
              </w:rPr>
              <w:t>0.47</w:t>
            </w:r>
            <w:r>
              <w:rPr>
                <w:rFonts w:hint="default" w:ascii="Times New Roman" w:hAnsi="Times New Roman" w:eastAsia="宋体" w:cs="Times New Roman"/>
                <w:color w:val="000000"/>
                <w:spacing w:val="11"/>
                <w:position w:val="0"/>
                <w:sz w:val="24"/>
                <w:szCs w:val="24"/>
                <w:highlight w:val="none"/>
                <w:u w:val="single" w:color="auto"/>
                <w:lang w:val="zh-CN" w:eastAsia="zh-CN"/>
              </w:rPr>
              <w:t>kg/h</w:t>
            </w:r>
            <w:r>
              <w:rPr>
                <w:rFonts w:hint="eastAsia" w:cs="Times New Roman"/>
                <w:color w:val="000000"/>
                <w:spacing w:val="11"/>
                <w:position w:val="0"/>
                <w:sz w:val="24"/>
                <w:szCs w:val="24"/>
                <w:highlight w:val="none"/>
                <w:u w:val="single" w:color="auto"/>
                <w:lang w:val="zh-CN" w:eastAsia="zh-CN"/>
              </w:rPr>
              <w:t>）</w:t>
            </w:r>
            <w:r>
              <w:rPr>
                <w:rFonts w:hint="default" w:ascii="Times New Roman" w:hAnsi="Times New Roman" w:eastAsia="宋体" w:cs="Times New Roman"/>
                <w:color w:val="000000"/>
                <w:spacing w:val="11"/>
                <w:position w:val="0"/>
                <w:sz w:val="24"/>
                <w:szCs w:val="24"/>
                <w:highlight w:val="none"/>
                <w:u w:val="single" w:color="auto"/>
                <w:lang w:val="zh-CN" w:eastAsia="zh-CN"/>
              </w:rPr>
              <w:t>，排放浓度为</w:t>
            </w:r>
            <w:r>
              <w:rPr>
                <w:rFonts w:hint="eastAsia" w:cs="Times New Roman"/>
                <w:color w:val="000000"/>
                <w:spacing w:val="11"/>
                <w:position w:val="0"/>
                <w:sz w:val="24"/>
                <w:szCs w:val="24"/>
                <w:highlight w:val="none"/>
                <w:u w:val="single" w:color="auto"/>
                <w:lang w:val="en-US" w:eastAsia="zh-CN"/>
              </w:rPr>
              <w:t>47</w:t>
            </w:r>
            <w:r>
              <w:rPr>
                <w:rFonts w:hint="default" w:ascii="Times New Roman" w:hAnsi="Times New Roman" w:eastAsia="宋体" w:cs="Times New Roman"/>
                <w:color w:val="000000"/>
                <w:spacing w:val="11"/>
                <w:position w:val="0"/>
                <w:sz w:val="24"/>
                <w:szCs w:val="24"/>
                <w:highlight w:val="none"/>
                <w:u w:val="single" w:color="auto"/>
                <w:lang w:val="zh-CN" w:eastAsia="zh-CN"/>
              </w:rPr>
              <w:t>mg/m</w:t>
            </w:r>
            <w:r>
              <w:rPr>
                <w:rFonts w:hint="default" w:ascii="Times New Roman" w:hAnsi="Times New Roman" w:eastAsia="宋体" w:cs="Times New Roman"/>
                <w:color w:val="000000"/>
                <w:spacing w:val="11"/>
                <w:position w:val="0"/>
                <w:sz w:val="24"/>
                <w:szCs w:val="24"/>
                <w:highlight w:val="none"/>
                <w:u w:val="single" w:color="auto"/>
                <w:vertAlign w:val="superscript"/>
                <w:lang w:val="zh-CN" w:eastAsia="zh-CN"/>
              </w:rPr>
              <w:t>3</w:t>
            </w:r>
            <w:r>
              <w:rPr>
                <w:rFonts w:hint="default" w:ascii="Times New Roman" w:hAnsi="Times New Roman" w:eastAsia="宋体" w:cs="Times New Roman"/>
                <w:color w:val="000000"/>
                <w:spacing w:val="11"/>
                <w:position w:val="0"/>
                <w:sz w:val="24"/>
                <w:szCs w:val="24"/>
                <w:highlight w:val="none"/>
                <w:u w:val="single" w:color="auto"/>
                <w:lang w:val="zh-CN" w:eastAsia="zh-CN"/>
              </w:rPr>
              <w:t>，破碎粉尘未被收集量为</w:t>
            </w:r>
            <w:r>
              <w:rPr>
                <w:rFonts w:hint="eastAsia" w:cs="Times New Roman"/>
                <w:color w:val="000000"/>
                <w:spacing w:val="11"/>
                <w:position w:val="0"/>
                <w:sz w:val="24"/>
                <w:szCs w:val="24"/>
                <w:highlight w:val="none"/>
                <w:u w:val="single" w:color="auto"/>
                <w:lang w:val="en-US" w:eastAsia="zh-CN"/>
              </w:rPr>
              <w:t>37.5</w:t>
            </w:r>
            <w:r>
              <w:rPr>
                <w:rFonts w:hint="default" w:ascii="Times New Roman" w:hAnsi="Times New Roman" w:eastAsia="宋体" w:cs="Times New Roman"/>
                <w:color w:val="000000"/>
                <w:spacing w:val="11"/>
                <w:position w:val="0"/>
                <w:sz w:val="24"/>
                <w:szCs w:val="24"/>
                <w:highlight w:val="none"/>
                <w:u w:val="single" w:color="auto"/>
                <w:lang w:val="zh-CN" w:eastAsia="zh-CN"/>
              </w:rPr>
              <w:t>t/a，无组织排放量为</w:t>
            </w:r>
            <w:r>
              <w:rPr>
                <w:rFonts w:hint="eastAsia" w:cs="Times New Roman"/>
                <w:color w:val="000000"/>
                <w:spacing w:val="11"/>
                <w:position w:val="0"/>
                <w:sz w:val="24"/>
                <w:szCs w:val="24"/>
                <w:highlight w:val="none"/>
                <w:u w:val="single" w:color="auto"/>
                <w:lang w:val="en-US" w:eastAsia="zh-CN"/>
              </w:rPr>
              <w:t>3.75</w:t>
            </w:r>
            <w:r>
              <w:rPr>
                <w:rFonts w:hint="default" w:ascii="Times New Roman" w:hAnsi="Times New Roman" w:eastAsia="宋体" w:cs="Times New Roman"/>
                <w:color w:val="000000"/>
                <w:spacing w:val="11"/>
                <w:position w:val="0"/>
                <w:sz w:val="24"/>
                <w:szCs w:val="24"/>
                <w:highlight w:val="none"/>
                <w:u w:val="single" w:color="auto"/>
                <w:lang w:val="zh-CN" w:eastAsia="zh-CN"/>
              </w:rPr>
              <w:t>t/a，排放速率为</w:t>
            </w:r>
            <w:r>
              <w:rPr>
                <w:rFonts w:hint="eastAsia" w:cs="Times New Roman"/>
                <w:color w:val="000000"/>
                <w:spacing w:val="11"/>
                <w:position w:val="0"/>
                <w:sz w:val="24"/>
                <w:szCs w:val="24"/>
                <w:highlight w:val="none"/>
                <w:u w:val="single" w:color="auto"/>
                <w:lang w:val="en-US" w:eastAsia="zh-CN"/>
              </w:rPr>
              <w:t>1.56</w:t>
            </w:r>
            <w:r>
              <w:rPr>
                <w:rFonts w:hint="default" w:ascii="Times New Roman" w:hAnsi="Times New Roman" w:eastAsia="宋体" w:cs="Times New Roman"/>
                <w:color w:val="000000"/>
                <w:spacing w:val="11"/>
                <w:position w:val="0"/>
                <w:sz w:val="24"/>
                <w:szCs w:val="24"/>
                <w:highlight w:val="none"/>
                <w:u w:val="single" w:color="auto"/>
                <w:lang w:val="zh-CN" w:eastAsia="zh-CN"/>
              </w:rPr>
              <w:t>kg/h。</w:t>
            </w:r>
          </w:p>
          <w:p w14:paraId="1376A820">
            <w:pPr>
              <w:pStyle w:val="17"/>
              <w:keepNext w:val="0"/>
              <w:keepLines w:val="0"/>
              <w:pageBreakBefore w:val="0"/>
              <w:kinsoku/>
              <w:wordWrap/>
              <w:overflowPunct/>
              <w:topLinePunct w:val="0"/>
              <w:bidi w:val="0"/>
              <w:adjustRightInd w:val="0"/>
              <w:snapToGrid w:val="0"/>
              <w:spacing w:before="0" w:after="0" w:line="360" w:lineRule="auto"/>
              <w:ind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en-US" w:eastAsia="zh-CN"/>
              </w:rPr>
            </w:pPr>
            <w:r>
              <w:rPr>
                <w:rFonts w:hint="eastAsia" w:cs="Times New Roman"/>
                <w:color w:val="000000"/>
                <w:spacing w:val="11"/>
                <w:position w:val="0"/>
                <w:sz w:val="24"/>
                <w:szCs w:val="24"/>
                <w:highlight w:val="none"/>
                <w:u w:val="single" w:color="auto"/>
                <w:lang w:val="zh-CN" w:eastAsia="zh-CN"/>
              </w:rPr>
              <w:t>（</w:t>
            </w:r>
            <w:r>
              <w:rPr>
                <w:rFonts w:hint="eastAsia" w:cs="Times New Roman"/>
                <w:color w:val="000000"/>
                <w:spacing w:val="11"/>
                <w:position w:val="0"/>
                <w:sz w:val="24"/>
                <w:szCs w:val="24"/>
                <w:highlight w:val="none"/>
                <w:u w:val="single" w:color="auto"/>
                <w:lang w:val="en-US" w:eastAsia="zh-CN"/>
              </w:rPr>
              <w:t>9</w:t>
            </w:r>
            <w:r>
              <w:rPr>
                <w:rFonts w:hint="eastAsia" w:cs="Times New Roman"/>
                <w:color w:val="000000"/>
                <w:spacing w:val="11"/>
                <w:position w:val="0"/>
                <w:sz w:val="24"/>
                <w:szCs w:val="24"/>
                <w:highlight w:val="none"/>
                <w:u w:val="single" w:color="auto"/>
                <w:lang w:val="zh-CN" w:eastAsia="zh-CN"/>
              </w:rPr>
              <w:t>）</w:t>
            </w:r>
            <w:r>
              <w:rPr>
                <w:rFonts w:hint="eastAsia" w:cs="Times New Roman"/>
                <w:color w:val="000000"/>
                <w:spacing w:val="11"/>
                <w:position w:val="0"/>
                <w:sz w:val="24"/>
                <w:szCs w:val="24"/>
                <w:highlight w:val="none"/>
                <w:u w:val="single" w:color="auto"/>
                <w:lang w:val="en-US" w:eastAsia="zh-CN"/>
              </w:rPr>
              <w:t>食堂油烟</w:t>
            </w:r>
          </w:p>
          <w:p w14:paraId="00167C92">
            <w:pPr>
              <w:keepNext w:val="0"/>
              <w:keepLines w:val="0"/>
              <w:pageBreakBefore w:val="0"/>
              <w:widowControl w:val="0"/>
              <w:kinsoku/>
              <w:wordWrap/>
              <w:overflowPunct/>
              <w:topLinePunct w:val="0"/>
              <w:bidi w:val="0"/>
              <w:adjustRightInd w:val="0"/>
              <w:snapToGrid w:val="0"/>
              <w:spacing w:line="360" w:lineRule="auto"/>
              <w:ind w:right="0" w:firstLine="524" w:firstLineChars="200"/>
              <w:jc w:val="both"/>
              <w:textAlignment w:val="auto"/>
              <w:rPr>
                <w:rFonts w:hint="default"/>
                <w:u w:val="single" w:color="auto"/>
                <w:lang w:val="zh-CN"/>
              </w:rPr>
            </w:pPr>
            <w:r>
              <w:rPr>
                <w:rFonts w:hint="eastAsia" w:ascii="Times New Roman" w:hAnsi="Times New Roman" w:eastAsia="宋体" w:cs="Times New Roman"/>
                <w:b w:val="0"/>
                <w:bCs w:val="0"/>
                <w:color w:val="auto"/>
                <w:spacing w:val="11"/>
                <w:kern w:val="2"/>
                <w:sz w:val="24"/>
                <w:szCs w:val="21"/>
                <w:highlight w:val="none"/>
                <w:u w:val="single" w:color="auto"/>
                <w:lang w:val="en-US" w:eastAsia="zh-CN" w:bidi="ar-SA"/>
              </w:rPr>
              <w:t>本项目食堂最大就餐人数为20人，每人每日消耗食用油以0.05kg计，则消耗食用油1kg/d（0.3t/a），在烹饪时油烟产生量约3%，则食堂油烟产生量约0.03kg/d（0.009t/a）。食堂安装油烟分离机1台，排风量为2000m</w:t>
            </w:r>
            <w:r>
              <w:rPr>
                <w:rFonts w:hint="eastAsia" w:ascii="Times New Roman" w:hAnsi="Times New Roman" w:eastAsia="宋体" w:cs="Times New Roman"/>
                <w:b w:val="0"/>
                <w:bCs w:val="0"/>
                <w:color w:val="auto"/>
                <w:spacing w:val="11"/>
                <w:kern w:val="2"/>
                <w:sz w:val="24"/>
                <w:szCs w:val="21"/>
                <w:highlight w:val="none"/>
                <w:u w:val="single" w:color="auto"/>
                <w:vertAlign w:val="superscript"/>
                <w:lang w:val="en-US" w:eastAsia="zh-CN" w:bidi="ar-SA"/>
              </w:rPr>
              <w:t>3</w:t>
            </w:r>
            <w:r>
              <w:rPr>
                <w:rFonts w:hint="eastAsia" w:ascii="Times New Roman" w:hAnsi="Times New Roman" w:eastAsia="宋体" w:cs="Times New Roman"/>
                <w:b w:val="0"/>
                <w:bCs w:val="0"/>
                <w:color w:val="auto"/>
                <w:spacing w:val="11"/>
                <w:kern w:val="2"/>
                <w:sz w:val="24"/>
                <w:szCs w:val="21"/>
                <w:highlight w:val="none"/>
                <w:u w:val="single" w:color="auto"/>
                <w:lang w:val="en-US" w:eastAsia="zh-CN" w:bidi="ar-SA"/>
              </w:rPr>
              <w:t>/h，油烟去除率为60%，每天烹饪4h，则运营期厨房所排油烟量为0.0036t/a，排放浓度为1.5mg/m</w:t>
            </w:r>
            <w:r>
              <w:rPr>
                <w:rFonts w:hint="eastAsia" w:ascii="Times New Roman" w:hAnsi="Times New Roman" w:eastAsia="宋体" w:cs="Times New Roman"/>
                <w:b w:val="0"/>
                <w:bCs w:val="0"/>
                <w:color w:val="auto"/>
                <w:spacing w:val="11"/>
                <w:kern w:val="2"/>
                <w:sz w:val="24"/>
                <w:szCs w:val="21"/>
                <w:highlight w:val="none"/>
                <w:u w:val="single" w:color="auto"/>
                <w:vertAlign w:val="superscript"/>
                <w:lang w:val="en-US" w:eastAsia="zh-CN" w:bidi="ar-SA"/>
              </w:rPr>
              <w:t>3</w:t>
            </w:r>
            <w:r>
              <w:rPr>
                <w:rFonts w:hint="eastAsia" w:ascii="Times New Roman" w:hAnsi="Times New Roman" w:eastAsia="宋体" w:cs="Times New Roman"/>
                <w:b w:val="0"/>
                <w:bCs w:val="0"/>
                <w:color w:val="auto"/>
                <w:spacing w:val="11"/>
                <w:kern w:val="2"/>
                <w:sz w:val="24"/>
                <w:szCs w:val="21"/>
                <w:highlight w:val="none"/>
                <w:u w:val="single" w:color="auto"/>
                <w:lang w:val="en-US" w:eastAsia="zh-CN" w:bidi="ar-SA"/>
              </w:rPr>
              <w:t>。油烟排放浓度满足《饮食业油烟排放标准》（GB18483-2001）中2.0mg/m</w:t>
            </w:r>
            <w:r>
              <w:rPr>
                <w:rFonts w:hint="eastAsia" w:ascii="Times New Roman" w:hAnsi="Times New Roman" w:eastAsia="宋体" w:cs="Times New Roman"/>
                <w:b w:val="0"/>
                <w:bCs w:val="0"/>
                <w:color w:val="auto"/>
                <w:spacing w:val="11"/>
                <w:kern w:val="2"/>
                <w:sz w:val="24"/>
                <w:szCs w:val="21"/>
                <w:highlight w:val="none"/>
                <w:u w:val="single" w:color="auto"/>
                <w:vertAlign w:val="superscript"/>
                <w:lang w:val="en-US" w:eastAsia="zh-CN" w:bidi="ar-SA"/>
              </w:rPr>
              <w:t>3</w:t>
            </w:r>
            <w:r>
              <w:rPr>
                <w:rFonts w:hint="eastAsia" w:ascii="Times New Roman" w:hAnsi="Times New Roman" w:eastAsia="宋体" w:cs="Times New Roman"/>
                <w:b w:val="0"/>
                <w:bCs w:val="0"/>
                <w:color w:val="auto"/>
                <w:spacing w:val="11"/>
                <w:kern w:val="2"/>
                <w:sz w:val="24"/>
                <w:szCs w:val="21"/>
                <w:highlight w:val="none"/>
                <w:u w:val="single" w:color="auto"/>
                <w:lang w:val="en-US" w:eastAsia="zh-CN" w:bidi="ar-SA"/>
              </w:rPr>
              <w:t>的要求，处理后的油烟通过油烟道从所在建筑物屋顶排放。</w:t>
            </w:r>
          </w:p>
          <w:p w14:paraId="5E8C2C5B">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524" w:firstLineChars="200"/>
              <w:textAlignment w:val="auto"/>
              <w:rPr>
                <w:rFonts w:hint="default" w:ascii="Times New Roman" w:hAnsi="Times New Roman" w:eastAsia="宋体" w:cs="Times New Roman"/>
                <w:b w:val="0"/>
                <w:bCs/>
                <w:color w:val="000000"/>
                <w:spacing w:val="11"/>
                <w:position w:val="0"/>
                <w:sz w:val="24"/>
                <w:szCs w:val="24"/>
                <w:u w:val="single" w:color="auto"/>
                <w:lang w:val="en-US" w:eastAsia="zh-CN"/>
              </w:rPr>
            </w:pPr>
            <w:r>
              <w:rPr>
                <w:rFonts w:hint="default" w:ascii="Times New Roman" w:hAnsi="Times New Roman" w:eastAsia="宋体" w:cs="Times New Roman"/>
                <w:b w:val="0"/>
                <w:bCs/>
                <w:color w:val="000000"/>
                <w:spacing w:val="11"/>
                <w:position w:val="0"/>
                <w:sz w:val="24"/>
                <w:szCs w:val="24"/>
                <w:u w:val="single" w:color="auto"/>
                <w:lang w:val="en-US" w:eastAsia="zh-CN"/>
              </w:rPr>
              <w:t>（</w:t>
            </w:r>
            <w:r>
              <w:rPr>
                <w:rFonts w:hint="eastAsia" w:cs="Times New Roman"/>
                <w:b w:val="0"/>
                <w:bCs/>
                <w:color w:val="000000"/>
                <w:spacing w:val="11"/>
                <w:position w:val="0"/>
                <w:sz w:val="24"/>
                <w:szCs w:val="24"/>
                <w:u w:val="single" w:color="auto"/>
                <w:lang w:val="en-US" w:eastAsia="zh-CN"/>
              </w:rPr>
              <w:t>10</w:t>
            </w:r>
            <w:r>
              <w:rPr>
                <w:rFonts w:hint="default" w:ascii="Times New Roman" w:hAnsi="Times New Roman" w:eastAsia="宋体" w:cs="Times New Roman"/>
                <w:b w:val="0"/>
                <w:bCs/>
                <w:color w:val="000000"/>
                <w:spacing w:val="11"/>
                <w:position w:val="0"/>
                <w:sz w:val="24"/>
                <w:szCs w:val="24"/>
                <w:u w:val="single" w:color="auto"/>
                <w:lang w:val="en-US" w:eastAsia="zh-CN"/>
              </w:rPr>
              <w:t>）环境影响分析</w:t>
            </w:r>
          </w:p>
          <w:p w14:paraId="35A3139B">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kern w:val="0"/>
                <w:position w:val="0"/>
                <w:sz w:val="24"/>
                <w:szCs w:val="24"/>
                <w:u w:val="single" w:color="auto"/>
              </w:rPr>
            </w:pPr>
            <w:r>
              <w:rPr>
                <w:rFonts w:hint="default" w:ascii="Times New Roman" w:hAnsi="Times New Roman" w:eastAsia="宋体" w:cs="Times New Roman"/>
                <w:b w:val="0"/>
                <w:bCs w:val="0"/>
                <w:color w:val="000000"/>
                <w:spacing w:val="11"/>
                <w:kern w:val="0"/>
                <w:position w:val="0"/>
                <w:sz w:val="24"/>
                <w:szCs w:val="24"/>
                <w:u w:val="single" w:color="auto"/>
              </w:rPr>
              <w:t>①采场粉尘</w:t>
            </w:r>
          </w:p>
          <w:p w14:paraId="742FB6E2">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bidi="ar"/>
              </w:rPr>
            </w:pPr>
            <w:r>
              <w:rPr>
                <w:rFonts w:hint="default" w:ascii="Times New Roman" w:hAnsi="Times New Roman" w:eastAsia="宋体" w:cs="Times New Roman"/>
                <w:color w:val="000000"/>
                <w:spacing w:val="11"/>
                <w:position w:val="0"/>
                <w:sz w:val="24"/>
                <w:szCs w:val="24"/>
                <w:u w:val="single" w:color="auto"/>
              </w:rPr>
              <w:t>采场粉尘</w:t>
            </w:r>
            <w:r>
              <w:rPr>
                <w:rFonts w:hint="default" w:ascii="Times New Roman" w:hAnsi="Times New Roman" w:eastAsia="宋体" w:cs="Times New Roman"/>
                <w:color w:val="000000"/>
                <w:spacing w:val="11"/>
                <w:position w:val="0"/>
                <w:sz w:val="24"/>
                <w:szCs w:val="24"/>
                <w:u w:val="single" w:color="auto"/>
                <w:lang w:val="en-US" w:eastAsia="zh-CN"/>
              </w:rPr>
              <w:t>产生于</w:t>
            </w:r>
            <w:r>
              <w:rPr>
                <w:rFonts w:hint="default" w:ascii="Times New Roman" w:hAnsi="Times New Roman" w:eastAsia="宋体" w:cs="Times New Roman"/>
                <w:color w:val="000000"/>
                <w:spacing w:val="11"/>
                <w:position w:val="0"/>
                <w:sz w:val="24"/>
                <w:szCs w:val="24"/>
                <w:u w:val="single" w:color="auto"/>
              </w:rPr>
              <w:t>开挖、凿岩机钻孔、矿石搬动</w:t>
            </w:r>
            <w:r>
              <w:rPr>
                <w:rFonts w:hint="default" w:ascii="Times New Roman" w:hAnsi="Times New Roman" w:eastAsia="宋体" w:cs="Times New Roman"/>
                <w:color w:val="000000"/>
                <w:spacing w:val="11"/>
                <w:position w:val="0"/>
                <w:sz w:val="24"/>
                <w:szCs w:val="24"/>
                <w:u w:val="single" w:color="auto"/>
                <w:lang w:val="en-US" w:eastAsia="zh-CN"/>
              </w:rPr>
              <w:t>等节点</w:t>
            </w:r>
            <w:r>
              <w:rPr>
                <w:rFonts w:hint="default" w:ascii="Times New Roman" w:hAnsi="Times New Roman" w:eastAsia="宋体" w:cs="Times New Roman"/>
                <w:color w:val="000000"/>
                <w:spacing w:val="11"/>
                <w:position w:val="0"/>
                <w:sz w:val="24"/>
                <w:szCs w:val="24"/>
                <w:u w:val="single" w:color="auto"/>
              </w:rPr>
              <w:t>，</w:t>
            </w:r>
            <w:r>
              <w:rPr>
                <w:rFonts w:hint="default" w:ascii="Times New Roman" w:hAnsi="Times New Roman" w:eastAsia="宋体" w:cs="Times New Roman"/>
                <w:color w:val="000000"/>
                <w:spacing w:val="11"/>
                <w:position w:val="0"/>
                <w:sz w:val="24"/>
                <w:szCs w:val="24"/>
                <w:u w:val="single" w:color="auto"/>
                <w:lang w:val="en-US" w:eastAsia="zh-CN"/>
              </w:rPr>
              <w:t>其主要污染物成分为粉尘，由于开采过程均为局部开采，采面小，</w:t>
            </w:r>
            <w:r>
              <w:rPr>
                <w:rFonts w:hint="default" w:ascii="Times New Roman" w:hAnsi="Times New Roman" w:eastAsia="宋体" w:cs="Times New Roman"/>
                <w:color w:val="000000"/>
                <w:spacing w:val="11"/>
                <w:position w:val="0"/>
                <w:sz w:val="24"/>
                <w:szCs w:val="24"/>
                <w:u w:val="single" w:color="auto"/>
                <w:lang w:bidi="ar"/>
              </w:rPr>
              <w:t>在天气干燥情况下，通过对采掘面上方进行水炮喷雾增湿，可减低约8</w:t>
            </w:r>
            <w:r>
              <w:rPr>
                <w:rFonts w:hint="eastAsia" w:cs="Times New Roman"/>
                <w:color w:val="000000"/>
                <w:spacing w:val="11"/>
                <w:position w:val="0"/>
                <w:sz w:val="24"/>
                <w:szCs w:val="24"/>
                <w:u w:val="single" w:color="auto"/>
                <w:lang w:val="en-US" w:eastAsia="zh-CN" w:bidi="ar"/>
              </w:rPr>
              <w:t>0</w:t>
            </w:r>
            <w:r>
              <w:rPr>
                <w:rFonts w:hint="default" w:ascii="Times New Roman" w:hAnsi="Times New Roman" w:eastAsia="宋体" w:cs="Times New Roman"/>
                <w:color w:val="000000"/>
                <w:spacing w:val="11"/>
                <w:position w:val="0"/>
                <w:sz w:val="24"/>
                <w:szCs w:val="24"/>
                <w:u w:val="single" w:color="auto"/>
                <w:lang w:bidi="ar"/>
              </w:rPr>
              <w:t>%的粉尘排放量，</w:t>
            </w:r>
            <w:r>
              <w:rPr>
                <w:rFonts w:hint="default" w:ascii="Times New Roman" w:hAnsi="Times New Roman" w:eastAsia="宋体" w:cs="Times New Roman"/>
                <w:color w:val="000000"/>
                <w:spacing w:val="11"/>
                <w:position w:val="0"/>
                <w:sz w:val="24"/>
                <w:szCs w:val="24"/>
                <w:u w:val="single" w:color="auto"/>
                <w:lang w:val="en-US" w:eastAsia="zh-CN"/>
              </w:rPr>
              <w:t>粉尘排放量较少</w:t>
            </w:r>
            <w:r>
              <w:rPr>
                <w:rFonts w:hint="default" w:ascii="Times New Roman" w:hAnsi="Times New Roman" w:eastAsia="宋体" w:cs="Times New Roman"/>
                <w:color w:val="000000"/>
                <w:spacing w:val="11"/>
                <w:position w:val="0"/>
                <w:sz w:val="24"/>
                <w:szCs w:val="24"/>
                <w:u w:val="single" w:color="auto"/>
                <w:lang w:bidi="ar"/>
              </w:rPr>
              <w:t>，在经过大气稀释、绿地吸收、距离衰减后，此部分粉尘的排放对周边环境影响甚微，不会造成明显环境污染。</w:t>
            </w:r>
          </w:p>
          <w:p w14:paraId="7AC3B75C">
            <w:pPr>
              <w:pStyle w:val="39"/>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single" w:color="auto"/>
                <w:vertAlign w:val="baseline"/>
                <w:lang w:val="en-US" w:eastAsia="zh-CN" w:bidi="ar"/>
              </w:rPr>
            </w:pPr>
            <w:r>
              <w:rPr>
                <w:rFonts w:hint="default" w:ascii="Times New Roman" w:hAnsi="Times New Roman" w:eastAsia="宋体" w:cs="Times New Roman"/>
                <w:b w:val="0"/>
                <w:bCs w:val="0"/>
                <w:color w:val="000000"/>
                <w:spacing w:val="11"/>
                <w:position w:val="0"/>
                <w:sz w:val="24"/>
                <w:szCs w:val="24"/>
                <w:highlight w:val="none"/>
                <w:u w:val="single" w:color="auto"/>
                <w:vertAlign w:val="baseline"/>
                <w:lang w:val="en-US" w:eastAsia="zh-CN"/>
              </w:rPr>
              <w:t>②</w:t>
            </w:r>
            <w:r>
              <w:rPr>
                <w:rFonts w:hint="default" w:ascii="Times New Roman" w:hAnsi="Times New Roman" w:eastAsia="宋体" w:cs="Times New Roman"/>
                <w:b w:val="0"/>
                <w:bCs w:val="0"/>
                <w:color w:val="000000"/>
                <w:spacing w:val="11"/>
                <w:position w:val="0"/>
                <w:sz w:val="24"/>
                <w:szCs w:val="24"/>
                <w:u w:val="single" w:color="auto"/>
                <w:vertAlign w:val="baseline"/>
                <w:lang w:bidi="ar"/>
              </w:rPr>
              <w:t>爆破</w:t>
            </w:r>
            <w:r>
              <w:rPr>
                <w:rFonts w:hint="default" w:ascii="Times New Roman" w:hAnsi="Times New Roman" w:eastAsia="宋体" w:cs="Times New Roman"/>
                <w:b w:val="0"/>
                <w:bCs w:val="0"/>
                <w:color w:val="000000"/>
                <w:spacing w:val="11"/>
                <w:position w:val="0"/>
                <w:sz w:val="24"/>
                <w:szCs w:val="24"/>
                <w:u w:val="single" w:color="auto"/>
                <w:vertAlign w:val="baseline"/>
                <w:lang w:val="en-US" w:eastAsia="zh-CN" w:bidi="ar"/>
              </w:rPr>
              <w:t>粉尘</w:t>
            </w:r>
          </w:p>
          <w:p w14:paraId="4641DFC1">
            <w:pPr>
              <w:pStyle w:val="3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vertAlign w:val="baseline"/>
              </w:rPr>
            </w:pPr>
            <w:r>
              <w:rPr>
                <w:rFonts w:hint="default" w:ascii="Times New Roman" w:hAnsi="Times New Roman" w:eastAsia="宋体" w:cs="Times New Roman"/>
                <w:color w:val="000000"/>
                <w:spacing w:val="11"/>
                <w:position w:val="0"/>
                <w:sz w:val="24"/>
                <w:szCs w:val="24"/>
                <w:u w:val="single" w:color="auto"/>
                <w:vertAlign w:val="baseline"/>
                <w:lang w:val="en-US" w:eastAsia="zh-CN" w:bidi="ar"/>
              </w:rPr>
              <w:t>此部分粉尘产生于矿山爆破过程，其主要污染物成分为粉尘、</w:t>
            </w:r>
            <w:r>
              <w:rPr>
                <w:rFonts w:hint="default" w:ascii="Times New Roman" w:hAnsi="Times New Roman" w:eastAsia="宋体" w:cs="Times New Roman"/>
                <w:color w:val="000000"/>
                <w:spacing w:val="11"/>
                <w:position w:val="0"/>
                <w:sz w:val="24"/>
                <w:szCs w:val="24"/>
                <w:u w:val="single" w:color="auto"/>
                <w:vertAlign w:val="baseline"/>
              </w:rPr>
              <w:t>CO、NOx</w:t>
            </w:r>
            <w:r>
              <w:rPr>
                <w:rFonts w:hint="default" w:ascii="Times New Roman" w:hAnsi="Times New Roman" w:eastAsia="宋体" w:cs="Times New Roman"/>
                <w:color w:val="000000"/>
                <w:spacing w:val="11"/>
                <w:position w:val="0"/>
                <w:sz w:val="24"/>
                <w:szCs w:val="24"/>
                <w:u w:val="single" w:color="auto"/>
                <w:vertAlign w:val="baseline"/>
                <w:lang w:val="en-US" w:eastAsia="zh-CN" w:bidi="ar"/>
              </w:rPr>
              <w:t>，以</w:t>
            </w:r>
            <w:r>
              <w:rPr>
                <w:rFonts w:hint="default" w:ascii="Times New Roman" w:hAnsi="Times New Roman" w:eastAsia="宋体" w:cs="Times New Roman"/>
                <w:color w:val="000000"/>
                <w:spacing w:val="11"/>
                <w:position w:val="0"/>
                <w:sz w:val="24"/>
                <w:szCs w:val="24"/>
                <w:u w:val="single" w:color="auto"/>
                <w:vertAlign w:val="baseline"/>
              </w:rPr>
              <w:t>无组织</w:t>
            </w:r>
            <w:r>
              <w:rPr>
                <w:rFonts w:hint="default" w:ascii="Times New Roman" w:hAnsi="Times New Roman" w:eastAsia="宋体" w:cs="Times New Roman"/>
                <w:color w:val="000000"/>
                <w:spacing w:val="11"/>
                <w:position w:val="0"/>
                <w:sz w:val="24"/>
                <w:szCs w:val="24"/>
                <w:u w:val="single" w:color="auto"/>
                <w:vertAlign w:val="baseline"/>
                <w:lang w:val="en-US" w:eastAsia="zh-CN"/>
              </w:rPr>
              <w:t>形式</w:t>
            </w:r>
            <w:r>
              <w:rPr>
                <w:rFonts w:hint="default" w:ascii="Times New Roman" w:hAnsi="Times New Roman" w:eastAsia="宋体" w:cs="Times New Roman"/>
                <w:color w:val="000000"/>
                <w:spacing w:val="11"/>
                <w:position w:val="0"/>
                <w:sz w:val="24"/>
                <w:szCs w:val="24"/>
                <w:u w:val="single" w:color="auto"/>
                <w:vertAlign w:val="baseline"/>
              </w:rPr>
              <w:t>排放，</w:t>
            </w:r>
            <w:r>
              <w:rPr>
                <w:rFonts w:hint="default" w:ascii="Times New Roman" w:hAnsi="Times New Roman" w:eastAsia="宋体" w:cs="Times New Roman"/>
                <w:color w:val="000000"/>
                <w:spacing w:val="11"/>
                <w:position w:val="0"/>
                <w:sz w:val="24"/>
                <w:szCs w:val="24"/>
                <w:u w:val="single" w:color="auto"/>
                <w:vertAlign w:val="baseline"/>
                <w:lang w:val="en-US" w:eastAsia="zh-CN"/>
              </w:rPr>
              <w:t>项目</w:t>
            </w:r>
            <w:r>
              <w:rPr>
                <w:rFonts w:hint="default" w:ascii="Times New Roman" w:hAnsi="Times New Roman" w:eastAsia="宋体" w:cs="Times New Roman"/>
                <w:color w:val="000000"/>
                <w:spacing w:val="11"/>
                <w:position w:val="0"/>
                <w:sz w:val="24"/>
                <w:szCs w:val="24"/>
                <w:u w:val="single" w:color="auto"/>
                <w:vertAlign w:val="baseline"/>
              </w:rPr>
              <w:t>采用水封爆破并对爆破面进行洒水抑尘，同时增设水炮喷雾增湿，可降低约85%的粉尘排放量，爆破粉尘排放量</w:t>
            </w:r>
            <w:r>
              <w:rPr>
                <w:rFonts w:hint="default" w:ascii="Times New Roman" w:hAnsi="Times New Roman" w:eastAsia="宋体" w:cs="Times New Roman"/>
                <w:color w:val="000000"/>
                <w:spacing w:val="11"/>
                <w:position w:val="0"/>
                <w:sz w:val="24"/>
                <w:szCs w:val="24"/>
                <w:u w:val="single" w:color="auto"/>
                <w:vertAlign w:val="baseline"/>
                <w:lang w:val="en-US" w:eastAsia="zh-CN"/>
              </w:rPr>
              <w:t>少</w:t>
            </w:r>
            <w:r>
              <w:rPr>
                <w:rFonts w:hint="default" w:ascii="Times New Roman" w:hAnsi="Times New Roman" w:eastAsia="宋体" w:cs="Times New Roman"/>
                <w:color w:val="000000"/>
                <w:spacing w:val="11"/>
                <w:position w:val="0"/>
                <w:sz w:val="24"/>
                <w:szCs w:val="24"/>
                <w:u w:val="single" w:color="auto"/>
                <w:vertAlign w:val="baseline"/>
              </w:rPr>
              <w:t>，由于此部分废气产生源强较小，且项目地势开阔，绿地面积较广，通过距离衰减、绿地吸收后，对排放量极少，其给周边环境带来的影响很小。</w:t>
            </w:r>
          </w:p>
          <w:p w14:paraId="54E858EF">
            <w:pPr>
              <w:pStyle w:val="39"/>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vertAlign w:val="baseline"/>
                <w:lang w:val="en-US" w:eastAsia="zh-CN"/>
              </w:rPr>
            </w:pPr>
            <w:r>
              <w:rPr>
                <w:rFonts w:hint="default" w:ascii="Times New Roman" w:hAnsi="Times New Roman" w:eastAsia="宋体" w:cs="Times New Roman"/>
                <w:color w:val="000000"/>
                <w:spacing w:val="11"/>
                <w:kern w:val="1"/>
                <w:position w:val="0"/>
                <w:sz w:val="24"/>
                <w:szCs w:val="24"/>
                <w:u w:val="single" w:color="auto"/>
                <w:vertAlign w:val="baseline"/>
              </w:rPr>
              <w:t>本项目爆破开采对道路上的行人、车辆有一定的影响，环评要求建设单位严格遵照项目安全生产评价报告及当地安全生产管理部门有关要求落实好爆破工作，设置警戒线、专人安排，加强管理等措施处理。本项目爆破生产时涉及的安全问题依照项目安全生产评价报告及当地安全生产管理部门有关要求为准</w:t>
            </w:r>
            <w:r>
              <w:rPr>
                <w:rFonts w:hint="default" w:ascii="Times New Roman" w:hAnsi="Times New Roman" w:eastAsia="宋体" w:cs="Times New Roman"/>
                <w:color w:val="000000"/>
                <w:spacing w:val="11"/>
                <w:position w:val="0"/>
                <w:sz w:val="24"/>
                <w:szCs w:val="24"/>
                <w:u w:val="single" w:color="auto"/>
                <w:vertAlign w:val="baseline"/>
                <w:lang w:val="en-US" w:eastAsia="zh-CN"/>
              </w:rPr>
              <w:t>。</w:t>
            </w:r>
          </w:p>
          <w:p w14:paraId="50ED7001">
            <w:pPr>
              <w:pStyle w:val="15"/>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eastAsia" w:cs="Times New Roman"/>
                <w:color w:val="000000"/>
                <w:spacing w:val="11"/>
                <w:position w:val="0"/>
                <w:sz w:val="24"/>
                <w:szCs w:val="24"/>
                <w:u w:val="single" w:color="auto"/>
                <w:lang w:val="en-US" w:eastAsia="zh-CN"/>
              </w:rPr>
              <w:t>③</w:t>
            </w:r>
            <w:r>
              <w:rPr>
                <w:rFonts w:hint="default" w:ascii="Times New Roman" w:hAnsi="Times New Roman" w:eastAsia="宋体" w:cs="Times New Roman"/>
                <w:color w:val="000000"/>
                <w:spacing w:val="11"/>
                <w:position w:val="0"/>
                <w:sz w:val="24"/>
                <w:szCs w:val="24"/>
                <w:u w:val="single" w:color="auto"/>
              </w:rPr>
              <w:t>运输扬尘</w:t>
            </w:r>
          </w:p>
          <w:p w14:paraId="4922C7E7">
            <w:pPr>
              <w:pStyle w:val="15"/>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挖掘机、铲车、货车在矿区工作过程中产生一定的运输扬尘，其强度与路面种类、季节干湿以及运输车运行速度等因素有关。</w:t>
            </w:r>
            <w:r>
              <w:rPr>
                <w:rFonts w:hint="default" w:ascii="Times New Roman" w:hAnsi="Times New Roman" w:eastAsia="宋体" w:cs="Times New Roman"/>
                <w:color w:val="000000"/>
                <w:spacing w:val="11"/>
                <w:position w:val="0"/>
                <w:sz w:val="24"/>
                <w:szCs w:val="24"/>
                <w:u w:val="single" w:color="auto"/>
                <w:lang w:val="en-US" w:eastAsia="zh-CN"/>
              </w:rPr>
              <w:t>建设单位拟在厂区设置洒水车，对厂区</w:t>
            </w:r>
            <w:r>
              <w:rPr>
                <w:rFonts w:hint="default" w:ascii="Times New Roman" w:hAnsi="Times New Roman" w:eastAsia="宋体" w:cs="Times New Roman"/>
                <w:color w:val="000000"/>
                <w:spacing w:val="11"/>
                <w:position w:val="0"/>
                <w:sz w:val="24"/>
                <w:szCs w:val="24"/>
                <w:u w:val="single" w:color="auto"/>
              </w:rPr>
              <w:t>路面</w:t>
            </w:r>
            <w:r>
              <w:rPr>
                <w:rFonts w:hint="default" w:ascii="Times New Roman" w:hAnsi="Times New Roman" w:eastAsia="宋体" w:cs="Times New Roman"/>
                <w:color w:val="000000"/>
                <w:spacing w:val="11"/>
                <w:position w:val="0"/>
                <w:sz w:val="24"/>
                <w:szCs w:val="24"/>
                <w:u w:val="single" w:color="auto"/>
                <w:lang w:val="en-US" w:eastAsia="zh-CN"/>
              </w:rPr>
              <w:t>实行</w:t>
            </w:r>
            <w:r>
              <w:rPr>
                <w:rFonts w:hint="default" w:ascii="Times New Roman" w:hAnsi="Times New Roman" w:eastAsia="宋体" w:cs="Times New Roman"/>
                <w:color w:val="000000"/>
                <w:spacing w:val="11"/>
                <w:position w:val="0"/>
                <w:sz w:val="24"/>
                <w:szCs w:val="24"/>
                <w:u w:val="single" w:color="auto"/>
              </w:rPr>
              <w:t>硬化</w:t>
            </w:r>
            <w:r>
              <w:rPr>
                <w:rFonts w:hint="default" w:ascii="Times New Roman" w:hAnsi="Times New Roman" w:eastAsia="宋体" w:cs="Times New Roman"/>
                <w:color w:val="000000"/>
                <w:spacing w:val="11"/>
                <w:position w:val="0"/>
                <w:sz w:val="24"/>
                <w:szCs w:val="24"/>
                <w:u w:val="single" w:color="auto"/>
                <w:lang w:val="en-US" w:eastAsia="zh-CN"/>
              </w:rPr>
              <w:t>处理</w:t>
            </w:r>
            <w:r>
              <w:rPr>
                <w:rFonts w:hint="eastAsia" w:cs="Times New Roman"/>
                <w:color w:val="000000"/>
                <w:spacing w:val="11"/>
                <w:position w:val="0"/>
                <w:sz w:val="24"/>
                <w:szCs w:val="24"/>
                <w:u w:val="single" w:color="auto"/>
                <w:lang w:val="en-US" w:eastAsia="zh-CN"/>
              </w:rPr>
              <w:t>，在道路两旁种植绿植以及树木</w:t>
            </w:r>
            <w:r>
              <w:rPr>
                <w:rFonts w:hint="default" w:ascii="Times New Roman" w:hAnsi="Times New Roman" w:eastAsia="宋体" w:cs="Times New Roman"/>
                <w:color w:val="000000"/>
                <w:spacing w:val="11"/>
                <w:position w:val="0"/>
                <w:sz w:val="24"/>
                <w:szCs w:val="24"/>
                <w:u w:val="single" w:color="auto"/>
                <w:lang w:val="en-US" w:eastAsia="zh-CN"/>
              </w:rPr>
              <w:t>，同时厂区设置了洗车平台，对进出厂区车辆进行保洁清洗</w:t>
            </w:r>
            <w:r>
              <w:rPr>
                <w:rFonts w:hint="default" w:ascii="Times New Roman" w:hAnsi="Times New Roman" w:eastAsia="宋体" w:cs="Times New Roman"/>
                <w:color w:val="000000"/>
                <w:spacing w:val="11"/>
                <w:position w:val="0"/>
                <w:sz w:val="24"/>
                <w:szCs w:val="24"/>
                <w:u w:val="single" w:color="auto"/>
              </w:rPr>
              <w:t>，可将粉尘降低8</w:t>
            </w:r>
            <w:r>
              <w:rPr>
                <w:rFonts w:hint="default" w:ascii="Times New Roman" w:hAnsi="Times New Roman" w:eastAsia="宋体" w:cs="Times New Roman"/>
                <w:color w:val="000000"/>
                <w:spacing w:val="11"/>
                <w:position w:val="0"/>
                <w:sz w:val="24"/>
                <w:szCs w:val="24"/>
                <w:u w:val="single" w:color="auto"/>
                <w:lang w:val="en-US" w:eastAsia="zh-CN"/>
              </w:rPr>
              <w:t>5</w:t>
            </w:r>
            <w:r>
              <w:rPr>
                <w:rFonts w:hint="default" w:ascii="Times New Roman" w:hAnsi="Times New Roman" w:eastAsia="宋体" w:cs="Times New Roman"/>
                <w:color w:val="000000"/>
                <w:spacing w:val="11"/>
                <w:position w:val="0"/>
                <w:sz w:val="24"/>
                <w:szCs w:val="24"/>
                <w:u w:val="single" w:color="auto"/>
              </w:rPr>
              <w:t>%。经大气扩散、绿地吸收后，其排放量将进一步减少，对周边环境影响不大，评价要求建设方应根据天气情况，加严洒水降尘频次。减少运输扬尘对环境的影响。</w:t>
            </w:r>
          </w:p>
          <w:p w14:paraId="21E43BCB">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zh-CN"/>
              </w:rPr>
            </w:pPr>
            <w:r>
              <w:rPr>
                <w:rFonts w:hint="default" w:ascii="Times New Roman" w:hAnsi="Times New Roman" w:eastAsia="宋体" w:cs="Times New Roman"/>
                <w:color w:val="000000"/>
                <w:spacing w:val="11"/>
                <w:position w:val="0"/>
                <w:sz w:val="24"/>
                <w:szCs w:val="24"/>
                <w:u w:val="single" w:color="auto"/>
              </w:rPr>
              <w:t>⑤</w:t>
            </w:r>
            <w:r>
              <w:rPr>
                <w:rFonts w:hint="default" w:ascii="Times New Roman" w:hAnsi="Times New Roman" w:eastAsia="宋体" w:cs="Times New Roman"/>
                <w:color w:val="000000"/>
                <w:spacing w:val="11"/>
                <w:kern w:val="0"/>
                <w:position w:val="0"/>
                <w:sz w:val="24"/>
                <w:szCs w:val="24"/>
                <w:u w:val="single" w:color="auto"/>
              </w:rPr>
              <w:t>排土场起尘</w:t>
            </w:r>
          </w:p>
          <w:p w14:paraId="3DFF504A">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zh-CN"/>
              </w:rPr>
            </w:pPr>
            <w:r>
              <w:rPr>
                <w:rFonts w:hint="default" w:ascii="Times New Roman" w:hAnsi="Times New Roman" w:eastAsia="宋体" w:cs="Times New Roman"/>
                <w:color w:val="000000"/>
                <w:spacing w:val="11"/>
                <w:position w:val="0"/>
                <w:sz w:val="24"/>
                <w:szCs w:val="24"/>
                <w:u w:val="single" w:color="auto"/>
                <w:lang w:val="en-US" w:eastAsia="zh-CN"/>
              </w:rPr>
              <w:t>遇燥热天气，松散的排土场涂层容易丧失水分，遇风容易产生粉尘，根据前文分析可知</w:t>
            </w:r>
            <w:r>
              <w:rPr>
                <w:rFonts w:hint="default" w:ascii="Times New Roman" w:hAnsi="Times New Roman" w:eastAsia="宋体" w:cs="Times New Roman"/>
                <w:color w:val="000000"/>
                <w:spacing w:val="11"/>
                <w:position w:val="0"/>
                <w:sz w:val="24"/>
                <w:szCs w:val="24"/>
                <w:u w:val="single" w:color="auto"/>
                <w:lang w:val="zh-CN"/>
              </w:rPr>
              <w:t>，</w:t>
            </w:r>
            <w:r>
              <w:rPr>
                <w:rFonts w:hint="default" w:ascii="Times New Roman" w:hAnsi="Times New Roman" w:eastAsia="宋体" w:cs="Times New Roman"/>
                <w:color w:val="000000"/>
                <w:spacing w:val="11"/>
                <w:position w:val="0"/>
                <w:sz w:val="24"/>
                <w:szCs w:val="24"/>
                <w:u w:val="single" w:color="auto"/>
                <w:lang w:val="zh-CN" w:eastAsia="zh-CN"/>
              </w:rPr>
              <w:t>排土场在不采取任何防尘抑尘措施的情况下，排土场产尘量约为0.042t/a</w:t>
            </w:r>
            <w:r>
              <w:rPr>
                <w:rFonts w:hint="eastAsia" w:cs="Times New Roman"/>
                <w:color w:val="000000"/>
                <w:spacing w:val="11"/>
                <w:position w:val="0"/>
                <w:sz w:val="24"/>
                <w:szCs w:val="24"/>
                <w:u w:val="single" w:color="auto"/>
                <w:lang w:val="zh-CN" w:eastAsia="zh-CN"/>
              </w:rPr>
              <w:t>，建设单位拟定期对排土场进行洒水扬尘、定期压实、使用防尘网覆盖，遇燥热天气将加大洒水频次，以保持土层湿度，降低粉尘产生源强</w:t>
            </w:r>
            <w:r>
              <w:rPr>
                <w:rFonts w:hint="default" w:ascii="Times New Roman" w:hAnsi="Times New Roman" w:eastAsia="宋体" w:cs="Times New Roman"/>
                <w:color w:val="000000"/>
                <w:spacing w:val="11"/>
                <w:position w:val="0"/>
                <w:sz w:val="24"/>
                <w:szCs w:val="24"/>
                <w:u w:val="single" w:color="auto"/>
                <w:lang w:val="en-US" w:eastAsia="zh-CN"/>
              </w:rPr>
              <w:t>，由于排土场</w:t>
            </w:r>
            <w:r>
              <w:rPr>
                <w:rFonts w:hint="eastAsia" w:cs="Times New Roman"/>
                <w:color w:val="000000"/>
                <w:spacing w:val="11"/>
                <w:position w:val="0"/>
                <w:sz w:val="24"/>
                <w:szCs w:val="24"/>
                <w:u w:val="single" w:color="auto"/>
                <w:lang w:val="en-US" w:eastAsia="zh-CN"/>
              </w:rPr>
              <w:t>与</w:t>
            </w:r>
            <w:r>
              <w:rPr>
                <w:rFonts w:hint="default" w:ascii="Times New Roman" w:hAnsi="Times New Roman" w:eastAsia="宋体" w:cs="Times New Roman"/>
                <w:color w:val="000000"/>
                <w:spacing w:val="11"/>
                <w:position w:val="0"/>
                <w:sz w:val="24"/>
                <w:szCs w:val="24"/>
                <w:u w:val="single" w:color="auto"/>
                <w:lang w:val="en-US" w:eastAsia="zh-CN"/>
              </w:rPr>
              <w:t>周边居民</w:t>
            </w:r>
            <w:r>
              <w:rPr>
                <w:rFonts w:hint="eastAsia" w:cs="Times New Roman"/>
                <w:color w:val="000000"/>
                <w:spacing w:val="11"/>
                <w:position w:val="0"/>
                <w:sz w:val="24"/>
                <w:szCs w:val="24"/>
                <w:u w:val="single" w:color="auto"/>
                <w:lang w:val="en-US" w:eastAsia="zh-CN"/>
              </w:rPr>
              <w:t>之间</w:t>
            </w:r>
            <w:r>
              <w:rPr>
                <w:rFonts w:hint="default" w:ascii="Times New Roman" w:hAnsi="Times New Roman" w:eastAsia="宋体" w:cs="Times New Roman"/>
                <w:color w:val="000000"/>
                <w:spacing w:val="11"/>
                <w:position w:val="0"/>
                <w:sz w:val="24"/>
                <w:szCs w:val="24"/>
                <w:u w:val="single" w:color="auto"/>
                <w:lang w:val="en-US" w:eastAsia="zh-CN"/>
              </w:rPr>
              <w:t>有山体阻隔，</w:t>
            </w:r>
            <w:r>
              <w:rPr>
                <w:rFonts w:hint="default" w:ascii="Times New Roman" w:hAnsi="Times New Roman" w:eastAsia="宋体" w:cs="Times New Roman"/>
                <w:color w:val="000000"/>
                <w:spacing w:val="11"/>
                <w:position w:val="0"/>
                <w:sz w:val="24"/>
                <w:szCs w:val="24"/>
                <w:u w:val="single" w:color="auto"/>
                <w:vertAlign w:val="baseline"/>
                <w:lang w:val="en-US" w:eastAsia="zh-CN"/>
              </w:rPr>
              <w:t>植被繁茂，经</w:t>
            </w:r>
            <w:r>
              <w:rPr>
                <w:rFonts w:hint="default" w:ascii="Times New Roman" w:hAnsi="Times New Roman" w:eastAsia="宋体" w:cs="Times New Roman"/>
                <w:color w:val="000000"/>
                <w:spacing w:val="11"/>
                <w:position w:val="0"/>
                <w:sz w:val="24"/>
                <w:szCs w:val="24"/>
                <w:u w:val="single" w:color="auto"/>
                <w:vertAlign w:val="baseline"/>
              </w:rPr>
              <w:t>距离衰减、</w:t>
            </w:r>
            <w:r>
              <w:rPr>
                <w:rFonts w:hint="default" w:ascii="Times New Roman" w:hAnsi="Times New Roman" w:eastAsia="宋体" w:cs="Times New Roman"/>
                <w:color w:val="000000"/>
                <w:spacing w:val="11"/>
                <w:position w:val="0"/>
                <w:sz w:val="24"/>
                <w:szCs w:val="24"/>
                <w:u w:val="single" w:color="auto"/>
                <w:vertAlign w:val="baseline"/>
                <w:lang w:val="en-US" w:eastAsia="zh-CN"/>
              </w:rPr>
              <w:t>植被</w:t>
            </w:r>
            <w:r>
              <w:rPr>
                <w:rFonts w:hint="default" w:ascii="Times New Roman" w:hAnsi="Times New Roman" w:eastAsia="宋体" w:cs="Times New Roman"/>
                <w:color w:val="000000"/>
                <w:spacing w:val="11"/>
                <w:position w:val="0"/>
                <w:sz w:val="24"/>
                <w:szCs w:val="24"/>
                <w:u w:val="single" w:color="auto"/>
                <w:vertAlign w:val="baseline"/>
              </w:rPr>
              <w:t>吸收后，</w:t>
            </w:r>
            <w:r>
              <w:rPr>
                <w:rFonts w:hint="default" w:ascii="Times New Roman" w:hAnsi="Times New Roman" w:eastAsia="宋体" w:cs="Times New Roman"/>
                <w:color w:val="000000"/>
                <w:spacing w:val="11"/>
                <w:position w:val="0"/>
                <w:sz w:val="24"/>
                <w:szCs w:val="24"/>
                <w:u w:val="single" w:color="auto"/>
                <w:vertAlign w:val="baseline"/>
                <w:lang w:val="en-US" w:eastAsia="zh-CN"/>
              </w:rPr>
              <w:t>粉尘无组织排放量更少，影响面更窄</w:t>
            </w:r>
            <w:r>
              <w:rPr>
                <w:rFonts w:hint="default" w:ascii="Times New Roman" w:hAnsi="Times New Roman" w:eastAsia="宋体" w:cs="Times New Roman"/>
                <w:color w:val="000000"/>
                <w:spacing w:val="11"/>
                <w:position w:val="0"/>
                <w:sz w:val="24"/>
                <w:szCs w:val="24"/>
                <w:u w:val="single" w:color="auto"/>
                <w:vertAlign w:val="baseline"/>
              </w:rPr>
              <w:t>，</w:t>
            </w:r>
            <w:r>
              <w:rPr>
                <w:rFonts w:hint="default" w:ascii="Times New Roman" w:hAnsi="Times New Roman" w:eastAsia="宋体" w:cs="Times New Roman"/>
                <w:color w:val="000000"/>
                <w:spacing w:val="11"/>
                <w:position w:val="0"/>
                <w:sz w:val="24"/>
                <w:szCs w:val="24"/>
                <w:u w:val="single" w:color="auto"/>
                <w:vertAlign w:val="baseline"/>
                <w:lang w:val="en-US" w:eastAsia="zh-CN"/>
              </w:rPr>
              <w:t>对</w:t>
            </w:r>
            <w:r>
              <w:rPr>
                <w:rFonts w:hint="default" w:ascii="Times New Roman" w:hAnsi="Times New Roman" w:eastAsia="宋体" w:cs="Times New Roman"/>
                <w:color w:val="000000"/>
                <w:spacing w:val="11"/>
                <w:position w:val="0"/>
                <w:sz w:val="24"/>
                <w:szCs w:val="24"/>
                <w:u w:val="single" w:color="auto"/>
                <w:vertAlign w:val="baseline"/>
              </w:rPr>
              <w:t>周边环境带来的影响很小</w:t>
            </w:r>
            <w:r>
              <w:rPr>
                <w:rFonts w:hint="default" w:ascii="Times New Roman" w:hAnsi="Times New Roman" w:eastAsia="宋体" w:cs="Times New Roman"/>
                <w:color w:val="000000"/>
                <w:spacing w:val="11"/>
                <w:position w:val="0"/>
                <w:sz w:val="24"/>
                <w:szCs w:val="24"/>
                <w:u w:val="single" w:color="auto"/>
                <w:lang w:val="zh-CN"/>
              </w:rPr>
              <w:t>。</w:t>
            </w:r>
          </w:p>
          <w:p w14:paraId="4B5F3436">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vertAlign w:val="baseline"/>
                <w:lang w:val="en-US" w:eastAsia="zh-CN"/>
              </w:rPr>
            </w:pPr>
            <w:r>
              <w:rPr>
                <w:rFonts w:hint="default" w:ascii="Times New Roman" w:hAnsi="Times New Roman" w:eastAsia="宋体" w:cs="Times New Roman"/>
                <w:color w:val="000000"/>
                <w:spacing w:val="11"/>
                <w:position w:val="0"/>
                <w:sz w:val="24"/>
                <w:szCs w:val="24"/>
                <w:u w:val="single" w:color="auto"/>
                <w:vertAlign w:val="baseline"/>
                <w:lang w:val="en-US" w:eastAsia="zh-CN"/>
              </w:rPr>
              <w:t>环评要求生产期间对</w:t>
            </w:r>
            <w:r>
              <w:rPr>
                <w:rFonts w:hint="eastAsia" w:cs="Times New Roman"/>
                <w:color w:val="000000"/>
                <w:spacing w:val="11"/>
                <w:position w:val="0"/>
                <w:sz w:val="24"/>
                <w:szCs w:val="24"/>
                <w:u w:val="single" w:color="auto"/>
                <w:vertAlign w:val="baseline"/>
                <w:lang w:val="en-US" w:eastAsia="zh-CN"/>
              </w:rPr>
              <w:t>排土场</w:t>
            </w:r>
            <w:r>
              <w:rPr>
                <w:rFonts w:hint="default" w:ascii="Times New Roman" w:hAnsi="Times New Roman" w:eastAsia="宋体" w:cs="Times New Roman"/>
                <w:color w:val="000000"/>
                <w:spacing w:val="11"/>
                <w:position w:val="0"/>
                <w:sz w:val="24"/>
                <w:szCs w:val="24"/>
                <w:u w:val="single" w:color="auto"/>
                <w:vertAlign w:val="baseline"/>
                <w:lang w:val="en-US" w:eastAsia="zh-CN"/>
              </w:rPr>
              <w:t>加强管理，定期洒水防尘，遇到大风、干燥天气须加大排土场洒水次数，同时覆盖防尘篷布，降低排土场扬尘对周边环境的影响。</w:t>
            </w:r>
          </w:p>
          <w:p w14:paraId="54A1127D">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524" w:firstLineChars="200"/>
              <w:textAlignment w:val="auto"/>
              <w:rPr>
                <w:rFonts w:hint="default" w:ascii="Times New Roman" w:hAnsi="Times New Roman" w:eastAsia="宋体" w:cs="Times New Roman"/>
                <w:b w:val="0"/>
                <w:bCs/>
                <w:color w:val="000000"/>
                <w:spacing w:val="11"/>
                <w:position w:val="0"/>
                <w:sz w:val="24"/>
                <w:szCs w:val="24"/>
                <w:u w:val="single" w:color="auto"/>
                <w:lang w:val="en-US" w:eastAsia="zh-CN"/>
              </w:rPr>
            </w:pPr>
            <w:r>
              <w:rPr>
                <w:rFonts w:hint="default" w:ascii="Times New Roman" w:hAnsi="Times New Roman" w:eastAsia="宋体" w:cs="Times New Roman"/>
                <w:b w:val="0"/>
                <w:bCs/>
                <w:color w:val="000000"/>
                <w:spacing w:val="11"/>
                <w:position w:val="0"/>
                <w:sz w:val="24"/>
                <w:szCs w:val="24"/>
                <w:u w:val="single" w:color="auto"/>
                <w:lang w:val="en-US" w:eastAsia="zh-CN"/>
              </w:rPr>
              <w:t>（</w:t>
            </w:r>
            <w:r>
              <w:rPr>
                <w:rFonts w:hint="eastAsia" w:cs="Times New Roman"/>
                <w:b w:val="0"/>
                <w:bCs/>
                <w:color w:val="000000"/>
                <w:spacing w:val="11"/>
                <w:position w:val="0"/>
                <w:sz w:val="24"/>
                <w:szCs w:val="24"/>
                <w:u w:val="single" w:color="auto"/>
                <w:lang w:val="en-US" w:eastAsia="zh-CN"/>
              </w:rPr>
              <w:t>9</w:t>
            </w:r>
            <w:r>
              <w:rPr>
                <w:rFonts w:hint="default" w:ascii="Times New Roman" w:hAnsi="Times New Roman" w:eastAsia="宋体" w:cs="Times New Roman"/>
                <w:b w:val="0"/>
                <w:bCs/>
                <w:color w:val="000000"/>
                <w:spacing w:val="11"/>
                <w:position w:val="0"/>
                <w:sz w:val="24"/>
                <w:szCs w:val="24"/>
                <w:u w:val="single" w:color="auto"/>
                <w:lang w:val="en-US" w:eastAsia="zh-CN"/>
              </w:rPr>
              <w:t>）环保措施可行性分析</w:t>
            </w:r>
          </w:p>
          <w:p w14:paraId="1F8555F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524" w:firstLineChars="200"/>
              <w:jc w:val="left"/>
              <w:textAlignment w:val="auto"/>
              <w:outlineLvl w:val="9"/>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项目废气主要经洒水降尘、布袋收尘处理后再</w:t>
            </w:r>
            <w:r>
              <w:rPr>
                <w:rFonts w:hint="eastAsia" w:cs="Times New Roman"/>
                <w:color w:val="000000"/>
                <w:spacing w:val="11"/>
                <w:position w:val="0"/>
                <w:sz w:val="24"/>
                <w:szCs w:val="24"/>
                <w:u w:val="single" w:color="auto"/>
                <w:lang w:val="en-US" w:eastAsia="zh-CN"/>
              </w:rPr>
              <w:t>进行排放</w:t>
            </w:r>
            <w:r>
              <w:rPr>
                <w:rFonts w:hint="default" w:ascii="Times New Roman" w:hAnsi="Times New Roman" w:eastAsia="宋体" w:cs="Times New Roman"/>
                <w:color w:val="000000"/>
                <w:spacing w:val="11"/>
                <w:position w:val="0"/>
                <w:sz w:val="24"/>
                <w:szCs w:val="24"/>
                <w:u w:val="single" w:color="auto"/>
                <w:lang w:val="en-US" w:eastAsia="zh-CN"/>
              </w:rPr>
              <w:t>，根据工程分析可知，项目营运期排放的废气污染物可实现稳定达标排放，对评价区域的影响在可接受范围内，项目运营期对周围大气环境影响可控。</w:t>
            </w:r>
          </w:p>
          <w:p w14:paraId="2C46A58B">
            <w:pPr>
              <w:keepNext w:val="0"/>
              <w:keepLines w:val="0"/>
              <w:pageBreakBefore w:val="0"/>
              <w:kinsoku/>
              <w:wordWrap/>
              <w:overflowPunct/>
              <w:topLinePunct w:val="0"/>
              <w:bidi w:val="0"/>
              <w:adjustRightInd w:val="0"/>
              <w:snapToGrid w:val="0"/>
              <w:spacing w:line="360" w:lineRule="auto"/>
              <w:ind w:left="0" w:leftChars="0" w:right="0" w:firstLine="526" w:firstLineChars="200"/>
              <w:textAlignment w:val="auto"/>
              <w:rPr>
                <w:rFonts w:hint="default" w:ascii="Times New Roman" w:hAnsi="Times New Roman" w:eastAsia="宋体" w:cs="Times New Roman"/>
                <w:b/>
                <w:color w:val="000000"/>
                <w:spacing w:val="11"/>
                <w:position w:val="0"/>
                <w:sz w:val="24"/>
                <w:szCs w:val="24"/>
                <w:u w:val="none" w:color="auto"/>
              </w:rPr>
            </w:pPr>
            <w:r>
              <w:rPr>
                <w:rFonts w:hint="default" w:ascii="Times New Roman" w:hAnsi="Times New Roman" w:eastAsia="宋体" w:cs="Times New Roman"/>
                <w:b/>
                <w:color w:val="000000"/>
                <w:spacing w:val="11"/>
                <w:position w:val="0"/>
                <w:sz w:val="24"/>
                <w:szCs w:val="24"/>
                <w:u w:val="none" w:color="auto"/>
                <w:lang w:val="en-US" w:eastAsia="zh-CN"/>
              </w:rPr>
              <w:t>3</w:t>
            </w:r>
            <w:r>
              <w:rPr>
                <w:rFonts w:hint="default" w:ascii="Times New Roman" w:hAnsi="Times New Roman" w:eastAsia="宋体" w:cs="Times New Roman"/>
                <w:b/>
                <w:color w:val="000000"/>
                <w:spacing w:val="11"/>
                <w:position w:val="0"/>
                <w:sz w:val="24"/>
                <w:szCs w:val="24"/>
                <w:u w:val="none" w:color="auto"/>
              </w:rPr>
              <w:t>、噪声</w:t>
            </w:r>
          </w:p>
          <w:p w14:paraId="4E9C03B2">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i w:val="0"/>
                <w:iCs w:val="0"/>
                <w:color w:val="auto"/>
                <w:spacing w:val="11"/>
                <w:position w:val="0"/>
                <w:sz w:val="24"/>
                <w:szCs w:val="24"/>
                <w:u w:val="none" w:color="auto"/>
              </w:rPr>
            </w:pPr>
            <w:r>
              <w:rPr>
                <w:rFonts w:hint="default" w:ascii="Times New Roman" w:hAnsi="Times New Roman" w:eastAsia="宋体" w:cs="Times New Roman"/>
                <w:i w:val="0"/>
                <w:iCs w:val="0"/>
                <w:color w:val="auto"/>
                <w:spacing w:val="11"/>
                <w:position w:val="0"/>
                <w:sz w:val="24"/>
                <w:szCs w:val="24"/>
                <w:u w:val="none" w:color="auto"/>
              </w:rPr>
              <w:t>项目运营期主要高噪声设备为潜孔钻机</w:t>
            </w:r>
            <w:r>
              <w:rPr>
                <w:rFonts w:hint="default" w:ascii="Times New Roman" w:hAnsi="Times New Roman" w:eastAsia="宋体" w:cs="Times New Roman"/>
                <w:i w:val="0"/>
                <w:iCs w:val="0"/>
                <w:color w:val="auto"/>
                <w:spacing w:val="11"/>
                <w:position w:val="0"/>
                <w:sz w:val="24"/>
                <w:szCs w:val="24"/>
                <w:u w:val="none" w:color="auto"/>
                <w:lang w:eastAsia="zh-CN"/>
              </w:rPr>
              <w:t>、</w:t>
            </w:r>
            <w:r>
              <w:rPr>
                <w:rFonts w:hint="default" w:ascii="Times New Roman" w:hAnsi="Times New Roman" w:eastAsia="宋体" w:cs="Times New Roman"/>
                <w:i w:val="0"/>
                <w:iCs w:val="0"/>
                <w:color w:val="auto"/>
                <w:spacing w:val="11"/>
                <w:position w:val="0"/>
                <w:sz w:val="24"/>
                <w:szCs w:val="24"/>
                <w:u w:val="none" w:color="auto"/>
              </w:rPr>
              <w:t>挖掘机</w:t>
            </w:r>
            <w:r>
              <w:rPr>
                <w:rFonts w:hint="default" w:ascii="Times New Roman" w:hAnsi="Times New Roman" w:eastAsia="宋体" w:cs="Times New Roman"/>
                <w:i w:val="0"/>
                <w:iCs w:val="0"/>
                <w:color w:val="auto"/>
                <w:spacing w:val="11"/>
                <w:position w:val="0"/>
                <w:sz w:val="24"/>
                <w:szCs w:val="24"/>
                <w:u w:val="none" w:color="auto"/>
                <w:lang w:eastAsia="zh-CN"/>
              </w:rPr>
              <w:t>、</w:t>
            </w:r>
            <w:r>
              <w:rPr>
                <w:rFonts w:hint="default" w:ascii="Times New Roman" w:hAnsi="Times New Roman" w:eastAsia="宋体" w:cs="Times New Roman"/>
                <w:i w:val="0"/>
                <w:iCs w:val="0"/>
                <w:color w:val="auto"/>
                <w:spacing w:val="11"/>
                <w:position w:val="0"/>
                <w:sz w:val="24"/>
                <w:szCs w:val="24"/>
                <w:u w:val="none" w:color="auto"/>
              </w:rPr>
              <w:t>装载机</w:t>
            </w:r>
            <w:r>
              <w:rPr>
                <w:rFonts w:hint="default" w:ascii="Times New Roman" w:hAnsi="Times New Roman" w:eastAsia="宋体" w:cs="Times New Roman"/>
                <w:i w:val="0"/>
                <w:iCs w:val="0"/>
                <w:color w:val="auto"/>
                <w:spacing w:val="11"/>
                <w:position w:val="0"/>
                <w:sz w:val="24"/>
                <w:szCs w:val="24"/>
                <w:u w:val="none" w:color="auto"/>
                <w:lang w:eastAsia="zh-CN"/>
              </w:rPr>
              <w:t>、</w:t>
            </w:r>
            <w:r>
              <w:rPr>
                <w:rFonts w:hint="default" w:ascii="Times New Roman" w:hAnsi="Times New Roman" w:eastAsia="宋体" w:cs="Times New Roman"/>
                <w:i w:val="0"/>
                <w:iCs w:val="0"/>
                <w:color w:val="auto"/>
                <w:spacing w:val="11"/>
                <w:position w:val="0"/>
                <w:sz w:val="24"/>
                <w:szCs w:val="24"/>
                <w:u w:val="none" w:color="auto"/>
                <w:lang w:val="en-US" w:eastAsia="zh-CN"/>
              </w:rPr>
              <w:t>破碎机</w:t>
            </w:r>
            <w:r>
              <w:rPr>
                <w:rFonts w:hint="default" w:ascii="Times New Roman" w:hAnsi="Times New Roman" w:eastAsia="宋体" w:cs="Times New Roman"/>
                <w:i w:val="0"/>
                <w:iCs w:val="0"/>
                <w:color w:val="auto"/>
                <w:spacing w:val="11"/>
                <w:position w:val="0"/>
                <w:sz w:val="24"/>
                <w:szCs w:val="24"/>
                <w:u w:val="none" w:color="auto"/>
                <w:lang w:eastAsia="zh-CN"/>
              </w:rPr>
              <w:t>、</w:t>
            </w:r>
            <w:r>
              <w:rPr>
                <w:rFonts w:hint="default" w:ascii="Times New Roman" w:hAnsi="Times New Roman" w:eastAsia="宋体" w:cs="Times New Roman"/>
                <w:i w:val="0"/>
                <w:iCs w:val="0"/>
                <w:color w:val="auto"/>
                <w:spacing w:val="11"/>
                <w:position w:val="0"/>
                <w:sz w:val="24"/>
                <w:szCs w:val="24"/>
                <w:u w:val="none" w:color="auto"/>
              </w:rPr>
              <w:t>振动筛</w:t>
            </w:r>
            <w:r>
              <w:rPr>
                <w:rFonts w:hint="default" w:ascii="Times New Roman" w:hAnsi="Times New Roman" w:eastAsia="宋体" w:cs="Times New Roman"/>
                <w:i w:val="0"/>
                <w:iCs w:val="0"/>
                <w:color w:val="auto"/>
                <w:spacing w:val="11"/>
                <w:position w:val="0"/>
                <w:sz w:val="24"/>
                <w:szCs w:val="24"/>
                <w:u w:val="none" w:color="auto"/>
                <w:lang w:eastAsia="zh-CN"/>
              </w:rPr>
              <w:t>、</w:t>
            </w:r>
            <w:r>
              <w:rPr>
                <w:rFonts w:hint="default" w:ascii="Times New Roman" w:hAnsi="Times New Roman" w:eastAsia="宋体" w:cs="Times New Roman"/>
                <w:i w:val="0"/>
                <w:iCs w:val="0"/>
                <w:color w:val="auto"/>
                <w:spacing w:val="11"/>
                <w:position w:val="0"/>
                <w:sz w:val="24"/>
                <w:szCs w:val="24"/>
                <w:u w:val="none" w:color="auto"/>
              </w:rPr>
              <w:t>皮带输送机等，其噪声级为75-9</w:t>
            </w:r>
            <w:r>
              <w:rPr>
                <w:rFonts w:hint="default" w:ascii="Times New Roman" w:hAnsi="Times New Roman" w:eastAsia="宋体" w:cs="Times New Roman"/>
                <w:i w:val="0"/>
                <w:iCs w:val="0"/>
                <w:color w:val="auto"/>
                <w:spacing w:val="11"/>
                <w:position w:val="0"/>
                <w:sz w:val="24"/>
                <w:szCs w:val="24"/>
                <w:u w:val="none" w:color="auto"/>
                <w:lang w:val="en-US" w:eastAsia="zh-CN"/>
              </w:rPr>
              <w:t>0</w:t>
            </w:r>
            <w:r>
              <w:rPr>
                <w:rFonts w:hint="default" w:ascii="Times New Roman" w:hAnsi="Times New Roman" w:eastAsia="宋体" w:cs="Times New Roman"/>
                <w:i w:val="0"/>
                <w:iCs w:val="0"/>
                <w:color w:val="auto"/>
                <w:spacing w:val="11"/>
                <w:position w:val="0"/>
                <w:sz w:val="24"/>
                <w:szCs w:val="24"/>
                <w:u w:val="none" w:color="auto"/>
              </w:rPr>
              <w:t>dB（A）。</w:t>
            </w:r>
          </w:p>
          <w:p w14:paraId="7EF963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position w:val="0"/>
                <w:sz w:val="21"/>
                <w:szCs w:val="21"/>
                <w:u w:val="none" w:color="auto"/>
              </w:rPr>
            </w:pPr>
            <w:r>
              <w:rPr>
                <w:rFonts w:hint="default" w:ascii="Times New Roman" w:hAnsi="Times New Roman" w:eastAsia="宋体" w:cs="Times New Roman"/>
                <w:b/>
                <w:bCs/>
                <w:i w:val="0"/>
                <w:iCs w:val="0"/>
                <w:color w:val="auto"/>
                <w:spacing w:val="11"/>
                <w:position w:val="0"/>
                <w:sz w:val="21"/>
                <w:szCs w:val="21"/>
                <w:u w:val="none" w:color="auto"/>
              </w:rPr>
              <w:t>表</w:t>
            </w:r>
            <w:r>
              <w:rPr>
                <w:rFonts w:hint="default" w:ascii="Times New Roman" w:hAnsi="Times New Roman" w:eastAsia="宋体" w:cs="Times New Roman"/>
                <w:b/>
                <w:bCs/>
                <w:i w:val="0"/>
                <w:iCs w:val="0"/>
                <w:color w:val="auto"/>
                <w:spacing w:val="11"/>
                <w:position w:val="0"/>
                <w:sz w:val="21"/>
                <w:szCs w:val="21"/>
                <w:u w:val="none" w:color="auto"/>
                <w:lang w:val="en-US" w:eastAsia="zh-CN"/>
              </w:rPr>
              <w:t>4-</w:t>
            </w:r>
            <w:r>
              <w:rPr>
                <w:rFonts w:hint="eastAsia" w:cs="Times New Roman"/>
                <w:b/>
                <w:bCs/>
                <w:i w:val="0"/>
                <w:iCs w:val="0"/>
                <w:color w:val="auto"/>
                <w:spacing w:val="11"/>
                <w:position w:val="0"/>
                <w:sz w:val="21"/>
                <w:szCs w:val="21"/>
                <w:u w:val="none" w:color="auto"/>
                <w:lang w:val="en-US" w:eastAsia="zh-CN"/>
              </w:rPr>
              <w:t>2</w:t>
            </w:r>
            <w:r>
              <w:rPr>
                <w:rFonts w:hint="default" w:ascii="Times New Roman" w:hAnsi="Times New Roman" w:eastAsia="宋体" w:cs="Times New Roman"/>
                <w:b/>
                <w:bCs/>
                <w:i w:val="0"/>
                <w:iCs w:val="0"/>
                <w:color w:val="auto"/>
                <w:spacing w:val="11"/>
                <w:position w:val="0"/>
                <w:sz w:val="21"/>
                <w:szCs w:val="21"/>
                <w:u w:val="none" w:color="auto"/>
                <w:lang w:val="en-US" w:eastAsia="zh-CN"/>
              </w:rPr>
              <w:t xml:space="preserve"> </w:t>
            </w:r>
            <w:r>
              <w:rPr>
                <w:rFonts w:hint="default" w:ascii="Times New Roman" w:hAnsi="Times New Roman" w:eastAsia="宋体" w:cs="Times New Roman"/>
                <w:b/>
                <w:bCs/>
                <w:i w:val="0"/>
                <w:iCs w:val="0"/>
                <w:color w:val="auto"/>
                <w:spacing w:val="11"/>
                <w:position w:val="0"/>
                <w:sz w:val="21"/>
                <w:szCs w:val="21"/>
                <w:u w:val="none" w:color="auto"/>
              </w:rPr>
              <w:t xml:space="preserve"> 项目噪声源强调查清单</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838"/>
              <w:gridCol w:w="1838"/>
              <w:gridCol w:w="1880"/>
              <w:gridCol w:w="1881"/>
            </w:tblGrid>
            <w:tr w14:paraId="5E325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tcBorders>
                    <w:tl2br w:val="nil"/>
                    <w:tr2bl w:val="nil"/>
                  </w:tcBorders>
                  <w:noWrap w:val="0"/>
                  <w:vAlign w:val="center"/>
                </w:tcPr>
                <w:p w14:paraId="1A97E2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序号</w:t>
                  </w:r>
                </w:p>
              </w:tc>
              <w:tc>
                <w:tcPr>
                  <w:tcW w:w="1137" w:type="pct"/>
                  <w:tcBorders>
                    <w:tl2br w:val="nil"/>
                    <w:tr2bl w:val="nil"/>
                  </w:tcBorders>
                  <w:noWrap w:val="0"/>
                  <w:vAlign w:val="center"/>
                </w:tcPr>
                <w:p w14:paraId="5E6EE7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设备名称</w:t>
                  </w:r>
                </w:p>
              </w:tc>
              <w:tc>
                <w:tcPr>
                  <w:tcW w:w="1137" w:type="pct"/>
                  <w:tcBorders>
                    <w:tl2br w:val="nil"/>
                    <w:tr2bl w:val="nil"/>
                  </w:tcBorders>
                  <w:noWrap w:val="0"/>
                  <w:vAlign w:val="center"/>
                </w:tcPr>
                <w:p w14:paraId="74C00F7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测点距施工机具距离</w:t>
                  </w:r>
                </w:p>
              </w:tc>
              <w:tc>
                <w:tcPr>
                  <w:tcW w:w="1163" w:type="pct"/>
                  <w:tcBorders>
                    <w:tl2br w:val="nil"/>
                    <w:tr2bl w:val="nil"/>
                  </w:tcBorders>
                  <w:noWrap w:val="0"/>
                  <w:vAlign w:val="center"/>
                </w:tcPr>
                <w:p w14:paraId="2EF38FA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eastAsia" w:cs="Times New Roman"/>
                      <w:spacing w:val="11"/>
                      <w:kern w:val="0"/>
                      <w:position w:val="0"/>
                      <w:sz w:val="21"/>
                      <w:szCs w:val="21"/>
                      <w:u w:val="none" w:color="auto"/>
                      <w:lang w:val="en-US" w:eastAsia="zh-CN"/>
                    </w:rPr>
                    <w:t>单台设备</w:t>
                  </w:r>
                  <w:r>
                    <w:rPr>
                      <w:rFonts w:hint="default" w:ascii="Times New Roman" w:hAnsi="Times New Roman" w:eastAsia="宋体" w:cs="Times New Roman"/>
                      <w:spacing w:val="11"/>
                      <w:kern w:val="0"/>
                      <w:position w:val="0"/>
                      <w:sz w:val="21"/>
                      <w:szCs w:val="21"/>
                      <w:u w:val="none" w:color="auto"/>
                    </w:rPr>
                    <w:t>最大声级（dB）</w:t>
                  </w:r>
                </w:p>
              </w:tc>
              <w:tc>
                <w:tcPr>
                  <w:tcW w:w="1163" w:type="pct"/>
                  <w:tcBorders>
                    <w:tl2br w:val="nil"/>
                    <w:tr2bl w:val="nil"/>
                  </w:tcBorders>
                  <w:noWrap w:val="0"/>
                  <w:vAlign w:val="center"/>
                </w:tcPr>
                <w:p w14:paraId="371089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spacing w:val="11"/>
                      <w:kern w:val="0"/>
                      <w:position w:val="0"/>
                      <w:sz w:val="21"/>
                      <w:szCs w:val="21"/>
                      <w:u w:val="none" w:color="auto"/>
                      <w:lang w:val="en-US" w:eastAsia="zh-CN"/>
                    </w:rPr>
                  </w:pPr>
                  <w:r>
                    <w:rPr>
                      <w:rFonts w:hint="eastAsia" w:cs="Times New Roman"/>
                      <w:spacing w:val="11"/>
                      <w:kern w:val="0"/>
                      <w:position w:val="0"/>
                      <w:sz w:val="21"/>
                      <w:szCs w:val="21"/>
                      <w:u w:val="none" w:color="auto"/>
                      <w:lang w:val="en-US" w:eastAsia="zh-CN"/>
                    </w:rPr>
                    <w:t>多个噪声源叠加db(A)</w:t>
                  </w:r>
                </w:p>
              </w:tc>
            </w:tr>
            <w:tr w14:paraId="21B25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tcBorders>
                    <w:tl2br w:val="nil"/>
                    <w:tr2bl w:val="nil"/>
                  </w:tcBorders>
                  <w:noWrap w:val="0"/>
                  <w:vAlign w:val="center"/>
                </w:tcPr>
                <w:p w14:paraId="23B0121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1</w:t>
                  </w:r>
                </w:p>
              </w:tc>
              <w:tc>
                <w:tcPr>
                  <w:tcW w:w="1137" w:type="pct"/>
                  <w:tcBorders>
                    <w:tl2br w:val="nil"/>
                    <w:tr2bl w:val="nil"/>
                  </w:tcBorders>
                  <w:shd w:val="clear" w:color="auto" w:fill="auto"/>
                  <w:noWrap w:val="0"/>
                  <w:vAlign w:val="center"/>
                </w:tcPr>
                <w:p w14:paraId="7FF905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position w:val="0"/>
                      <w:sz w:val="21"/>
                      <w:szCs w:val="21"/>
                      <w:u w:val="none" w:color="auto"/>
                      <w:lang w:val="en-US" w:eastAsia="zh-CN"/>
                    </w:rPr>
                    <w:t>液压</w:t>
                  </w:r>
                  <w:r>
                    <w:rPr>
                      <w:rFonts w:hint="default" w:ascii="Times New Roman" w:hAnsi="Times New Roman" w:eastAsia="宋体" w:cs="Times New Roman"/>
                      <w:b w:val="0"/>
                      <w:bCs/>
                      <w:spacing w:val="11"/>
                      <w:position w:val="0"/>
                      <w:sz w:val="21"/>
                      <w:szCs w:val="21"/>
                      <w:u w:val="none" w:color="auto"/>
                    </w:rPr>
                    <w:t>潜孔钻机</w:t>
                  </w:r>
                </w:p>
              </w:tc>
              <w:tc>
                <w:tcPr>
                  <w:tcW w:w="1137" w:type="pct"/>
                  <w:tcBorders>
                    <w:tl2br w:val="nil"/>
                    <w:tr2bl w:val="nil"/>
                  </w:tcBorders>
                  <w:noWrap w:val="0"/>
                  <w:vAlign w:val="center"/>
                </w:tcPr>
                <w:p w14:paraId="669791A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163" w:type="pct"/>
                  <w:tcBorders>
                    <w:tl2br w:val="nil"/>
                    <w:tr2bl w:val="nil"/>
                  </w:tcBorders>
                  <w:noWrap w:val="0"/>
                  <w:vAlign w:val="center"/>
                </w:tcPr>
                <w:p w14:paraId="30730D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84</w:t>
                  </w:r>
                </w:p>
              </w:tc>
              <w:tc>
                <w:tcPr>
                  <w:tcW w:w="1163" w:type="pct"/>
                  <w:vMerge w:val="restart"/>
                  <w:tcBorders>
                    <w:tl2br w:val="nil"/>
                    <w:tr2bl w:val="nil"/>
                  </w:tcBorders>
                  <w:noWrap w:val="0"/>
                  <w:vAlign w:val="center"/>
                </w:tcPr>
                <w:p w14:paraId="1DF16EF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eastAsia" w:cs="Times New Roman"/>
                      <w:color w:val="auto"/>
                      <w:spacing w:val="11"/>
                      <w:kern w:val="0"/>
                      <w:position w:val="0"/>
                      <w:sz w:val="21"/>
                      <w:szCs w:val="21"/>
                      <w:u w:val="none" w:color="auto"/>
                      <w:lang w:val="en-US" w:eastAsia="zh-CN" w:bidi="ar-SA"/>
                    </w:rPr>
                    <w:t>73.89</w:t>
                  </w:r>
                </w:p>
              </w:tc>
            </w:tr>
            <w:tr w14:paraId="65E50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tcBorders>
                    <w:tl2br w:val="nil"/>
                    <w:tr2bl w:val="nil"/>
                  </w:tcBorders>
                  <w:noWrap w:val="0"/>
                  <w:vAlign w:val="center"/>
                </w:tcPr>
                <w:p w14:paraId="03AD62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2</w:t>
                  </w:r>
                </w:p>
              </w:tc>
              <w:tc>
                <w:tcPr>
                  <w:tcW w:w="1137" w:type="pct"/>
                  <w:tcBorders>
                    <w:tl2br w:val="nil"/>
                    <w:tr2bl w:val="nil"/>
                  </w:tcBorders>
                  <w:shd w:val="clear" w:color="auto" w:fill="auto"/>
                  <w:noWrap w:val="0"/>
                  <w:vAlign w:val="center"/>
                </w:tcPr>
                <w:p w14:paraId="2F5E50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position w:val="0"/>
                      <w:sz w:val="21"/>
                      <w:szCs w:val="21"/>
                      <w:u w:val="none" w:color="auto"/>
                      <w:lang w:val="en-US" w:eastAsia="zh-CN"/>
                    </w:rPr>
                    <w:t>全液压式挖掘机</w:t>
                  </w:r>
                </w:p>
              </w:tc>
              <w:tc>
                <w:tcPr>
                  <w:tcW w:w="1137" w:type="pct"/>
                  <w:tcBorders>
                    <w:tl2br w:val="nil"/>
                    <w:tr2bl w:val="nil"/>
                  </w:tcBorders>
                  <w:noWrap w:val="0"/>
                  <w:vAlign w:val="center"/>
                </w:tcPr>
                <w:p w14:paraId="38EF5D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163" w:type="pct"/>
                  <w:tcBorders>
                    <w:tl2br w:val="nil"/>
                    <w:tr2bl w:val="nil"/>
                  </w:tcBorders>
                  <w:noWrap w:val="0"/>
                  <w:vAlign w:val="center"/>
                </w:tcPr>
                <w:p w14:paraId="6B1FCE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84</w:t>
                  </w:r>
                </w:p>
              </w:tc>
              <w:tc>
                <w:tcPr>
                  <w:tcW w:w="1163" w:type="pct"/>
                  <w:vMerge w:val="continue"/>
                  <w:tcBorders>
                    <w:tl2br w:val="nil"/>
                    <w:tr2bl w:val="nil"/>
                  </w:tcBorders>
                  <w:noWrap w:val="0"/>
                  <w:vAlign w:val="center"/>
                </w:tcPr>
                <w:p w14:paraId="1CCB799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p>
              </w:tc>
            </w:tr>
            <w:tr w14:paraId="1B48C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tcBorders>
                    <w:tl2br w:val="nil"/>
                    <w:tr2bl w:val="nil"/>
                  </w:tcBorders>
                  <w:noWrap w:val="0"/>
                  <w:vAlign w:val="center"/>
                </w:tcPr>
                <w:p w14:paraId="314BC7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3</w:t>
                  </w:r>
                </w:p>
              </w:tc>
              <w:tc>
                <w:tcPr>
                  <w:tcW w:w="1137" w:type="pct"/>
                  <w:tcBorders>
                    <w:tl2br w:val="nil"/>
                    <w:tr2bl w:val="nil"/>
                  </w:tcBorders>
                  <w:shd w:val="clear" w:color="auto" w:fill="auto"/>
                  <w:noWrap w:val="0"/>
                  <w:vAlign w:val="center"/>
                </w:tcPr>
                <w:p w14:paraId="026AD5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position w:val="0"/>
                      <w:sz w:val="21"/>
                      <w:szCs w:val="21"/>
                      <w:u w:val="none" w:color="auto"/>
                      <w:lang w:val="en-US" w:eastAsia="zh-CN"/>
                    </w:rPr>
                    <w:t>轮式装载机</w:t>
                  </w:r>
                </w:p>
              </w:tc>
              <w:tc>
                <w:tcPr>
                  <w:tcW w:w="1137" w:type="pct"/>
                  <w:tcBorders>
                    <w:tl2br w:val="nil"/>
                    <w:tr2bl w:val="nil"/>
                  </w:tcBorders>
                  <w:noWrap w:val="0"/>
                  <w:vAlign w:val="center"/>
                </w:tcPr>
                <w:p w14:paraId="30E8B8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163" w:type="pct"/>
                  <w:tcBorders>
                    <w:tl2br w:val="nil"/>
                    <w:tr2bl w:val="nil"/>
                  </w:tcBorders>
                  <w:noWrap w:val="0"/>
                  <w:vAlign w:val="center"/>
                </w:tcPr>
                <w:p w14:paraId="535CBF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84</w:t>
                  </w:r>
                </w:p>
              </w:tc>
              <w:tc>
                <w:tcPr>
                  <w:tcW w:w="1163" w:type="pct"/>
                  <w:vMerge w:val="continue"/>
                  <w:tcBorders>
                    <w:tl2br w:val="nil"/>
                    <w:tr2bl w:val="nil"/>
                  </w:tcBorders>
                  <w:noWrap w:val="0"/>
                  <w:vAlign w:val="center"/>
                </w:tcPr>
                <w:p w14:paraId="7ACC254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p>
              </w:tc>
            </w:tr>
            <w:tr w14:paraId="4367E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tcBorders>
                    <w:tl2br w:val="nil"/>
                    <w:tr2bl w:val="nil"/>
                  </w:tcBorders>
                  <w:noWrap w:val="0"/>
                  <w:vAlign w:val="center"/>
                </w:tcPr>
                <w:p w14:paraId="7C7C6C8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4</w:t>
                  </w:r>
                </w:p>
              </w:tc>
              <w:tc>
                <w:tcPr>
                  <w:tcW w:w="1137" w:type="pct"/>
                  <w:tcBorders>
                    <w:tl2br w:val="nil"/>
                    <w:tr2bl w:val="nil"/>
                  </w:tcBorders>
                  <w:shd w:val="clear" w:color="auto" w:fill="auto"/>
                  <w:noWrap w:val="0"/>
                  <w:vAlign w:val="center"/>
                </w:tcPr>
                <w:p w14:paraId="504E5C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position w:val="0"/>
                      <w:sz w:val="21"/>
                      <w:szCs w:val="21"/>
                      <w:u w:val="none" w:color="auto"/>
                      <w:lang w:val="en-US" w:eastAsia="zh-CN"/>
                    </w:rPr>
                    <w:t>破碎锤</w:t>
                  </w:r>
                </w:p>
              </w:tc>
              <w:tc>
                <w:tcPr>
                  <w:tcW w:w="1137" w:type="pct"/>
                  <w:tcBorders>
                    <w:tl2br w:val="nil"/>
                    <w:tr2bl w:val="nil"/>
                  </w:tcBorders>
                  <w:noWrap w:val="0"/>
                  <w:vAlign w:val="center"/>
                </w:tcPr>
                <w:p w14:paraId="673B93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163" w:type="pct"/>
                  <w:tcBorders>
                    <w:tl2br w:val="nil"/>
                    <w:tr2bl w:val="nil"/>
                  </w:tcBorders>
                  <w:noWrap w:val="0"/>
                  <w:vAlign w:val="center"/>
                </w:tcPr>
                <w:p w14:paraId="1CB5F1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90</w:t>
                  </w:r>
                </w:p>
              </w:tc>
              <w:tc>
                <w:tcPr>
                  <w:tcW w:w="1163" w:type="pct"/>
                  <w:vMerge w:val="continue"/>
                  <w:tcBorders>
                    <w:tl2br w:val="nil"/>
                    <w:tr2bl w:val="nil"/>
                  </w:tcBorders>
                  <w:noWrap w:val="0"/>
                  <w:vAlign w:val="center"/>
                </w:tcPr>
                <w:p w14:paraId="49FCBAF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p>
              </w:tc>
            </w:tr>
            <w:tr w14:paraId="63142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tcBorders>
                    <w:tl2br w:val="nil"/>
                    <w:tr2bl w:val="nil"/>
                  </w:tcBorders>
                  <w:noWrap w:val="0"/>
                  <w:vAlign w:val="center"/>
                </w:tcPr>
                <w:p w14:paraId="1CFB1B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default" w:ascii="Times New Roman" w:hAnsi="Times New Roman" w:eastAsia="宋体" w:cs="Times New Roman"/>
                      <w:spacing w:val="11"/>
                      <w:kern w:val="0"/>
                      <w:position w:val="0"/>
                      <w:sz w:val="21"/>
                      <w:szCs w:val="21"/>
                      <w:u w:val="none" w:color="auto"/>
                      <w:lang w:val="en-US" w:eastAsia="zh-CN"/>
                    </w:rPr>
                    <w:t>5</w:t>
                  </w:r>
                </w:p>
              </w:tc>
              <w:tc>
                <w:tcPr>
                  <w:tcW w:w="1137" w:type="pct"/>
                  <w:tcBorders>
                    <w:tl2br w:val="nil"/>
                    <w:tr2bl w:val="nil"/>
                  </w:tcBorders>
                  <w:shd w:val="clear" w:color="auto" w:fill="auto"/>
                  <w:noWrap w:val="0"/>
                  <w:vAlign w:val="center"/>
                </w:tcPr>
                <w:p w14:paraId="260CE7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皮带输送机</w:t>
                  </w:r>
                </w:p>
              </w:tc>
              <w:tc>
                <w:tcPr>
                  <w:tcW w:w="1137" w:type="pct"/>
                  <w:tcBorders>
                    <w:tl2br w:val="nil"/>
                    <w:tr2bl w:val="nil"/>
                  </w:tcBorders>
                  <w:shd w:val="clear" w:color="auto" w:fill="auto"/>
                  <w:noWrap w:val="0"/>
                  <w:vAlign w:val="center"/>
                </w:tcPr>
                <w:p w14:paraId="0AE029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163" w:type="pct"/>
                  <w:tcBorders>
                    <w:tl2br w:val="nil"/>
                    <w:tr2bl w:val="nil"/>
                  </w:tcBorders>
                  <w:shd w:val="clear" w:color="auto" w:fill="auto"/>
                  <w:noWrap w:val="0"/>
                  <w:vAlign w:val="center"/>
                </w:tcPr>
                <w:p w14:paraId="63E3DD5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80</w:t>
                  </w:r>
                </w:p>
              </w:tc>
              <w:tc>
                <w:tcPr>
                  <w:tcW w:w="1163" w:type="pct"/>
                  <w:vMerge w:val="continue"/>
                  <w:tcBorders>
                    <w:tl2br w:val="nil"/>
                    <w:tr2bl w:val="nil"/>
                  </w:tcBorders>
                  <w:shd w:val="clear" w:color="auto" w:fill="auto"/>
                  <w:noWrap w:val="0"/>
                  <w:vAlign w:val="center"/>
                </w:tcPr>
                <w:p w14:paraId="22107F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p>
              </w:tc>
            </w:tr>
            <w:tr w14:paraId="13CF58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tcBorders>
                    <w:tl2br w:val="nil"/>
                    <w:tr2bl w:val="nil"/>
                  </w:tcBorders>
                  <w:noWrap w:val="0"/>
                  <w:vAlign w:val="center"/>
                </w:tcPr>
                <w:p w14:paraId="7889FAA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default" w:ascii="Times New Roman" w:hAnsi="Times New Roman" w:eastAsia="宋体" w:cs="Times New Roman"/>
                      <w:spacing w:val="11"/>
                      <w:kern w:val="0"/>
                      <w:position w:val="0"/>
                      <w:sz w:val="21"/>
                      <w:szCs w:val="21"/>
                      <w:u w:val="none" w:color="auto"/>
                      <w:lang w:val="en-US" w:eastAsia="zh-CN"/>
                    </w:rPr>
                    <w:t>6</w:t>
                  </w:r>
                </w:p>
              </w:tc>
              <w:tc>
                <w:tcPr>
                  <w:tcW w:w="1137" w:type="pct"/>
                  <w:tcBorders>
                    <w:tl2br w:val="nil"/>
                    <w:tr2bl w:val="nil"/>
                  </w:tcBorders>
                  <w:shd w:val="clear" w:color="auto" w:fill="auto"/>
                  <w:noWrap w:val="0"/>
                  <w:vAlign w:val="center"/>
                </w:tcPr>
                <w:p w14:paraId="7B116B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给料机</w:t>
                  </w:r>
                </w:p>
              </w:tc>
              <w:tc>
                <w:tcPr>
                  <w:tcW w:w="1137" w:type="pct"/>
                  <w:tcBorders>
                    <w:tl2br w:val="nil"/>
                    <w:tr2bl w:val="nil"/>
                  </w:tcBorders>
                  <w:shd w:val="clear" w:color="auto" w:fill="auto"/>
                  <w:noWrap w:val="0"/>
                  <w:vAlign w:val="center"/>
                </w:tcPr>
                <w:p w14:paraId="3A0C49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163" w:type="pct"/>
                  <w:tcBorders>
                    <w:tl2br w:val="nil"/>
                    <w:tr2bl w:val="nil"/>
                  </w:tcBorders>
                  <w:shd w:val="clear" w:color="auto" w:fill="auto"/>
                  <w:noWrap w:val="0"/>
                  <w:vAlign w:val="center"/>
                </w:tcPr>
                <w:p w14:paraId="092C4F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75</w:t>
                  </w:r>
                </w:p>
              </w:tc>
              <w:tc>
                <w:tcPr>
                  <w:tcW w:w="1163" w:type="pct"/>
                  <w:vMerge w:val="continue"/>
                  <w:tcBorders>
                    <w:tl2br w:val="nil"/>
                    <w:tr2bl w:val="nil"/>
                  </w:tcBorders>
                  <w:shd w:val="clear" w:color="auto" w:fill="auto"/>
                  <w:noWrap w:val="0"/>
                  <w:vAlign w:val="center"/>
                </w:tcPr>
                <w:p w14:paraId="0B25E66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p>
              </w:tc>
            </w:tr>
            <w:tr w14:paraId="7B18F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tcBorders>
                    <w:tl2br w:val="nil"/>
                    <w:tr2bl w:val="nil"/>
                  </w:tcBorders>
                  <w:noWrap w:val="0"/>
                  <w:vAlign w:val="center"/>
                </w:tcPr>
                <w:p w14:paraId="45DD9E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default" w:ascii="Times New Roman" w:hAnsi="Times New Roman" w:eastAsia="宋体" w:cs="Times New Roman"/>
                      <w:spacing w:val="11"/>
                      <w:kern w:val="0"/>
                      <w:position w:val="0"/>
                      <w:sz w:val="21"/>
                      <w:szCs w:val="21"/>
                      <w:u w:val="none" w:color="auto"/>
                      <w:lang w:val="en-US" w:eastAsia="zh-CN"/>
                    </w:rPr>
                    <w:t>7</w:t>
                  </w:r>
                </w:p>
              </w:tc>
              <w:tc>
                <w:tcPr>
                  <w:tcW w:w="1137" w:type="pct"/>
                  <w:tcBorders>
                    <w:tl2br w:val="nil"/>
                    <w:tr2bl w:val="nil"/>
                  </w:tcBorders>
                  <w:shd w:val="clear" w:color="auto" w:fill="auto"/>
                  <w:noWrap w:val="0"/>
                  <w:vAlign w:val="center"/>
                </w:tcPr>
                <w:p w14:paraId="4B5F8B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position w:val="0"/>
                      <w:sz w:val="21"/>
                      <w:szCs w:val="21"/>
                      <w:u w:val="none" w:color="auto"/>
                      <w:lang w:val="en-US" w:eastAsia="zh-CN"/>
                    </w:rPr>
                    <w:t>1512锤</w:t>
                  </w:r>
                  <w:r>
                    <w:rPr>
                      <w:rFonts w:hint="default" w:ascii="Times New Roman" w:hAnsi="Times New Roman" w:eastAsia="宋体" w:cs="Times New Roman"/>
                      <w:b w:val="0"/>
                      <w:bCs/>
                      <w:spacing w:val="11"/>
                      <w:position w:val="0"/>
                      <w:sz w:val="21"/>
                      <w:szCs w:val="21"/>
                      <w:u w:val="none" w:color="auto"/>
                      <w:lang w:val="en-US" w:eastAsia="zh-CN"/>
                    </w:rPr>
                    <w:t>式破碎机</w:t>
                  </w:r>
                </w:p>
              </w:tc>
              <w:tc>
                <w:tcPr>
                  <w:tcW w:w="1137" w:type="pct"/>
                  <w:tcBorders>
                    <w:tl2br w:val="nil"/>
                    <w:tr2bl w:val="nil"/>
                  </w:tcBorders>
                  <w:shd w:val="clear" w:color="auto" w:fill="auto"/>
                  <w:noWrap w:val="0"/>
                  <w:vAlign w:val="center"/>
                </w:tcPr>
                <w:p w14:paraId="1E434D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163" w:type="pct"/>
                  <w:tcBorders>
                    <w:tl2br w:val="nil"/>
                    <w:tr2bl w:val="nil"/>
                  </w:tcBorders>
                  <w:shd w:val="clear" w:color="auto" w:fill="auto"/>
                  <w:noWrap w:val="0"/>
                  <w:vAlign w:val="center"/>
                </w:tcPr>
                <w:p w14:paraId="07B837B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90</w:t>
                  </w:r>
                </w:p>
              </w:tc>
              <w:tc>
                <w:tcPr>
                  <w:tcW w:w="1163" w:type="pct"/>
                  <w:vMerge w:val="continue"/>
                  <w:tcBorders>
                    <w:tl2br w:val="nil"/>
                    <w:tr2bl w:val="nil"/>
                  </w:tcBorders>
                  <w:shd w:val="clear" w:color="auto" w:fill="auto"/>
                  <w:noWrap w:val="0"/>
                  <w:vAlign w:val="center"/>
                </w:tcPr>
                <w:p w14:paraId="35BA4FB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p>
              </w:tc>
            </w:tr>
            <w:tr w14:paraId="7D0989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tcBorders>
                    <w:tl2br w:val="nil"/>
                    <w:tr2bl w:val="nil"/>
                  </w:tcBorders>
                  <w:noWrap w:val="0"/>
                  <w:vAlign w:val="center"/>
                </w:tcPr>
                <w:p w14:paraId="20EB171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default" w:ascii="Times New Roman" w:hAnsi="Times New Roman" w:eastAsia="宋体" w:cs="Times New Roman"/>
                      <w:spacing w:val="11"/>
                      <w:kern w:val="0"/>
                      <w:position w:val="0"/>
                      <w:sz w:val="21"/>
                      <w:szCs w:val="21"/>
                      <w:u w:val="none" w:color="auto"/>
                      <w:lang w:val="en-US" w:eastAsia="zh-CN"/>
                    </w:rPr>
                    <w:t>8</w:t>
                  </w:r>
                </w:p>
              </w:tc>
              <w:tc>
                <w:tcPr>
                  <w:tcW w:w="1137" w:type="pct"/>
                  <w:tcBorders>
                    <w:tl2br w:val="nil"/>
                    <w:tr2bl w:val="nil"/>
                  </w:tcBorders>
                  <w:shd w:val="clear" w:color="auto" w:fill="auto"/>
                  <w:noWrap w:val="0"/>
                  <w:vAlign w:val="center"/>
                </w:tcPr>
                <w:p w14:paraId="5F2C9A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振动筛</w:t>
                  </w:r>
                </w:p>
              </w:tc>
              <w:tc>
                <w:tcPr>
                  <w:tcW w:w="1137" w:type="pct"/>
                  <w:tcBorders>
                    <w:tl2br w:val="nil"/>
                    <w:tr2bl w:val="nil"/>
                  </w:tcBorders>
                  <w:shd w:val="clear" w:color="auto" w:fill="auto"/>
                  <w:noWrap w:val="0"/>
                  <w:vAlign w:val="center"/>
                </w:tcPr>
                <w:p w14:paraId="41E26F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163" w:type="pct"/>
                  <w:tcBorders>
                    <w:tl2br w:val="nil"/>
                    <w:tr2bl w:val="nil"/>
                  </w:tcBorders>
                  <w:shd w:val="clear" w:color="auto" w:fill="auto"/>
                  <w:noWrap w:val="0"/>
                  <w:vAlign w:val="center"/>
                </w:tcPr>
                <w:p w14:paraId="6B9A5D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80</w:t>
                  </w:r>
                </w:p>
              </w:tc>
              <w:tc>
                <w:tcPr>
                  <w:tcW w:w="1163" w:type="pct"/>
                  <w:vMerge w:val="continue"/>
                  <w:tcBorders>
                    <w:tl2br w:val="nil"/>
                    <w:tr2bl w:val="nil"/>
                  </w:tcBorders>
                  <w:shd w:val="clear" w:color="auto" w:fill="auto"/>
                  <w:noWrap w:val="0"/>
                  <w:vAlign w:val="center"/>
                </w:tcPr>
                <w:p w14:paraId="15D506F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p>
              </w:tc>
            </w:tr>
            <w:tr w14:paraId="0439A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Align w:val="center"/>
                </w:tcPr>
                <w:p w14:paraId="51C6904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default" w:ascii="Times New Roman" w:hAnsi="Times New Roman" w:eastAsia="宋体" w:cs="Times New Roman"/>
                      <w:spacing w:val="11"/>
                      <w:kern w:val="0"/>
                      <w:position w:val="0"/>
                      <w:sz w:val="21"/>
                      <w:szCs w:val="21"/>
                      <w:u w:val="none" w:color="auto"/>
                      <w:lang w:val="en-US" w:eastAsia="zh-CN"/>
                    </w:rPr>
                    <w:t>9</w:t>
                  </w:r>
                </w:p>
              </w:tc>
              <w:tc>
                <w:tcPr>
                  <w:tcW w:w="1137" w:type="pct"/>
                  <w:shd w:val="clear" w:color="auto" w:fill="auto"/>
                  <w:vAlign w:val="center"/>
                </w:tcPr>
                <w:p w14:paraId="53D281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反击式破碎机</w:t>
                  </w:r>
                </w:p>
              </w:tc>
              <w:tc>
                <w:tcPr>
                  <w:tcW w:w="1137" w:type="pct"/>
                  <w:shd w:val="clear" w:color="auto" w:fill="auto"/>
                  <w:vAlign w:val="center"/>
                </w:tcPr>
                <w:p w14:paraId="7CCE2EF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163" w:type="pct"/>
                  <w:shd w:val="clear" w:color="auto" w:fill="auto"/>
                  <w:vAlign w:val="center"/>
                </w:tcPr>
                <w:p w14:paraId="00A011B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90</w:t>
                  </w:r>
                </w:p>
              </w:tc>
              <w:tc>
                <w:tcPr>
                  <w:tcW w:w="1163" w:type="pct"/>
                  <w:vMerge w:val="continue"/>
                  <w:shd w:val="clear" w:color="auto" w:fill="auto"/>
                  <w:vAlign w:val="center"/>
                </w:tcPr>
                <w:p w14:paraId="51659B3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p>
              </w:tc>
            </w:tr>
            <w:tr w14:paraId="58C03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Align w:val="center"/>
                </w:tcPr>
                <w:p w14:paraId="7EEE143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default" w:ascii="Times New Roman" w:hAnsi="Times New Roman" w:eastAsia="宋体" w:cs="Times New Roman"/>
                      <w:spacing w:val="11"/>
                      <w:kern w:val="0"/>
                      <w:position w:val="0"/>
                      <w:sz w:val="21"/>
                      <w:szCs w:val="21"/>
                      <w:u w:val="none" w:color="auto"/>
                      <w:lang w:val="en-US" w:eastAsia="zh-CN"/>
                    </w:rPr>
                    <w:t>10</w:t>
                  </w:r>
                </w:p>
              </w:tc>
              <w:tc>
                <w:tcPr>
                  <w:tcW w:w="1137" w:type="pct"/>
                  <w:shd w:val="clear" w:color="auto" w:fill="auto"/>
                  <w:vAlign w:val="center"/>
                </w:tcPr>
                <w:p w14:paraId="142279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lang w:val="en-US" w:eastAsia="zh-CN"/>
                    </w:rPr>
                    <w:t>喂料机</w:t>
                  </w:r>
                </w:p>
              </w:tc>
              <w:tc>
                <w:tcPr>
                  <w:tcW w:w="1137" w:type="pct"/>
                  <w:shd w:val="clear" w:color="auto" w:fill="auto"/>
                  <w:vAlign w:val="center"/>
                </w:tcPr>
                <w:p w14:paraId="7E534A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163" w:type="pct"/>
                  <w:shd w:val="clear" w:color="auto" w:fill="auto"/>
                  <w:vAlign w:val="center"/>
                </w:tcPr>
                <w:p w14:paraId="27AB2B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75</w:t>
                  </w:r>
                </w:p>
              </w:tc>
              <w:tc>
                <w:tcPr>
                  <w:tcW w:w="1163" w:type="pct"/>
                  <w:vMerge w:val="continue"/>
                  <w:shd w:val="clear" w:color="auto" w:fill="auto"/>
                  <w:vAlign w:val="center"/>
                </w:tcPr>
                <w:p w14:paraId="21354EF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p>
              </w:tc>
            </w:tr>
            <w:tr w14:paraId="1D5F4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Align w:val="center"/>
                </w:tcPr>
                <w:p w14:paraId="626AAFA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default" w:ascii="Times New Roman" w:hAnsi="Times New Roman" w:eastAsia="宋体" w:cs="Times New Roman"/>
                      <w:spacing w:val="11"/>
                      <w:kern w:val="0"/>
                      <w:position w:val="0"/>
                      <w:sz w:val="21"/>
                      <w:szCs w:val="21"/>
                      <w:u w:val="none" w:color="auto"/>
                      <w:lang w:val="en-US" w:eastAsia="zh-CN"/>
                    </w:rPr>
                    <w:t>11</w:t>
                  </w:r>
                </w:p>
              </w:tc>
              <w:tc>
                <w:tcPr>
                  <w:tcW w:w="1137" w:type="pct"/>
                  <w:shd w:val="clear" w:color="auto" w:fill="auto"/>
                  <w:vAlign w:val="center"/>
                </w:tcPr>
                <w:p w14:paraId="238BB4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cs="Times New Roman"/>
                      <w:b w:val="0"/>
                      <w:bCs/>
                      <w:spacing w:val="11"/>
                      <w:position w:val="0"/>
                      <w:sz w:val="21"/>
                      <w:szCs w:val="21"/>
                      <w:u w:val="none" w:color="auto"/>
                      <w:lang w:val="en-US" w:eastAsia="zh-CN"/>
                    </w:rPr>
                    <w:t>锤</w:t>
                  </w:r>
                  <w:r>
                    <w:rPr>
                      <w:rFonts w:hint="default" w:ascii="Times New Roman" w:hAnsi="Times New Roman" w:eastAsia="宋体" w:cs="Times New Roman"/>
                      <w:b w:val="0"/>
                      <w:bCs/>
                      <w:spacing w:val="11"/>
                      <w:position w:val="0"/>
                      <w:sz w:val="21"/>
                      <w:szCs w:val="21"/>
                      <w:u w:val="none" w:color="auto"/>
                      <w:lang w:val="en-US" w:eastAsia="zh-CN"/>
                    </w:rPr>
                    <w:t>式破碎机</w:t>
                  </w:r>
                </w:p>
              </w:tc>
              <w:tc>
                <w:tcPr>
                  <w:tcW w:w="1137" w:type="pct"/>
                  <w:shd w:val="clear" w:color="auto" w:fill="auto"/>
                  <w:vAlign w:val="center"/>
                </w:tcPr>
                <w:p w14:paraId="2122F80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163" w:type="pct"/>
                  <w:shd w:val="clear" w:color="auto" w:fill="auto"/>
                  <w:vAlign w:val="center"/>
                </w:tcPr>
                <w:p w14:paraId="369F4B8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90</w:t>
                  </w:r>
                </w:p>
              </w:tc>
              <w:tc>
                <w:tcPr>
                  <w:tcW w:w="1163" w:type="pct"/>
                  <w:vMerge w:val="continue"/>
                  <w:shd w:val="clear" w:color="auto" w:fill="auto"/>
                  <w:vAlign w:val="center"/>
                </w:tcPr>
                <w:p w14:paraId="0D69214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p>
              </w:tc>
            </w:tr>
            <w:tr w14:paraId="4D670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Align w:val="center"/>
                </w:tcPr>
                <w:p w14:paraId="4D2FC33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default" w:ascii="Times New Roman" w:hAnsi="Times New Roman" w:eastAsia="宋体" w:cs="Times New Roman"/>
                      <w:spacing w:val="11"/>
                      <w:kern w:val="0"/>
                      <w:position w:val="0"/>
                      <w:sz w:val="21"/>
                      <w:szCs w:val="21"/>
                      <w:u w:val="none" w:color="auto"/>
                      <w:lang w:val="en-US" w:eastAsia="zh-CN"/>
                    </w:rPr>
                    <w:t>12</w:t>
                  </w:r>
                </w:p>
              </w:tc>
              <w:tc>
                <w:tcPr>
                  <w:tcW w:w="1137" w:type="pct"/>
                  <w:shd w:val="clear" w:color="auto" w:fill="auto"/>
                  <w:vAlign w:val="center"/>
                </w:tcPr>
                <w:p w14:paraId="2A7A80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lang w:val="en-US" w:eastAsia="zh-CN"/>
                    </w:rPr>
                    <w:t>洗砂机</w:t>
                  </w:r>
                </w:p>
              </w:tc>
              <w:tc>
                <w:tcPr>
                  <w:tcW w:w="1137" w:type="pct"/>
                  <w:shd w:val="clear" w:color="auto" w:fill="auto"/>
                  <w:vAlign w:val="center"/>
                </w:tcPr>
                <w:p w14:paraId="702407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163" w:type="pct"/>
                  <w:shd w:val="clear" w:color="auto" w:fill="auto"/>
                  <w:vAlign w:val="center"/>
                </w:tcPr>
                <w:p w14:paraId="0C2161E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80</w:t>
                  </w:r>
                </w:p>
              </w:tc>
              <w:tc>
                <w:tcPr>
                  <w:tcW w:w="1163" w:type="pct"/>
                  <w:vMerge w:val="continue"/>
                  <w:shd w:val="clear" w:color="auto" w:fill="auto"/>
                  <w:vAlign w:val="center"/>
                </w:tcPr>
                <w:p w14:paraId="1B9349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p>
              </w:tc>
            </w:tr>
            <w:tr w14:paraId="2424C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Align w:val="center"/>
                </w:tcPr>
                <w:p w14:paraId="14C049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default" w:ascii="Times New Roman" w:hAnsi="Times New Roman" w:eastAsia="宋体" w:cs="Times New Roman"/>
                      <w:spacing w:val="11"/>
                      <w:kern w:val="0"/>
                      <w:position w:val="0"/>
                      <w:sz w:val="21"/>
                      <w:szCs w:val="21"/>
                      <w:u w:val="none" w:color="auto"/>
                      <w:lang w:val="en-US" w:eastAsia="zh-CN"/>
                    </w:rPr>
                    <w:t>13</w:t>
                  </w:r>
                </w:p>
              </w:tc>
              <w:tc>
                <w:tcPr>
                  <w:tcW w:w="1137" w:type="pct"/>
                  <w:shd w:val="clear" w:color="auto" w:fill="auto"/>
                  <w:vAlign w:val="center"/>
                </w:tcPr>
                <w:p w14:paraId="7E1DB5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lang w:val="en-US" w:eastAsia="zh-CN"/>
                    </w:rPr>
                    <w:t>皮带输送机</w:t>
                  </w:r>
                </w:p>
              </w:tc>
              <w:tc>
                <w:tcPr>
                  <w:tcW w:w="1137" w:type="pct"/>
                  <w:shd w:val="clear" w:color="auto" w:fill="auto"/>
                  <w:vAlign w:val="center"/>
                </w:tcPr>
                <w:p w14:paraId="1C0B89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163" w:type="pct"/>
                  <w:shd w:val="clear" w:color="auto" w:fill="auto"/>
                  <w:vAlign w:val="center"/>
                </w:tcPr>
                <w:p w14:paraId="1122204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80</w:t>
                  </w:r>
                </w:p>
              </w:tc>
              <w:tc>
                <w:tcPr>
                  <w:tcW w:w="1163" w:type="pct"/>
                  <w:vMerge w:val="continue"/>
                  <w:shd w:val="clear" w:color="auto" w:fill="auto"/>
                  <w:vAlign w:val="center"/>
                </w:tcPr>
                <w:p w14:paraId="6C26D1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p>
              </w:tc>
            </w:tr>
            <w:tr w14:paraId="473BA1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Align w:val="center"/>
                </w:tcPr>
                <w:p w14:paraId="0D2E6E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default" w:ascii="Times New Roman" w:hAnsi="Times New Roman" w:eastAsia="宋体" w:cs="Times New Roman"/>
                      <w:spacing w:val="11"/>
                      <w:kern w:val="0"/>
                      <w:position w:val="0"/>
                      <w:sz w:val="21"/>
                      <w:szCs w:val="21"/>
                      <w:u w:val="none" w:color="auto"/>
                      <w:lang w:val="en-US" w:eastAsia="zh-CN"/>
                    </w:rPr>
                    <w:t>14</w:t>
                  </w:r>
                </w:p>
              </w:tc>
              <w:tc>
                <w:tcPr>
                  <w:tcW w:w="1137" w:type="pct"/>
                  <w:shd w:val="clear" w:color="auto" w:fill="auto"/>
                  <w:vAlign w:val="center"/>
                </w:tcPr>
                <w:p w14:paraId="721A73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lang w:val="en-US" w:eastAsia="zh-CN"/>
                    </w:rPr>
                    <w:t>装载机</w:t>
                  </w:r>
                </w:p>
              </w:tc>
              <w:tc>
                <w:tcPr>
                  <w:tcW w:w="1137" w:type="pct"/>
                  <w:shd w:val="clear" w:color="auto" w:fill="auto"/>
                  <w:vAlign w:val="center"/>
                </w:tcPr>
                <w:p w14:paraId="394F280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163" w:type="pct"/>
                  <w:shd w:val="clear" w:color="auto" w:fill="auto"/>
                  <w:vAlign w:val="center"/>
                </w:tcPr>
                <w:p w14:paraId="6FAAAE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90</w:t>
                  </w:r>
                </w:p>
              </w:tc>
              <w:tc>
                <w:tcPr>
                  <w:tcW w:w="1163" w:type="pct"/>
                  <w:vMerge w:val="continue"/>
                  <w:shd w:val="clear" w:color="auto" w:fill="auto"/>
                  <w:vAlign w:val="center"/>
                </w:tcPr>
                <w:p w14:paraId="2860918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p>
              </w:tc>
            </w:tr>
            <w:tr w14:paraId="20EBE6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Align w:val="center"/>
                </w:tcPr>
                <w:p w14:paraId="0DF47B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default" w:ascii="Times New Roman" w:hAnsi="Times New Roman" w:eastAsia="宋体" w:cs="Times New Roman"/>
                      <w:spacing w:val="11"/>
                      <w:kern w:val="0"/>
                      <w:position w:val="0"/>
                      <w:sz w:val="21"/>
                      <w:szCs w:val="21"/>
                      <w:u w:val="none" w:color="auto"/>
                      <w:lang w:val="en-US" w:eastAsia="zh-CN"/>
                    </w:rPr>
                    <w:t>15</w:t>
                  </w:r>
                </w:p>
              </w:tc>
              <w:tc>
                <w:tcPr>
                  <w:tcW w:w="1137" w:type="pct"/>
                  <w:shd w:val="clear" w:color="auto" w:fill="auto"/>
                  <w:vAlign w:val="center"/>
                </w:tcPr>
                <w:p w14:paraId="2B6228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lang w:val="en-US" w:eastAsia="zh-CN"/>
                    </w:rPr>
                    <w:t>制砂机</w:t>
                  </w:r>
                </w:p>
              </w:tc>
              <w:tc>
                <w:tcPr>
                  <w:tcW w:w="1137" w:type="pct"/>
                  <w:shd w:val="clear" w:color="auto" w:fill="auto"/>
                  <w:vAlign w:val="center"/>
                </w:tcPr>
                <w:p w14:paraId="4040B30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163" w:type="pct"/>
                  <w:shd w:val="clear" w:color="auto" w:fill="auto"/>
                  <w:vAlign w:val="center"/>
                </w:tcPr>
                <w:p w14:paraId="1C7718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80</w:t>
                  </w:r>
                </w:p>
              </w:tc>
              <w:tc>
                <w:tcPr>
                  <w:tcW w:w="1163" w:type="pct"/>
                  <w:vMerge w:val="continue"/>
                  <w:shd w:val="clear" w:color="auto" w:fill="auto"/>
                  <w:vAlign w:val="center"/>
                </w:tcPr>
                <w:p w14:paraId="17B9B53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p>
              </w:tc>
            </w:tr>
          </w:tbl>
          <w:p w14:paraId="740C6B92">
            <w:pPr>
              <w:pStyle w:val="69"/>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524" w:firstLineChars="200"/>
              <w:textAlignment w:val="auto"/>
              <w:rPr>
                <w:rFonts w:hint="default" w:ascii="Times New Roman" w:hAnsi="Times New Roman" w:cs="Times New Roman"/>
                <w:spacing w:val="11"/>
                <w:position w:val="0"/>
                <w:sz w:val="24"/>
                <w:u w:val="none" w:color="auto"/>
              </w:rPr>
            </w:pPr>
            <w:r>
              <w:rPr>
                <w:rFonts w:hint="default" w:ascii="Times New Roman" w:hAnsi="Times New Roman" w:eastAsia="宋体" w:cs="Times New Roman"/>
                <w:i w:val="0"/>
                <w:iCs w:val="0"/>
                <w:color w:val="auto"/>
                <w:spacing w:val="11"/>
                <w:position w:val="0"/>
                <w:sz w:val="24"/>
                <w:u w:val="none" w:color="auto"/>
              </w:rPr>
              <w:t>（</w:t>
            </w:r>
            <w:r>
              <w:rPr>
                <w:rFonts w:hint="eastAsia" w:cs="Times New Roman"/>
                <w:i w:val="0"/>
                <w:iCs w:val="0"/>
                <w:color w:val="auto"/>
                <w:spacing w:val="11"/>
                <w:position w:val="0"/>
                <w:sz w:val="24"/>
                <w:u w:val="none" w:color="auto"/>
                <w:lang w:val="en-US" w:eastAsia="zh-CN"/>
              </w:rPr>
              <w:t>1</w:t>
            </w:r>
            <w:r>
              <w:rPr>
                <w:rFonts w:hint="default" w:ascii="Times New Roman" w:hAnsi="Times New Roman" w:eastAsia="宋体" w:cs="Times New Roman"/>
                <w:i w:val="0"/>
                <w:iCs w:val="0"/>
                <w:color w:val="auto"/>
                <w:spacing w:val="11"/>
                <w:position w:val="0"/>
                <w:sz w:val="24"/>
                <w:u w:val="none" w:color="auto"/>
              </w:rPr>
              <w:t>）</w:t>
            </w:r>
            <w:r>
              <w:rPr>
                <w:rFonts w:hint="default" w:ascii="Times New Roman" w:hAnsi="Times New Roman" w:cs="Times New Roman"/>
                <w:spacing w:val="11"/>
                <w:position w:val="0"/>
                <w:sz w:val="24"/>
                <w:u w:val="none" w:color="auto"/>
              </w:rPr>
              <w:t>评价方法与预测模式</w:t>
            </w:r>
          </w:p>
          <w:p w14:paraId="5DFC2E52">
            <w:pPr>
              <w:pStyle w:val="6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cs="Times New Roman"/>
                <w:snapToGrid w:val="0"/>
                <w:spacing w:val="11"/>
                <w:position w:val="0"/>
                <w:sz w:val="24"/>
                <w:u w:val="none" w:color="auto"/>
              </w:rPr>
            </w:pPr>
            <w:r>
              <w:rPr>
                <w:rFonts w:hint="default" w:ascii="Times New Roman" w:hAnsi="Times New Roman" w:cs="Times New Roman"/>
                <w:snapToGrid w:val="0"/>
                <w:spacing w:val="11"/>
                <w:position w:val="0"/>
                <w:sz w:val="24"/>
                <w:u w:val="none" w:color="auto"/>
              </w:rPr>
              <w:t>根据《环境影响评价技术导则 声环境》（HJ 2.4-2021）的技术要求，本次评价采用导则推荐模式。</w:t>
            </w:r>
          </w:p>
          <w:p w14:paraId="782EDA3A">
            <w:pPr>
              <w:pStyle w:val="6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建设项目声源在预测点产生的等效声级贡献值(L</w:t>
            </w:r>
            <w:r>
              <w:rPr>
                <w:rFonts w:hint="default" w:ascii="Times New Roman" w:hAnsi="Times New Roman" w:cs="Times New Roman"/>
                <w:i/>
                <w:iCs/>
                <w:spacing w:val="11"/>
                <w:position w:val="0"/>
                <w:sz w:val="24"/>
                <w:u w:val="none" w:color="auto"/>
                <w:vertAlign w:val="subscript"/>
              </w:rPr>
              <w:t>eqg</w:t>
            </w:r>
            <w:r>
              <w:rPr>
                <w:rFonts w:hint="default" w:ascii="Times New Roman" w:hAnsi="Times New Roman" w:cs="Times New Roman"/>
                <w:spacing w:val="11"/>
                <w:position w:val="0"/>
                <w:sz w:val="24"/>
                <w:u w:val="none" w:color="auto"/>
              </w:rPr>
              <w:t>)计算公式：</w:t>
            </w:r>
          </w:p>
          <w:p w14:paraId="2A2F389B">
            <w:pPr>
              <w:pStyle w:val="69"/>
              <w:pageBreakBefore w:val="0"/>
              <w:kinsoku/>
              <w:wordWrap/>
              <w:overflowPunct/>
              <w:topLinePunct w:val="0"/>
              <w:bidi w:val="0"/>
              <w:adjustRightInd w:val="0"/>
              <w:snapToGrid w:val="0"/>
              <w:spacing w:line="360" w:lineRule="auto"/>
              <w:ind w:left="0" w:leftChars="0" w:right="0" w:firstLine="0" w:firstLineChars="0"/>
              <w:jc w:val="center"/>
              <w:textAlignment w:val="auto"/>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object>
                <v:shape id="_x0000_i1026" o:spt="75" type="#_x0000_t75" style="height:26.85pt;width:131.1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p>
          <w:p w14:paraId="50312C1E">
            <w:pPr>
              <w:pStyle w:val="6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式中：</w:t>
            </w:r>
            <w:r>
              <w:rPr>
                <w:rFonts w:hint="default" w:ascii="Times New Roman" w:hAnsi="Times New Roman" w:cs="Times New Roman"/>
                <w:i/>
                <w:spacing w:val="11"/>
                <w:position w:val="0"/>
                <w:sz w:val="24"/>
                <w:u w:val="none" w:color="auto"/>
              </w:rPr>
              <w:t>L</w:t>
            </w:r>
            <w:r>
              <w:rPr>
                <w:rFonts w:hint="default" w:ascii="Times New Roman" w:hAnsi="Times New Roman" w:cs="Times New Roman"/>
                <w:i/>
                <w:spacing w:val="11"/>
                <w:position w:val="0"/>
                <w:sz w:val="24"/>
                <w:u w:val="none" w:color="auto"/>
                <w:vertAlign w:val="subscript"/>
              </w:rPr>
              <w:t>eqg</w:t>
            </w:r>
            <w:r>
              <w:rPr>
                <w:rFonts w:hint="default" w:ascii="Times New Roman" w:hAnsi="Times New Roman" w:cs="Times New Roman"/>
                <w:spacing w:val="11"/>
                <w:position w:val="0"/>
                <w:sz w:val="24"/>
                <w:u w:val="none" w:color="auto"/>
              </w:rPr>
              <w:t>—建设项目声源在预测点的等效声级贡献值，dB(A)；</w:t>
            </w:r>
          </w:p>
          <w:p w14:paraId="652446A6">
            <w:pPr>
              <w:pStyle w:val="69"/>
              <w:pageBreakBefore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cs="Times New Roman"/>
                <w:spacing w:val="11"/>
                <w:position w:val="0"/>
                <w:sz w:val="24"/>
                <w:u w:val="none" w:color="auto"/>
              </w:rPr>
            </w:pPr>
            <w:r>
              <w:rPr>
                <w:rFonts w:hint="default" w:ascii="Times New Roman" w:hAnsi="Times New Roman" w:cs="Times New Roman"/>
                <w:i/>
                <w:spacing w:val="11"/>
                <w:position w:val="0"/>
                <w:sz w:val="24"/>
                <w:u w:val="none" w:color="auto"/>
              </w:rPr>
              <w:t>L</w:t>
            </w:r>
            <w:r>
              <w:rPr>
                <w:rFonts w:hint="default" w:ascii="Times New Roman" w:hAnsi="Times New Roman" w:cs="Times New Roman"/>
                <w:i/>
                <w:spacing w:val="11"/>
                <w:position w:val="0"/>
                <w:sz w:val="24"/>
                <w:u w:val="none" w:color="auto"/>
                <w:vertAlign w:val="subscript"/>
              </w:rPr>
              <w:t xml:space="preserve">Ai </w:t>
            </w:r>
            <w:r>
              <w:rPr>
                <w:rFonts w:hint="default" w:ascii="Times New Roman" w:hAnsi="Times New Roman" w:cs="Times New Roman"/>
                <w:spacing w:val="11"/>
                <w:position w:val="0"/>
                <w:sz w:val="24"/>
                <w:u w:val="none" w:color="auto"/>
              </w:rPr>
              <w:t>— i声源在预测点产生的A 声级，dB(A)；</w:t>
            </w:r>
          </w:p>
          <w:p w14:paraId="05BF4DE1">
            <w:pPr>
              <w:pStyle w:val="69"/>
              <w:pageBreakBefore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T —预测计算的时间段，s；</w:t>
            </w:r>
          </w:p>
          <w:p w14:paraId="5D149D04">
            <w:pPr>
              <w:pStyle w:val="69"/>
              <w:pageBreakBefore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t</w:t>
            </w:r>
            <w:r>
              <w:rPr>
                <w:rFonts w:hint="default" w:ascii="Times New Roman" w:hAnsi="Times New Roman" w:cs="Times New Roman"/>
                <w:spacing w:val="11"/>
                <w:position w:val="0"/>
                <w:sz w:val="24"/>
                <w:u w:val="none" w:color="auto"/>
                <w:vertAlign w:val="subscript"/>
              </w:rPr>
              <w:t>i</w:t>
            </w:r>
            <w:r>
              <w:rPr>
                <w:rFonts w:hint="default" w:ascii="Times New Roman" w:hAnsi="Times New Roman" w:cs="Times New Roman"/>
                <w:spacing w:val="11"/>
                <w:position w:val="0"/>
                <w:sz w:val="24"/>
                <w:u w:val="none" w:color="auto"/>
              </w:rPr>
              <w:t xml:space="preserve"> — i 声源在T 时段内的运行时间，s。</w:t>
            </w:r>
          </w:p>
          <w:p w14:paraId="085D4C24">
            <w:pPr>
              <w:pStyle w:val="6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①户外声传播衰减计算</w:t>
            </w:r>
          </w:p>
          <w:p w14:paraId="71E43C3D">
            <w:pPr>
              <w:pStyle w:val="6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户外声传播衰减包括几何发散（A</w:t>
            </w:r>
            <w:r>
              <w:rPr>
                <w:rFonts w:hint="default" w:ascii="Times New Roman" w:hAnsi="Times New Roman" w:cs="Times New Roman"/>
                <w:spacing w:val="11"/>
                <w:position w:val="0"/>
                <w:sz w:val="24"/>
                <w:u w:val="none" w:color="auto"/>
                <w:vertAlign w:val="subscript"/>
              </w:rPr>
              <w:t>div</w:t>
            </w:r>
            <w:r>
              <w:rPr>
                <w:rFonts w:hint="default" w:ascii="Times New Roman" w:hAnsi="Times New Roman" w:cs="Times New Roman"/>
                <w:spacing w:val="11"/>
                <w:position w:val="0"/>
                <w:sz w:val="24"/>
                <w:u w:val="none" w:color="auto"/>
              </w:rPr>
              <w:t>）、大气吸收（A</w:t>
            </w:r>
            <w:r>
              <w:rPr>
                <w:rFonts w:hint="default" w:ascii="Times New Roman" w:hAnsi="Times New Roman" w:cs="Times New Roman"/>
                <w:spacing w:val="11"/>
                <w:position w:val="0"/>
                <w:sz w:val="24"/>
                <w:u w:val="none" w:color="auto"/>
                <w:vertAlign w:val="subscript"/>
              </w:rPr>
              <w:t>atm</w:t>
            </w:r>
            <w:r>
              <w:rPr>
                <w:rFonts w:hint="default" w:ascii="Times New Roman" w:hAnsi="Times New Roman" w:cs="Times New Roman"/>
                <w:spacing w:val="11"/>
                <w:position w:val="0"/>
                <w:sz w:val="24"/>
                <w:u w:val="none" w:color="auto"/>
              </w:rPr>
              <w:t>）、地面效应（A</w:t>
            </w:r>
            <w:r>
              <w:rPr>
                <w:rFonts w:hint="default" w:ascii="Times New Roman" w:hAnsi="Times New Roman" w:cs="Times New Roman"/>
                <w:spacing w:val="11"/>
                <w:position w:val="0"/>
                <w:sz w:val="24"/>
                <w:u w:val="none" w:color="auto"/>
                <w:vertAlign w:val="subscript"/>
              </w:rPr>
              <w:t>gr</w:t>
            </w:r>
            <w:r>
              <w:rPr>
                <w:rFonts w:hint="default" w:ascii="Times New Roman" w:hAnsi="Times New Roman" w:cs="Times New Roman"/>
                <w:spacing w:val="11"/>
                <w:position w:val="0"/>
                <w:sz w:val="24"/>
                <w:u w:val="none" w:color="auto"/>
              </w:rPr>
              <w:t>）、屏障屏蔽（A</w:t>
            </w:r>
            <w:r>
              <w:rPr>
                <w:rFonts w:hint="default" w:ascii="Times New Roman" w:hAnsi="Times New Roman" w:cs="Times New Roman"/>
                <w:spacing w:val="11"/>
                <w:position w:val="0"/>
                <w:sz w:val="24"/>
                <w:u w:val="none" w:color="auto"/>
                <w:vertAlign w:val="subscript"/>
              </w:rPr>
              <w:t>bar</w:t>
            </w:r>
            <w:r>
              <w:rPr>
                <w:rFonts w:hint="default" w:ascii="Times New Roman" w:hAnsi="Times New Roman" w:cs="Times New Roman"/>
                <w:spacing w:val="11"/>
                <w:position w:val="0"/>
                <w:sz w:val="24"/>
                <w:u w:val="none" w:color="auto"/>
              </w:rPr>
              <w:t>）、其他多方面效应（A</w:t>
            </w:r>
            <w:r>
              <w:rPr>
                <w:rFonts w:hint="default" w:ascii="Times New Roman" w:hAnsi="Times New Roman" w:cs="Times New Roman"/>
                <w:spacing w:val="11"/>
                <w:position w:val="0"/>
                <w:sz w:val="24"/>
                <w:u w:val="none" w:color="auto"/>
                <w:vertAlign w:val="subscript"/>
              </w:rPr>
              <w:t>misc</w:t>
            </w:r>
            <w:r>
              <w:rPr>
                <w:rFonts w:hint="default" w:ascii="Times New Roman" w:hAnsi="Times New Roman" w:cs="Times New Roman"/>
                <w:spacing w:val="11"/>
                <w:position w:val="0"/>
                <w:sz w:val="24"/>
                <w:u w:val="none" w:color="auto"/>
              </w:rPr>
              <w:t>）引起的衰减。</w:t>
            </w:r>
          </w:p>
          <w:p w14:paraId="27827527">
            <w:pPr>
              <w:pStyle w:val="6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本次评价只考虑几何发散衰减，按下式计算：</w:t>
            </w:r>
          </w:p>
          <w:p w14:paraId="419FEE23">
            <w:pPr>
              <w:pStyle w:val="69"/>
              <w:pageBreakBefore w:val="0"/>
              <w:kinsoku/>
              <w:wordWrap/>
              <w:overflowPunct/>
              <w:topLinePunct w:val="0"/>
              <w:bidi w:val="0"/>
              <w:adjustRightInd w:val="0"/>
              <w:snapToGrid w:val="0"/>
              <w:spacing w:line="360" w:lineRule="auto"/>
              <w:ind w:left="0" w:leftChars="0" w:right="0" w:firstLine="0" w:firstLineChars="0"/>
              <w:jc w:val="center"/>
              <w:textAlignment w:val="auto"/>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drawing>
                <wp:inline distT="0" distB="0" distL="114300" distR="114300">
                  <wp:extent cx="1562100" cy="285750"/>
                  <wp:effectExtent l="0" t="0" r="7620" b="381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7"/>
                          <a:stretch>
                            <a:fillRect/>
                          </a:stretch>
                        </pic:blipFill>
                        <pic:spPr>
                          <a:xfrm>
                            <a:off x="0" y="0"/>
                            <a:ext cx="1562100" cy="285750"/>
                          </a:xfrm>
                          <a:prstGeom prst="rect">
                            <a:avLst/>
                          </a:prstGeom>
                          <a:noFill/>
                          <a:ln>
                            <a:noFill/>
                          </a:ln>
                        </pic:spPr>
                      </pic:pic>
                    </a:graphicData>
                  </a:graphic>
                </wp:inline>
              </w:drawing>
            </w:r>
          </w:p>
          <w:p w14:paraId="0507E130">
            <w:pPr>
              <w:pStyle w:val="6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式中：L</w:t>
            </w:r>
            <w:r>
              <w:rPr>
                <w:rFonts w:hint="default" w:ascii="Times New Roman" w:hAnsi="Times New Roman" w:cs="Times New Roman"/>
                <w:spacing w:val="11"/>
                <w:position w:val="0"/>
                <w:sz w:val="24"/>
                <w:u w:val="none" w:color="auto"/>
                <w:vertAlign w:val="subscript"/>
              </w:rPr>
              <w:t>A</w:t>
            </w:r>
            <w:r>
              <w:rPr>
                <w:rFonts w:hint="default" w:ascii="Times New Roman" w:hAnsi="Times New Roman" w:cs="Times New Roman"/>
                <w:spacing w:val="11"/>
                <w:position w:val="0"/>
                <w:sz w:val="24"/>
                <w:u w:val="none" w:color="auto"/>
              </w:rPr>
              <w:t>(r) —距声源 r 处的 A 声级，dB(A)；</w:t>
            </w:r>
          </w:p>
          <w:p w14:paraId="0DDFB63A">
            <w:pPr>
              <w:pStyle w:val="69"/>
              <w:pageBreakBefore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L</w:t>
            </w:r>
            <w:r>
              <w:rPr>
                <w:rFonts w:hint="default" w:ascii="Times New Roman" w:hAnsi="Times New Roman" w:cs="Times New Roman"/>
                <w:spacing w:val="11"/>
                <w:position w:val="0"/>
                <w:sz w:val="24"/>
                <w:u w:val="none" w:color="auto"/>
                <w:vertAlign w:val="subscript"/>
              </w:rPr>
              <w:t>A</w:t>
            </w:r>
            <w:r>
              <w:rPr>
                <w:rFonts w:hint="default" w:ascii="Times New Roman" w:hAnsi="Times New Roman" w:cs="Times New Roman"/>
                <w:spacing w:val="11"/>
                <w:position w:val="0"/>
                <w:sz w:val="24"/>
                <w:u w:val="none" w:color="auto"/>
              </w:rPr>
              <w:t>(r</w:t>
            </w:r>
            <w:r>
              <w:rPr>
                <w:rFonts w:hint="default" w:ascii="Times New Roman" w:hAnsi="Times New Roman" w:cs="Times New Roman"/>
                <w:spacing w:val="11"/>
                <w:position w:val="0"/>
                <w:sz w:val="24"/>
                <w:u w:val="none" w:color="auto"/>
                <w:vertAlign w:val="subscript"/>
              </w:rPr>
              <w:t>0</w:t>
            </w:r>
            <w:r>
              <w:rPr>
                <w:rFonts w:hint="default" w:ascii="Times New Roman" w:hAnsi="Times New Roman" w:cs="Times New Roman"/>
                <w:spacing w:val="11"/>
                <w:position w:val="0"/>
                <w:sz w:val="24"/>
                <w:u w:val="none" w:color="auto"/>
              </w:rPr>
              <w:t>) —参考位置 r0处的 A 声级，dB(A)；</w:t>
            </w:r>
          </w:p>
          <w:p w14:paraId="21E91B0D">
            <w:pPr>
              <w:pStyle w:val="69"/>
              <w:pageBreakBefore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A</w:t>
            </w:r>
            <w:r>
              <w:rPr>
                <w:rFonts w:hint="default" w:ascii="Times New Roman" w:hAnsi="Times New Roman" w:cs="Times New Roman"/>
                <w:spacing w:val="11"/>
                <w:position w:val="0"/>
                <w:sz w:val="24"/>
                <w:u w:val="none" w:color="auto"/>
                <w:vertAlign w:val="subscript"/>
              </w:rPr>
              <w:t>div</w:t>
            </w:r>
            <w:r>
              <w:rPr>
                <w:rFonts w:hint="default" w:ascii="Times New Roman" w:hAnsi="Times New Roman" w:cs="Times New Roman"/>
                <w:spacing w:val="11"/>
                <w:position w:val="0"/>
                <w:sz w:val="24"/>
                <w:u w:val="none" w:color="auto"/>
              </w:rPr>
              <w:t xml:space="preserve"> —几何发散引起的衰减，dB。</w:t>
            </w:r>
          </w:p>
          <w:p w14:paraId="4705762F">
            <w:pPr>
              <w:pStyle w:val="6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无指向性点声源的几何发散衰减按下式计算：</w:t>
            </w:r>
          </w:p>
          <w:p w14:paraId="2BEECC13">
            <w:pPr>
              <w:pStyle w:val="69"/>
              <w:pageBreakBefore w:val="0"/>
              <w:kinsoku/>
              <w:wordWrap/>
              <w:overflowPunct/>
              <w:topLinePunct w:val="0"/>
              <w:bidi w:val="0"/>
              <w:adjustRightInd w:val="0"/>
              <w:snapToGrid w:val="0"/>
              <w:spacing w:line="360" w:lineRule="auto"/>
              <w:ind w:left="0" w:leftChars="0" w:right="0" w:firstLine="0" w:firstLineChars="0"/>
              <w:jc w:val="center"/>
              <w:textAlignment w:val="auto"/>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drawing>
                <wp:inline distT="0" distB="0" distL="114300" distR="114300">
                  <wp:extent cx="1343025" cy="295275"/>
                  <wp:effectExtent l="0" t="0" r="13335" b="952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8"/>
                          <a:stretch>
                            <a:fillRect/>
                          </a:stretch>
                        </pic:blipFill>
                        <pic:spPr>
                          <a:xfrm>
                            <a:off x="0" y="0"/>
                            <a:ext cx="1343025" cy="295275"/>
                          </a:xfrm>
                          <a:prstGeom prst="rect">
                            <a:avLst/>
                          </a:prstGeom>
                          <a:noFill/>
                          <a:ln>
                            <a:noFill/>
                          </a:ln>
                        </pic:spPr>
                      </pic:pic>
                    </a:graphicData>
                  </a:graphic>
                </wp:inline>
              </w:drawing>
            </w:r>
          </w:p>
          <w:p w14:paraId="110E9BE8">
            <w:pPr>
              <w:pStyle w:val="6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式中：A</w:t>
            </w:r>
            <w:r>
              <w:rPr>
                <w:rFonts w:hint="default" w:ascii="Times New Roman" w:hAnsi="Times New Roman" w:cs="Times New Roman"/>
                <w:spacing w:val="11"/>
                <w:position w:val="0"/>
                <w:sz w:val="24"/>
                <w:u w:val="none" w:color="auto"/>
                <w:vertAlign w:val="subscript"/>
              </w:rPr>
              <w:t>div</w:t>
            </w:r>
            <w:r>
              <w:rPr>
                <w:rFonts w:hint="default" w:ascii="Times New Roman" w:hAnsi="Times New Roman" w:cs="Times New Roman"/>
                <w:spacing w:val="11"/>
                <w:position w:val="0"/>
                <w:sz w:val="24"/>
                <w:u w:val="none" w:color="auto"/>
              </w:rPr>
              <w:t xml:space="preserve"> —几何发散引起的衰减，dB；</w:t>
            </w:r>
          </w:p>
          <w:p w14:paraId="73D3DCCB">
            <w:pPr>
              <w:pStyle w:val="69"/>
              <w:pageBreakBefore w:val="0"/>
              <w:kinsoku/>
              <w:wordWrap/>
              <w:overflowPunct/>
              <w:topLinePunct w:val="0"/>
              <w:bidi w:val="0"/>
              <w:adjustRightInd w:val="0"/>
              <w:snapToGrid w:val="0"/>
              <w:spacing w:line="360" w:lineRule="auto"/>
              <w:ind w:right="0" w:firstLine="1310" w:firstLineChars="500"/>
              <w:textAlignment w:val="auto"/>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r—预测点距声源的距离；</w:t>
            </w:r>
          </w:p>
          <w:p w14:paraId="5D8E01DF">
            <w:pPr>
              <w:pStyle w:val="69"/>
              <w:pageBreakBefore w:val="0"/>
              <w:kinsoku/>
              <w:wordWrap/>
              <w:overflowPunct/>
              <w:topLinePunct w:val="0"/>
              <w:bidi w:val="0"/>
              <w:adjustRightInd w:val="0"/>
              <w:snapToGrid w:val="0"/>
              <w:spacing w:line="360" w:lineRule="auto"/>
              <w:ind w:right="0" w:firstLine="1310" w:firstLineChars="500"/>
              <w:textAlignment w:val="auto"/>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r</w:t>
            </w:r>
            <w:r>
              <w:rPr>
                <w:rFonts w:hint="default" w:ascii="Times New Roman" w:hAnsi="Times New Roman" w:cs="Times New Roman"/>
                <w:spacing w:val="11"/>
                <w:position w:val="0"/>
                <w:sz w:val="24"/>
                <w:u w:val="none" w:color="auto"/>
                <w:vertAlign w:val="subscript"/>
              </w:rPr>
              <w:t>0</w:t>
            </w:r>
            <w:r>
              <w:rPr>
                <w:rFonts w:hint="default" w:ascii="Times New Roman" w:hAnsi="Times New Roman" w:cs="Times New Roman"/>
                <w:spacing w:val="11"/>
                <w:position w:val="0"/>
                <w:sz w:val="24"/>
                <w:u w:val="none" w:color="auto"/>
              </w:rPr>
              <w:t>—参考位置距声源的距离。</w:t>
            </w:r>
          </w:p>
          <w:p w14:paraId="723CAB42">
            <w:pPr>
              <w:pStyle w:val="6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cs="Times New Roman"/>
                <w:spacing w:val="11"/>
                <w:position w:val="0"/>
                <w:sz w:val="24"/>
                <w:szCs w:val="21"/>
                <w:u w:val="single" w:color="auto"/>
              </w:rPr>
            </w:pPr>
            <w:r>
              <w:rPr>
                <w:rFonts w:hint="default" w:ascii="Times New Roman" w:hAnsi="Times New Roman" w:cs="Times New Roman"/>
                <w:spacing w:val="11"/>
                <w:position w:val="0"/>
                <w:sz w:val="24"/>
                <w:szCs w:val="21"/>
                <w:u w:val="single" w:color="auto"/>
              </w:rPr>
              <w:t>（</w:t>
            </w:r>
            <w:r>
              <w:rPr>
                <w:rFonts w:hint="eastAsia" w:cs="Times New Roman"/>
                <w:spacing w:val="11"/>
                <w:position w:val="0"/>
                <w:sz w:val="24"/>
                <w:szCs w:val="21"/>
                <w:u w:val="single" w:color="auto"/>
                <w:lang w:val="en-US" w:eastAsia="zh-CN"/>
              </w:rPr>
              <w:t>2</w:t>
            </w:r>
            <w:r>
              <w:rPr>
                <w:rFonts w:hint="default" w:ascii="Times New Roman" w:hAnsi="Times New Roman" w:cs="Times New Roman"/>
                <w:spacing w:val="11"/>
                <w:position w:val="0"/>
                <w:sz w:val="24"/>
                <w:szCs w:val="21"/>
                <w:u w:val="single" w:color="auto"/>
              </w:rPr>
              <w:t>）预测结果与评价</w:t>
            </w:r>
          </w:p>
          <w:p w14:paraId="6DC9BF01">
            <w:pPr>
              <w:pStyle w:val="6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spacing w:val="11"/>
                <w:position w:val="0"/>
                <w:sz w:val="24"/>
                <w:szCs w:val="24"/>
                <w:u w:val="single" w:color="auto"/>
              </w:rPr>
            </w:pPr>
            <w:r>
              <w:rPr>
                <w:rFonts w:hint="default" w:ascii="Times New Roman" w:hAnsi="Times New Roman" w:eastAsia="宋体" w:cs="Times New Roman"/>
                <w:spacing w:val="11"/>
                <w:position w:val="0"/>
                <w:sz w:val="24"/>
                <w:szCs w:val="24"/>
                <w:u w:val="single" w:color="auto"/>
              </w:rPr>
              <w:t>本项目营运期噪声预测结果</w:t>
            </w:r>
            <w:r>
              <w:rPr>
                <w:rFonts w:hint="default" w:ascii="Times New Roman" w:hAnsi="Times New Roman" w:eastAsia="宋体" w:cs="Times New Roman"/>
                <w:spacing w:val="11"/>
                <w:position w:val="0"/>
                <w:sz w:val="24"/>
                <w:szCs w:val="24"/>
                <w:u w:val="single" w:color="auto"/>
                <w:lang w:val="en-US" w:eastAsia="zh-CN"/>
              </w:rPr>
              <w:t>见下表</w:t>
            </w:r>
            <w:r>
              <w:rPr>
                <w:rFonts w:hint="default" w:ascii="Times New Roman" w:hAnsi="Times New Roman" w:eastAsia="宋体" w:cs="Times New Roman"/>
                <w:spacing w:val="11"/>
                <w:position w:val="0"/>
                <w:sz w:val="24"/>
                <w:szCs w:val="24"/>
                <w:u w:val="single" w:color="auto"/>
              </w:rPr>
              <w:t>。</w:t>
            </w:r>
          </w:p>
          <w:p w14:paraId="10A4B420">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kern w:val="0"/>
                <w:position w:val="0"/>
                <w:sz w:val="21"/>
                <w:szCs w:val="21"/>
                <w:highlight w:val="none"/>
                <w:u w:val="single" w:color="auto"/>
                <w:lang w:val="en-US" w:eastAsia="zh-CN"/>
              </w:rPr>
            </w:pPr>
            <w:r>
              <w:rPr>
                <w:rFonts w:hint="default" w:ascii="Times New Roman" w:hAnsi="Times New Roman" w:eastAsia="宋体" w:cs="Times New Roman"/>
                <w:b/>
                <w:caps w:val="0"/>
                <w:smallCaps w:val="0"/>
                <w:color w:val="auto"/>
                <w:spacing w:val="11"/>
                <w:kern w:val="0"/>
                <w:position w:val="0"/>
                <w:sz w:val="21"/>
                <w:szCs w:val="21"/>
                <w:highlight w:val="none"/>
                <w:u w:val="single" w:color="auto"/>
                <w:lang w:val="en-US" w:eastAsia="zh-CN"/>
              </w:rPr>
              <w:t>表</w:t>
            </w:r>
            <w:r>
              <w:rPr>
                <w:rFonts w:hint="eastAsia" w:ascii="Times New Roman" w:hAnsi="Times New Roman" w:eastAsia="宋体" w:cs="Times New Roman"/>
                <w:b/>
                <w:caps w:val="0"/>
                <w:smallCaps w:val="0"/>
                <w:color w:val="auto"/>
                <w:spacing w:val="11"/>
                <w:kern w:val="0"/>
                <w:position w:val="0"/>
                <w:sz w:val="21"/>
                <w:szCs w:val="21"/>
                <w:highlight w:val="none"/>
                <w:u w:val="single" w:color="auto"/>
                <w:lang w:val="en-US" w:eastAsia="zh-CN"/>
              </w:rPr>
              <w:t xml:space="preserve">4-3  </w:t>
            </w:r>
            <w:r>
              <w:rPr>
                <w:rFonts w:hint="default" w:ascii="Times New Roman" w:hAnsi="Times New Roman" w:eastAsia="宋体" w:cs="Times New Roman"/>
                <w:b/>
                <w:caps w:val="0"/>
                <w:smallCaps w:val="0"/>
                <w:color w:val="auto"/>
                <w:spacing w:val="11"/>
                <w:kern w:val="0"/>
                <w:position w:val="0"/>
                <w:sz w:val="21"/>
                <w:szCs w:val="21"/>
                <w:highlight w:val="none"/>
                <w:u w:val="single" w:color="auto"/>
                <w:lang w:val="en-US" w:eastAsia="zh-CN"/>
              </w:rPr>
              <w:t>厂界噪声预测评价结果表单位：dB（A）</w:t>
            </w:r>
          </w:p>
          <w:tbl>
            <w:tblPr>
              <w:tblStyle w:val="61"/>
              <w:tblW w:w="4995"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48"/>
              <w:gridCol w:w="2496"/>
              <w:gridCol w:w="1452"/>
              <w:gridCol w:w="1465"/>
              <w:gridCol w:w="1014"/>
            </w:tblGrid>
            <w:tr w14:paraId="34D293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020" w:type="pct"/>
                  <w:tcBorders>
                    <w:tl2br w:val="nil"/>
                    <w:tr2bl w:val="nil"/>
                  </w:tcBorders>
                  <w:vAlign w:val="center"/>
                </w:tcPr>
                <w:p w14:paraId="7FFE85F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t>位置</w:t>
                  </w:r>
                </w:p>
              </w:tc>
              <w:tc>
                <w:tcPr>
                  <w:tcW w:w="1545" w:type="pct"/>
                  <w:tcBorders>
                    <w:tl2br w:val="nil"/>
                    <w:tr2bl w:val="nil"/>
                  </w:tcBorders>
                  <w:vAlign w:val="center"/>
                </w:tcPr>
                <w:p w14:paraId="6866689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t>主要设备噪声源强距离厂界的距离（m）</w:t>
                  </w:r>
                </w:p>
              </w:tc>
              <w:tc>
                <w:tcPr>
                  <w:tcW w:w="899" w:type="pct"/>
                  <w:tcBorders>
                    <w:tl2br w:val="nil"/>
                    <w:tr2bl w:val="nil"/>
                  </w:tcBorders>
                  <w:vAlign w:val="center"/>
                </w:tcPr>
                <w:p w14:paraId="40E8BC7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t>贡献值</w:t>
                  </w:r>
                </w:p>
                <w:p w14:paraId="09ADDB6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t>[dB（A）]</w:t>
                  </w:r>
                </w:p>
              </w:tc>
              <w:tc>
                <w:tcPr>
                  <w:tcW w:w="907" w:type="pct"/>
                  <w:tcBorders>
                    <w:tl2br w:val="nil"/>
                    <w:tr2bl w:val="nil"/>
                  </w:tcBorders>
                  <w:vAlign w:val="center"/>
                </w:tcPr>
                <w:p w14:paraId="0775A7B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t>标准值</w:t>
                  </w:r>
                </w:p>
                <w:p w14:paraId="25ED697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t>[dB（A）]</w:t>
                  </w:r>
                </w:p>
              </w:tc>
              <w:tc>
                <w:tcPr>
                  <w:tcW w:w="627" w:type="pct"/>
                  <w:tcBorders>
                    <w:tl2br w:val="nil"/>
                    <w:tr2bl w:val="nil"/>
                  </w:tcBorders>
                  <w:vAlign w:val="center"/>
                </w:tcPr>
                <w:p w14:paraId="50DE65F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t>达标情况</w:t>
                  </w:r>
                </w:p>
              </w:tc>
            </w:tr>
            <w:tr w14:paraId="14693F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20" w:type="pct"/>
                  <w:tcBorders>
                    <w:tl2br w:val="nil"/>
                    <w:tr2bl w:val="nil"/>
                  </w:tcBorders>
                  <w:vAlign w:val="center"/>
                </w:tcPr>
                <w:p w14:paraId="66396AB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eastAsia" w:ascii="Times New Roman" w:hAnsi="Times New Roman" w:eastAsia="宋体" w:cs="Times New Roman"/>
                      <w:caps w:val="0"/>
                      <w:smallCaps w:val="0"/>
                      <w:color w:val="auto"/>
                      <w:spacing w:val="11"/>
                      <w:position w:val="0"/>
                      <w:sz w:val="21"/>
                      <w:szCs w:val="21"/>
                      <w:highlight w:val="none"/>
                      <w:u w:val="single" w:color="auto"/>
                      <w:lang w:val="en-US" w:eastAsia="zh-CN"/>
                    </w:rPr>
                    <w:t>项目区边界</w:t>
                  </w:r>
                  <w: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t>东侧</w:t>
                  </w:r>
                </w:p>
              </w:tc>
              <w:tc>
                <w:tcPr>
                  <w:tcW w:w="1545" w:type="pct"/>
                  <w:tcBorders>
                    <w:tl2br w:val="nil"/>
                    <w:tr2bl w:val="nil"/>
                  </w:tcBorders>
                  <w:shd w:val="clear" w:color="auto" w:fill="auto"/>
                  <w:vAlign w:val="center"/>
                </w:tcPr>
                <w:p w14:paraId="56D382B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eastAsia" w:cs="Times New Roman"/>
                      <w:caps w:val="0"/>
                      <w:smallCaps w:val="0"/>
                      <w:color w:val="auto"/>
                      <w:spacing w:val="11"/>
                      <w:position w:val="0"/>
                      <w:sz w:val="21"/>
                      <w:szCs w:val="21"/>
                      <w:highlight w:val="none"/>
                      <w:u w:val="single" w:color="auto"/>
                      <w:lang w:val="en-US" w:eastAsia="zh-CN"/>
                    </w:rPr>
                    <w:t>450</w:t>
                  </w:r>
                </w:p>
              </w:tc>
              <w:tc>
                <w:tcPr>
                  <w:tcW w:w="899" w:type="pct"/>
                  <w:tcBorders>
                    <w:tl2br w:val="nil"/>
                    <w:tr2bl w:val="nil"/>
                  </w:tcBorders>
                  <w:shd w:val="clear" w:color="auto" w:fill="auto"/>
                  <w:vAlign w:val="center"/>
                </w:tcPr>
                <w:p w14:paraId="348A866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t>20.83</w:t>
                  </w:r>
                </w:p>
              </w:tc>
              <w:tc>
                <w:tcPr>
                  <w:tcW w:w="907" w:type="pct"/>
                  <w:vMerge w:val="restart"/>
                  <w:tcBorders>
                    <w:tl2br w:val="nil"/>
                    <w:tr2bl w:val="nil"/>
                  </w:tcBorders>
                  <w:vAlign w:val="center"/>
                </w:tcPr>
                <w:p w14:paraId="4EC7EDF5">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eastAsia" w:ascii="Times New Roman" w:hAnsi="Times New Roman" w:eastAsia="宋体" w:cs="Times New Roman"/>
                      <w:caps w:val="0"/>
                      <w:smallCaps w:val="0"/>
                      <w:color w:val="auto"/>
                      <w:spacing w:val="11"/>
                      <w:position w:val="0"/>
                      <w:sz w:val="21"/>
                      <w:szCs w:val="21"/>
                      <w:highlight w:val="none"/>
                      <w:u w:val="single" w:color="auto"/>
                      <w:lang w:val="en-US" w:eastAsia="zh-CN"/>
                    </w:rPr>
                    <w:t>昼间：60</w:t>
                  </w:r>
                </w:p>
              </w:tc>
              <w:tc>
                <w:tcPr>
                  <w:tcW w:w="627" w:type="pct"/>
                  <w:tcBorders>
                    <w:tl2br w:val="nil"/>
                    <w:tr2bl w:val="nil"/>
                  </w:tcBorders>
                  <w:vAlign w:val="center"/>
                </w:tcPr>
                <w:p w14:paraId="397C035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t>达标</w:t>
                  </w:r>
                </w:p>
              </w:tc>
            </w:tr>
            <w:tr w14:paraId="5F54F1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20" w:type="pct"/>
                  <w:tcBorders>
                    <w:tl2br w:val="nil"/>
                    <w:tr2bl w:val="nil"/>
                  </w:tcBorders>
                  <w:vAlign w:val="center"/>
                </w:tcPr>
                <w:p w14:paraId="366FE6F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t>项目区边界南侧</w:t>
                  </w:r>
                </w:p>
              </w:tc>
              <w:tc>
                <w:tcPr>
                  <w:tcW w:w="1545" w:type="pct"/>
                  <w:tcBorders>
                    <w:tl2br w:val="nil"/>
                    <w:tr2bl w:val="nil"/>
                  </w:tcBorders>
                  <w:shd w:val="clear" w:color="auto" w:fill="auto"/>
                  <w:vAlign w:val="center"/>
                </w:tcPr>
                <w:p w14:paraId="2BF01AA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eastAsia" w:cs="Times New Roman"/>
                      <w:caps w:val="0"/>
                      <w:smallCaps w:val="0"/>
                      <w:color w:val="auto"/>
                      <w:spacing w:val="11"/>
                      <w:position w:val="0"/>
                      <w:sz w:val="21"/>
                      <w:szCs w:val="21"/>
                      <w:highlight w:val="none"/>
                      <w:u w:val="single" w:color="auto"/>
                      <w:lang w:val="en-US" w:eastAsia="zh-CN"/>
                    </w:rPr>
                    <w:t>170</w:t>
                  </w:r>
                </w:p>
              </w:tc>
              <w:tc>
                <w:tcPr>
                  <w:tcW w:w="899" w:type="pct"/>
                  <w:tcBorders>
                    <w:tl2br w:val="nil"/>
                    <w:tr2bl w:val="nil"/>
                  </w:tcBorders>
                  <w:shd w:val="clear" w:color="auto" w:fill="auto"/>
                  <w:vAlign w:val="center"/>
                </w:tcPr>
                <w:p w14:paraId="349C454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t>29.28</w:t>
                  </w:r>
                </w:p>
              </w:tc>
              <w:tc>
                <w:tcPr>
                  <w:tcW w:w="907" w:type="pct"/>
                  <w:vMerge w:val="continue"/>
                  <w:tcBorders>
                    <w:tl2br w:val="nil"/>
                    <w:tr2bl w:val="nil"/>
                  </w:tcBorders>
                  <w:shd w:val="clear" w:color="auto" w:fill="auto"/>
                  <w:vAlign w:val="center"/>
                </w:tcPr>
                <w:p w14:paraId="39B4487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
                      <w:position w:val="0"/>
                      <w:sz w:val="21"/>
                      <w:szCs w:val="21"/>
                      <w:highlight w:val="none"/>
                      <w:u w:val="single" w:color="auto"/>
                      <w:lang w:val="en-US" w:eastAsia="zh-CN" w:bidi="ar-SA"/>
                    </w:rPr>
                  </w:pPr>
                </w:p>
              </w:tc>
              <w:tc>
                <w:tcPr>
                  <w:tcW w:w="627" w:type="pct"/>
                  <w:tcBorders>
                    <w:tl2br w:val="nil"/>
                    <w:tr2bl w:val="nil"/>
                  </w:tcBorders>
                  <w:vAlign w:val="center"/>
                </w:tcPr>
                <w:p w14:paraId="72E9C2E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t>达标</w:t>
                  </w:r>
                </w:p>
              </w:tc>
            </w:tr>
            <w:tr w14:paraId="7A3EC3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020" w:type="pct"/>
                  <w:tcBorders>
                    <w:tl2br w:val="nil"/>
                    <w:tr2bl w:val="nil"/>
                  </w:tcBorders>
                  <w:vAlign w:val="center"/>
                </w:tcPr>
                <w:p w14:paraId="3B8D1BE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t>项目区边界西侧</w:t>
                  </w:r>
                </w:p>
              </w:tc>
              <w:tc>
                <w:tcPr>
                  <w:tcW w:w="1545" w:type="pct"/>
                  <w:tcBorders>
                    <w:tl2br w:val="nil"/>
                    <w:tr2bl w:val="nil"/>
                  </w:tcBorders>
                  <w:shd w:val="clear" w:color="auto" w:fill="auto"/>
                  <w:vAlign w:val="center"/>
                </w:tcPr>
                <w:p w14:paraId="5137C2C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eastAsia" w:cs="Times New Roman"/>
                      <w:caps w:val="0"/>
                      <w:smallCaps w:val="0"/>
                      <w:color w:val="auto"/>
                      <w:spacing w:val="11"/>
                      <w:position w:val="0"/>
                      <w:sz w:val="21"/>
                      <w:szCs w:val="21"/>
                      <w:highlight w:val="none"/>
                      <w:u w:val="single" w:color="auto"/>
                      <w:lang w:val="en-US" w:eastAsia="zh-CN"/>
                    </w:rPr>
                    <w:t>161</w:t>
                  </w:r>
                </w:p>
              </w:tc>
              <w:tc>
                <w:tcPr>
                  <w:tcW w:w="899" w:type="pct"/>
                  <w:tcBorders>
                    <w:tl2br w:val="nil"/>
                    <w:tr2bl w:val="nil"/>
                  </w:tcBorders>
                  <w:shd w:val="clear" w:color="auto" w:fill="auto"/>
                  <w:vAlign w:val="center"/>
                </w:tcPr>
                <w:p w14:paraId="385ECD0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t>29.75</w:t>
                  </w:r>
                </w:p>
              </w:tc>
              <w:tc>
                <w:tcPr>
                  <w:tcW w:w="907" w:type="pct"/>
                  <w:vMerge w:val="continue"/>
                  <w:tcBorders>
                    <w:tl2br w:val="nil"/>
                    <w:tr2bl w:val="nil"/>
                  </w:tcBorders>
                  <w:vAlign w:val="center"/>
                </w:tcPr>
                <w:p w14:paraId="436378B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p>
              </w:tc>
              <w:tc>
                <w:tcPr>
                  <w:tcW w:w="627" w:type="pct"/>
                  <w:tcBorders>
                    <w:tl2br w:val="nil"/>
                    <w:tr2bl w:val="nil"/>
                  </w:tcBorders>
                  <w:vAlign w:val="center"/>
                </w:tcPr>
                <w:p w14:paraId="5CB2841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t>达标</w:t>
                  </w:r>
                </w:p>
              </w:tc>
            </w:tr>
            <w:tr w14:paraId="0EA0ED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1020" w:type="pct"/>
                  <w:tcBorders>
                    <w:tl2br w:val="nil"/>
                    <w:tr2bl w:val="nil"/>
                  </w:tcBorders>
                  <w:vAlign w:val="center"/>
                </w:tcPr>
                <w:p w14:paraId="4195965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t>项目区边界北侧</w:t>
                  </w:r>
                </w:p>
              </w:tc>
              <w:tc>
                <w:tcPr>
                  <w:tcW w:w="1545" w:type="pct"/>
                  <w:tcBorders>
                    <w:tl2br w:val="nil"/>
                    <w:tr2bl w:val="nil"/>
                  </w:tcBorders>
                  <w:shd w:val="clear" w:color="auto" w:fill="auto"/>
                  <w:vAlign w:val="center"/>
                </w:tcPr>
                <w:p w14:paraId="459A88F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eastAsia" w:ascii="Times New Roman" w:hAnsi="Times New Roman" w:eastAsia="宋体" w:cs="Times New Roman"/>
                      <w:caps w:val="0"/>
                      <w:smallCaps w:val="0"/>
                      <w:color w:val="auto"/>
                      <w:spacing w:val="11"/>
                      <w:position w:val="0"/>
                      <w:sz w:val="21"/>
                      <w:szCs w:val="21"/>
                      <w:highlight w:val="none"/>
                      <w:u w:val="single" w:color="auto"/>
                      <w:lang w:val="en-US" w:eastAsia="zh-CN"/>
                    </w:rPr>
                    <w:t>5</w:t>
                  </w:r>
                </w:p>
              </w:tc>
              <w:tc>
                <w:tcPr>
                  <w:tcW w:w="899" w:type="pct"/>
                  <w:tcBorders>
                    <w:tl2br w:val="nil"/>
                    <w:tr2bl w:val="nil"/>
                  </w:tcBorders>
                  <w:shd w:val="clear" w:color="auto" w:fill="auto"/>
                  <w:vAlign w:val="center"/>
                </w:tcPr>
                <w:p w14:paraId="029CD49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t>59.91</w:t>
                  </w:r>
                </w:p>
              </w:tc>
              <w:tc>
                <w:tcPr>
                  <w:tcW w:w="907" w:type="pct"/>
                  <w:vMerge w:val="continue"/>
                  <w:tcBorders>
                    <w:tl2br w:val="nil"/>
                    <w:tr2bl w:val="nil"/>
                  </w:tcBorders>
                  <w:vAlign w:val="center"/>
                </w:tcPr>
                <w:p w14:paraId="51E2BAEF">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single" w:color="auto"/>
                      <w:lang w:val="en-US" w:eastAsia="zh-CN"/>
                    </w:rPr>
                  </w:pPr>
                </w:p>
              </w:tc>
              <w:tc>
                <w:tcPr>
                  <w:tcW w:w="627" w:type="pct"/>
                  <w:tcBorders>
                    <w:tl2br w:val="nil"/>
                    <w:tr2bl w:val="nil"/>
                  </w:tcBorders>
                  <w:vAlign w:val="center"/>
                </w:tcPr>
                <w:p w14:paraId="649B477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single" w:color="auto"/>
                      <w:lang w:val="en-US" w:eastAsia="zh-CN"/>
                    </w:rPr>
                    <w:t>达标</w:t>
                  </w:r>
                </w:p>
              </w:tc>
            </w:tr>
          </w:tbl>
          <w:p w14:paraId="52F21981">
            <w:pPr>
              <w:keepNext w:val="0"/>
              <w:keepLines w:val="0"/>
              <w:pageBreakBefore w:val="0"/>
              <w:widowControl w:val="0"/>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eastAsia="宋体" w:cs="Times New Roman"/>
                <w:color w:val="000000"/>
                <w:spacing w:val="11"/>
                <w:kern w:val="2"/>
                <w:position w:val="0"/>
                <w:sz w:val="24"/>
                <w:szCs w:val="24"/>
                <w:u w:val="single" w:color="auto"/>
                <w:lang w:val="en-US" w:eastAsia="zh-CN" w:bidi="ar-SA"/>
              </w:rPr>
            </w:pPr>
            <w:r>
              <w:rPr>
                <w:rFonts w:hint="default" w:ascii="Times New Roman" w:hAnsi="Times New Roman" w:eastAsia="宋体" w:cs="Times New Roman"/>
                <w:color w:val="000000"/>
                <w:spacing w:val="11"/>
                <w:kern w:val="2"/>
                <w:position w:val="0"/>
                <w:sz w:val="24"/>
                <w:szCs w:val="24"/>
                <w:u w:val="single" w:color="auto"/>
                <w:lang w:val="en-US" w:eastAsia="zh-CN" w:bidi="ar-SA"/>
              </w:rPr>
              <w:t>由上表可知，本项目正常生产时噪声经厂房隔音、基础减振和距离衰减后，项目厂界东、南、西</w:t>
            </w:r>
            <w:r>
              <w:rPr>
                <w:rFonts w:hint="eastAsia" w:ascii="Times New Roman" w:hAnsi="Times New Roman" w:eastAsia="宋体" w:cs="Times New Roman"/>
                <w:color w:val="000000"/>
                <w:spacing w:val="11"/>
                <w:kern w:val="2"/>
                <w:position w:val="0"/>
                <w:sz w:val="24"/>
                <w:szCs w:val="24"/>
                <w:u w:val="single" w:color="auto"/>
                <w:lang w:val="en-US" w:eastAsia="zh-CN" w:bidi="ar-SA"/>
              </w:rPr>
              <w:t>、北</w:t>
            </w:r>
            <w:r>
              <w:rPr>
                <w:rFonts w:hint="default" w:ascii="Times New Roman" w:hAnsi="Times New Roman" w:eastAsia="宋体" w:cs="Times New Roman"/>
                <w:color w:val="000000"/>
                <w:spacing w:val="11"/>
                <w:kern w:val="2"/>
                <w:position w:val="0"/>
                <w:sz w:val="24"/>
                <w:szCs w:val="24"/>
                <w:u w:val="single" w:color="auto"/>
                <w:lang w:val="en-US" w:eastAsia="zh-CN" w:bidi="ar-SA"/>
              </w:rPr>
              <w:t>侧噪声贡献值均能满足《工业企业厂界环境噪声排放标准》（GB12348-2008）2类区标准，在可接受范围内。</w:t>
            </w:r>
          </w:p>
          <w:p w14:paraId="7F967575">
            <w:pPr>
              <w:keepNext w:val="0"/>
              <w:keepLines w:val="0"/>
              <w:pageBreakBefore w:val="0"/>
              <w:widowControl w:val="0"/>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eastAsia="宋体" w:cs="Times New Roman"/>
                <w:color w:val="000000"/>
                <w:spacing w:val="11"/>
                <w:kern w:val="2"/>
                <w:position w:val="0"/>
                <w:sz w:val="24"/>
                <w:szCs w:val="24"/>
                <w:u w:val="single" w:color="auto"/>
                <w:lang w:val="en-US" w:eastAsia="zh-CN" w:bidi="ar-SA"/>
              </w:rPr>
            </w:pPr>
            <w:r>
              <w:rPr>
                <w:rFonts w:hint="default" w:ascii="Times New Roman" w:hAnsi="Times New Roman" w:eastAsia="宋体" w:cs="Times New Roman"/>
                <w:color w:val="000000"/>
                <w:spacing w:val="11"/>
                <w:kern w:val="2"/>
                <w:position w:val="0"/>
                <w:sz w:val="24"/>
                <w:szCs w:val="24"/>
                <w:u w:val="single" w:color="auto"/>
                <w:lang w:val="en-US" w:eastAsia="zh-CN" w:bidi="ar-SA"/>
              </w:rPr>
              <w:t>项目主要设备噪声源在声环境保护目标处噪声预测结果如下：</w:t>
            </w:r>
          </w:p>
          <w:p w14:paraId="741EF739">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kern w:val="0"/>
                <w:position w:val="0"/>
                <w:sz w:val="21"/>
                <w:szCs w:val="21"/>
                <w:highlight w:val="none"/>
                <w:u w:val="single" w:color="auto"/>
                <w:lang w:val="en-US" w:eastAsia="zh-CN"/>
              </w:rPr>
            </w:pPr>
            <w:r>
              <w:rPr>
                <w:rFonts w:hint="default" w:ascii="Times New Roman" w:hAnsi="Times New Roman" w:eastAsia="宋体" w:cs="Times New Roman"/>
                <w:b/>
                <w:caps w:val="0"/>
                <w:smallCaps w:val="0"/>
                <w:color w:val="auto"/>
                <w:spacing w:val="11"/>
                <w:kern w:val="0"/>
                <w:position w:val="0"/>
                <w:sz w:val="21"/>
                <w:szCs w:val="21"/>
                <w:highlight w:val="none"/>
                <w:u w:val="single" w:color="auto"/>
                <w:lang w:val="en-US" w:eastAsia="zh-CN"/>
              </w:rPr>
              <w:t>表</w:t>
            </w:r>
            <w:r>
              <w:rPr>
                <w:rFonts w:hint="eastAsia" w:ascii="Times New Roman" w:hAnsi="Times New Roman" w:eastAsia="宋体" w:cs="Times New Roman"/>
                <w:b/>
                <w:caps w:val="0"/>
                <w:smallCaps w:val="0"/>
                <w:color w:val="auto"/>
                <w:spacing w:val="11"/>
                <w:kern w:val="0"/>
                <w:position w:val="0"/>
                <w:sz w:val="21"/>
                <w:szCs w:val="21"/>
                <w:highlight w:val="none"/>
                <w:u w:val="single" w:color="auto"/>
                <w:lang w:val="en-US" w:eastAsia="zh-CN"/>
              </w:rPr>
              <w:t xml:space="preserve">4-4  </w:t>
            </w:r>
            <w:r>
              <w:rPr>
                <w:rFonts w:hint="default" w:ascii="Times New Roman" w:hAnsi="Times New Roman" w:eastAsia="宋体" w:cs="Times New Roman"/>
                <w:b/>
                <w:caps w:val="0"/>
                <w:smallCaps w:val="0"/>
                <w:color w:val="auto"/>
                <w:spacing w:val="11"/>
                <w:kern w:val="0"/>
                <w:position w:val="0"/>
                <w:sz w:val="21"/>
                <w:szCs w:val="21"/>
                <w:highlight w:val="none"/>
                <w:u w:val="single" w:color="auto"/>
                <w:lang w:val="en-US" w:eastAsia="zh-CN"/>
              </w:rPr>
              <w:t>项目营运期敏感点噪声贡献值及达标情况</w:t>
            </w:r>
          </w:p>
          <w:tbl>
            <w:tblPr>
              <w:tblStyle w:val="3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1383"/>
              <w:gridCol w:w="1052"/>
              <w:gridCol w:w="1078"/>
              <w:gridCol w:w="1078"/>
              <w:gridCol w:w="1078"/>
              <w:gridCol w:w="743"/>
            </w:tblGrid>
            <w:tr w14:paraId="31EE2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29" w:type="pct"/>
                  <w:tcBorders>
                    <w:tl2br w:val="nil"/>
                    <w:tr2bl w:val="nil"/>
                  </w:tcBorders>
                  <w:vAlign w:val="center"/>
                </w:tcPr>
                <w:p w14:paraId="629298FD">
                  <w:pPr>
                    <w:adjustRightInd w:val="0"/>
                    <w:snapToGrid w:val="0"/>
                    <w:spacing w:line="240" w:lineRule="auto"/>
                    <w:ind w:firstLine="0" w:firstLineChars="0"/>
                    <w:jc w:val="center"/>
                    <w:rPr>
                      <w:rFonts w:ascii="Times New Roman" w:hAnsi="Times New Roman" w:eastAsia="宋体" w:cs="Times New Roman"/>
                      <w:spacing w:val="11"/>
                      <w:position w:val="0"/>
                      <w:sz w:val="21"/>
                      <w:szCs w:val="21"/>
                      <w:highlight w:val="none"/>
                      <w:u w:val="single" w:color="auto"/>
                    </w:rPr>
                  </w:pPr>
                  <w:r>
                    <w:rPr>
                      <w:rFonts w:hint="eastAsia" w:ascii="Times New Roman" w:hAnsi="Times New Roman" w:eastAsia="宋体" w:cs="Times New Roman"/>
                      <w:spacing w:val="11"/>
                      <w:position w:val="0"/>
                      <w:sz w:val="21"/>
                      <w:szCs w:val="21"/>
                      <w:highlight w:val="none"/>
                      <w:u w:val="single" w:color="auto"/>
                      <w:lang w:val="en-US" w:eastAsia="zh-CN"/>
                    </w:rPr>
                    <w:t>项目区边界</w:t>
                  </w:r>
                </w:p>
              </w:tc>
              <w:tc>
                <w:tcPr>
                  <w:tcW w:w="856" w:type="pct"/>
                  <w:tcBorders>
                    <w:tl2br w:val="nil"/>
                    <w:tr2bl w:val="nil"/>
                  </w:tcBorders>
                  <w:vAlign w:val="center"/>
                </w:tcPr>
                <w:p w14:paraId="2A1AC492">
                  <w:pPr>
                    <w:adjustRightInd w:val="0"/>
                    <w:snapToGrid w:val="0"/>
                    <w:spacing w:line="240" w:lineRule="auto"/>
                    <w:ind w:firstLine="0" w:firstLineChars="0"/>
                    <w:jc w:val="center"/>
                    <w:rPr>
                      <w:rFonts w:ascii="Times New Roman" w:hAnsi="Times New Roman" w:eastAsia="宋体" w:cs="Times New Roman"/>
                      <w:spacing w:val="11"/>
                      <w:kern w:val="0"/>
                      <w:position w:val="0"/>
                      <w:sz w:val="21"/>
                      <w:szCs w:val="21"/>
                      <w:highlight w:val="none"/>
                      <w:u w:val="single" w:color="auto"/>
                    </w:rPr>
                  </w:pPr>
                  <w:r>
                    <w:rPr>
                      <w:rFonts w:hint="eastAsia" w:ascii="Times New Roman" w:hAnsi="Times New Roman" w:eastAsia="宋体" w:cs="Times New Roman"/>
                      <w:spacing w:val="11"/>
                      <w:kern w:val="0"/>
                      <w:position w:val="0"/>
                      <w:sz w:val="21"/>
                      <w:szCs w:val="21"/>
                      <w:highlight w:val="none"/>
                      <w:u w:val="single" w:color="auto"/>
                      <w:lang w:val="en-US" w:eastAsia="zh-CN"/>
                    </w:rPr>
                    <w:t>主要设备噪声</w:t>
                  </w:r>
                  <w:r>
                    <w:rPr>
                      <w:rFonts w:hint="eastAsia" w:ascii="Times New Roman" w:hAnsi="Times New Roman" w:eastAsia="宋体" w:cs="Times New Roman"/>
                      <w:spacing w:val="11"/>
                      <w:kern w:val="0"/>
                      <w:position w:val="0"/>
                      <w:sz w:val="21"/>
                      <w:szCs w:val="21"/>
                      <w:highlight w:val="none"/>
                      <w:u w:val="single" w:color="auto"/>
                    </w:rPr>
                    <w:t>源强距附近敏感点最近距离(m)</w:t>
                  </w:r>
                </w:p>
              </w:tc>
              <w:tc>
                <w:tcPr>
                  <w:tcW w:w="651" w:type="pct"/>
                  <w:tcBorders>
                    <w:tl2br w:val="nil"/>
                    <w:tr2bl w:val="nil"/>
                  </w:tcBorders>
                  <w:vAlign w:val="center"/>
                </w:tcPr>
                <w:p w14:paraId="2C559132">
                  <w:pPr>
                    <w:adjustRightInd w:val="0"/>
                    <w:snapToGrid w:val="0"/>
                    <w:spacing w:line="240" w:lineRule="auto"/>
                    <w:ind w:firstLine="0" w:firstLineChars="0"/>
                    <w:jc w:val="center"/>
                    <w:rPr>
                      <w:rFonts w:ascii="Times New Roman" w:hAnsi="Times New Roman" w:eastAsia="宋体" w:cs="Times New Roman"/>
                      <w:spacing w:val="11"/>
                      <w:position w:val="0"/>
                      <w:sz w:val="21"/>
                      <w:szCs w:val="21"/>
                      <w:highlight w:val="none"/>
                      <w:u w:val="single" w:color="auto"/>
                    </w:rPr>
                  </w:pPr>
                  <w:r>
                    <w:rPr>
                      <w:rFonts w:ascii="Times New Roman" w:hAnsi="Times New Roman" w:eastAsia="宋体" w:cs="Times New Roman"/>
                      <w:spacing w:val="11"/>
                      <w:position w:val="0"/>
                      <w:sz w:val="21"/>
                      <w:szCs w:val="21"/>
                      <w:highlight w:val="none"/>
                      <w:u w:val="single" w:color="auto"/>
                    </w:rPr>
                    <w:t>贡献值</w:t>
                  </w:r>
                </w:p>
                <w:p w14:paraId="0F70716C">
                  <w:pPr>
                    <w:adjustRightInd w:val="0"/>
                    <w:snapToGrid w:val="0"/>
                    <w:spacing w:line="240" w:lineRule="auto"/>
                    <w:ind w:firstLine="0" w:firstLineChars="0"/>
                    <w:jc w:val="center"/>
                    <w:rPr>
                      <w:rFonts w:ascii="Times New Roman" w:hAnsi="Times New Roman" w:eastAsia="宋体" w:cs="Times New Roman"/>
                      <w:spacing w:val="11"/>
                      <w:position w:val="0"/>
                      <w:sz w:val="21"/>
                      <w:szCs w:val="21"/>
                      <w:highlight w:val="none"/>
                      <w:u w:val="single" w:color="auto"/>
                    </w:rPr>
                  </w:pPr>
                  <w:r>
                    <w:rPr>
                      <w:rFonts w:ascii="Times New Roman" w:hAnsi="Times New Roman" w:eastAsia="宋体" w:cs="Times New Roman"/>
                      <w:spacing w:val="11"/>
                      <w:kern w:val="0"/>
                      <w:position w:val="0"/>
                      <w:sz w:val="21"/>
                      <w:szCs w:val="21"/>
                      <w:highlight w:val="none"/>
                      <w:u w:val="single" w:color="auto"/>
                    </w:rPr>
                    <w:t>[dB（A）]</w:t>
                  </w:r>
                </w:p>
              </w:tc>
              <w:tc>
                <w:tcPr>
                  <w:tcW w:w="667" w:type="pct"/>
                  <w:tcBorders>
                    <w:tl2br w:val="nil"/>
                    <w:tr2bl w:val="nil"/>
                  </w:tcBorders>
                  <w:vAlign w:val="center"/>
                </w:tcPr>
                <w:p w14:paraId="10AC0AB8">
                  <w:pPr>
                    <w:adjustRightInd w:val="0"/>
                    <w:snapToGrid w:val="0"/>
                    <w:spacing w:line="240" w:lineRule="auto"/>
                    <w:ind w:firstLine="0" w:firstLineChars="0"/>
                    <w:jc w:val="center"/>
                    <w:rPr>
                      <w:rFonts w:ascii="Times New Roman" w:hAnsi="Times New Roman" w:eastAsia="宋体" w:cs="Times New Roman"/>
                      <w:spacing w:val="11"/>
                      <w:position w:val="0"/>
                      <w:sz w:val="21"/>
                      <w:szCs w:val="21"/>
                      <w:highlight w:val="none"/>
                      <w:u w:val="single" w:color="auto"/>
                    </w:rPr>
                  </w:pPr>
                  <w:r>
                    <w:rPr>
                      <w:rFonts w:hint="eastAsia" w:ascii="Times New Roman" w:hAnsi="Times New Roman" w:eastAsia="宋体" w:cs="Times New Roman"/>
                      <w:spacing w:val="11"/>
                      <w:position w:val="0"/>
                      <w:sz w:val="21"/>
                      <w:szCs w:val="21"/>
                      <w:highlight w:val="none"/>
                      <w:u w:val="single" w:color="auto"/>
                      <w:lang w:val="en-US" w:eastAsia="zh-CN"/>
                    </w:rPr>
                    <w:t>背景</w:t>
                  </w:r>
                  <w:r>
                    <w:rPr>
                      <w:rFonts w:ascii="Times New Roman" w:hAnsi="Times New Roman" w:eastAsia="宋体" w:cs="Times New Roman"/>
                      <w:spacing w:val="11"/>
                      <w:position w:val="0"/>
                      <w:sz w:val="21"/>
                      <w:szCs w:val="21"/>
                      <w:highlight w:val="none"/>
                      <w:u w:val="single" w:color="auto"/>
                    </w:rPr>
                    <w:t>值</w:t>
                  </w:r>
                </w:p>
                <w:p w14:paraId="45DEFCC7">
                  <w:pPr>
                    <w:adjustRightInd w:val="0"/>
                    <w:snapToGrid w:val="0"/>
                    <w:spacing w:line="240" w:lineRule="auto"/>
                    <w:ind w:firstLine="0" w:firstLineChars="0"/>
                    <w:jc w:val="center"/>
                    <w:rPr>
                      <w:rFonts w:ascii="Times New Roman" w:hAnsi="Times New Roman" w:eastAsia="宋体" w:cs="Times New Roman"/>
                      <w:spacing w:val="11"/>
                      <w:kern w:val="0"/>
                      <w:position w:val="0"/>
                      <w:sz w:val="21"/>
                      <w:szCs w:val="21"/>
                      <w:highlight w:val="none"/>
                      <w:u w:val="single" w:color="auto"/>
                    </w:rPr>
                  </w:pPr>
                  <w:r>
                    <w:rPr>
                      <w:rFonts w:ascii="Times New Roman" w:hAnsi="Times New Roman" w:eastAsia="宋体" w:cs="Times New Roman"/>
                      <w:spacing w:val="11"/>
                      <w:kern w:val="0"/>
                      <w:position w:val="0"/>
                      <w:sz w:val="21"/>
                      <w:szCs w:val="21"/>
                      <w:highlight w:val="none"/>
                      <w:u w:val="single" w:color="auto"/>
                    </w:rPr>
                    <w:t>[dB（A）]</w:t>
                  </w:r>
                </w:p>
              </w:tc>
              <w:tc>
                <w:tcPr>
                  <w:tcW w:w="667" w:type="pct"/>
                  <w:tcBorders>
                    <w:tl2br w:val="nil"/>
                    <w:tr2bl w:val="nil"/>
                  </w:tcBorders>
                  <w:vAlign w:val="center"/>
                </w:tcPr>
                <w:p w14:paraId="11144A20">
                  <w:pPr>
                    <w:adjustRightInd w:val="0"/>
                    <w:snapToGrid w:val="0"/>
                    <w:spacing w:line="240" w:lineRule="auto"/>
                    <w:ind w:firstLine="0" w:firstLineChars="0"/>
                    <w:jc w:val="center"/>
                    <w:rPr>
                      <w:rFonts w:ascii="Times New Roman" w:hAnsi="Times New Roman" w:eastAsia="宋体" w:cs="Times New Roman"/>
                      <w:spacing w:val="11"/>
                      <w:position w:val="0"/>
                      <w:sz w:val="21"/>
                      <w:szCs w:val="21"/>
                      <w:highlight w:val="none"/>
                      <w:u w:val="single" w:color="auto"/>
                    </w:rPr>
                  </w:pPr>
                  <w:r>
                    <w:rPr>
                      <w:rFonts w:hint="eastAsia" w:ascii="Times New Roman" w:hAnsi="Times New Roman" w:eastAsia="宋体" w:cs="Times New Roman"/>
                      <w:spacing w:val="11"/>
                      <w:position w:val="0"/>
                      <w:sz w:val="21"/>
                      <w:szCs w:val="21"/>
                      <w:highlight w:val="none"/>
                      <w:u w:val="single" w:color="auto"/>
                      <w:lang w:val="en-US" w:eastAsia="zh-CN"/>
                    </w:rPr>
                    <w:t>叠加</w:t>
                  </w:r>
                  <w:r>
                    <w:rPr>
                      <w:rFonts w:ascii="Times New Roman" w:hAnsi="Times New Roman" w:eastAsia="宋体" w:cs="Times New Roman"/>
                      <w:spacing w:val="11"/>
                      <w:position w:val="0"/>
                      <w:sz w:val="21"/>
                      <w:szCs w:val="21"/>
                      <w:highlight w:val="none"/>
                      <w:u w:val="single" w:color="auto"/>
                    </w:rPr>
                    <w:t>值</w:t>
                  </w:r>
                </w:p>
                <w:p w14:paraId="6E5CB027">
                  <w:pPr>
                    <w:adjustRightInd w:val="0"/>
                    <w:snapToGrid w:val="0"/>
                    <w:spacing w:line="240" w:lineRule="auto"/>
                    <w:ind w:firstLine="0" w:firstLineChars="0"/>
                    <w:jc w:val="center"/>
                    <w:rPr>
                      <w:rFonts w:ascii="Times New Roman" w:hAnsi="Times New Roman" w:eastAsia="宋体" w:cs="Times New Roman"/>
                      <w:spacing w:val="11"/>
                      <w:kern w:val="0"/>
                      <w:position w:val="0"/>
                      <w:sz w:val="21"/>
                      <w:szCs w:val="21"/>
                      <w:highlight w:val="none"/>
                      <w:u w:val="single" w:color="auto"/>
                    </w:rPr>
                  </w:pPr>
                  <w:r>
                    <w:rPr>
                      <w:rFonts w:ascii="Times New Roman" w:hAnsi="Times New Roman" w:eastAsia="宋体" w:cs="Times New Roman"/>
                      <w:spacing w:val="11"/>
                      <w:kern w:val="0"/>
                      <w:position w:val="0"/>
                      <w:sz w:val="21"/>
                      <w:szCs w:val="21"/>
                      <w:highlight w:val="none"/>
                      <w:u w:val="single" w:color="auto"/>
                    </w:rPr>
                    <w:t>[dB（A）]</w:t>
                  </w:r>
                </w:p>
              </w:tc>
              <w:tc>
                <w:tcPr>
                  <w:tcW w:w="667" w:type="pct"/>
                  <w:tcBorders>
                    <w:tl2br w:val="nil"/>
                    <w:tr2bl w:val="nil"/>
                  </w:tcBorders>
                  <w:vAlign w:val="center"/>
                </w:tcPr>
                <w:p w14:paraId="053242E1">
                  <w:pPr>
                    <w:adjustRightInd w:val="0"/>
                    <w:snapToGrid w:val="0"/>
                    <w:spacing w:line="240" w:lineRule="auto"/>
                    <w:ind w:firstLine="0" w:firstLineChars="0"/>
                    <w:jc w:val="center"/>
                    <w:rPr>
                      <w:rFonts w:ascii="Times New Roman" w:hAnsi="Times New Roman" w:eastAsia="宋体" w:cs="Times New Roman"/>
                      <w:spacing w:val="11"/>
                      <w:kern w:val="0"/>
                      <w:position w:val="0"/>
                      <w:sz w:val="21"/>
                      <w:szCs w:val="21"/>
                      <w:highlight w:val="none"/>
                      <w:u w:val="single" w:color="auto"/>
                    </w:rPr>
                  </w:pPr>
                  <w:r>
                    <w:rPr>
                      <w:rFonts w:ascii="Times New Roman" w:hAnsi="Times New Roman" w:eastAsia="宋体" w:cs="Times New Roman"/>
                      <w:spacing w:val="11"/>
                      <w:kern w:val="0"/>
                      <w:position w:val="0"/>
                      <w:sz w:val="21"/>
                      <w:szCs w:val="21"/>
                      <w:highlight w:val="none"/>
                      <w:u w:val="single" w:color="auto"/>
                    </w:rPr>
                    <w:t>标准值</w:t>
                  </w:r>
                </w:p>
                <w:p w14:paraId="7FAE1C06">
                  <w:pPr>
                    <w:adjustRightInd w:val="0"/>
                    <w:snapToGrid w:val="0"/>
                    <w:spacing w:line="240" w:lineRule="auto"/>
                    <w:ind w:firstLine="0" w:firstLineChars="0"/>
                    <w:jc w:val="center"/>
                    <w:rPr>
                      <w:rFonts w:ascii="Times New Roman" w:hAnsi="Times New Roman" w:eastAsia="宋体" w:cs="Times New Roman"/>
                      <w:spacing w:val="11"/>
                      <w:kern w:val="0"/>
                      <w:position w:val="0"/>
                      <w:sz w:val="21"/>
                      <w:szCs w:val="21"/>
                      <w:highlight w:val="none"/>
                      <w:u w:val="single" w:color="auto"/>
                    </w:rPr>
                  </w:pPr>
                  <w:r>
                    <w:rPr>
                      <w:rFonts w:ascii="Times New Roman" w:hAnsi="Times New Roman" w:eastAsia="宋体" w:cs="Times New Roman"/>
                      <w:spacing w:val="11"/>
                      <w:kern w:val="0"/>
                      <w:position w:val="0"/>
                      <w:sz w:val="21"/>
                      <w:szCs w:val="21"/>
                      <w:highlight w:val="none"/>
                      <w:u w:val="single" w:color="auto"/>
                    </w:rPr>
                    <w:t>[dB（A）]</w:t>
                  </w:r>
                </w:p>
              </w:tc>
              <w:tc>
                <w:tcPr>
                  <w:tcW w:w="459" w:type="pct"/>
                  <w:tcBorders>
                    <w:tl2br w:val="nil"/>
                    <w:tr2bl w:val="nil"/>
                  </w:tcBorders>
                  <w:vAlign w:val="center"/>
                </w:tcPr>
                <w:p w14:paraId="3A3D26F9">
                  <w:pPr>
                    <w:adjustRightInd w:val="0"/>
                    <w:snapToGrid w:val="0"/>
                    <w:spacing w:line="240" w:lineRule="auto"/>
                    <w:ind w:firstLine="0" w:firstLineChars="0"/>
                    <w:jc w:val="center"/>
                    <w:rPr>
                      <w:rFonts w:ascii="Times New Roman" w:hAnsi="Times New Roman" w:eastAsia="宋体" w:cs="Times New Roman"/>
                      <w:spacing w:val="11"/>
                      <w:kern w:val="0"/>
                      <w:position w:val="0"/>
                      <w:sz w:val="21"/>
                      <w:szCs w:val="21"/>
                      <w:highlight w:val="none"/>
                      <w:u w:val="single" w:color="auto"/>
                    </w:rPr>
                  </w:pPr>
                  <w:r>
                    <w:rPr>
                      <w:rFonts w:ascii="Times New Roman" w:hAnsi="Times New Roman" w:eastAsia="宋体" w:cs="Times New Roman"/>
                      <w:spacing w:val="11"/>
                      <w:kern w:val="0"/>
                      <w:position w:val="0"/>
                      <w:sz w:val="21"/>
                      <w:szCs w:val="21"/>
                      <w:highlight w:val="none"/>
                      <w:u w:val="single" w:color="auto"/>
                    </w:rPr>
                    <w:t>达标</w:t>
                  </w:r>
                </w:p>
                <w:p w14:paraId="1167D949">
                  <w:pPr>
                    <w:adjustRightInd w:val="0"/>
                    <w:snapToGrid w:val="0"/>
                    <w:spacing w:line="240" w:lineRule="auto"/>
                    <w:ind w:firstLine="0" w:firstLineChars="0"/>
                    <w:jc w:val="center"/>
                    <w:rPr>
                      <w:rFonts w:ascii="Times New Roman" w:hAnsi="Times New Roman" w:eastAsia="宋体" w:cs="Times New Roman"/>
                      <w:spacing w:val="11"/>
                      <w:position w:val="0"/>
                      <w:sz w:val="21"/>
                      <w:szCs w:val="21"/>
                      <w:highlight w:val="none"/>
                      <w:u w:val="single" w:color="auto"/>
                    </w:rPr>
                  </w:pPr>
                  <w:r>
                    <w:rPr>
                      <w:rFonts w:ascii="Times New Roman" w:hAnsi="Times New Roman" w:eastAsia="宋体" w:cs="Times New Roman"/>
                      <w:spacing w:val="11"/>
                      <w:kern w:val="0"/>
                      <w:position w:val="0"/>
                      <w:sz w:val="21"/>
                      <w:szCs w:val="21"/>
                      <w:highlight w:val="none"/>
                      <w:u w:val="single" w:color="auto"/>
                    </w:rPr>
                    <w:t>情况</w:t>
                  </w:r>
                </w:p>
              </w:tc>
            </w:tr>
            <w:tr w14:paraId="35905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29" w:type="pct"/>
                  <w:tcBorders>
                    <w:tl2br w:val="nil"/>
                    <w:tr2bl w:val="nil"/>
                  </w:tcBorders>
                  <w:shd w:val="clear" w:color="auto" w:fill="auto"/>
                  <w:vAlign w:val="center"/>
                </w:tcPr>
                <w:p w14:paraId="4B6ADED4">
                  <w:pPr>
                    <w:adjustRightInd w:val="0"/>
                    <w:snapToGrid w:val="0"/>
                    <w:spacing w:line="240" w:lineRule="auto"/>
                    <w:ind w:firstLine="0" w:firstLineChars="0"/>
                    <w:jc w:val="center"/>
                    <w:rPr>
                      <w:rFonts w:hint="default" w:ascii="Times New Roman" w:hAnsi="Times New Roman" w:eastAsia="宋体" w:cs="Times New Roman"/>
                      <w:spacing w:val="11"/>
                      <w:kern w:val="0"/>
                      <w:position w:val="0"/>
                      <w:sz w:val="21"/>
                      <w:szCs w:val="21"/>
                      <w:highlight w:val="none"/>
                      <w:u w:val="single" w:color="auto"/>
                      <w:lang w:val="en-US" w:eastAsia="zh-CN"/>
                    </w:rPr>
                  </w:pPr>
                  <w:r>
                    <w:rPr>
                      <w:rFonts w:hint="default" w:ascii="Times New Roman" w:hAnsi="Times New Roman" w:eastAsia="宋体" w:cs="Times New Roman"/>
                      <w:spacing w:val="11"/>
                      <w:kern w:val="0"/>
                      <w:position w:val="0"/>
                      <w:sz w:val="21"/>
                      <w:szCs w:val="21"/>
                      <w:highlight w:val="none"/>
                      <w:u w:val="single" w:color="auto"/>
                      <w:lang w:val="en-US" w:eastAsia="zh-CN"/>
                    </w:rPr>
                    <w:t>刘家桥村居民点</w:t>
                  </w:r>
                </w:p>
              </w:tc>
              <w:tc>
                <w:tcPr>
                  <w:tcW w:w="856" w:type="pct"/>
                  <w:tcBorders>
                    <w:tl2br w:val="nil"/>
                    <w:tr2bl w:val="nil"/>
                  </w:tcBorders>
                  <w:shd w:val="clear" w:color="auto" w:fill="auto"/>
                  <w:vAlign w:val="center"/>
                </w:tcPr>
                <w:p w14:paraId="487503E8">
                  <w:pPr>
                    <w:adjustRightInd w:val="0"/>
                    <w:snapToGrid w:val="0"/>
                    <w:spacing w:line="240" w:lineRule="auto"/>
                    <w:ind w:firstLine="0" w:firstLineChars="0"/>
                    <w:jc w:val="center"/>
                    <w:rPr>
                      <w:rFonts w:hint="default" w:ascii="Times New Roman" w:hAnsi="Times New Roman" w:eastAsia="宋体" w:cs="Times New Roman"/>
                      <w:spacing w:val="11"/>
                      <w:kern w:val="0"/>
                      <w:position w:val="0"/>
                      <w:sz w:val="21"/>
                      <w:szCs w:val="21"/>
                      <w:highlight w:val="none"/>
                      <w:u w:val="single" w:color="auto"/>
                      <w:lang w:val="en-US" w:eastAsia="zh-CN"/>
                    </w:rPr>
                  </w:pPr>
                  <w:r>
                    <w:rPr>
                      <w:rFonts w:hint="eastAsia" w:cs="Times New Roman"/>
                      <w:spacing w:val="11"/>
                      <w:kern w:val="0"/>
                      <w:position w:val="0"/>
                      <w:sz w:val="21"/>
                      <w:szCs w:val="21"/>
                      <w:highlight w:val="none"/>
                      <w:u w:val="single" w:color="auto"/>
                      <w:lang w:val="en-US" w:eastAsia="zh-CN"/>
                    </w:rPr>
                    <w:t>171</w:t>
                  </w:r>
                </w:p>
              </w:tc>
              <w:tc>
                <w:tcPr>
                  <w:tcW w:w="651" w:type="pct"/>
                  <w:tcBorders>
                    <w:tl2br w:val="nil"/>
                    <w:tr2bl w:val="nil"/>
                  </w:tcBorders>
                  <w:shd w:val="clear" w:color="auto" w:fill="auto"/>
                  <w:vAlign w:val="center"/>
                </w:tcPr>
                <w:p w14:paraId="76E41F1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single" w:color="auto"/>
                      <w:lang w:val="en-US" w:eastAsia="zh-CN" w:bidi="ar-SA"/>
                    </w:rPr>
                  </w:pPr>
                  <w:r>
                    <w:rPr>
                      <w:rFonts w:hint="eastAsia" w:cs="Times New Roman"/>
                      <w:i w:val="0"/>
                      <w:iCs w:val="0"/>
                      <w:color w:val="000000"/>
                      <w:kern w:val="0"/>
                      <w:sz w:val="21"/>
                      <w:szCs w:val="21"/>
                      <w:highlight w:val="none"/>
                      <w:u w:val="single" w:color="auto"/>
                      <w:lang w:val="en-US" w:eastAsia="zh-CN" w:bidi="ar"/>
                    </w:rPr>
                    <w:t>29.23</w:t>
                  </w:r>
                </w:p>
              </w:tc>
              <w:tc>
                <w:tcPr>
                  <w:tcW w:w="667" w:type="pct"/>
                  <w:tcBorders>
                    <w:tl2br w:val="nil"/>
                    <w:tr2bl w:val="nil"/>
                  </w:tcBorders>
                  <w:vAlign w:val="center"/>
                </w:tcPr>
                <w:p w14:paraId="439735DD">
                  <w:pPr>
                    <w:adjustRightInd w:val="0"/>
                    <w:snapToGrid w:val="0"/>
                    <w:spacing w:line="240" w:lineRule="auto"/>
                    <w:ind w:firstLine="0" w:firstLineChars="0"/>
                    <w:jc w:val="center"/>
                    <w:rPr>
                      <w:rFonts w:hint="default" w:ascii="Times New Roman" w:hAnsi="Times New Roman" w:eastAsia="宋体" w:cs="Times New Roman"/>
                      <w:spacing w:val="11"/>
                      <w:kern w:val="0"/>
                      <w:position w:val="0"/>
                      <w:sz w:val="21"/>
                      <w:szCs w:val="21"/>
                      <w:highlight w:val="none"/>
                      <w:u w:val="single" w:color="auto"/>
                      <w:lang w:val="en-US" w:eastAsia="zh-CN"/>
                    </w:rPr>
                  </w:pPr>
                  <w:r>
                    <w:rPr>
                      <w:rFonts w:hint="eastAsia" w:cs="Times New Roman"/>
                      <w:spacing w:val="11"/>
                      <w:kern w:val="0"/>
                      <w:position w:val="0"/>
                      <w:sz w:val="21"/>
                      <w:szCs w:val="21"/>
                      <w:highlight w:val="none"/>
                      <w:u w:val="single" w:color="auto"/>
                      <w:lang w:val="en-US" w:eastAsia="zh-CN"/>
                    </w:rPr>
                    <w:t>52</w:t>
                  </w:r>
                </w:p>
              </w:tc>
              <w:tc>
                <w:tcPr>
                  <w:tcW w:w="667" w:type="pct"/>
                  <w:tcBorders>
                    <w:tl2br w:val="nil"/>
                    <w:tr2bl w:val="nil"/>
                  </w:tcBorders>
                  <w:vAlign w:val="center"/>
                </w:tcPr>
                <w:p w14:paraId="56F041E7">
                  <w:pPr>
                    <w:adjustRightInd w:val="0"/>
                    <w:snapToGrid w:val="0"/>
                    <w:spacing w:line="240" w:lineRule="auto"/>
                    <w:ind w:firstLine="0" w:firstLineChars="0"/>
                    <w:jc w:val="center"/>
                    <w:rPr>
                      <w:rFonts w:hint="default" w:ascii="Times New Roman" w:hAnsi="Times New Roman" w:eastAsia="宋体" w:cs="Times New Roman"/>
                      <w:spacing w:val="11"/>
                      <w:kern w:val="0"/>
                      <w:position w:val="0"/>
                      <w:sz w:val="21"/>
                      <w:szCs w:val="21"/>
                      <w:highlight w:val="none"/>
                      <w:u w:val="single" w:color="auto"/>
                      <w:lang w:val="en-US" w:eastAsia="zh-CN"/>
                    </w:rPr>
                  </w:pPr>
                  <w:r>
                    <w:rPr>
                      <w:rFonts w:hint="eastAsia" w:cs="Times New Roman"/>
                      <w:spacing w:val="11"/>
                      <w:kern w:val="0"/>
                      <w:position w:val="0"/>
                      <w:sz w:val="21"/>
                      <w:szCs w:val="21"/>
                      <w:highlight w:val="none"/>
                      <w:u w:val="single" w:color="auto"/>
                      <w:lang w:val="en-US" w:eastAsia="zh-CN"/>
                    </w:rPr>
                    <w:t>52.02</w:t>
                  </w:r>
                </w:p>
              </w:tc>
              <w:tc>
                <w:tcPr>
                  <w:tcW w:w="667" w:type="pct"/>
                  <w:tcBorders>
                    <w:tl2br w:val="nil"/>
                    <w:tr2bl w:val="nil"/>
                  </w:tcBorders>
                  <w:vAlign w:val="center"/>
                </w:tcPr>
                <w:p w14:paraId="6F91CE2A">
                  <w:pPr>
                    <w:adjustRightInd w:val="0"/>
                    <w:snapToGrid w:val="0"/>
                    <w:spacing w:line="240" w:lineRule="auto"/>
                    <w:ind w:firstLine="0" w:firstLineChars="0"/>
                    <w:jc w:val="center"/>
                    <w:rPr>
                      <w:rFonts w:ascii="Times New Roman" w:hAnsi="Times New Roman" w:eastAsia="宋体" w:cs="Times New Roman"/>
                      <w:spacing w:val="11"/>
                      <w:position w:val="0"/>
                      <w:sz w:val="21"/>
                      <w:szCs w:val="21"/>
                      <w:highlight w:val="none"/>
                      <w:u w:val="single" w:color="auto"/>
                    </w:rPr>
                  </w:pPr>
                  <w:r>
                    <w:rPr>
                      <w:rFonts w:ascii="Times New Roman" w:hAnsi="Times New Roman" w:eastAsia="宋体" w:cs="Times New Roman"/>
                      <w:spacing w:val="11"/>
                      <w:kern w:val="0"/>
                      <w:position w:val="0"/>
                      <w:sz w:val="21"/>
                      <w:szCs w:val="21"/>
                      <w:highlight w:val="none"/>
                      <w:u w:val="single" w:color="auto"/>
                    </w:rPr>
                    <w:t>昼间</w:t>
                  </w:r>
                  <w:r>
                    <w:rPr>
                      <w:rFonts w:hint="eastAsia" w:ascii="Times New Roman" w:hAnsi="Times New Roman" w:eastAsia="宋体" w:cs="Times New Roman"/>
                      <w:spacing w:val="11"/>
                      <w:kern w:val="0"/>
                      <w:position w:val="0"/>
                      <w:sz w:val="21"/>
                      <w:szCs w:val="21"/>
                      <w:highlight w:val="none"/>
                      <w:u w:val="single" w:color="auto"/>
                    </w:rPr>
                    <w:t>：</w:t>
                  </w:r>
                  <w:r>
                    <w:rPr>
                      <w:rFonts w:ascii="Times New Roman" w:hAnsi="Times New Roman" w:eastAsia="宋体" w:cs="Times New Roman"/>
                      <w:spacing w:val="11"/>
                      <w:kern w:val="0"/>
                      <w:position w:val="0"/>
                      <w:sz w:val="21"/>
                      <w:szCs w:val="21"/>
                      <w:highlight w:val="none"/>
                      <w:u w:val="single" w:color="auto"/>
                    </w:rPr>
                    <w:t>60</w:t>
                  </w:r>
                </w:p>
              </w:tc>
              <w:tc>
                <w:tcPr>
                  <w:tcW w:w="459" w:type="pct"/>
                  <w:tcBorders>
                    <w:tl2br w:val="nil"/>
                    <w:tr2bl w:val="nil"/>
                  </w:tcBorders>
                  <w:vAlign w:val="center"/>
                </w:tcPr>
                <w:p w14:paraId="5408DB0E">
                  <w:pPr>
                    <w:adjustRightInd w:val="0"/>
                    <w:snapToGrid w:val="0"/>
                    <w:spacing w:line="240" w:lineRule="auto"/>
                    <w:ind w:firstLine="0" w:firstLineChars="0"/>
                    <w:jc w:val="center"/>
                    <w:rPr>
                      <w:rFonts w:ascii="Times New Roman" w:hAnsi="Times New Roman" w:eastAsia="宋体" w:cs="Times New Roman"/>
                      <w:spacing w:val="11"/>
                      <w:position w:val="0"/>
                      <w:sz w:val="21"/>
                      <w:szCs w:val="21"/>
                      <w:highlight w:val="none"/>
                      <w:u w:val="single" w:color="auto"/>
                    </w:rPr>
                  </w:pPr>
                  <w:r>
                    <w:rPr>
                      <w:rFonts w:hint="default" w:ascii="Times New Roman" w:hAnsi="Times New Roman" w:eastAsia="宋体" w:cs="Times New Roman"/>
                      <w:spacing w:val="11"/>
                      <w:position w:val="0"/>
                      <w:sz w:val="21"/>
                      <w:szCs w:val="21"/>
                      <w:highlight w:val="none"/>
                      <w:u w:val="single" w:color="auto"/>
                      <w:lang w:val="en-US" w:eastAsia="zh-CN"/>
                    </w:rPr>
                    <w:t>达标</w:t>
                  </w:r>
                </w:p>
              </w:tc>
            </w:tr>
          </w:tbl>
          <w:p w14:paraId="28F36DD6">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524" w:firstLineChars="200"/>
              <w:jc w:val="both"/>
              <w:textAlignment w:val="auto"/>
              <w:rPr>
                <w:rFonts w:hint="default" w:ascii="Times New Roman" w:hAnsi="Times New Roman" w:eastAsia="宋体" w:cs="Times New Roman"/>
                <w:bCs/>
                <w:spacing w:val="11"/>
                <w:position w:val="0"/>
                <w:sz w:val="24"/>
                <w:szCs w:val="24"/>
                <w:u w:val="single" w:color="auto"/>
                <w:lang w:val="en-US" w:eastAsia="zh-CN"/>
              </w:rPr>
            </w:pPr>
            <w:r>
              <w:rPr>
                <w:rFonts w:hint="default" w:ascii="Times New Roman" w:hAnsi="Times New Roman" w:eastAsia="宋体" w:cs="Times New Roman"/>
                <w:bCs/>
                <w:spacing w:val="11"/>
                <w:position w:val="0"/>
                <w:sz w:val="24"/>
                <w:szCs w:val="24"/>
                <w:u w:val="single" w:color="auto"/>
                <w:lang w:val="en-US" w:eastAsia="zh-CN"/>
              </w:rPr>
              <w:t>由上表可知，本项目正常生产时噪声经厂房隔音、基础减振</w:t>
            </w:r>
            <w:r>
              <w:rPr>
                <w:rFonts w:hint="eastAsia" w:cs="Times New Roman"/>
                <w:bCs/>
                <w:spacing w:val="11"/>
                <w:position w:val="0"/>
                <w:sz w:val="24"/>
                <w:szCs w:val="24"/>
                <w:u w:val="single" w:color="auto"/>
                <w:lang w:val="en-US" w:eastAsia="zh-CN"/>
              </w:rPr>
              <w:t>、山体阻隔</w:t>
            </w:r>
            <w:r>
              <w:rPr>
                <w:rFonts w:hint="default" w:ascii="Times New Roman" w:hAnsi="Times New Roman" w:eastAsia="宋体" w:cs="Times New Roman"/>
                <w:bCs/>
                <w:spacing w:val="11"/>
                <w:position w:val="0"/>
                <w:sz w:val="24"/>
                <w:szCs w:val="24"/>
                <w:u w:val="single" w:color="auto"/>
                <w:lang w:val="en-US" w:eastAsia="zh-CN"/>
              </w:rPr>
              <w:t>和距离衰减后，声环境保护目标处噪声贡献值能满足《工业企业厂界环境噪声排放标准》（GB12348-2008）2类区标准，因此本项目运营期正常生产产生的噪声对周边敏感目标声环境质量现状影响较小，在可接受范围内。</w:t>
            </w:r>
          </w:p>
          <w:p w14:paraId="37A21F6C">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524" w:firstLineChars="200"/>
              <w:jc w:val="both"/>
              <w:textAlignment w:val="auto"/>
              <w:rPr>
                <w:rFonts w:hint="default" w:ascii="Times New Roman" w:hAnsi="Times New Roman" w:eastAsia="宋体" w:cs="Times New Roman"/>
                <w:bCs/>
                <w:spacing w:val="11"/>
                <w:position w:val="0"/>
                <w:sz w:val="24"/>
                <w:szCs w:val="24"/>
                <w:u w:val="single" w:color="auto"/>
                <w:lang w:val="en-US" w:eastAsia="zh-CN"/>
              </w:rPr>
            </w:pPr>
            <w:r>
              <w:rPr>
                <w:rFonts w:hint="default" w:ascii="Times New Roman" w:hAnsi="Times New Roman" w:eastAsia="宋体" w:cs="Times New Roman"/>
                <w:bCs/>
                <w:spacing w:val="11"/>
                <w:position w:val="0"/>
                <w:sz w:val="24"/>
                <w:szCs w:val="24"/>
                <w:u w:val="single" w:color="auto"/>
                <w:lang w:val="en-US" w:eastAsia="zh-CN"/>
              </w:rPr>
              <w:t>综上，项目投入运营后采用低噪声设备、安装减振垫，合理科学地进行总图布局，控制设备噪声，可保证厂界达标，对周围声环境影响较小，不会改变目前声环境质量现状。</w:t>
            </w:r>
          </w:p>
          <w:p w14:paraId="03550A9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outlineLvl w:val="9"/>
              <w:rPr>
                <w:rFonts w:hint="default" w:ascii="Times New Roman" w:hAnsi="Times New Roman" w:eastAsia="宋体" w:cs="Times New Roman"/>
                <w:b/>
                <w:color w:val="000000"/>
                <w:spacing w:val="11"/>
                <w:position w:val="0"/>
                <w:sz w:val="24"/>
                <w:szCs w:val="24"/>
                <w:u w:val="none" w:color="auto"/>
              </w:rPr>
            </w:pPr>
            <w:r>
              <w:rPr>
                <w:rFonts w:hint="default" w:ascii="Times New Roman" w:hAnsi="Times New Roman" w:eastAsia="宋体" w:cs="Times New Roman"/>
                <w:bCs/>
                <w:color w:val="000000"/>
                <w:spacing w:val="11"/>
                <w:position w:val="0"/>
                <w:sz w:val="24"/>
                <w:szCs w:val="24"/>
                <w:u w:val="none" w:color="auto"/>
                <w:lang w:val="en-US" w:eastAsia="zh-CN"/>
              </w:rPr>
              <w:t>（</w:t>
            </w:r>
            <w:r>
              <w:rPr>
                <w:rFonts w:hint="eastAsia" w:cs="Times New Roman"/>
                <w:bCs/>
                <w:color w:val="000000"/>
                <w:spacing w:val="11"/>
                <w:position w:val="0"/>
                <w:sz w:val="24"/>
                <w:szCs w:val="24"/>
                <w:u w:val="none" w:color="auto"/>
                <w:lang w:val="en-US" w:eastAsia="zh-CN"/>
              </w:rPr>
              <w:t>3</w:t>
            </w:r>
            <w:r>
              <w:rPr>
                <w:rFonts w:hint="default" w:ascii="Times New Roman" w:hAnsi="Times New Roman" w:eastAsia="宋体" w:cs="Times New Roman"/>
                <w:bCs/>
                <w:color w:val="000000"/>
                <w:spacing w:val="11"/>
                <w:position w:val="0"/>
                <w:sz w:val="24"/>
                <w:szCs w:val="24"/>
                <w:u w:val="none" w:color="auto"/>
                <w:lang w:val="en-US" w:eastAsia="zh-CN"/>
              </w:rPr>
              <w:t>）声环境影响分析</w:t>
            </w:r>
          </w:p>
          <w:p w14:paraId="16D20311">
            <w:pPr>
              <w:pStyle w:val="39"/>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1）设备噪声</w:t>
            </w:r>
          </w:p>
          <w:p w14:paraId="025FE4B3">
            <w:pPr>
              <w:pStyle w:val="3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噪声设备噪声源强</w:t>
            </w:r>
            <w:r>
              <w:rPr>
                <w:rFonts w:hint="default" w:ascii="Times New Roman" w:hAnsi="Times New Roman" w:eastAsia="宋体" w:cs="Times New Roman"/>
                <w:color w:val="000000"/>
                <w:spacing w:val="11"/>
                <w:position w:val="0"/>
                <w:sz w:val="24"/>
                <w:szCs w:val="24"/>
                <w:u w:val="single" w:color="auto"/>
                <w:lang w:val="en-US" w:eastAsia="zh-CN"/>
              </w:rPr>
              <w:t>约</w:t>
            </w:r>
            <w:r>
              <w:rPr>
                <w:rFonts w:hint="default" w:ascii="Times New Roman" w:hAnsi="Times New Roman" w:eastAsia="宋体" w:cs="Times New Roman"/>
                <w:color w:val="000000"/>
                <w:spacing w:val="11"/>
                <w:position w:val="0"/>
                <w:sz w:val="24"/>
                <w:szCs w:val="24"/>
                <w:u w:val="single" w:color="auto"/>
              </w:rPr>
              <w:t>为75-9</w:t>
            </w:r>
            <w:r>
              <w:rPr>
                <w:rFonts w:hint="default" w:ascii="Times New Roman" w:hAnsi="Times New Roman" w:eastAsia="宋体" w:cs="Times New Roman"/>
                <w:color w:val="000000"/>
                <w:spacing w:val="11"/>
                <w:position w:val="0"/>
                <w:sz w:val="24"/>
                <w:szCs w:val="24"/>
                <w:u w:val="single" w:color="auto"/>
                <w:lang w:val="en-US" w:eastAsia="zh-CN"/>
              </w:rPr>
              <w:t>0</w:t>
            </w:r>
            <w:r>
              <w:rPr>
                <w:rFonts w:hint="default" w:ascii="Times New Roman" w:hAnsi="Times New Roman" w:eastAsia="宋体" w:cs="Times New Roman"/>
                <w:color w:val="000000"/>
                <w:spacing w:val="11"/>
                <w:position w:val="0"/>
                <w:sz w:val="24"/>
                <w:szCs w:val="24"/>
                <w:u w:val="single" w:color="auto"/>
              </w:rPr>
              <w:t>dB（A）。</w:t>
            </w:r>
            <w:r>
              <w:rPr>
                <w:rFonts w:hint="default" w:ascii="Times New Roman" w:hAnsi="Times New Roman" w:eastAsia="宋体" w:cs="Times New Roman"/>
                <w:color w:val="000000"/>
                <w:spacing w:val="11"/>
                <w:position w:val="0"/>
                <w:sz w:val="24"/>
                <w:szCs w:val="24"/>
                <w:u w:val="single" w:color="auto"/>
                <w:lang w:val="en-US" w:eastAsia="zh-CN"/>
              </w:rPr>
              <w:t>建设单位拟</w:t>
            </w:r>
            <w:r>
              <w:rPr>
                <w:rFonts w:hint="default" w:ascii="Times New Roman" w:hAnsi="Times New Roman" w:eastAsia="宋体" w:cs="Times New Roman"/>
                <w:color w:val="000000"/>
                <w:spacing w:val="11"/>
                <w:position w:val="0"/>
                <w:sz w:val="24"/>
                <w:szCs w:val="24"/>
                <w:u w:val="single" w:color="auto"/>
              </w:rPr>
              <w:t>对产生噪声的设备在基础上加装振动垫、消声器、隔声罩等降噪措施，减震降噪效果为</w:t>
            </w:r>
            <w:r>
              <w:rPr>
                <w:rFonts w:hint="default" w:ascii="Times New Roman" w:hAnsi="Times New Roman" w:eastAsia="宋体" w:cs="Times New Roman"/>
                <w:color w:val="000000"/>
                <w:spacing w:val="11"/>
                <w:position w:val="0"/>
                <w:sz w:val="24"/>
                <w:szCs w:val="24"/>
                <w:u w:val="single" w:color="auto"/>
                <w:lang w:val="en-US" w:eastAsia="zh-CN"/>
              </w:rPr>
              <w:t>20</w:t>
            </w:r>
            <w:r>
              <w:rPr>
                <w:rFonts w:hint="default" w:ascii="Times New Roman" w:hAnsi="Times New Roman" w:eastAsia="宋体" w:cs="Times New Roman"/>
                <w:color w:val="000000"/>
                <w:spacing w:val="11"/>
                <w:position w:val="0"/>
                <w:sz w:val="24"/>
                <w:szCs w:val="24"/>
                <w:u w:val="single" w:color="auto"/>
              </w:rPr>
              <w:t>dB（A）。另外项目最近的居民点</w:t>
            </w:r>
            <w:r>
              <w:rPr>
                <w:rFonts w:hint="default" w:ascii="Times New Roman" w:hAnsi="Times New Roman" w:eastAsia="宋体" w:cs="Times New Roman"/>
                <w:color w:val="000000"/>
                <w:spacing w:val="11"/>
                <w:position w:val="0"/>
                <w:sz w:val="24"/>
                <w:szCs w:val="24"/>
                <w:u w:val="single" w:color="auto"/>
                <w:lang w:val="en-US" w:eastAsia="zh-CN"/>
              </w:rPr>
              <w:t>位于主要</w:t>
            </w:r>
            <w:r>
              <w:rPr>
                <w:rFonts w:hint="eastAsia" w:ascii="Times New Roman" w:cs="Times New Roman"/>
                <w:color w:val="000000"/>
                <w:spacing w:val="11"/>
                <w:position w:val="0"/>
                <w:sz w:val="24"/>
                <w:szCs w:val="24"/>
                <w:u w:val="single" w:color="auto"/>
                <w:lang w:val="en-US" w:eastAsia="zh-CN"/>
              </w:rPr>
              <w:t>产噪</w:t>
            </w:r>
            <w:r>
              <w:rPr>
                <w:rFonts w:hint="default" w:ascii="Times New Roman" w:hAnsi="Times New Roman" w:eastAsia="宋体" w:cs="Times New Roman"/>
                <w:color w:val="000000"/>
                <w:spacing w:val="11"/>
                <w:position w:val="0"/>
                <w:sz w:val="24"/>
                <w:szCs w:val="24"/>
                <w:u w:val="single" w:color="auto"/>
                <w:lang w:val="en-US" w:eastAsia="zh-CN"/>
              </w:rPr>
              <w:t>设备</w:t>
            </w:r>
            <w:r>
              <w:rPr>
                <w:rFonts w:hint="eastAsia" w:ascii="Times New Roman" w:cs="Times New Roman"/>
                <w:color w:val="000000"/>
                <w:spacing w:val="11"/>
                <w:position w:val="0"/>
                <w:sz w:val="24"/>
                <w:szCs w:val="24"/>
                <w:u w:val="single" w:color="auto"/>
                <w:lang w:val="en-US" w:eastAsia="zh-CN"/>
              </w:rPr>
              <w:t>的</w:t>
            </w:r>
            <w:r>
              <w:rPr>
                <w:rFonts w:hint="default" w:ascii="Times New Roman" w:hAnsi="Times New Roman" w:eastAsia="宋体" w:cs="Times New Roman"/>
                <w:color w:val="000000"/>
                <w:spacing w:val="11"/>
                <w:position w:val="0"/>
                <w:sz w:val="24"/>
                <w:szCs w:val="24"/>
                <w:u w:val="single" w:color="auto"/>
                <w:lang w:val="en-US" w:eastAsia="zh-CN"/>
              </w:rPr>
              <w:t>南面</w:t>
            </w:r>
            <w:r>
              <w:rPr>
                <w:rFonts w:hint="eastAsia" w:ascii="Times New Roman"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rPr>
              <w:t>距离较远（约</w:t>
            </w:r>
            <w:r>
              <w:rPr>
                <w:rFonts w:hint="eastAsia" w:ascii="Times New Roman" w:cs="Times New Roman"/>
                <w:color w:val="000000"/>
                <w:spacing w:val="11"/>
                <w:position w:val="0"/>
                <w:sz w:val="24"/>
                <w:szCs w:val="24"/>
                <w:u w:val="single" w:color="auto"/>
                <w:lang w:val="en-US" w:eastAsia="zh-CN"/>
              </w:rPr>
              <w:t>207</w:t>
            </w:r>
            <w:r>
              <w:rPr>
                <w:rFonts w:hint="default" w:ascii="Times New Roman" w:hAnsi="Times New Roman" w:eastAsia="宋体" w:cs="Times New Roman"/>
                <w:color w:val="000000"/>
                <w:spacing w:val="11"/>
                <w:position w:val="0"/>
                <w:sz w:val="24"/>
                <w:szCs w:val="24"/>
                <w:u w:val="single" w:color="auto"/>
              </w:rPr>
              <w:t>m）</w:t>
            </w:r>
            <w:r>
              <w:rPr>
                <w:rFonts w:hint="default"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lang w:val="en-US" w:eastAsia="zh-CN"/>
              </w:rPr>
              <w:t>周边居民与生产作业区有</w:t>
            </w:r>
            <w:r>
              <w:rPr>
                <w:rFonts w:hint="default" w:ascii="Times New Roman" w:hAnsi="Times New Roman" w:eastAsia="宋体" w:cs="Times New Roman"/>
                <w:color w:val="000000"/>
                <w:spacing w:val="11"/>
                <w:position w:val="0"/>
                <w:sz w:val="24"/>
                <w:szCs w:val="24"/>
                <w:highlight w:val="none"/>
                <w:u w:val="single" w:color="auto"/>
                <w:lang w:val="en-US" w:eastAsia="zh-CN"/>
              </w:rPr>
              <w:t>山体阻隔</w:t>
            </w:r>
            <w:r>
              <w:rPr>
                <w:rFonts w:hint="default" w:ascii="Times New Roman" w:hAnsi="Times New Roman" w:eastAsia="宋体" w:cs="Times New Roman"/>
                <w:color w:val="000000"/>
                <w:spacing w:val="11"/>
                <w:position w:val="0"/>
                <w:sz w:val="24"/>
                <w:szCs w:val="24"/>
                <w:u w:val="single" w:color="auto"/>
                <w:lang w:val="en-US" w:eastAsia="zh-CN"/>
              </w:rPr>
              <w:t>，设备噪声经自然衰减、植被降噪、山体阻隔后，能够满足</w:t>
            </w:r>
            <w:r>
              <w:rPr>
                <w:rFonts w:hint="default" w:ascii="Times New Roman" w:hAnsi="Times New Roman" w:eastAsia="宋体" w:cs="Times New Roman"/>
                <w:color w:val="000000"/>
                <w:spacing w:val="11"/>
                <w:position w:val="0"/>
                <w:sz w:val="24"/>
                <w:szCs w:val="24"/>
                <w:u w:val="single" w:color="auto"/>
              </w:rPr>
              <w:t>《工业企业厂界环境噪声排放标准》（GB12348-2008）的2类标准限值要求</w:t>
            </w:r>
            <w:r>
              <w:rPr>
                <w:rFonts w:hint="default"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rPr>
              <w:t>对周边环境影响较小。</w:t>
            </w:r>
          </w:p>
          <w:p w14:paraId="55FF3DFE">
            <w:pPr>
              <w:pStyle w:val="3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2）爆破噪声、震动</w:t>
            </w:r>
          </w:p>
          <w:p w14:paraId="7B20D67A">
            <w:pPr>
              <w:pStyle w:val="3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矿山爆破瞬间将产生局部地表震动和巨大声响，震动的强弱、声响的高低与爆破的装药量成正比。</w:t>
            </w:r>
          </w:p>
          <w:p w14:paraId="75F4D931">
            <w:pPr>
              <w:pStyle w:val="3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爆破噪声：项目</w:t>
            </w:r>
            <w:r>
              <w:rPr>
                <w:rFonts w:hint="default" w:ascii="Times New Roman" w:hAnsi="Times New Roman" w:eastAsia="宋体" w:cs="Times New Roman"/>
                <w:color w:val="000000"/>
                <w:spacing w:val="11"/>
                <w:position w:val="0"/>
                <w:sz w:val="24"/>
                <w:szCs w:val="24"/>
                <w:u w:val="none" w:color="auto"/>
                <w:lang w:val="en-US" w:eastAsia="zh-CN"/>
              </w:rPr>
              <w:t>爆破点外</w:t>
            </w:r>
            <w:r>
              <w:rPr>
                <w:rFonts w:hint="eastAsia" w:ascii="Times New Roman" w:cs="Times New Roman"/>
                <w:color w:val="000000"/>
                <w:spacing w:val="11"/>
                <w:position w:val="0"/>
                <w:sz w:val="24"/>
                <w:szCs w:val="24"/>
                <w:u w:val="none" w:color="auto"/>
                <w:lang w:val="en-US" w:eastAsia="zh-CN"/>
              </w:rPr>
              <w:t>3</w:t>
            </w:r>
            <w:r>
              <w:rPr>
                <w:rFonts w:hint="default" w:ascii="Times New Roman" w:hAnsi="Times New Roman" w:eastAsia="宋体" w:cs="Times New Roman"/>
                <w:color w:val="000000"/>
                <w:spacing w:val="11"/>
                <w:position w:val="0"/>
                <w:sz w:val="24"/>
                <w:szCs w:val="24"/>
                <w:u w:val="none" w:color="auto"/>
                <w:lang w:val="en-US" w:eastAsia="zh-CN"/>
              </w:rPr>
              <w:t>00m范围内无居民点</w:t>
            </w:r>
            <w:r>
              <w:rPr>
                <w:rFonts w:hint="default" w:ascii="Times New Roman" w:hAnsi="Times New Roman" w:eastAsia="宋体" w:cs="Times New Roman"/>
                <w:color w:val="000000"/>
                <w:spacing w:val="11"/>
                <w:position w:val="0"/>
                <w:sz w:val="24"/>
                <w:szCs w:val="24"/>
                <w:u w:val="none" w:color="auto"/>
                <w:lang w:eastAsia="zh-CN"/>
              </w:rPr>
              <w:t>，</w:t>
            </w:r>
            <w:r>
              <w:rPr>
                <w:rFonts w:hint="default" w:ascii="Times New Roman" w:hAnsi="Times New Roman" w:eastAsia="宋体" w:cs="Times New Roman"/>
                <w:color w:val="000000"/>
                <w:spacing w:val="11"/>
                <w:position w:val="0"/>
                <w:sz w:val="24"/>
                <w:szCs w:val="24"/>
                <w:u w:val="none" w:color="auto"/>
              </w:rPr>
              <w:t>矿石爆破的瞬间爆响声虽大，但有自然山体阻隔爆破产生的强噪声源通过距离衰减可得到适量的缓解。</w:t>
            </w:r>
          </w:p>
          <w:p w14:paraId="3EC30983">
            <w:pPr>
              <w:pStyle w:val="3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爆破震动：爆破震动对相距较近的居民区房屋结构及居民生活有一定的影响，因此，采石场要对居民房屋实时监控，及时掌握情况，同时爆破时要科学、合理配置炸药用量，尽量减少爆破作业产生的震动，降低对居民房屋结构产生的震动影响。</w:t>
            </w:r>
          </w:p>
          <w:p w14:paraId="36C20A77">
            <w:pPr>
              <w:pStyle w:val="3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本项目爆破产生的噪声、震动影响是瞬时的，爆破结束后马上消失。经核定，项目周边居民均在矿山安全生产距离之外，符合爆破的安全距离要求。</w:t>
            </w:r>
          </w:p>
          <w:p w14:paraId="5C3255CD">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lang w:val="en-US" w:eastAsia="zh-CN"/>
              </w:rPr>
              <w:t>3）</w:t>
            </w:r>
            <w:r>
              <w:rPr>
                <w:rFonts w:hint="default" w:ascii="Times New Roman" w:hAnsi="Times New Roman" w:eastAsia="宋体" w:cs="Times New Roman"/>
                <w:color w:val="000000"/>
                <w:spacing w:val="11"/>
                <w:position w:val="0"/>
                <w:sz w:val="24"/>
                <w:szCs w:val="24"/>
                <w:u w:val="none" w:color="auto"/>
              </w:rPr>
              <w:t>噪声及振动防控措施</w:t>
            </w:r>
          </w:p>
          <w:p w14:paraId="472B5C80">
            <w:pPr>
              <w:pStyle w:val="39"/>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为了进一步减小噪声及振动对最近居民的影响，建议采取以下措施加以防控：</w:t>
            </w:r>
          </w:p>
          <w:p w14:paraId="14B3B4DD">
            <w:pPr>
              <w:pStyle w:val="3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①采取矿山爆破新技术，如：预裂爆破、缓冲爆破、减振孔、密集空孔爆破法联合技术。</w:t>
            </w:r>
          </w:p>
          <w:p w14:paraId="1DEE329C">
            <w:pPr>
              <w:pStyle w:val="3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②采用超深预裂孔、新的装药结构（径向不耦合或轴向不耦合装药结构）、针对不同边坡地质条件，选取适宜的预裂爆破参数。</w:t>
            </w:r>
          </w:p>
          <w:p w14:paraId="2D158657">
            <w:pPr>
              <w:pStyle w:val="3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③爆破作业人员应经过安全技术培训考核，取得爆破安全作业证，方可准担任爆破作业，禁止非爆破员进行爆破作业，且必须使用符合国家标准的爆破器材进行爆破。</w:t>
            </w:r>
          </w:p>
          <w:p w14:paraId="7E9F82EA">
            <w:pPr>
              <w:pStyle w:val="3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④严格遵守爆破安全操作规程，负责爆破器材的保管使用，不得丢失；负责爆破后工作面检查，发现盲炮及不安全因素，及时处理或上报。</w:t>
            </w:r>
          </w:p>
          <w:p w14:paraId="4400925F">
            <w:pPr>
              <w:pStyle w:val="3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⑤爆破前应发布爆破通告，内容包括:爆破地点、每次爆破起爆时间、安全警戒范围、警戒标志、起爆信号等。</w:t>
            </w:r>
          </w:p>
          <w:p w14:paraId="1A6CF742">
            <w:pPr>
              <w:pStyle w:val="3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⑥</w:t>
            </w:r>
            <w:r>
              <w:rPr>
                <w:rFonts w:hint="eastAsia" w:ascii="Times New Roman" w:cs="Times New Roman"/>
                <w:color w:val="000000"/>
                <w:spacing w:val="11"/>
                <w:position w:val="0"/>
                <w:sz w:val="24"/>
                <w:szCs w:val="24"/>
                <w:u w:val="none" w:color="auto"/>
                <w:lang w:val="en-US" w:eastAsia="zh-CN"/>
              </w:rPr>
              <w:t>生产加工区禁止夜间生产；采矿区合理安排矿山爆破和开采作业</w:t>
            </w:r>
            <w:r>
              <w:rPr>
                <w:rFonts w:hint="default" w:ascii="Times New Roman" w:hAnsi="Times New Roman" w:eastAsia="宋体" w:cs="Times New Roman"/>
                <w:color w:val="000000"/>
                <w:spacing w:val="11"/>
                <w:position w:val="0"/>
                <w:sz w:val="24"/>
                <w:szCs w:val="24"/>
                <w:u w:val="none" w:color="auto"/>
              </w:rPr>
              <w:t>时间，爆破（作业）时间应避开午休时间（12:00-14:00），禁止夜间生产作业、爆破。</w:t>
            </w:r>
          </w:p>
          <w:p w14:paraId="0B565951">
            <w:pPr>
              <w:pStyle w:val="3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⑦加强机械设备的维护和维修工作，定期委托维修厂进行维护，确保设备设施正常运行；</w:t>
            </w:r>
          </w:p>
          <w:p w14:paraId="3258ECAB">
            <w:pPr>
              <w:pStyle w:val="3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⑧建议边开采边覆绿，加强绿化降噪效果，在矿区内种植花草、乔灌结合的绿化带，以消减噪声</w:t>
            </w:r>
          </w:p>
          <w:p w14:paraId="618F2C0C">
            <w:pPr>
              <w:pStyle w:val="39"/>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通过以上一系列控制措施，可有效降低噪声、震动影响。</w:t>
            </w:r>
          </w:p>
          <w:p w14:paraId="048DE6C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6" w:firstLineChars="200"/>
              <w:textAlignment w:val="auto"/>
              <w:rPr>
                <w:rFonts w:hint="default" w:ascii="Times New Roman" w:hAnsi="Times New Roman" w:eastAsia="宋体" w:cs="Times New Roman"/>
                <w:b/>
                <w:color w:val="000000"/>
                <w:spacing w:val="11"/>
                <w:position w:val="0"/>
                <w:sz w:val="24"/>
                <w:szCs w:val="24"/>
                <w:u w:val="none" w:color="auto"/>
              </w:rPr>
            </w:pPr>
            <w:r>
              <w:rPr>
                <w:rFonts w:hint="default" w:ascii="Times New Roman" w:hAnsi="Times New Roman" w:eastAsia="宋体" w:cs="Times New Roman"/>
                <w:b/>
                <w:color w:val="000000"/>
                <w:spacing w:val="11"/>
                <w:position w:val="0"/>
                <w:sz w:val="24"/>
                <w:szCs w:val="24"/>
                <w:u w:val="none" w:color="auto"/>
              </w:rPr>
              <w:t>4、固体废物</w:t>
            </w:r>
          </w:p>
          <w:p w14:paraId="454F4046">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项目营运期</w:t>
            </w:r>
            <w:r>
              <w:rPr>
                <w:rFonts w:hint="default" w:ascii="Times New Roman" w:hAnsi="Times New Roman" w:eastAsia="宋体" w:cs="Times New Roman"/>
                <w:color w:val="000000"/>
                <w:spacing w:val="11"/>
                <w:position w:val="0"/>
                <w:sz w:val="24"/>
                <w:szCs w:val="24"/>
                <w:u w:val="none" w:color="auto"/>
                <w:lang w:val="en-US" w:eastAsia="zh-CN"/>
              </w:rPr>
              <w:t>产生的</w:t>
            </w:r>
            <w:r>
              <w:rPr>
                <w:rFonts w:hint="default" w:ascii="Times New Roman" w:hAnsi="Times New Roman" w:eastAsia="宋体" w:cs="Times New Roman"/>
                <w:color w:val="000000"/>
                <w:spacing w:val="11"/>
                <w:position w:val="0"/>
                <w:sz w:val="24"/>
                <w:szCs w:val="24"/>
                <w:u w:val="none" w:color="auto"/>
              </w:rPr>
              <w:t>固体废弃物包括生活垃圾、剥离物、</w:t>
            </w:r>
            <w:r>
              <w:rPr>
                <w:rFonts w:hint="default" w:ascii="Times New Roman" w:hAnsi="Times New Roman" w:eastAsia="宋体" w:cs="Times New Roman"/>
                <w:color w:val="000000"/>
                <w:spacing w:val="11"/>
                <w:position w:val="0"/>
                <w:sz w:val="24"/>
                <w:szCs w:val="24"/>
                <w:u w:val="none" w:color="auto"/>
                <w:lang w:val="en-US" w:eastAsia="zh-CN"/>
              </w:rPr>
              <w:t>沉淀池</w:t>
            </w:r>
            <w:r>
              <w:rPr>
                <w:rFonts w:hint="default" w:ascii="Times New Roman" w:hAnsi="Times New Roman" w:eastAsia="宋体" w:cs="Times New Roman"/>
                <w:color w:val="000000"/>
                <w:spacing w:val="11"/>
                <w:position w:val="0"/>
                <w:sz w:val="24"/>
                <w:szCs w:val="24"/>
                <w:u w:val="none" w:color="auto"/>
              </w:rPr>
              <w:t>污泥</w:t>
            </w:r>
            <w:r>
              <w:rPr>
                <w:rFonts w:hint="eastAsia" w:cs="Times New Roman"/>
                <w:color w:val="000000"/>
                <w:spacing w:val="11"/>
                <w:position w:val="0"/>
                <w:sz w:val="24"/>
                <w:szCs w:val="24"/>
                <w:u w:val="none" w:color="auto"/>
                <w:lang w:eastAsia="zh-CN"/>
              </w:rPr>
              <w:t>、</w:t>
            </w:r>
            <w:r>
              <w:rPr>
                <w:rFonts w:hint="eastAsia" w:cs="Times New Roman"/>
                <w:color w:val="000000"/>
                <w:spacing w:val="11"/>
                <w:position w:val="0"/>
                <w:sz w:val="24"/>
                <w:szCs w:val="24"/>
                <w:u w:val="none" w:color="auto"/>
                <w:lang w:val="en-US" w:eastAsia="zh-CN"/>
              </w:rPr>
              <w:t>布袋除尘器收集粉尘</w:t>
            </w:r>
            <w:r>
              <w:rPr>
                <w:rFonts w:hint="default" w:ascii="Times New Roman" w:hAnsi="Times New Roman" w:eastAsia="宋体" w:cs="Times New Roman"/>
                <w:bCs/>
                <w:color w:val="000000"/>
                <w:spacing w:val="11"/>
                <w:position w:val="0"/>
                <w:sz w:val="24"/>
                <w:szCs w:val="24"/>
                <w:u w:val="none" w:color="auto"/>
                <w:lang w:val="en-US" w:eastAsia="zh-CN"/>
              </w:rPr>
              <w:t>和废润滑油</w:t>
            </w:r>
            <w:r>
              <w:rPr>
                <w:rFonts w:hint="default" w:ascii="Times New Roman" w:hAnsi="Times New Roman" w:eastAsia="宋体" w:cs="Times New Roman"/>
                <w:color w:val="000000"/>
                <w:spacing w:val="11"/>
                <w:position w:val="0"/>
                <w:sz w:val="24"/>
                <w:szCs w:val="24"/>
                <w:u w:val="none" w:color="auto"/>
              </w:rPr>
              <w:t>。</w:t>
            </w:r>
          </w:p>
          <w:p w14:paraId="49937314">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（1）剥离物</w:t>
            </w:r>
          </w:p>
          <w:p w14:paraId="40ABD096">
            <w:pPr>
              <w:keepNext w:val="0"/>
              <w:keepLines w:val="0"/>
              <w:pageBreakBefore w:val="0"/>
              <w:tabs>
                <w:tab w:val="left" w:pos="1440"/>
                <w:tab w:val="left" w:pos="1800"/>
              </w:tabs>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Cs/>
                <w:color w:val="000000"/>
                <w:spacing w:val="11"/>
                <w:position w:val="0"/>
                <w:sz w:val="24"/>
                <w:szCs w:val="24"/>
                <w:u w:val="none" w:color="auto"/>
                <w:lang w:val="en-US" w:eastAsia="zh-CN"/>
              </w:rPr>
            </w:pPr>
            <w:r>
              <w:rPr>
                <w:rFonts w:hint="default" w:ascii="Times New Roman" w:hAnsi="Times New Roman" w:eastAsia="宋体" w:cs="Times New Roman"/>
                <w:bCs/>
                <w:color w:val="000000"/>
                <w:spacing w:val="11"/>
                <w:position w:val="0"/>
                <w:sz w:val="24"/>
                <w:szCs w:val="24"/>
                <w:u w:val="none" w:color="auto"/>
              </w:rPr>
              <w:t>本区剥离物主要地表残坡积土层，剥离量共2.8万m</w:t>
            </w:r>
            <w:r>
              <w:rPr>
                <w:rFonts w:hint="default" w:ascii="Times New Roman" w:hAnsi="Times New Roman" w:eastAsia="宋体" w:cs="Times New Roman"/>
                <w:bCs/>
                <w:color w:val="000000"/>
                <w:spacing w:val="11"/>
                <w:position w:val="0"/>
                <w:sz w:val="24"/>
                <w:szCs w:val="24"/>
                <w:u w:val="none" w:color="auto"/>
                <w:vertAlign w:val="superscript"/>
              </w:rPr>
              <w:t>3</w:t>
            </w:r>
            <w:r>
              <w:rPr>
                <w:rFonts w:hint="default" w:ascii="Times New Roman" w:hAnsi="Times New Roman" w:eastAsia="宋体" w:cs="Times New Roman"/>
                <w:bCs/>
                <w:color w:val="000000"/>
                <w:spacing w:val="11"/>
                <w:position w:val="0"/>
                <w:sz w:val="24"/>
                <w:szCs w:val="24"/>
                <w:u w:val="none" w:color="auto"/>
              </w:rPr>
              <w:t>，剥采比为</w:t>
            </w:r>
            <w:r>
              <w:rPr>
                <w:rFonts w:hint="default" w:ascii="Times New Roman" w:hAnsi="Times New Roman" w:eastAsia="宋体" w:cs="Times New Roman"/>
                <w:snapToGrid w:val="0"/>
                <w:color w:val="000000"/>
                <w:spacing w:val="11"/>
                <w:kern w:val="0"/>
                <w:position w:val="0"/>
                <w:sz w:val="24"/>
                <w:szCs w:val="24"/>
                <w:u w:val="none" w:color="auto"/>
                <w:lang w:val="en-US" w:eastAsia="zh-CN"/>
              </w:rPr>
              <w:t>0.</w:t>
            </w:r>
            <w:r>
              <w:rPr>
                <w:rFonts w:hint="default" w:ascii="Times New Roman" w:hAnsi="Times New Roman" w:cs="Times New Roman"/>
                <w:snapToGrid w:val="0"/>
                <w:color w:val="000000"/>
                <w:spacing w:val="11"/>
                <w:kern w:val="0"/>
                <w:position w:val="0"/>
                <w:sz w:val="24"/>
                <w:szCs w:val="24"/>
                <w:u w:val="none" w:color="auto"/>
                <w:lang w:val="en-US" w:eastAsia="zh-CN"/>
              </w:rPr>
              <w:t>0172</w:t>
            </w:r>
            <w:r>
              <w:rPr>
                <w:rFonts w:hint="default" w:ascii="Times New Roman" w:hAnsi="Times New Roman" w:eastAsia="宋体" w:cs="Times New Roman"/>
                <w:snapToGrid w:val="0"/>
                <w:color w:val="000000"/>
                <w:spacing w:val="11"/>
                <w:kern w:val="0"/>
                <w:position w:val="0"/>
                <w:sz w:val="24"/>
                <w:szCs w:val="24"/>
                <w:u w:val="none" w:color="auto"/>
                <w:lang w:val="en-US" w:eastAsia="zh-CN"/>
              </w:rPr>
              <w:t>︰1</w:t>
            </w:r>
            <w:r>
              <w:rPr>
                <w:rFonts w:hint="default" w:ascii="Times New Roman" w:hAnsi="Times New Roman" w:cs="Times New Roman"/>
                <w:snapToGrid w:val="0"/>
                <w:color w:val="000000"/>
                <w:spacing w:val="11"/>
                <w:kern w:val="0"/>
                <w:position w:val="0"/>
                <w:sz w:val="24"/>
                <w:szCs w:val="24"/>
                <w:u w:val="none" w:color="auto"/>
                <w:lang w:val="en-US" w:eastAsia="zh-CN"/>
              </w:rPr>
              <w:t>（</w:t>
            </w:r>
            <w:r>
              <w:rPr>
                <w:rFonts w:hint="default" w:ascii="Times New Roman" w:hAnsi="Times New Roman" w:eastAsia="宋体" w:cs="Times New Roman"/>
                <w:snapToGrid w:val="0"/>
                <w:color w:val="000000"/>
                <w:spacing w:val="11"/>
                <w:kern w:val="0"/>
                <w:position w:val="0"/>
                <w:sz w:val="24"/>
                <w:szCs w:val="24"/>
                <w:u w:val="none" w:color="auto"/>
                <w:lang w:val="en-US" w:eastAsia="zh-CN"/>
              </w:rPr>
              <w:t>m</w:t>
            </w:r>
            <w:r>
              <w:rPr>
                <w:rFonts w:hint="default" w:ascii="Times New Roman" w:hAnsi="Times New Roman" w:eastAsia="宋体" w:cs="Times New Roman"/>
                <w:snapToGrid w:val="0"/>
                <w:color w:val="000000"/>
                <w:spacing w:val="11"/>
                <w:kern w:val="0"/>
                <w:position w:val="0"/>
                <w:sz w:val="24"/>
                <w:szCs w:val="24"/>
                <w:u w:val="none" w:color="auto"/>
                <w:vertAlign w:val="superscript"/>
                <w:lang w:val="en-US" w:eastAsia="zh-CN"/>
              </w:rPr>
              <w:t>3</w:t>
            </w:r>
            <w:r>
              <w:rPr>
                <w:rFonts w:hint="default" w:ascii="Times New Roman" w:hAnsi="Times New Roman" w:eastAsia="宋体" w:cs="Times New Roman"/>
                <w:snapToGrid w:val="0"/>
                <w:color w:val="000000"/>
                <w:spacing w:val="11"/>
                <w:kern w:val="0"/>
                <w:position w:val="0"/>
                <w:sz w:val="24"/>
                <w:szCs w:val="24"/>
                <w:u w:val="none" w:color="auto"/>
                <w:lang w:val="en-US" w:eastAsia="zh-CN"/>
              </w:rPr>
              <w:t>：m</w:t>
            </w:r>
            <w:r>
              <w:rPr>
                <w:rFonts w:hint="default" w:ascii="Times New Roman" w:hAnsi="Times New Roman" w:eastAsia="宋体" w:cs="Times New Roman"/>
                <w:snapToGrid w:val="0"/>
                <w:color w:val="000000"/>
                <w:spacing w:val="11"/>
                <w:kern w:val="0"/>
                <w:position w:val="0"/>
                <w:sz w:val="24"/>
                <w:szCs w:val="24"/>
                <w:u w:val="none" w:color="auto"/>
                <w:vertAlign w:val="superscript"/>
                <w:lang w:val="en-US" w:eastAsia="zh-CN"/>
              </w:rPr>
              <w:t>3</w:t>
            </w:r>
            <w:r>
              <w:rPr>
                <w:rFonts w:hint="default" w:ascii="Times New Roman" w:hAnsi="Times New Roman" w:cs="Times New Roman"/>
                <w:snapToGrid w:val="0"/>
                <w:color w:val="000000"/>
                <w:spacing w:val="11"/>
                <w:kern w:val="0"/>
                <w:position w:val="0"/>
                <w:sz w:val="24"/>
                <w:szCs w:val="24"/>
                <w:u w:val="none" w:color="auto"/>
                <w:lang w:val="en-US" w:eastAsia="zh-CN"/>
              </w:rPr>
              <w:t>）</w:t>
            </w:r>
            <w:r>
              <w:rPr>
                <w:rFonts w:hint="eastAsia" w:ascii="Times New Roman" w:hAnsi="Times New Roman" w:cs="Times New Roman"/>
                <w:snapToGrid w:val="0"/>
                <w:color w:val="000000"/>
                <w:spacing w:val="11"/>
                <w:kern w:val="0"/>
                <w:position w:val="0"/>
                <w:sz w:val="24"/>
                <w:szCs w:val="24"/>
                <w:u w:val="none" w:color="auto"/>
                <w:lang w:val="en-US" w:eastAsia="zh-CN"/>
              </w:rPr>
              <w:t>，剥离物部分用于矿山工业广场场地平整、矿山道路建设及矿山的复绿、复垦工程外，其余全部堆存于矿山排土场内，用于矿山后期复垦复绿。</w:t>
            </w:r>
          </w:p>
          <w:p w14:paraId="2E52AFC2">
            <w:pPr>
              <w:pStyle w:val="16"/>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kern w:val="1"/>
                <w:position w:val="0"/>
                <w:sz w:val="24"/>
                <w:szCs w:val="24"/>
                <w:u w:val="none" w:color="auto"/>
                <w:lang w:val="en-US" w:eastAsia="zh-CN"/>
              </w:rPr>
            </w:pPr>
            <w:r>
              <w:rPr>
                <w:rFonts w:hint="default" w:ascii="Times New Roman" w:hAnsi="Times New Roman" w:eastAsia="宋体" w:cs="Times New Roman"/>
                <w:color w:val="000000"/>
                <w:spacing w:val="11"/>
                <w:kern w:val="1"/>
                <w:position w:val="0"/>
                <w:sz w:val="24"/>
                <w:szCs w:val="24"/>
                <w:u w:val="none" w:color="auto"/>
                <w:lang w:val="en-US" w:eastAsia="zh-CN"/>
              </w:rPr>
              <w:t>（2）沉淀池污泥</w:t>
            </w:r>
          </w:p>
          <w:p w14:paraId="60EB65E6">
            <w:pPr>
              <w:pStyle w:val="16"/>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eastAsia" w:cs="Times New Roman"/>
                <w:color w:val="000000"/>
                <w:spacing w:val="11"/>
                <w:kern w:val="1"/>
                <w:position w:val="0"/>
                <w:sz w:val="24"/>
                <w:szCs w:val="24"/>
                <w:u w:val="none" w:color="auto"/>
                <w:lang w:val="en-US" w:eastAsia="zh-CN"/>
              </w:rPr>
            </w:pPr>
            <w:r>
              <w:rPr>
                <w:rFonts w:hint="default" w:ascii="Times New Roman" w:hAnsi="Times New Roman" w:eastAsia="宋体" w:cs="Times New Roman"/>
                <w:color w:val="000000"/>
                <w:spacing w:val="11"/>
                <w:kern w:val="1"/>
                <w:position w:val="0"/>
                <w:sz w:val="24"/>
                <w:szCs w:val="24"/>
                <w:u w:val="none" w:color="auto"/>
                <w:lang w:val="en-US" w:eastAsia="zh-CN"/>
              </w:rPr>
              <w:t>初期雨水、车辆冲洗废水</w:t>
            </w:r>
            <w:r>
              <w:rPr>
                <w:rFonts w:hint="eastAsia" w:cs="Times New Roman"/>
                <w:color w:val="000000"/>
                <w:spacing w:val="11"/>
                <w:kern w:val="1"/>
                <w:position w:val="0"/>
                <w:sz w:val="24"/>
                <w:szCs w:val="24"/>
                <w:u w:val="none" w:color="auto"/>
                <w:lang w:val="en-US" w:eastAsia="zh-CN"/>
              </w:rPr>
              <w:t>、洗砂废水</w:t>
            </w:r>
            <w:r>
              <w:rPr>
                <w:rFonts w:hint="default" w:ascii="Times New Roman" w:hAnsi="Times New Roman" w:eastAsia="宋体" w:cs="Times New Roman"/>
                <w:color w:val="000000"/>
                <w:spacing w:val="11"/>
                <w:kern w:val="1"/>
                <w:position w:val="0"/>
                <w:sz w:val="24"/>
                <w:szCs w:val="24"/>
                <w:u w:val="none" w:color="auto"/>
                <w:lang w:val="en-US" w:eastAsia="zh-CN"/>
              </w:rPr>
              <w:t>等沉淀处理后均会产生一定量的固废，经估算年产生量</w:t>
            </w:r>
            <w:r>
              <w:rPr>
                <w:rFonts w:hint="eastAsia" w:cs="Times New Roman"/>
                <w:color w:val="000000"/>
                <w:spacing w:val="11"/>
                <w:kern w:val="1"/>
                <w:position w:val="0"/>
                <w:sz w:val="24"/>
                <w:szCs w:val="24"/>
                <w:u w:val="none" w:color="auto"/>
                <w:lang w:val="en-US" w:eastAsia="zh-CN"/>
              </w:rPr>
              <w:t>约为78</w:t>
            </w:r>
            <w:r>
              <w:rPr>
                <w:rFonts w:hint="default" w:ascii="Times New Roman" w:hAnsi="Times New Roman" w:eastAsia="宋体" w:cs="Times New Roman"/>
                <w:color w:val="000000"/>
                <w:spacing w:val="11"/>
                <w:kern w:val="1"/>
                <w:position w:val="0"/>
                <w:sz w:val="24"/>
                <w:szCs w:val="24"/>
                <w:u w:val="none" w:color="auto"/>
                <w:lang w:val="en-US" w:eastAsia="zh-CN"/>
              </w:rPr>
              <w:t>t/a，该部分污泥主要成分为砂石颗粒，沉淀池定期清理</w:t>
            </w:r>
            <w:r>
              <w:rPr>
                <w:rFonts w:hint="eastAsia" w:cs="Times New Roman"/>
                <w:color w:val="000000"/>
                <w:spacing w:val="11"/>
                <w:kern w:val="1"/>
                <w:position w:val="0"/>
                <w:sz w:val="24"/>
                <w:szCs w:val="24"/>
                <w:u w:val="none" w:color="auto"/>
                <w:lang w:val="en-US" w:eastAsia="zh-CN"/>
              </w:rPr>
              <w:t>、自然干化后，与剥离物一起堆放在排土场，不可随意堆放，后期进行综合利用，不会对周边环境产生明显影响。</w:t>
            </w:r>
          </w:p>
          <w:p w14:paraId="2D1A60A7">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（3）生活垃圾</w:t>
            </w:r>
          </w:p>
          <w:p w14:paraId="4C5858A4">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rPr>
              <w:t>生活垃圾产生于员工办公生活过程，</w:t>
            </w:r>
            <w:r>
              <w:rPr>
                <w:rFonts w:hint="default" w:ascii="Times New Roman" w:hAnsi="Times New Roman" w:eastAsia="宋体" w:cs="Times New Roman"/>
                <w:color w:val="000000"/>
                <w:spacing w:val="11"/>
                <w:position w:val="0"/>
                <w:sz w:val="24"/>
                <w:szCs w:val="24"/>
                <w:u w:val="none" w:color="auto"/>
                <w:lang w:val="en-US" w:eastAsia="zh-CN"/>
              </w:rPr>
              <w:t>其主要污染物成分为</w:t>
            </w:r>
            <w:r>
              <w:rPr>
                <w:rFonts w:hint="default" w:ascii="Times New Roman" w:hAnsi="Times New Roman" w:eastAsia="宋体" w:cs="Times New Roman"/>
                <w:i w:val="0"/>
                <w:iCs w:val="0"/>
                <w:caps w:val="0"/>
                <w:color w:val="000000"/>
                <w:spacing w:val="11"/>
                <w:position w:val="0"/>
                <w:sz w:val="24"/>
                <w:szCs w:val="24"/>
                <w:u w:val="none" w:color="auto"/>
                <w:shd w:val="clear" w:color="auto" w:fill="FFFFFF"/>
              </w:rPr>
              <w:t>蔬菜叶、水果皮、废弃食品类</w:t>
            </w:r>
            <w:r>
              <w:rPr>
                <w:rFonts w:hint="default" w:ascii="Times New Roman" w:hAnsi="Times New Roman" w:eastAsia="宋体" w:cs="Times New Roman"/>
                <w:i w:val="0"/>
                <w:iCs w:val="0"/>
                <w:caps w:val="0"/>
                <w:color w:val="000000"/>
                <w:spacing w:val="11"/>
                <w:position w:val="0"/>
                <w:sz w:val="24"/>
                <w:szCs w:val="24"/>
                <w:u w:val="none" w:color="auto"/>
                <w:shd w:val="clear" w:color="auto" w:fill="FFFFFF"/>
                <w:lang w:eastAsia="zh-CN"/>
              </w:rPr>
              <w:t>、</w:t>
            </w:r>
            <w:r>
              <w:rPr>
                <w:rFonts w:hint="default" w:ascii="Times New Roman" w:hAnsi="Times New Roman" w:eastAsia="宋体" w:cs="Times New Roman"/>
                <w:i w:val="0"/>
                <w:iCs w:val="0"/>
                <w:caps w:val="0"/>
                <w:color w:val="000000"/>
                <w:spacing w:val="11"/>
                <w:position w:val="0"/>
                <w:sz w:val="24"/>
                <w:szCs w:val="24"/>
                <w:u w:val="none" w:color="auto"/>
                <w:shd w:val="clear" w:color="auto" w:fill="FFFFFF"/>
                <w:lang w:val="en-US" w:eastAsia="zh-CN"/>
              </w:rPr>
              <w:t>杂草等，</w:t>
            </w:r>
            <w:r>
              <w:rPr>
                <w:rFonts w:hint="default" w:ascii="Times New Roman" w:hAnsi="Times New Roman" w:eastAsia="宋体" w:cs="Times New Roman"/>
                <w:color w:val="000000"/>
                <w:spacing w:val="11"/>
                <w:position w:val="0"/>
                <w:sz w:val="24"/>
                <w:szCs w:val="24"/>
                <w:u w:val="none" w:color="auto"/>
              </w:rPr>
              <w:t>产生系数按照每人1kg/d计，劳动定员为</w:t>
            </w:r>
            <w:r>
              <w:rPr>
                <w:rFonts w:hint="default" w:ascii="Times New Roman" w:hAnsi="Times New Roman" w:eastAsia="宋体" w:cs="Times New Roman"/>
                <w:color w:val="000000"/>
                <w:spacing w:val="11"/>
                <w:position w:val="0"/>
                <w:sz w:val="24"/>
                <w:szCs w:val="24"/>
                <w:u w:val="none" w:color="auto"/>
                <w:lang w:val="en-US" w:eastAsia="zh-CN"/>
              </w:rPr>
              <w:t>20</w:t>
            </w:r>
            <w:r>
              <w:rPr>
                <w:rFonts w:hint="default" w:ascii="Times New Roman" w:hAnsi="Times New Roman" w:eastAsia="宋体" w:cs="Times New Roman"/>
                <w:color w:val="000000"/>
                <w:spacing w:val="11"/>
                <w:position w:val="0"/>
                <w:sz w:val="24"/>
                <w:szCs w:val="24"/>
                <w:u w:val="none" w:color="auto"/>
              </w:rPr>
              <w:t>人，则员工生活垃圾量为</w:t>
            </w:r>
            <w:r>
              <w:rPr>
                <w:rFonts w:hint="default" w:ascii="Times New Roman" w:hAnsi="Times New Roman" w:eastAsia="宋体" w:cs="Times New Roman"/>
                <w:color w:val="000000"/>
                <w:spacing w:val="11"/>
                <w:position w:val="0"/>
                <w:sz w:val="24"/>
                <w:szCs w:val="24"/>
                <w:u w:val="none" w:color="auto"/>
                <w:lang w:val="en-US" w:eastAsia="zh-CN"/>
              </w:rPr>
              <w:t>20</w:t>
            </w:r>
            <w:r>
              <w:rPr>
                <w:rFonts w:hint="default" w:ascii="Times New Roman" w:hAnsi="Times New Roman" w:eastAsia="宋体" w:cs="Times New Roman"/>
                <w:color w:val="000000"/>
                <w:spacing w:val="11"/>
                <w:position w:val="0"/>
                <w:sz w:val="24"/>
                <w:szCs w:val="24"/>
                <w:u w:val="none" w:color="auto"/>
              </w:rPr>
              <w:t>kg/d（</w:t>
            </w:r>
            <w:r>
              <w:rPr>
                <w:rFonts w:hint="default" w:ascii="Times New Roman" w:hAnsi="Times New Roman" w:eastAsia="宋体" w:cs="Times New Roman"/>
                <w:color w:val="000000"/>
                <w:spacing w:val="11"/>
                <w:position w:val="0"/>
                <w:sz w:val="24"/>
                <w:szCs w:val="24"/>
                <w:u w:val="none" w:color="auto"/>
                <w:lang w:val="en-US" w:eastAsia="zh-CN"/>
              </w:rPr>
              <w:t>6</w:t>
            </w:r>
            <w:r>
              <w:rPr>
                <w:rFonts w:hint="default" w:ascii="Times New Roman" w:hAnsi="Times New Roman" w:eastAsia="宋体" w:cs="Times New Roman"/>
                <w:color w:val="000000"/>
                <w:spacing w:val="11"/>
                <w:position w:val="0"/>
                <w:sz w:val="24"/>
                <w:szCs w:val="24"/>
                <w:u w:val="none" w:color="auto"/>
              </w:rPr>
              <w:t>t/a）。</w:t>
            </w:r>
            <w:r>
              <w:rPr>
                <w:rFonts w:hint="default" w:ascii="Times New Roman" w:hAnsi="Times New Roman" w:eastAsia="宋体" w:cs="Times New Roman"/>
                <w:color w:val="000000"/>
                <w:spacing w:val="11"/>
                <w:position w:val="0"/>
                <w:sz w:val="24"/>
                <w:szCs w:val="24"/>
                <w:u w:val="none" w:color="auto"/>
                <w:lang w:val="en-US" w:eastAsia="zh-CN"/>
              </w:rPr>
              <w:t>建设单位拟设置</w:t>
            </w:r>
            <w:r>
              <w:rPr>
                <w:rFonts w:hint="default" w:ascii="Times New Roman" w:hAnsi="Times New Roman" w:eastAsia="宋体" w:cs="Times New Roman"/>
                <w:color w:val="000000"/>
                <w:spacing w:val="11"/>
                <w:position w:val="0"/>
                <w:sz w:val="24"/>
                <w:szCs w:val="24"/>
                <w:u w:val="none" w:color="auto"/>
              </w:rPr>
              <w:t>垃圾桶</w:t>
            </w:r>
            <w:r>
              <w:rPr>
                <w:rFonts w:hint="default" w:ascii="Times New Roman" w:hAnsi="Times New Roman" w:eastAsia="宋体" w:cs="Times New Roman"/>
                <w:color w:val="000000"/>
                <w:spacing w:val="11"/>
                <w:position w:val="0"/>
                <w:sz w:val="24"/>
                <w:szCs w:val="24"/>
                <w:u w:val="none" w:color="auto"/>
                <w:lang w:val="en-US" w:eastAsia="zh-CN"/>
              </w:rPr>
              <w:t>进行</w:t>
            </w:r>
            <w:r>
              <w:rPr>
                <w:rFonts w:hint="default" w:ascii="Times New Roman" w:hAnsi="Times New Roman" w:eastAsia="宋体" w:cs="Times New Roman"/>
                <w:color w:val="000000"/>
                <w:spacing w:val="11"/>
                <w:position w:val="0"/>
                <w:sz w:val="24"/>
                <w:szCs w:val="24"/>
                <w:u w:val="none" w:color="auto"/>
              </w:rPr>
              <w:t>统一收集，</w:t>
            </w:r>
            <w:r>
              <w:rPr>
                <w:rFonts w:hint="default" w:ascii="Times New Roman" w:hAnsi="Times New Roman" w:eastAsia="宋体" w:cs="Times New Roman"/>
                <w:color w:val="000000"/>
                <w:spacing w:val="11"/>
                <w:position w:val="0"/>
                <w:sz w:val="24"/>
                <w:szCs w:val="24"/>
                <w:u w:val="none" w:color="auto"/>
                <w:lang w:val="en-US" w:eastAsia="zh-CN"/>
              </w:rPr>
              <w:t>定期由</w:t>
            </w:r>
            <w:r>
              <w:rPr>
                <w:rFonts w:hint="default" w:ascii="Times New Roman" w:hAnsi="Times New Roman" w:eastAsia="宋体" w:cs="Times New Roman"/>
                <w:color w:val="000000"/>
                <w:spacing w:val="11"/>
                <w:position w:val="0"/>
                <w:sz w:val="24"/>
                <w:szCs w:val="24"/>
                <w:u w:val="none" w:color="auto"/>
              </w:rPr>
              <w:t>环卫部门</w:t>
            </w:r>
            <w:r>
              <w:rPr>
                <w:rFonts w:hint="default" w:ascii="Times New Roman" w:hAnsi="Times New Roman" w:eastAsia="宋体" w:cs="Times New Roman"/>
                <w:color w:val="000000"/>
                <w:spacing w:val="11"/>
                <w:position w:val="0"/>
                <w:sz w:val="24"/>
                <w:szCs w:val="24"/>
                <w:u w:val="none" w:color="auto"/>
                <w:lang w:val="en-US" w:eastAsia="zh-CN"/>
              </w:rPr>
              <w:t>清运</w:t>
            </w:r>
            <w:r>
              <w:rPr>
                <w:rFonts w:hint="default" w:ascii="Times New Roman" w:hAnsi="Times New Roman" w:eastAsia="宋体" w:cs="Times New Roman"/>
                <w:color w:val="000000"/>
                <w:spacing w:val="11"/>
                <w:position w:val="0"/>
                <w:sz w:val="24"/>
                <w:szCs w:val="24"/>
                <w:u w:val="none" w:color="auto"/>
              </w:rPr>
              <w:t>处理</w:t>
            </w:r>
            <w:r>
              <w:rPr>
                <w:rFonts w:hint="default" w:ascii="Times New Roman" w:hAnsi="Times New Roman" w:eastAsia="宋体" w:cs="Times New Roman"/>
                <w:color w:val="000000"/>
                <w:spacing w:val="11"/>
                <w:position w:val="0"/>
                <w:sz w:val="24"/>
                <w:szCs w:val="24"/>
                <w:u w:val="none" w:color="auto"/>
                <w:lang w:eastAsia="zh-CN"/>
              </w:rPr>
              <w:t>，</w:t>
            </w:r>
            <w:r>
              <w:rPr>
                <w:rFonts w:hint="default" w:ascii="Times New Roman" w:hAnsi="Times New Roman" w:eastAsia="宋体" w:cs="Times New Roman"/>
                <w:color w:val="000000"/>
                <w:spacing w:val="11"/>
                <w:position w:val="0"/>
                <w:sz w:val="24"/>
                <w:szCs w:val="24"/>
                <w:u w:val="none" w:color="auto"/>
                <w:lang w:val="en-US" w:eastAsia="zh-CN"/>
              </w:rPr>
              <w:t>在采取以上措施加以处理后，不会对周边环境产生环境污染。</w:t>
            </w:r>
          </w:p>
          <w:p w14:paraId="5948F344">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Cs/>
                <w:color w:val="000000"/>
                <w:spacing w:val="11"/>
                <w:position w:val="0"/>
                <w:sz w:val="24"/>
                <w:szCs w:val="24"/>
                <w:u w:val="none" w:color="auto"/>
                <w:lang w:eastAsia="zh-CN"/>
              </w:rPr>
            </w:pPr>
            <w:r>
              <w:rPr>
                <w:rFonts w:hint="eastAsia" w:cs="Times New Roman"/>
                <w:bCs/>
                <w:color w:val="000000"/>
                <w:spacing w:val="11"/>
                <w:position w:val="0"/>
                <w:sz w:val="24"/>
                <w:szCs w:val="24"/>
                <w:u w:val="none" w:color="auto"/>
                <w:lang w:val="en-US" w:eastAsia="zh-CN"/>
              </w:rPr>
              <w:t>（4）</w:t>
            </w:r>
            <w:r>
              <w:rPr>
                <w:rFonts w:hint="default" w:ascii="Times New Roman" w:hAnsi="Times New Roman" w:eastAsia="宋体" w:cs="Times New Roman"/>
                <w:bCs/>
                <w:color w:val="000000"/>
                <w:spacing w:val="11"/>
                <w:position w:val="0"/>
                <w:sz w:val="24"/>
                <w:szCs w:val="24"/>
                <w:u w:val="none" w:color="auto"/>
                <w:lang w:val="en-US" w:eastAsia="zh-CN"/>
              </w:rPr>
              <w:t>布袋除尘器收集粉尘</w:t>
            </w:r>
          </w:p>
          <w:p w14:paraId="21A49E93">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Cs/>
                <w:color w:val="000000"/>
                <w:spacing w:val="11"/>
                <w:position w:val="0"/>
                <w:sz w:val="24"/>
                <w:szCs w:val="24"/>
                <w:u w:val="none" w:color="auto"/>
                <w:lang w:eastAsia="zh-CN"/>
              </w:rPr>
            </w:pPr>
            <w:r>
              <w:rPr>
                <w:rFonts w:hint="default" w:ascii="Times New Roman" w:hAnsi="Times New Roman" w:eastAsia="宋体" w:cs="Times New Roman"/>
                <w:bCs/>
                <w:color w:val="000000"/>
                <w:spacing w:val="11"/>
                <w:position w:val="0"/>
                <w:sz w:val="24"/>
                <w:szCs w:val="24"/>
                <w:u w:val="none" w:color="auto"/>
                <w:lang w:val="en-US" w:eastAsia="zh-CN"/>
              </w:rPr>
              <w:t>根据前文工程分析，本项目布袋收集粉尘量共约为</w:t>
            </w:r>
            <w:r>
              <w:rPr>
                <w:rFonts w:hint="eastAsia" w:cs="Times New Roman"/>
                <w:bCs/>
                <w:color w:val="000000"/>
                <w:spacing w:val="11"/>
                <w:position w:val="0"/>
                <w:sz w:val="24"/>
                <w:szCs w:val="24"/>
                <w:u w:val="none" w:color="auto"/>
                <w:lang w:val="en-US" w:eastAsia="zh-CN"/>
              </w:rPr>
              <w:t>171.5175</w:t>
            </w:r>
            <w:r>
              <w:rPr>
                <w:rFonts w:hint="default" w:ascii="Times New Roman" w:hAnsi="Times New Roman" w:eastAsia="宋体" w:cs="Times New Roman"/>
                <w:bCs/>
                <w:color w:val="000000"/>
                <w:spacing w:val="11"/>
                <w:position w:val="0"/>
                <w:sz w:val="24"/>
                <w:szCs w:val="24"/>
                <w:u w:val="none" w:color="auto"/>
                <w:lang w:val="en-US" w:eastAsia="zh-CN"/>
              </w:rPr>
              <w:t>t/a，</w:t>
            </w:r>
            <w:r>
              <w:rPr>
                <w:rFonts w:hint="eastAsia" w:cs="Times New Roman"/>
                <w:bCs/>
                <w:color w:val="000000"/>
                <w:spacing w:val="11"/>
                <w:position w:val="0"/>
                <w:sz w:val="24"/>
                <w:szCs w:val="24"/>
                <w:u w:val="none" w:color="auto"/>
                <w:lang w:val="en-US" w:eastAsia="zh-CN"/>
              </w:rPr>
              <w:t>由建设单位收集后外售</w:t>
            </w:r>
            <w:r>
              <w:rPr>
                <w:rFonts w:hint="default" w:ascii="Times New Roman" w:hAnsi="Times New Roman" w:eastAsia="宋体" w:cs="Times New Roman"/>
                <w:bCs/>
                <w:color w:val="000000"/>
                <w:spacing w:val="11"/>
                <w:position w:val="0"/>
                <w:sz w:val="24"/>
                <w:szCs w:val="24"/>
                <w:u w:val="none" w:color="auto"/>
                <w:lang w:val="en-US" w:eastAsia="zh-CN"/>
              </w:rPr>
              <w:t>。</w:t>
            </w:r>
          </w:p>
          <w:p w14:paraId="5D1E692A">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Cs/>
                <w:color w:val="000000"/>
                <w:spacing w:val="11"/>
                <w:position w:val="0"/>
                <w:sz w:val="24"/>
                <w:szCs w:val="24"/>
                <w:u w:val="none" w:color="auto"/>
                <w:lang w:val="en-US" w:eastAsia="zh-CN"/>
              </w:rPr>
            </w:pPr>
            <w:r>
              <w:rPr>
                <w:rFonts w:hint="default" w:ascii="Times New Roman" w:hAnsi="Times New Roman" w:eastAsia="宋体" w:cs="Times New Roman"/>
                <w:bCs/>
                <w:color w:val="000000"/>
                <w:spacing w:val="11"/>
                <w:position w:val="0"/>
                <w:sz w:val="24"/>
                <w:szCs w:val="24"/>
                <w:u w:val="none" w:color="auto"/>
                <w:lang w:eastAsia="zh-CN"/>
              </w:rPr>
              <w:t>（</w:t>
            </w:r>
            <w:r>
              <w:rPr>
                <w:rFonts w:hint="eastAsia" w:cs="Times New Roman"/>
                <w:bCs/>
                <w:color w:val="000000"/>
                <w:spacing w:val="11"/>
                <w:position w:val="0"/>
                <w:sz w:val="24"/>
                <w:szCs w:val="24"/>
                <w:u w:val="none" w:color="auto"/>
                <w:lang w:val="en-US" w:eastAsia="zh-CN"/>
              </w:rPr>
              <w:t>5</w:t>
            </w:r>
            <w:r>
              <w:rPr>
                <w:rFonts w:hint="default" w:ascii="Times New Roman" w:hAnsi="Times New Roman" w:eastAsia="宋体" w:cs="Times New Roman"/>
                <w:bCs/>
                <w:color w:val="000000"/>
                <w:spacing w:val="11"/>
                <w:position w:val="0"/>
                <w:sz w:val="24"/>
                <w:szCs w:val="24"/>
                <w:u w:val="none" w:color="auto"/>
                <w:lang w:eastAsia="zh-CN"/>
              </w:rPr>
              <w:t>）</w:t>
            </w:r>
            <w:r>
              <w:rPr>
                <w:rFonts w:hint="default" w:ascii="Times New Roman" w:hAnsi="Times New Roman" w:eastAsia="宋体" w:cs="Times New Roman"/>
                <w:bCs/>
                <w:color w:val="000000"/>
                <w:spacing w:val="11"/>
                <w:position w:val="0"/>
                <w:sz w:val="24"/>
                <w:szCs w:val="24"/>
                <w:u w:val="none" w:color="auto"/>
              </w:rPr>
              <w:t>废</w:t>
            </w:r>
            <w:r>
              <w:rPr>
                <w:rFonts w:hint="default" w:ascii="Times New Roman" w:hAnsi="Times New Roman" w:eastAsia="宋体" w:cs="Times New Roman"/>
                <w:bCs/>
                <w:color w:val="000000"/>
                <w:spacing w:val="11"/>
                <w:position w:val="0"/>
                <w:sz w:val="24"/>
                <w:szCs w:val="24"/>
                <w:u w:val="none" w:color="auto"/>
                <w:lang w:val="en-US" w:eastAsia="zh-CN"/>
              </w:rPr>
              <w:t>润滑油</w:t>
            </w:r>
          </w:p>
          <w:p w14:paraId="7EB511BC">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Cs/>
                <w:color w:val="000000"/>
                <w:spacing w:val="11"/>
                <w:position w:val="0"/>
                <w:sz w:val="24"/>
                <w:szCs w:val="24"/>
                <w:u w:val="none" w:color="auto"/>
                <w:lang w:val="en-US" w:eastAsia="zh-CN"/>
              </w:rPr>
            </w:pPr>
            <w:r>
              <w:rPr>
                <w:rFonts w:hint="default" w:ascii="Times New Roman" w:hAnsi="Times New Roman" w:eastAsia="宋体" w:cs="Times New Roman"/>
                <w:bCs/>
                <w:color w:val="000000"/>
                <w:spacing w:val="11"/>
                <w:position w:val="0"/>
                <w:sz w:val="24"/>
                <w:szCs w:val="24"/>
                <w:u w:val="none" w:color="auto"/>
                <w:lang w:val="en-US" w:eastAsia="zh-CN"/>
              </w:rPr>
              <w:t>项目机械设备使用过程中会产生废润滑油，根据《国家危险废物名录》（2025年版），废润滑油属于HW08废矿物油与含矿物油废物类别，危废代码为900-214-08。废润滑油产生量约为0.4t/a，经危废暂存间暂存后委托有资质单位处置。</w:t>
            </w:r>
          </w:p>
          <w:p w14:paraId="00C8A77A">
            <w:pPr>
              <w:pStyle w:val="70"/>
              <w:keepNext w:val="0"/>
              <w:keepLines w:val="0"/>
              <w:pageBreakBefore w:val="0"/>
              <w:widowControl/>
              <w:numPr>
                <w:ilvl w:val="0"/>
                <w:numId w:val="0"/>
              </w:numPr>
              <w:kinsoku/>
              <w:wordWrap/>
              <w:overflowPunct/>
              <w:topLinePunct w:val="0"/>
              <w:autoSpaceDE/>
              <w:autoSpaceDN/>
              <w:bidi w:val="0"/>
              <w:adjustRightInd w:val="0"/>
              <w:snapToGrid w:val="0"/>
              <w:spacing w:before="0" w:line="360" w:lineRule="auto"/>
              <w:ind w:left="0" w:leftChars="0" w:right="0" w:righ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在落实以上措施后，此部分固废不会对周边环境产生明显影响。</w:t>
            </w:r>
          </w:p>
          <w:p w14:paraId="49030AF3">
            <w:pPr>
              <w:pStyle w:val="70"/>
              <w:keepNext w:val="0"/>
              <w:keepLines w:val="0"/>
              <w:pageBreakBefore w:val="0"/>
              <w:widowControl/>
              <w:numPr>
                <w:ilvl w:val="0"/>
                <w:numId w:val="0"/>
              </w:numPr>
              <w:tabs>
                <w:tab w:val="left" w:pos="4831"/>
              </w:tabs>
              <w:kinsoku/>
              <w:wordWrap/>
              <w:overflowPunct/>
              <w:topLinePunct w:val="0"/>
              <w:autoSpaceDE/>
              <w:autoSpaceDN/>
              <w:bidi w:val="0"/>
              <w:adjustRightInd w:val="0"/>
              <w:snapToGrid w:val="0"/>
              <w:spacing w:before="0" w:line="360" w:lineRule="auto"/>
              <w:ind w:left="0" w:leftChars="0" w:right="0" w:rightChars="0"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lang w:val="en-US" w:eastAsia="zh-CN"/>
              </w:rPr>
            </w:pPr>
            <w:r>
              <w:rPr>
                <w:rFonts w:hint="default" w:ascii="Times New Roman" w:hAnsi="Times New Roman" w:eastAsia="宋体" w:cs="Times New Roman"/>
                <w:b w:val="0"/>
                <w:bCs w:val="0"/>
                <w:color w:val="000000"/>
                <w:spacing w:val="11"/>
                <w:position w:val="0"/>
                <w:sz w:val="24"/>
                <w:szCs w:val="24"/>
                <w:u w:val="none" w:color="auto"/>
                <w:lang w:val="en-US" w:eastAsia="zh-CN"/>
              </w:rPr>
              <w:t>（5）管理要求</w:t>
            </w:r>
          </w:p>
          <w:p w14:paraId="4A463F0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color="auto"/>
                <w:lang w:val="en-US" w:eastAsia="zh-CN"/>
              </w:rPr>
              <w:t>1）一般工业固废</w:t>
            </w:r>
          </w:p>
          <w:p w14:paraId="4C5A849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ascii="Times New Roman" w:hAnsi="Times New Roman" w:eastAsia="宋体" w:cs="Times New Roman"/>
                <w:color w:val="auto"/>
                <w:spacing w:val="11"/>
                <w:position w:val="0"/>
                <w:sz w:val="24"/>
                <w:szCs w:val="24"/>
                <w:highlight w:val="yellow"/>
                <w:u w:val="none" w:color="auto"/>
                <w:lang w:val="en-US" w:eastAsia="zh-CN"/>
              </w:rPr>
            </w:pPr>
            <w:r>
              <w:rPr>
                <w:rFonts w:hint="default" w:ascii="Times New Roman" w:hAnsi="Times New Roman" w:eastAsia="宋体" w:cs="Times New Roman"/>
                <w:color w:val="auto"/>
                <w:spacing w:val="11"/>
                <w:position w:val="0"/>
                <w:sz w:val="24"/>
                <w:szCs w:val="24"/>
                <w:highlight w:val="none"/>
                <w:u w:val="none" w:color="auto"/>
              </w:rPr>
              <w:t>项目所有固废要按</w:t>
            </w:r>
            <w:r>
              <w:rPr>
                <w:rFonts w:hint="eastAsia" w:ascii="宋体" w:hAnsi="宋体" w:eastAsia="宋体" w:cs="宋体"/>
                <w:color w:val="auto"/>
                <w:spacing w:val="11"/>
                <w:position w:val="0"/>
                <w:sz w:val="24"/>
                <w:szCs w:val="24"/>
                <w:highlight w:val="none"/>
                <w:u w:val="none" w:color="auto"/>
              </w:rPr>
              <w:t>照“减量化、资源化、无害化”处理原则，加强固体废物的内部管理，建立固体废物</w:t>
            </w:r>
            <w:r>
              <w:rPr>
                <w:rFonts w:hint="default" w:ascii="Times New Roman" w:hAnsi="Times New Roman" w:eastAsia="宋体" w:cs="Times New Roman"/>
                <w:color w:val="auto"/>
                <w:spacing w:val="11"/>
                <w:position w:val="0"/>
                <w:sz w:val="24"/>
                <w:szCs w:val="24"/>
                <w:highlight w:val="none"/>
                <w:u w:val="none" w:color="auto"/>
              </w:rPr>
              <w:t>产生、外运、处置及最终去向的详细账单，按废物转移交换处置管理办法实施追踪管理，并落实安全管理责任，避免二次污染。一般工业固废暂存场所</w:t>
            </w:r>
            <w:r>
              <w:rPr>
                <w:rFonts w:hint="default" w:ascii="Times New Roman" w:hAnsi="Times New Roman" w:eastAsia="宋体" w:cs="Times New Roman"/>
                <w:color w:val="auto"/>
                <w:spacing w:val="11"/>
                <w:position w:val="0"/>
                <w:sz w:val="24"/>
                <w:szCs w:val="24"/>
                <w:highlight w:val="none"/>
                <w:u w:val="none" w:color="auto"/>
                <w:lang w:val="en-US" w:eastAsia="zh-CN"/>
              </w:rPr>
              <w:t>应</w:t>
            </w:r>
            <w:r>
              <w:rPr>
                <w:rFonts w:hint="default" w:ascii="Times New Roman" w:hAnsi="Times New Roman" w:eastAsia="宋体" w:cs="Times New Roman"/>
                <w:color w:val="auto"/>
                <w:spacing w:val="11"/>
                <w:position w:val="0"/>
                <w:sz w:val="24"/>
                <w:szCs w:val="24"/>
                <w:highlight w:val="none"/>
                <w:u w:val="none" w:color="auto"/>
              </w:rPr>
              <w:t>按照</w:t>
            </w:r>
            <w:r>
              <w:rPr>
                <w:rFonts w:hint="default" w:ascii="Times New Roman" w:hAnsi="Times New Roman" w:eastAsia="宋体" w:cs="Times New Roman"/>
                <w:color w:val="auto"/>
                <w:spacing w:val="11"/>
                <w:position w:val="0"/>
                <w:sz w:val="24"/>
                <w:szCs w:val="24"/>
                <w:highlight w:val="none"/>
                <w:u w:val="none" w:color="auto"/>
                <w:lang w:val="en-US" w:eastAsia="zh-CN"/>
              </w:rPr>
              <w:t>《一般工业固体废物贮存和填埋污染控制标准》（GB18599-2020）中规定其贮存过程应满足相应防渗漏、防雨淋、防扬尘等环境保护要求</w:t>
            </w:r>
            <w:r>
              <w:rPr>
                <w:rFonts w:hint="default" w:ascii="Times New Roman" w:hAnsi="Times New Roman" w:eastAsia="宋体" w:cs="Times New Roman"/>
                <w:color w:val="auto"/>
                <w:spacing w:val="11"/>
                <w:position w:val="0"/>
                <w:sz w:val="24"/>
                <w:szCs w:val="24"/>
                <w:highlight w:val="none"/>
                <w:u w:val="none" w:color="auto"/>
              </w:rPr>
              <w:t>，固废按相关标准和要求妥善处置</w:t>
            </w:r>
            <w:r>
              <w:rPr>
                <w:rFonts w:hint="default" w:ascii="Times New Roman" w:hAnsi="Times New Roman" w:eastAsia="宋体" w:cs="Times New Roman"/>
                <w:color w:val="auto"/>
                <w:spacing w:val="11"/>
                <w:position w:val="0"/>
                <w:sz w:val="24"/>
                <w:szCs w:val="24"/>
                <w:highlight w:val="none"/>
                <w:u w:val="none" w:color="auto"/>
                <w:lang w:val="en-US" w:eastAsia="zh-CN"/>
              </w:rPr>
              <w:t>。</w:t>
            </w:r>
          </w:p>
          <w:p w14:paraId="2A4454D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color="auto"/>
                <w:lang w:val="en-US" w:eastAsia="zh-CN"/>
              </w:rPr>
              <w:t>2）危险废物</w:t>
            </w:r>
          </w:p>
          <w:p w14:paraId="6D3A54C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default" w:ascii="Times New Roman" w:hAnsi="Times New Roman" w:eastAsia="宋体" w:cs="Times New Roman"/>
                <w:color w:val="auto"/>
                <w:spacing w:val="11"/>
                <w:position w:val="0"/>
                <w:sz w:val="24"/>
                <w:szCs w:val="24"/>
                <w:highlight w:val="none"/>
                <w:u w:val="none"/>
                <w:lang w:val="en-US" w:eastAsia="zh-CN"/>
              </w:rPr>
              <w:t>建设单位应委托有资质的单位进行处理处置，本项目拟设置危险废物暂存间（</w:t>
            </w:r>
            <w:r>
              <w:rPr>
                <w:rFonts w:hint="eastAsia" w:cs="Times New Roman"/>
                <w:color w:val="auto"/>
                <w:spacing w:val="11"/>
                <w:position w:val="0"/>
                <w:sz w:val="24"/>
                <w:szCs w:val="24"/>
                <w:highlight w:val="none"/>
                <w:u w:val="none"/>
                <w:lang w:val="en-US" w:eastAsia="zh-CN"/>
              </w:rPr>
              <w:t>5</w:t>
            </w:r>
            <w:r>
              <w:rPr>
                <w:rFonts w:hint="default" w:ascii="Times New Roman" w:hAnsi="Times New Roman" w:eastAsia="宋体" w:cs="Times New Roman"/>
                <w:color w:val="auto"/>
                <w:spacing w:val="11"/>
                <w:position w:val="0"/>
                <w:sz w:val="24"/>
                <w:szCs w:val="24"/>
                <w:highlight w:val="none"/>
                <w:u w:val="none"/>
                <w:lang w:val="en-US" w:eastAsia="zh-CN"/>
              </w:rPr>
              <w:t>m</w:t>
            </w:r>
            <w:r>
              <w:rPr>
                <w:rFonts w:hint="default" w:ascii="Times New Roman" w:hAnsi="Times New Roman" w:eastAsia="宋体" w:cs="Times New Roman"/>
                <w:color w:val="auto"/>
                <w:spacing w:val="11"/>
                <w:position w:val="0"/>
                <w:sz w:val="24"/>
                <w:szCs w:val="24"/>
                <w:highlight w:val="none"/>
                <w:u w:val="none"/>
                <w:vertAlign w:val="superscript"/>
                <w:lang w:val="en-US" w:eastAsia="zh-CN"/>
              </w:rPr>
              <w:t>2</w:t>
            </w:r>
            <w:r>
              <w:rPr>
                <w:rFonts w:hint="default" w:ascii="Times New Roman" w:hAnsi="Times New Roman" w:eastAsia="宋体" w:cs="Times New Roman"/>
                <w:color w:val="auto"/>
                <w:spacing w:val="11"/>
                <w:position w:val="0"/>
                <w:sz w:val="24"/>
                <w:szCs w:val="24"/>
                <w:highlight w:val="none"/>
                <w:u w:val="none"/>
                <w:lang w:val="en-US" w:eastAsia="zh-CN"/>
              </w:rPr>
              <w:t xml:space="preserve">），并加以防风、防渗、防雨、防晒处理，其储存处设置明显的危险废物临时储存场所标识，并严格按照国家危险废物的相关管理要求及规范进行管理。 </w:t>
            </w:r>
          </w:p>
          <w:p w14:paraId="10A091F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default" w:ascii="Times New Roman" w:hAnsi="Times New Roman" w:eastAsia="宋体" w:cs="Times New Roman"/>
                <w:color w:val="auto"/>
                <w:spacing w:val="11"/>
                <w:position w:val="0"/>
                <w:sz w:val="24"/>
                <w:szCs w:val="24"/>
                <w:highlight w:val="none"/>
                <w:u w:val="none"/>
                <w:lang w:val="en-US" w:eastAsia="zh-CN"/>
              </w:rPr>
              <w:t xml:space="preserve">按照危险固废处置的有关规定，对属于国家规定危险废物之列的固体废物，必须委托有资质单位进行妥善处理。外运时需要严格按照国家环境保护总局令第5号文件《危险废物转移联单管理办法》的相关规定报批危险废物转移计划，应做到不沿途抛洒；因此，必须加强对固体废弃物的管理，确保各类固体废弃物的妥善处置，固体废弃物贮存场所所应有明显的标志，并有防风、防雨、防晒等设施。 </w:t>
            </w:r>
          </w:p>
          <w:p w14:paraId="1BB07897">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default" w:ascii="Times New Roman" w:hAnsi="Times New Roman" w:eastAsia="宋体" w:cs="Times New Roman"/>
                <w:color w:val="auto"/>
                <w:spacing w:val="11"/>
                <w:position w:val="0"/>
                <w:sz w:val="24"/>
                <w:szCs w:val="24"/>
                <w:highlight w:val="none"/>
                <w:u w:val="none"/>
                <w:lang w:val="en-US" w:eastAsia="zh-CN"/>
              </w:rPr>
              <w:t xml:space="preserve">厂内危险废物暂存场所应按照《危险废物贮存污染物控制标准》（GB18597-2023）及修改单的规定设置，具体要求如下： </w:t>
            </w:r>
          </w:p>
          <w:p w14:paraId="59BC41E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default" w:ascii="Times New Roman" w:hAnsi="Times New Roman" w:eastAsia="宋体" w:cs="Times New Roman"/>
                <w:color w:val="auto"/>
                <w:spacing w:val="11"/>
                <w:position w:val="0"/>
                <w:sz w:val="24"/>
                <w:szCs w:val="24"/>
                <w:highlight w:val="none"/>
                <w:u w:val="none"/>
                <w:lang w:val="en-US" w:eastAsia="zh-CN"/>
              </w:rPr>
              <w:t xml:space="preserve">①所有产生的危险废物均应使用符合标准要求的容器盛装，装载危险废物的容器及材质要满足相应的强度要求，且必须完好无损； </w:t>
            </w:r>
          </w:p>
          <w:p w14:paraId="06E7C54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default" w:ascii="Times New Roman" w:hAnsi="Times New Roman" w:eastAsia="宋体" w:cs="Times New Roman"/>
                <w:color w:val="auto"/>
                <w:spacing w:val="11"/>
                <w:position w:val="0"/>
                <w:sz w:val="24"/>
                <w:szCs w:val="24"/>
                <w:highlight w:val="none"/>
                <w:u w:val="none"/>
                <w:lang w:val="en-US" w:eastAsia="zh-CN"/>
              </w:rPr>
              <w:t xml:space="preserve">②禁止将不相容（相互反应）的危险废物在同一容器内混装，装危险废物的容器上必须粘贴符合标准附录A所示的标签； </w:t>
            </w:r>
          </w:p>
          <w:p w14:paraId="6B3E003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default" w:ascii="Times New Roman" w:hAnsi="Times New Roman" w:eastAsia="宋体" w:cs="Times New Roman"/>
                <w:color w:val="auto"/>
                <w:spacing w:val="11"/>
                <w:position w:val="0"/>
                <w:sz w:val="24"/>
                <w:szCs w:val="24"/>
                <w:highlight w:val="none"/>
                <w:u w:val="none"/>
                <w:lang w:val="en-US" w:eastAsia="zh-CN"/>
              </w:rPr>
              <w:t xml:space="preserve">③危险废物贮存间的地面与裙脚要用坚固、防渗的材料建造，建筑材料必须与危险废物相容，应设计堵截泄露的裙脚，地面与裙脚所围建的溶剂不低于堵截最大容器的最大储量或总储量的五分之一，不相容的危险废物必须分开存放，并设有隔离间隔断； </w:t>
            </w:r>
          </w:p>
          <w:p w14:paraId="01FBB91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default" w:ascii="Times New Roman" w:hAnsi="Times New Roman" w:eastAsia="宋体" w:cs="Times New Roman"/>
                <w:color w:val="auto"/>
                <w:spacing w:val="11"/>
                <w:position w:val="0"/>
                <w:sz w:val="24"/>
                <w:szCs w:val="24"/>
                <w:highlight w:val="none"/>
                <w:u w:val="none"/>
                <w:lang w:val="en-US" w:eastAsia="zh-CN"/>
              </w:rPr>
              <w:t xml:space="preserve">④厂内建立危险废物台账管理制度，作好危险废物情况的记录，记录上须注明危险废物的名称、来源、数量、特性和包装容器的类别、入库日期、存放库位、废物出库日期及接受单位名称，危险废物的记录和货单在危险废物回取后应继续保留三年； </w:t>
            </w:r>
          </w:p>
          <w:p w14:paraId="0480D41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default" w:ascii="Times New Roman" w:hAnsi="Times New Roman" w:eastAsia="宋体" w:cs="Times New Roman"/>
                <w:color w:val="auto"/>
                <w:spacing w:val="11"/>
                <w:position w:val="0"/>
                <w:sz w:val="24"/>
                <w:szCs w:val="24"/>
                <w:highlight w:val="none"/>
                <w:u w:val="none"/>
                <w:lang w:val="en-US" w:eastAsia="zh-CN"/>
              </w:rPr>
              <w:t xml:space="preserve">⑤必须定期对贮存的危险废物包装容器及贮存设施进行检查，发现破损，应及时采取措施清理更换； </w:t>
            </w:r>
          </w:p>
          <w:p w14:paraId="0EC7BC3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default" w:ascii="Times New Roman" w:hAnsi="Times New Roman" w:eastAsia="宋体" w:cs="Times New Roman"/>
                <w:color w:val="auto"/>
                <w:spacing w:val="11"/>
                <w:position w:val="0"/>
                <w:sz w:val="24"/>
                <w:szCs w:val="24"/>
                <w:highlight w:val="none"/>
                <w:u w:val="none"/>
                <w:lang w:val="en-US" w:eastAsia="zh-CN"/>
              </w:rPr>
              <w:t>⑥危险废物贮存设施必须按照《环境保护图形标志 固体废物贮存（处置）场》（GB15562.2‐1995）及修改清单的规定设置警示标志。</w:t>
            </w:r>
          </w:p>
          <w:p w14:paraId="0F14DCAE">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hint="default" w:ascii="Times New Roman" w:hAnsi="Times New Roman" w:eastAsia="宋体" w:cs="Times New Roman"/>
                <w:b/>
                <w:bCs/>
                <w:color w:val="auto"/>
                <w:spacing w:val="11"/>
                <w:position w:val="0"/>
                <w:sz w:val="24"/>
                <w:szCs w:val="24"/>
                <w:highlight w:val="none"/>
                <w:u w:val="none"/>
                <w:lang w:val="en-US" w:eastAsia="zh-CN"/>
              </w:rPr>
            </w:pPr>
            <w:r>
              <w:rPr>
                <w:rFonts w:hint="default" w:ascii="Times New Roman" w:hAnsi="Times New Roman" w:eastAsia="宋体" w:cs="Times New Roman"/>
                <w:b/>
                <w:bCs/>
                <w:color w:val="auto"/>
                <w:spacing w:val="11"/>
                <w:position w:val="0"/>
                <w:sz w:val="24"/>
                <w:szCs w:val="24"/>
                <w:highlight w:val="none"/>
                <w:u w:val="none"/>
                <w:lang w:val="en-US" w:eastAsia="zh-CN"/>
              </w:rPr>
              <w:t xml:space="preserve">危险固废相关管理计划： </w:t>
            </w:r>
          </w:p>
          <w:p w14:paraId="4EF2804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default" w:ascii="Times New Roman" w:hAnsi="Times New Roman" w:eastAsia="宋体" w:cs="Times New Roman"/>
                <w:color w:val="auto"/>
                <w:spacing w:val="11"/>
                <w:position w:val="0"/>
                <w:sz w:val="24"/>
                <w:szCs w:val="24"/>
                <w:highlight w:val="none"/>
                <w:u w:val="none"/>
                <w:lang w:val="en-US" w:eastAsia="zh-CN"/>
              </w:rPr>
              <w:t xml:space="preserve">①本项目按照危险废物相关导则、标准、技术规范等要求，严格落实危险废物环境管理与监测制度，专人对项目危险废物收集、贮存、运输、利用、处置各环节全过程进行监管。对列入《国家危险废物名录》附录《危险废物豁免管理清单》中危险废物，在所列的豁免环节，且满足相应的豁免条件，按照豁免内容的规定实行豁免管理。 </w:t>
            </w:r>
          </w:p>
          <w:p w14:paraId="1A171929">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default" w:ascii="Times New Roman" w:hAnsi="Times New Roman" w:eastAsia="宋体" w:cs="Times New Roman"/>
                <w:color w:val="auto"/>
                <w:spacing w:val="11"/>
                <w:position w:val="0"/>
                <w:sz w:val="24"/>
                <w:szCs w:val="24"/>
                <w:highlight w:val="none"/>
                <w:u w:val="none"/>
                <w:lang w:val="en-US" w:eastAsia="zh-CN"/>
              </w:rPr>
              <w:t xml:space="preserve">②企业明确固体废物污染防治的责任主体，建立风险管理及应急救援体系，执行环境监测计划、转移联单管理制度及国家和省有关转移管理的相关规定、处置过程安全操作规程、人员考核制度、档案管理制度、处置全过程管理制度。 </w:t>
            </w:r>
          </w:p>
          <w:p w14:paraId="0AA06AD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lang w:val="en-US" w:eastAsia="zh-CN"/>
              </w:rPr>
              <w:t>从上面的分析可知，本项目各类固废均将得到妥善处置，受委托方采用的处理/处置方法经济技术上可行，最大限度的回收了资源，使有毒有害物质无害化，固体废物的处理/处置率达到了100%，不直接外排，不会对当地卫生环境构成明显的不利影响。</w:t>
            </w:r>
          </w:p>
          <w:p w14:paraId="2802BEC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color="auto"/>
                <w:lang w:val="en-US" w:eastAsia="zh-CN"/>
              </w:rPr>
              <w:t>通过采取上述措施后，本项目固体废物均可得到妥善的处理，对区域环境影响较小。</w:t>
            </w:r>
          </w:p>
          <w:p w14:paraId="76DAEA96">
            <w:pPr>
              <w:keepNext w:val="0"/>
              <w:keepLines w:val="0"/>
              <w:pageBreakBefore w:val="0"/>
              <w:widowControl w:val="0"/>
              <w:kinsoku/>
              <w:wordWrap/>
              <w:overflowPunct/>
              <w:topLinePunct w:val="0"/>
              <w:bidi w:val="0"/>
              <w:adjustRightInd w:val="0"/>
              <w:snapToGrid w:val="0"/>
              <w:spacing w:line="360" w:lineRule="auto"/>
              <w:ind w:left="0" w:leftChars="0" w:right="0" w:firstLine="526" w:firstLineChars="200"/>
              <w:textAlignment w:val="auto"/>
              <w:rPr>
                <w:rFonts w:hint="default" w:ascii="Times New Roman" w:hAnsi="Times New Roman" w:eastAsia="宋体" w:cs="Times New Roman"/>
                <w:b/>
                <w:snapToGrid w:val="0"/>
                <w:color w:val="000000"/>
                <w:spacing w:val="11"/>
                <w:kern w:val="0"/>
                <w:position w:val="0"/>
                <w:sz w:val="24"/>
                <w:szCs w:val="24"/>
                <w:u w:val="none" w:color="auto"/>
              </w:rPr>
            </w:pPr>
            <w:r>
              <w:rPr>
                <w:rFonts w:hint="default" w:ascii="Times New Roman" w:hAnsi="Times New Roman" w:eastAsia="宋体" w:cs="Times New Roman"/>
                <w:b/>
                <w:snapToGrid w:val="0"/>
                <w:color w:val="000000"/>
                <w:spacing w:val="11"/>
                <w:kern w:val="0"/>
                <w:position w:val="0"/>
                <w:sz w:val="24"/>
                <w:szCs w:val="24"/>
                <w:u w:val="none" w:color="auto"/>
                <w:lang w:val="en-US" w:eastAsia="zh-CN"/>
              </w:rPr>
              <w:t>5、</w:t>
            </w:r>
            <w:r>
              <w:rPr>
                <w:rFonts w:hint="default" w:ascii="Times New Roman" w:hAnsi="Times New Roman" w:eastAsia="宋体" w:cs="Times New Roman"/>
                <w:b/>
                <w:snapToGrid w:val="0"/>
                <w:color w:val="000000"/>
                <w:spacing w:val="11"/>
                <w:kern w:val="0"/>
                <w:position w:val="0"/>
                <w:sz w:val="24"/>
                <w:szCs w:val="24"/>
                <w:u w:val="none" w:color="auto"/>
              </w:rPr>
              <w:t>运营期生态环境影响分析</w:t>
            </w:r>
          </w:p>
          <w:p w14:paraId="0D14F243">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auto"/>
                <w:spacing w:val="11"/>
                <w:kern w:val="0"/>
                <w:position w:val="0"/>
                <w:sz w:val="24"/>
                <w:szCs w:val="24"/>
                <w:u w:val="none" w:color="auto"/>
                <w:lang w:val="en-US" w:eastAsia="zh-CN"/>
              </w:rPr>
            </w:pPr>
            <w:r>
              <w:rPr>
                <w:rFonts w:hint="default" w:ascii="Times New Roman" w:hAnsi="Times New Roman" w:eastAsia="宋体" w:cs="Times New Roman"/>
                <w:b w:val="0"/>
                <w:bCs/>
                <w:snapToGrid w:val="0"/>
                <w:color w:val="auto"/>
                <w:spacing w:val="11"/>
                <w:kern w:val="0"/>
                <w:position w:val="0"/>
                <w:sz w:val="24"/>
                <w:szCs w:val="24"/>
                <w:u w:val="none" w:color="auto"/>
                <w:lang w:val="en-US" w:eastAsia="zh-CN"/>
              </w:rPr>
              <w:t>生态环境影响评价是对人类开发建设活动可能导致的生态环境影响进行分析与预测，并提出减少影响或改善生态环境的策略和措施。矿山开发对自然生态系统的影响包括直接影响和间接影响，其中直接影响包括占地引起的植被砍伐和分隔生态环境；间接影响包括边界效应（林地边缘日照增加、风力加大、干燥度增加等）、水土流失和动植物种减少等。</w:t>
            </w:r>
          </w:p>
          <w:p w14:paraId="131BA1D8">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auto"/>
                <w:spacing w:val="11"/>
                <w:kern w:val="0"/>
                <w:position w:val="0"/>
                <w:sz w:val="24"/>
                <w:szCs w:val="24"/>
                <w:u w:val="none" w:color="auto"/>
                <w:lang w:val="en-US" w:eastAsia="zh-CN"/>
              </w:rPr>
            </w:pPr>
            <w:r>
              <w:rPr>
                <w:rFonts w:hint="default" w:ascii="Times New Roman" w:hAnsi="Times New Roman" w:eastAsia="宋体" w:cs="Times New Roman"/>
                <w:b w:val="0"/>
                <w:bCs/>
                <w:snapToGrid w:val="0"/>
                <w:color w:val="auto"/>
                <w:spacing w:val="11"/>
                <w:kern w:val="0"/>
                <w:position w:val="0"/>
                <w:sz w:val="24"/>
                <w:szCs w:val="24"/>
                <w:u w:val="none" w:color="auto"/>
                <w:lang w:val="en-US" w:eastAsia="zh-CN"/>
              </w:rPr>
              <w:t>本矿区地处低山丘陵区。矿区大部分的植被基本完好。矿区未剥离山体地表为表土覆盖，坡顶主要为杂草。区域内未发现受国家保护的珍贵野生动植物，周边无受保护建筑物和生态区，生态环境条件较好。</w:t>
            </w:r>
          </w:p>
          <w:p w14:paraId="28BD0194">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lang w:val="en-US" w:eastAsia="zh-CN"/>
              </w:rPr>
            </w:pPr>
            <w:r>
              <w:rPr>
                <w:rFonts w:hint="default" w:ascii="Times New Roman" w:hAnsi="Times New Roman" w:eastAsia="宋体" w:cs="Times New Roman"/>
                <w:b w:val="0"/>
                <w:bCs/>
                <w:snapToGrid w:val="0"/>
                <w:color w:val="auto"/>
                <w:spacing w:val="11"/>
                <w:kern w:val="0"/>
                <w:position w:val="0"/>
                <w:sz w:val="24"/>
                <w:szCs w:val="24"/>
                <w:u w:val="none" w:color="auto"/>
                <w:lang w:val="en-US" w:eastAsia="zh-CN"/>
              </w:rPr>
              <w:t>矿山建设及矿石开采过程中大量土石方爆破开挖、运输等均会对该区域生态环境产生一定影响，项目拟建地不属于生物多样性保护区域或生态敏感区域，在对开采区采取复垦回填措施后项目对生态环境影响较小。</w:t>
            </w:r>
          </w:p>
          <w:p w14:paraId="00D5421A">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auto"/>
                <w:spacing w:val="11"/>
                <w:kern w:val="0"/>
                <w:position w:val="0"/>
                <w:sz w:val="24"/>
                <w:szCs w:val="24"/>
                <w:u w:val="none" w:color="auto"/>
              </w:rPr>
            </w:pPr>
            <w:r>
              <w:rPr>
                <w:rFonts w:hint="default" w:ascii="Times New Roman" w:hAnsi="Times New Roman" w:eastAsia="宋体" w:cs="Times New Roman"/>
                <w:b w:val="0"/>
                <w:bCs/>
                <w:snapToGrid w:val="0"/>
                <w:color w:val="auto"/>
                <w:spacing w:val="11"/>
                <w:kern w:val="0"/>
                <w:position w:val="0"/>
                <w:sz w:val="24"/>
                <w:szCs w:val="24"/>
                <w:u w:val="none" w:color="auto"/>
                <w:lang w:val="en-US" w:eastAsia="zh-CN"/>
              </w:rPr>
              <w:t>（1）</w:t>
            </w:r>
            <w:r>
              <w:rPr>
                <w:rFonts w:hint="default" w:ascii="Times New Roman" w:hAnsi="Times New Roman" w:eastAsia="宋体" w:cs="Times New Roman"/>
                <w:b w:val="0"/>
                <w:bCs/>
                <w:snapToGrid w:val="0"/>
                <w:color w:val="auto"/>
                <w:spacing w:val="11"/>
                <w:kern w:val="0"/>
                <w:position w:val="0"/>
                <w:sz w:val="24"/>
                <w:szCs w:val="24"/>
                <w:u w:val="none" w:color="auto"/>
              </w:rPr>
              <w:t>土地利用影响分析</w:t>
            </w:r>
          </w:p>
          <w:p w14:paraId="7A09A569">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auto"/>
                <w:spacing w:val="11"/>
                <w:kern w:val="0"/>
                <w:position w:val="0"/>
                <w:sz w:val="24"/>
                <w:szCs w:val="24"/>
                <w:u w:val="none" w:color="auto"/>
              </w:rPr>
            </w:pPr>
            <w:r>
              <w:rPr>
                <w:rFonts w:hint="default" w:ascii="Times New Roman" w:hAnsi="Times New Roman" w:eastAsia="宋体" w:cs="Times New Roman"/>
                <w:b w:val="0"/>
                <w:bCs/>
                <w:snapToGrid w:val="0"/>
                <w:color w:val="auto"/>
                <w:spacing w:val="11"/>
                <w:kern w:val="0"/>
                <w:position w:val="0"/>
                <w:sz w:val="24"/>
                <w:szCs w:val="24"/>
                <w:u w:val="none" w:color="auto"/>
              </w:rPr>
              <w:t>项目占用土地类型</w:t>
            </w:r>
            <w:r>
              <w:rPr>
                <w:rFonts w:hint="default" w:ascii="Times New Roman" w:hAnsi="Times New Roman" w:eastAsia="宋体" w:cs="Times New Roman"/>
                <w:b w:val="0"/>
                <w:bCs/>
                <w:snapToGrid w:val="0"/>
                <w:color w:val="auto"/>
                <w:spacing w:val="11"/>
                <w:kern w:val="0"/>
                <w:position w:val="0"/>
                <w:sz w:val="24"/>
                <w:szCs w:val="24"/>
                <w:u w:val="none" w:color="auto"/>
                <w:lang w:val="en-US" w:eastAsia="zh-CN"/>
              </w:rPr>
              <w:t>主要</w:t>
            </w:r>
            <w:r>
              <w:rPr>
                <w:rFonts w:hint="default" w:ascii="Times New Roman" w:hAnsi="Times New Roman" w:eastAsia="宋体" w:cs="Times New Roman"/>
                <w:b w:val="0"/>
                <w:bCs/>
                <w:snapToGrid w:val="0"/>
                <w:color w:val="auto"/>
                <w:spacing w:val="11"/>
                <w:kern w:val="0"/>
                <w:position w:val="0"/>
                <w:sz w:val="24"/>
                <w:szCs w:val="24"/>
                <w:u w:val="none" w:color="auto"/>
              </w:rPr>
              <w:t>为林地。本项目对生态环境的影响主要体现在项目实施对土石环境的破坏较重，造成地形地貌改变、植被损毁，动物迁移，</w:t>
            </w:r>
            <w:r>
              <w:rPr>
                <w:rFonts w:hint="default" w:ascii="Times New Roman" w:hAnsi="Times New Roman" w:eastAsia="宋体" w:cs="Times New Roman"/>
                <w:b w:val="0"/>
                <w:bCs/>
                <w:snapToGrid w:val="0"/>
                <w:color w:val="auto"/>
                <w:spacing w:val="11"/>
                <w:kern w:val="0"/>
                <w:position w:val="0"/>
                <w:sz w:val="24"/>
                <w:szCs w:val="24"/>
                <w:u w:val="none" w:color="auto"/>
                <w:lang w:val="en-GB"/>
              </w:rPr>
              <w:t>水土流失、区域景观影响等。</w:t>
            </w:r>
          </w:p>
          <w:p w14:paraId="46EB3BF3">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auto"/>
                <w:spacing w:val="11"/>
                <w:kern w:val="0"/>
                <w:position w:val="0"/>
                <w:sz w:val="24"/>
                <w:szCs w:val="24"/>
                <w:u w:val="none" w:color="auto"/>
              </w:rPr>
            </w:pPr>
            <w:r>
              <w:rPr>
                <w:rFonts w:hint="default" w:ascii="Times New Roman" w:hAnsi="Times New Roman" w:eastAsia="宋体" w:cs="Times New Roman"/>
                <w:b w:val="0"/>
                <w:bCs/>
                <w:snapToGrid w:val="0"/>
                <w:color w:val="auto"/>
                <w:spacing w:val="11"/>
                <w:kern w:val="0"/>
                <w:position w:val="0"/>
                <w:sz w:val="24"/>
                <w:szCs w:val="24"/>
                <w:u w:val="none" w:color="auto"/>
              </w:rPr>
              <w:t>根据项目总体布局，结合项目区土地利用现状统计分析，项目占地面积为</w:t>
            </w:r>
            <w:r>
              <w:rPr>
                <w:rFonts w:hint="default" w:ascii="Times New Roman" w:hAnsi="Times New Roman" w:eastAsia="宋体" w:cs="Times New Roman"/>
                <w:b w:val="0"/>
                <w:bCs/>
                <w:snapToGrid w:val="0"/>
                <w:color w:val="auto"/>
                <w:spacing w:val="11"/>
                <w:kern w:val="0"/>
                <w:position w:val="0"/>
                <w:sz w:val="24"/>
                <w:szCs w:val="24"/>
                <w:u w:val="none" w:color="auto"/>
                <w:lang w:val="en-US" w:eastAsia="zh-CN"/>
              </w:rPr>
              <w:t>63300</w:t>
            </w:r>
            <w:r>
              <w:rPr>
                <w:rFonts w:hint="default" w:ascii="Times New Roman" w:hAnsi="Times New Roman" w:eastAsia="宋体" w:cs="Times New Roman"/>
                <w:b w:val="0"/>
                <w:bCs/>
                <w:snapToGrid w:val="0"/>
                <w:color w:val="auto"/>
                <w:spacing w:val="11"/>
                <w:kern w:val="0"/>
                <w:position w:val="0"/>
                <w:sz w:val="24"/>
                <w:szCs w:val="24"/>
                <w:u w:val="none" w:color="auto"/>
              </w:rPr>
              <w:t>m²，整个项目的扰动主要集中于开采区、运输道路等，且改变了项目的用地性质。采矿结束后，项目将对临时占用场地进行土地整治、植被恢复或复林，以最大限度的恢复土地功能。</w:t>
            </w:r>
          </w:p>
          <w:p w14:paraId="5CAAAA70">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auto"/>
                <w:spacing w:val="11"/>
                <w:kern w:val="0"/>
                <w:position w:val="0"/>
                <w:sz w:val="24"/>
                <w:szCs w:val="24"/>
                <w:u w:val="none" w:color="auto"/>
              </w:rPr>
            </w:pPr>
            <w:r>
              <w:rPr>
                <w:rFonts w:hint="default" w:ascii="Times New Roman" w:hAnsi="Times New Roman" w:eastAsia="宋体" w:cs="Times New Roman"/>
                <w:b w:val="0"/>
                <w:bCs/>
                <w:snapToGrid w:val="0"/>
                <w:color w:val="auto"/>
                <w:spacing w:val="11"/>
                <w:kern w:val="0"/>
                <w:position w:val="0"/>
                <w:sz w:val="24"/>
                <w:szCs w:val="24"/>
                <w:u w:val="none" w:color="auto"/>
                <w:lang w:val="en-US" w:eastAsia="zh-CN"/>
              </w:rPr>
              <w:t>本</w:t>
            </w:r>
            <w:r>
              <w:rPr>
                <w:rFonts w:hint="default" w:ascii="Times New Roman" w:hAnsi="Times New Roman" w:eastAsia="宋体" w:cs="Times New Roman"/>
                <w:b w:val="0"/>
                <w:bCs/>
                <w:snapToGrid w:val="0"/>
                <w:color w:val="auto"/>
                <w:spacing w:val="11"/>
                <w:kern w:val="0"/>
                <w:position w:val="0"/>
                <w:sz w:val="24"/>
                <w:szCs w:val="24"/>
                <w:u w:val="none" w:color="auto"/>
              </w:rPr>
              <w:t>项目采矿权符合矿产资源规划，项目采矿权不涉及自然保护区、国家公园、世界自然遗产地、风景名胜区、森林公园、水资源保护区、地质公园、地质遗迹、永久基本农田保护区、建设项目压覆区、矿产资源规划禁止区、生态红线保护范围等重要地区范围，</w:t>
            </w:r>
            <w:r>
              <w:rPr>
                <w:rFonts w:hint="default" w:ascii="Times New Roman" w:hAnsi="Times New Roman" w:eastAsia="宋体" w:cs="Times New Roman"/>
                <w:b w:val="0"/>
                <w:bCs/>
                <w:snapToGrid w:val="0"/>
                <w:color w:val="auto"/>
                <w:spacing w:val="11"/>
                <w:kern w:val="0"/>
                <w:position w:val="0"/>
                <w:sz w:val="24"/>
                <w:szCs w:val="24"/>
                <w:u w:val="none" w:color="auto"/>
                <w:lang w:val="en-US" w:eastAsia="zh-CN"/>
              </w:rPr>
              <w:t>本项目</w:t>
            </w:r>
            <w:r>
              <w:rPr>
                <w:rFonts w:hint="default" w:ascii="Times New Roman" w:hAnsi="Times New Roman" w:eastAsia="宋体" w:cs="Times New Roman"/>
                <w:b w:val="0"/>
                <w:bCs/>
                <w:snapToGrid w:val="0"/>
                <w:color w:val="auto"/>
                <w:spacing w:val="11"/>
                <w:kern w:val="0"/>
                <w:position w:val="0"/>
                <w:sz w:val="24"/>
                <w:szCs w:val="24"/>
                <w:u w:val="none" w:color="auto"/>
              </w:rPr>
              <w:t>不在生态保护红线范围，不涉及基本农田保护区。</w:t>
            </w:r>
          </w:p>
          <w:p w14:paraId="295D513E">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auto"/>
                <w:spacing w:val="11"/>
                <w:kern w:val="0"/>
                <w:position w:val="0"/>
                <w:sz w:val="24"/>
                <w:szCs w:val="24"/>
                <w:u w:val="none" w:color="auto"/>
              </w:rPr>
            </w:pPr>
            <w:r>
              <w:rPr>
                <w:rFonts w:hint="default" w:ascii="Times New Roman" w:hAnsi="Times New Roman" w:eastAsia="宋体" w:cs="Times New Roman"/>
                <w:b w:val="0"/>
                <w:bCs/>
                <w:snapToGrid w:val="0"/>
                <w:color w:val="auto"/>
                <w:spacing w:val="11"/>
                <w:kern w:val="0"/>
                <w:position w:val="0"/>
                <w:sz w:val="24"/>
                <w:szCs w:val="24"/>
                <w:u w:val="none" w:color="auto"/>
                <w:lang w:val="en-US" w:eastAsia="zh-CN"/>
              </w:rPr>
              <w:t>（2）</w:t>
            </w:r>
            <w:r>
              <w:rPr>
                <w:rFonts w:hint="default" w:ascii="Times New Roman" w:hAnsi="Times New Roman" w:eastAsia="宋体" w:cs="Times New Roman"/>
                <w:b w:val="0"/>
                <w:bCs/>
                <w:snapToGrid w:val="0"/>
                <w:color w:val="auto"/>
                <w:spacing w:val="11"/>
                <w:kern w:val="0"/>
                <w:position w:val="0"/>
                <w:sz w:val="24"/>
                <w:szCs w:val="24"/>
                <w:u w:val="none" w:color="auto"/>
              </w:rPr>
              <w:t>对植物的影响</w:t>
            </w:r>
          </w:p>
          <w:p w14:paraId="057001AA">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auto"/>
                <w:spacing w:val="11"/>
                <w:kern w:val="0"/>
                <w:position w:val="0"/>
                <w:sz w:val="24"/>
                <w:szCs w:val="24"/>
                <w:u w:val="none" w:color="auto"/>
              </w:rPr>
            </w:pPr>
            <w:r>
              <w:rPr>
                <w:rFonts w:hint="default" w:ascii="Times New Roman" w:hAnsi="Times New Roman" w:eastAsia="宋体" w:cs="Times New Roman"/>
                <w:b w:val="0"/>
                <w:bCs/>
                <w:snapToGrid w:val="0"/>
                <w:color w:val="auto"/>
                <w:spacing w:val="11"/>
                <w:kern w:val="0"/>
                <w:position w:val="0"/>
                <w:sz w:val="24"/>
                <w:szCs w:val="24"/>
                <w:u w:val="none" w:color="auto"/>
              </w:rPr>
              <w:t>项目开采平台及运输道路等的建设会使大面积的水土保持设施遭到破坏，林草覆盖度降低，影响局域生态环境。</w:t>
            </w:r>
          </w:p>
          <w:p w14:paraId="55AEC639">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auto"/>
                <w:spacing w:val="11"/>
                <w:kern w:val="0"/>
                <w:position w:val="0"/>
                <w:sz w:val="24"/>
                <w:szCs w:val="24"/>
                <w:u w:val="none" w:color="auto"/>
              </w:rPr>
            </w:pPr>
            <w:r>
              <w:rPr>
                <w:rFonts w:hint="default" w:ascii="Times New Roman" w:hAnsi="Times New Roman" w:eastAsia="宋体" w:cs="Times New Roman"/>
                <w:b w:val="0"/>
                <w:bCs/>
                <w:snapToGrid w:val="0"/>
                <w:color w:val="auto"/>
                <w:spacing w:val="11"/>
                <w:kern w:val="0"/>
                <w:position w:val="0"/>
                <w:sz w:val="24"/>
                <w:szCs w:val="24"/>
                <w:u w:val="none" w:color="auto"/>
              </w:rPr>
              <w:t>项目开采过程中会因表土剥离使部分植被完全被铲除，进而易造成地表裸露，对原生的地形地貌景观产生影响。建设时需临时占用林地，清理一定面积的地表植被，此外，人为踩踏也会对地表植被造成直接影响，此类人为活动产生的最直接影响为导致生物量的毁损，间接影响是导致整体生产力的少量降低。</w:t>
            </w:r>
          </w:p>
          <w:p w14:paraId="0C96A5C5">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auto"/>
                <w:spacing w:val="11"/>
                <w:kern w:val="0"/>
                <w:position w:val="0"/>
                <w:sz w:val="24"/>
                <w:szCs w:val="24"/>
                <w:u w:val="none" w:color="auto"/>
              </w:rPr>
            </w:pPr>
            <w:r>
              <w:rPr>
                <w:rFonts w:hint="default" w:ascii="Times New Roman" w:hAnsi="Times New Roman" w:eastAsia="宋体" w:cs="Times New Roman"/>
                <w:b w:val="0"/>
                <w:bCs/>
                <w:snapToGrid w:val="0"/>
                <w:color w:val="auto"/>
                <w:spacing w:val="11"/>
                <w:kern w:val="0"/>
                <w:position w:val="0"/>
                <w:sz w:val="24"/>
                <w:szCs w:val="24"/>
                <w:u w:val="none" w:color="auto"/>
              </w:rPr>
              <w:t>项目对植被影响主要集中于开采区及运输道路，开采区及运输道路面积为</w:t>
            </w:r>
            <w:r>
              <w:rPr>
                <w:rFonts w:hint="default" w:ascii="Times New Roman" w:hAnsi="Times New Roman" w:eastAsia="宋体" w:cs="Times New Roman"/>
                <w:b w:val="0"/>
                <w:bCs/>
                <w:snapToGrid w:val="0"/>
                <w:color w:val="auto"/>
                <w:spacing w:val="11"/>
                <w:kern w:val="0"/>
                <w:position w:val="0"/>
                <w:sz w:val="24"/>
                <w:szCs w:val="24"/>
                <w:u w:val="none" w:color="auto"/>
                <w:lang w:val="en-US" w:eastAsia="zh-CN"/>
              </w:rPr>
              <w:t>63300</w:t>
            </w:r>
            <w:r>
              <w:rPr>
                <w:rFonts w:hint="default" w:ascii="Times New Roman" w:hAnsi="Times New Roman" w:eastAsia="宋体" w:cs="Times New Roman"/>
                <w:b w:val="0"/>
                <w:bCs/>
                <w:snapToGrid w:val="0"/>
                <w:color w:val="auto"/>
                <w:spacing w:val="11"/>
                <w:kern w:val="0"/>
                <w:position w:val="0"/>
                <w:sz w:val="24"/>
                <w:szCs w:val="24"/>
                <w:u w:val="none" w:color="auto"/>
              </w:rPr>
              <w:t>m</w:t>
            </w:r>
            <w:r>
              <w:rPr>
                <w:rFonts w:hint="default" w:ascii="Times New Roman" w:hAnsi="Times New Roman" w:eastAsia="宋体" w:cs="Times New Roman"/>
                <w:b w:val="0"/>
                <w:bCs/>
                <w:snapToGrid w:val="0"/>
                <w:color w:val="auto"/>
                <w:spacing w:val="11"/>
                <w:kern w:val="0"/>
                <w:position w:val="0"/>
                <w:sz w:val="24"/>
                <w:szCs w:val="24"/>
                <w:u w:val="none" w:color="auto"/>
                <w:vertAlign w:val="superscript"/>
              </w:rPr>
              <w:t>2</w:t>
            </w:r>
            <w:r>
              <w:rPr>
                <w:rFonts w:hint="default" w:ascii="Times New Roman" w:hAnsi="Times New Roman" w:eastAsia="宋体" w:cs="Times New Roman"/>
                <w:b w:val="0"/>
                <w:bCs/>
                <w:snapToGrid w:val="0"/>
                <w:color w:val="auto"/>
                <w:spacing w:val="11"/>
                <w:kern w:val="0"/>
                <w:position w:val="0"/>
                <w:sz w:val="24"/>
                <w:szCs w:val="24"/>
                <w:u w:val="none" w:color="auto"/>
              </w:rPr>
              <w:t>，占用植被类型主要为灌木草丛、暖温性针叶林，植被结构简单，物种组成单一，自然植被生长情况良好；评价区周边还有较多同类植被类型分布，工程建设对植被造成的影响十分有限；生态环境质量现状调查范围内目前未发现国家重点保护野生植物，也未发现省级重点保护野生植物分布，也未见珍稀、濒危植物、名木古树及其他需要特殊保护的狭域种及特有树种分布，因此，项目开采工作不会导致珍稀物种灭绝问题，亦不会造成当地常见树种出现基因交流阻隔，不会打断种子生产和种子库更新等过程。</w:t>
            </w:r>
          </w:p>
          <w:p w14:paraId="3FBE70EC">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auto"/>
                <w:spacing w:val="11"/>
                <w:kern w:val="0"/>
                <w:position w:val="0"/>
                <w:sz w:val="24"/>
                <w:szCs w:val="24"/>
                <w:u w:val="none" w:color="auto"/>
              </w:rPr>
            </w:pPr>
            <w:r>
              <w:rPr>
                <w:rFonts w:hint="default" w:ascii="Times New Roman" w:hAnsi="Times New Roman" w:eastAsia="宋体" w:cs="Times New Roman"/>
                <w:b w:val="0"/>
                <w:bCs/>
                <w:snapToGrid w:val="0"/>
                <w:color w:val="auto"/>
                <w:spacing w:val="11"/>
                <w:kern w:val="0"/>
                <w:position w:val="0"/>
                <w:sz w:val="24"/>
                <w:szCs w:val="24"/>
                <w:u w:val="none" w:color="auto"/>
              </w:rPr>
              <w:t>矿区采剥会使地表裸露，由此诱发的滑坡、泥石流等，滑坡使基岩裸露、植被破坏，泥石流的发生则会冲毁或掩埋沿途植被，物种的多样性和植被覆盖度及植物群落生产力逐渐下降。但矿山开采对植被的影响仅限于矿区范围内，对周边其他区域内的植被不会造成破坏，且在矿山关闭之后，随着矿山生态恢复计划的实施，开采区将进行复垦及生态建设工作，矿区内因工程遭受破坏的植被将逐渐得以恢复。</w:t>
            </w:r>
          </w:p>
          <w:p w14:paraId="4BEE12A2">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auto"/>
                <w:spacing w:val="11"/>
                <w:kern w:val="0"/>
                <w:position w:val="0"/>
                <w:sz w:val="24"/>
                <w:szCs w:val="24"/>
                <w:u w:val="none" w:color="auto"/>
              </w:rPr>
            </w:pPr>
            <w:r>
              <w:rPr>
                <w:rFonts w:hint="default" w:ascii="Times New Roman" w:hAnsi="Times New Roman" w:eastAsia="宋体" w:cs="Times New Roman"/>
                <w:b w:val="0"/>
                <w:bCs/>
                <w:snapToGrid w:val="0"/>
                <w:color w:val="auto"/>
                <w:spacing w:val="11"/>
                <w:kern w:val="0"/>
                <w:position w:val="0"/>
                <w:sz w:val="24"/>
                <w:szCs w:val="24"/>
                <w:u w:val="none" w:color="auto"/>
              </w:rPr>
              <w:t>本评价要求建设单位在开采工作过程中，加强生态环境保护，最大限度地控制对地表植被的清理破坏面积；若开采过程中发现保护植物，应立即上报给相关部门，由相关部门组织对其采取保护措施，不得实施破坏行为；开采工作结束后，采取积极有效的生态环境保护措施，进行生态恢复，减少对地表植被的影响。</w:t>
            </w:r>
          </w:p>
          <w:p w14:paraId="1D159E36">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auto"/>
                <w:spacing w:val="11"/>
                <w:kern w:val="0"/>
                <w:position w:val="0"/>
                <w:sz w:val="24"/>
                <w:szCs w:val="24"/>
                <w:u w:val="none" w:color="auto"/>
              </w:rPr>
            </w:pPr>
            <w:r>
              <w:rPr>
                <w:rFonts w:hint="default" w:ascii="Times New Roman" w:hAnsi="Times New Roman" w:eastAsia="宋体" w:cs="Times New Roman"/>
                <w:b w:val="0"/>
                <w:bCs/>
                <w:snapToGrid w:val="0"/>
                <w:color w:val="auto"/>
                <w:spacing w:val="11"/>
                <w:kern w:val="0"/>
                <w:position w:val="0"/>
                <w:sz w:val="24"/>
                <w:szCs w:val="24"/>
                <w:u w:val="none" w:color="auto"/>
                <w:lang w:eastAsia="zh-CN"/>
              </w:rPr>
              <w:t>（</w:t>
            </w:r>
            <w:r>
              <w:rPr>
                <w:rFonts w:hint="default" w:ascii="Times New Roman" w:hAnsi="Times New Roman" w:eastAsia="宋体" w:cs="Times New Roman"/>
                <w:b w:val="0"/>
                <w:bCs/>
                <w:snapToGrid w:val="0"/>
                <w:color w:val="auto"/>
                <w:spacing w:val="11"/>
                <w:kern w:val="0"/>
                <w:position w:val="0"/>
                <w:sz w:val="24"/>
                <w:szCs w:val="24"/>
                <w:u w:val="none" w:color="auto"/>
              </w:rPr>
              <w:t>3</w:t>
            </w:r>
            <w:r>
              <w:rPr>
                <w:rFonts w:hint="default" w:ascii="Times New Roman" w:hAnsi="Times New Roman" w:eastAsia="宋体" w:cs="Times New Roman"/>
                <w:b w:val="0"/>
                <w:bCs/>
                <w:snapToGrid w:val="0"/>
                <w:color w:val="auto"/>
                <w:spacing w:val="11"/>
                <w:kern w:val="0"/>
                <w:position w:val="0"/>
                <w:sz w:val="24"/>
                <w:szCs w:val="24"/>
                <w:u w:val="none" w:color="auto"/>
                <w:lang w:eastAsia="zh-CN"/>
              </w:rPr>
              <w:t>）</w:t>
            </w:r>
            <w:r>
              <w:rPr>
                <w:rFonts w:hint="default" w:ascii="Times New Roman" w:hAnsi="Times New Roman" w:eastAsia="宋体" w:cs="Times New Roman"/>
                <w:b w:val="0"/>
                <w:bCs/>
                <w:snapToGrid w:val="0"/>
                <w:color w:val="auto"/>
                <w:spacing w:val="11"/>
                <w:kern w:val="0"/>
                <w:position w:val="0"/>
                <w:sz w:val="24"/>
                <w:szCs w:val="24"/>
                <w:u w:val="none" w:color="auto"/>
              </w:rPr>
              <w:t>对动物的影响</w:t>
            </w:r>
          </w:p>
          <w:p w14:paraId="0935E0F7">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auto"/>
                <w:spacing w:val="11"/>
                <w:kern w:val="0"/>
                <w:position w:val="0"/>
                <w:sz w:val="24"/>
                <w:szCs w:val="24"/>
                <w:u w:val="none" w:color="auto"/>
              </w:rPr>
            </w:pPr>
            <w:r>
              <w:rPr>
                <w:rFonts w:hint="default" w:ascii="Times New Roman" w:hAnsi="Times New Roman" w:eastAsia="宋体" w:cs="Times New Roman"/>
                <w:b w:val="0"/>
                <w:bCs/>
                <w:snapToGrid w:val="0"/>
                <w:color w:val="auto"/>
                <w:spacing w:val="11"/>
                <w:kern w:val="0"/>
                <w:position w:val="0"/>
                <w:sz w:val="24"/>
                <w:szCs w:val="24"/>
                <w:u w:val="none" w:color="auto"/>
                <w:lang w:val="en-US" w:eastAsia="zh-CN"/>
              </w:rPr>
              <w:t xml:space="preserve">本项目由于历史的采矿活动导致区域内的动物资源较为单一，对于本工程矿区来说，动物资源主要为蛇类、田鼠、青蛙、壁虎、山雀、八哥、黄鼠狼等常见物种，未见珍稀动植物。因此，本工程的建设，虽然破坏这些物种的生存条件，导致这些物种的迁移或数量减少，但影响面积和数量有限，且工程服务期满后通过生态治理，植物资源将得到部分恢复，目前存在的常见动物也将重新得到生存空间。 </w:t>
            </w:r>
          </w:p>
          <w:p w14:paraId="70934F4D">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auto"/>
                <w:spacing w:val="11"/>
                <w:kern w:val="0"/>
                <w:position w:val="0"/>
                <w:sz w:val="24"/>
                <w:szCs w:val="24"/>
                <w:u w:val="none" w:color="auto"/>
              </w:rPr>
            </w:pPr>
            <w:r>
              <w:rPr>
                <w:rFonts w:hint="default" w:ascii="Times New Roman" w:hAnsi="Times New Roman" w:eastAsia="宋体" w:cs="Times New Roman"/>
                <w:b w:val="0"/>
                <w:bCs/>
                <w:snapToGrid w:val="0"/>
                <w:color w:val="auto"/>
                <w:spacing w:val="11"/>
                <w:kern w:val="0"/>
                <w:position w:val="0"/>
                <w:sz w:val="24"/>
                <w:szCs w:val="24"/>
                <w:u w:val="none" w:color="auto"/>
              </w:rPr>
              <w:t>工程运营期间，工程占地使荒山灌丛类动物生境缩小。运营期间各种机械作业和人为活动惊扰开采区的野生动物，会对它们的觅食与正常活动产生一定影响，尤其是钻机噪声将对鸟类产生惊吓，对繁殖期的鸟类来说噪声影响更加明显，可造成鸟类的显著不安，甚至弃巢放弃繁殖。鸟类繁殖期进行机械施工还会破坏鸟巢及鸟卵，造成鸟类的繁殖失败；施工人员的日常生活及工作会对当地的鸟类产生一定的干扰，妨碍鸟类取食、繁殖等日常活动的进行。</w:t>
            </w:r>
          </w:p>
          <w:p w14:paraId="1087DC29">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auto"/>
                <w:spacing w:val="11"/>
                <w:kern w:val="0"/>
                <w:position w:val="0"/>
                <w:sz w:val="24"/>
                <w:szCs w:val="24"/>
                <w:u w:val="none" w:color="auto"/>
                <w:lang w:val="en-US" w:eastAsia="zh-CN"/>
              </w:rPr>
            </w:pPr>
            <w:r>
              <w:rPr>
                <w:rFonts w:hint="default" w:ascii="Times New Roman" w:hAnsi="Times New Roman" w:eastAsia="宋体" w:cs="Times New Roman"/>
                <w:b w:val="0"/>
                <w:bCs/>
                <w:snapToGrid w:val="0"/>
                <w:color w:val="auto"/>
                <w:spacing w:val="11"/>
                <w:kern w:val="0"/>
                <w:position w:val="0"/>
                <w:sz w:val="24"/>
                <w:szCs w:val="24"/>
                <w:u w:val="none" w:color="auto"/>
                <w:lang w:val="en-US" w:eastAsia="zh-CN"/>
              </w:rPr>
              <w:t>由于人类活动的增加会影响野生动植物的栖息地和生活条件，弱度影响动物的活动与觅食，干扰野生动物栖息环境与迁徙路线。周边无珍稀濒危野生动物的栖息地，因此，项目建设基本上不会影响野生动物的活动与觅食，干扰野生动物栖息环境与迁徙路线，而建筑周边的动物（如老鼠等）可以在附近找到新的生存地点，不会对其栖息和繁殖产生长久的影响。</w:t>
            </w:r>
          </w:p>
          <w:p w14:paraId="41C7FF0E">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auto"/>
                <w:spacing w:val="11"/>
                <w:position w:val="0"/>
                <w:sz w:val="24"/>
                <w:szCs w:val="24"/>
                <w:highlight w:val="none"/>
                <w:u w:val="none" w:color="auto"/>
              </w:rPr>
            </w:pPr>
            <w:r>
              <w:rPr>
                <w:rFonts w:hint="default" w:ascii="Times New Roman" w:hAnsi="Times New Roman" w:cs="Times New Roman"/>
                <w:color w:val="auto"/>
                <w:spacing w:val="11"/>
                <w:kern w:val="0"/>
                <w:position w:val="0"/>
                <w:sz w:val="24"/>
                <w:szCs w:val="24"/>
                <w:highlight w:val="none"/>
                <w:u w:val="none" w:color="auto"/>
                <w:lang w:eastAsia="zh-CN"/>
              </w:rPr>
              <w:t>（</w:t>
            </w:r>
            <w:r>
              <w:rPr>
                <w:rFonts w:hint="default" w:ascii="Times New Roman" w:hAnsi="Times New Roman" w:cs="Times New Roman"/>
                <w:color w:val="auto"/>
                <w:spacing w:val="11"/>
                <w:kern w:val="0"/>
                <w:position w:val="0"/>
                <w:sz w:val="24"/>
                <w:szCs w:val="24"/>
                <w:highlight w:val="none"/>
                <w:u w:val="none" w:color="auto"/>
                <w:lang w:val="en-US" w:eastAsia="zh-CN"/>
              </w:rPr>
              <w:t>4</w:t>
            </w:r>
            <w:r>
              <w:rPr>
                <w:rFonts w:hint="default" w:ascii="Times New Roman" w:hAnsi="Times New Roman" w:cs="Times New Roman"/>
                <w:color w:val="auto"/>
                <w:spacing w:val="11"/>
                <w:kern w:val="0"/>
                <w:position w:val="0"/>
                <w:sz w:val="24"/>
                <w:szCs w:val="24"/>
                <w:highlight w:val="none"/>
                <w:u w:val="none" w:color="auto"/>
                <w:lang w:eastAsia="zh-CN"/>
              </w:rPr>
              <w:t>）</w:t>
            </w:r>
            <w:r>
              <w:rPr>
                <w:rFonts w:hint="default" w:ascii="Times New Roman" w:hAnsi="Times New Roman" w:eastAsia="宋体" w:cs="Times New Roman"/>
                <w:color w:val="auto"/>
                <w:spacing w:val="11"/>
                <w:position w:val="0"/>
                <w:sz w:val="24"/>
                <w:szCs w:val="24"/>
                <w:highlight w:val="none"/>
                <w:u w:val="none" w:color="auto"/>
              </w:rPr>
              <w:t>水土流失</w:t>
            </w:r>
          </w:p>
          <w:p w14:paraId="45359D25">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auto"/>
                <w:spacing w:val="11"/>
                <w:position w:val="0"/>
                <w:sz w:val="24"/>
                <w:szCs w:val="24"/>
                <w:u w:val="none" w:color="auto"/>
              </w:rPr>
            </w:pPr>
            <w:r>
              <w:rPr>
                <w:rFonts w:hint="default" w:ascii="Times New Roman" w:hAnsi="Times New Roman" w:eastAsia="宋体" w:cs="Times New Roman"/>
                <w:color w:val="auto"/>
                <w:spacing w:val="11"/>
                <w:position w:val="0"/>
                <w:sz w:val="24"/>
                <w:szCs w:val="24"/>
                <w:u w:val="none" w:color="auto"/>
              </w:rPr>
              <w:t>开采期是水土流失防治的重点时段，</w:t>
            </w:r>
            <w:r>
              <w:rPr>
                <w:rFonts w:hint="default" w:ascii="Times New Roman" w:hAnsi="Times New Roman" w:eastAsia="宋体" w:cs="Times New Roman"/>
                <w:color w:val="auto"/>
                <w:spacing w:val="11"/>
                <w:position w:val="0"/>
                <w:sz w:val="24"/>
                <w:szCs w:val="24"/>
                <w:u w:val="none" w:color="auto"/>
                <w:lang w:val="en-US" w:eastAsia="zh-CN"/>
              </w:rPr>
              <w:t>露天开采区</w:t>
            </w:r>
            <w:r>
              <w:rPr>
                <w:rFonts w:hint="default" w:ascii="Times New Roman" w:hAnsi="Times New Roman" w:eastAsia="宋体" w:cs="Times New Roman"/>
                <w:color w:val="auto"/>
                <w:spacing w:val="11"/>
                <w:position w:val="0"/>
                <w:sz w:val="24"/>
                <w:szCs w:val="24"/>
                <w:u w:val="none" w:color="auto"/>
              </w:rPr>
              <w:t>、</w:t>
            </w:r>
            <w:r>
              <w:rPr>
                <w:rFonts w:hint="default" w:ascii="Times New Roman" w:hAnsi="Times New Roman" w:eastAsia="宋体" w:cs="Times New Roman"/>
                <w:color w:val="auto"/>
                <w:spacing w:val="11"/>
                <w:position w:val="0"/>
                <w:sz w:val="24"/>
                <w:szCs w:val="24"/>
                <w:u w:val="none" w:color="auto"/>
                <w:lang w:val="en-US" w:eastAsia="zh-CN"/>
              </w:rPr>
              <w:t>运输道路区、生产加工区</w:t>
            </w:r>
            <w:r>
              <w:rPr>
                <w:rFonts w:hint="default" w:ascii="Times New Roman" w:hAnsi="Times New Roman" w:eastAsia="宋体" w:cs="Times New Roman"/>
                <w:color w:val="auto"/>
                <w:spacing w:val="11"/>
                <w:position w:val="0"/>
                <w:sz w:val="24"/>
                <w:szCs w:val="24"/>
                <w:u w:val="none" w:color="auto"/>
              </w:rPr>
              <w:t>是产生水土流失的重点区域，也是水土流失防治和监测的重点区域。另外，在工程营运期需对这些区域进行水土保持监测和巡查，及时发现工程造成的水土流失现象及其防治过程中存在的问题，并加以解决和处理。因此上述重点区域在建设和生产过程中必须及时采取防护措施，施工后期及时实施植被恢复措施，保护生态环境，确保水土流失量控制到最低限度。</w:t>
            </w:r>
          </w:p>
          <w:p w14:paraId="4BEC2BA1">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auto"/>
                <w:spacing w:val="11"/>
                <w:position w:val="0"/>
                <w:sz w:val="24"/>
                <w:szCs w:val="24"/>
                <w:u w:val="none" w:color="auto"/>
              </w:rPr>
            </w:pPr>
            <w:r>
              <w:rPr>
                <w:rFonts w:hint="default" w:ascii="Times New Roman" w:hAnsi="Times New Roman" w:eastAsia="宋体" w:cs="Times New Roman"/>
                <w:color w:val="auto"/>
                <w:spacing w:val="11"/>
                <w:position w:val="0"/>
                <w:sz w:val="24"/>
                <w:szCs w:val="24"/>
                <w:u w:val="none" w:color="auto"/>
              </w:rPr>
              <w:t>本矿山开采所带来的经济效益是显著的，但是开采过程中所造成的水土流失也是不容忽视的。目前，项目所在地的水土流失现状为轻度流失。本工程施工期间山体开挖等施工活动，严重破坏原地貌、土壤植被，导致土壤结构破坏，降低表层土壤的抗侵蚀性，造成一定的水土流失。结合矿区地形、地质、土壤、植被以及施工方式、开采方式等特点，本工程可能造成水土流失危害主要表现在以下几方面：</w:t>
            </w:r>
          </w:p>
          <w:p w14:paraId="673A6787">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auto"/>
                <w:spacing w:val="11"/>
                <w:position w:val="0"/>
                <w:sz w:val="24"/>
                <w:szCs w:val="24"/>
                <w:u w:val="none" w:color="auto"/>
              </w:rPr>
            </w:pPr>
            <w:r>
              <w:rPr>
                <w:rFonts w:hint="default" w:ascii="Times New Roman" w:hAnsi="Times New Roman" w:eastAsia="宋体" w:cs="Times New Roman"/>
                <w:color w:val="auto"/>
                <w:spacing w:val="11"/>
                <w:position w:val="0"/>
                <w:sz w:val="24"/>
                <w:szCs w:val="24"/>
                <w:u w:val="none" w:color="auto"/>
              </w:rPr>
              <w:t>A、占用破坏土地资源</w:t>
            </w:r>
          </w:p>
          <w:p w14:paraId="3EAEE912">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auto"/>
                <w:spacing w:val="11"/>
                <w:position w:val="0"/>
                <w:sz w:val="24"/>
                <w:szCs w:val="24"/>
                <w:u w:val="none" w:color="auto"/>
              </w:rPr>
            </w:pPr>
            <w:r>
              <w:rPr>
                <w:rFonts w:hint="default" w:ascii="Times New Roman" w:hAnsi="Times New Roman" w:eastAsia="宋体" w:cs="Times New Roman"/>
                <w:color w:val="auto"/>
                <w:spacing w:val="11"/>
                <w:position w:val="0"/>
                <w:sz w:val="24"/>
                <w:szCs w:val="24"/>
                <w:u w:val="none" w:color="auto"/>
              </w:rPr>
              <w:t>项目建设区域占用的土地以灌木丛为主，开采过程中将破坏区域内的植被和土地资源，露天开采区开挖量较大，破坏了原地貌，增大了裸露面积。故项目结束之后需在各标高平台及底部进行复土、适当种植一些灌木和攀爬植物以恢复植被。</w:t>
            </w:r>
          </w:p>
          <w:p w14:paraId="5942C4FB">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auto"/>
                <w:spacing w:val="11"/>
                <w:position w:val="0"/>
                <w:sz w:val="24"/>
                <w:szCs w:val="24"/>
                <w:u w:val="none" w:color="auto"/>
              </w:rPr>
            </w:pPr>
            <w:r>
              <w:rPr>
                <w:rFonts w:hint="default" w:ascii="Times New Roman" w:hAnsi="Times New Roman" w:eastAsia="宋体" w:cs="Times New Roman"/>
                <w:color w:val="auto"/>
                <w:spacing w:val="11"/>
                <w:position w:val="0"/>
                <w:sz w:val="24"/>
                <w:szCs w:val="24"/>
                <w:u w:val="none" w:color="auto"/>
              </w:rPr>
              <w:t>B、加剧水土流失</w:t>
            </w:r>
          </w:p>
          <w:p w14:paraId="6E48AF01">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auto"/>
                <w:spacing w:val="11"/>
                <w:position w:val="0"/>
                <w:sz w:val="24"/>
                <w:szCs w:val="24"/>
                <w:u w:val="none" w:color="auto"/>
              </w:rPr>
            </w:pPr>
            <w:r>
              <w:rPr>
                <w:rFonts w:hint="default" w:ascii="Times New Roman" w:hAnsi="Times New Roman" w:eastAsia="宋体" w:cs="Times New Roman"/>
                <w:color w:val="auto"/>
                <w:spacing w:val="11"/>
                <w:position w:val="0"/>
                <w:sz w:val="24"/>
                <w:szCs w:val="24"/>
                <w:u w:val="none" w:color="auto"/>
              </w:rPr>
              <w:t>项目建设区域属于丘陵区，开采过程中形成了大量的松散堆积物、区域植被遭到严重破坏，在降雨条件下水土流失会急剧增大。项目采用露天开采的方式，工程开挖量较大，形成的松散土石方和堆积物多，在暴雨和重力的作用下，极易产生大量的水土流失，对项目区本身安全生产也可能带来隐患。</w:t>
            </w:r>
          </w:p>
          <w:p w14:paraId="54412FFD">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auto"/>
                <w:spacing w:val="11"/>
                <w:position w:val="0"/>
                <w:sz w:val="24"/>
                <w:szCs w:val="24"/>
                <w:u w:val="none" w:color="auto"/>
              </w:rPr>
            </w:pPr>
            <w:r>
              <w:rPr>
                <w:rFonts w:hint="default" w:ascii="Times New Roman" w:hAnsi="Times New Roman" w:eastAsia="宋体" w:cs="Times New Roman"/>
                <w:color w:val="auto"/>
                <w:spacing w:val="11"/>
                <w:position w:val="0"/>
                <w:sz w:val="24"/>
                <w:szCs w:val="24"/>
                <w:u w:val="none" w:color="auto"/>
              </w:rPr>
              <w:t>C、淤积排水沟渠</w:t>
            </w:r>
          </w:p>
          <w:p w14:paraId="207CF7C4">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auto"/>
                <w:spacing w:val="11"/>
                <w:position w:val="0"/>
                <w:sz w:val="24"/>
                <w:szCs w:val="24"/>
                <w:u w:val="none" w:color="auto"/>
              </w:rPr>
            </w:pPr>
            <w:r>
              <w:rPr>
                <w:rFonts w:hint="default" w:ascii="Times New Roman" w:hAnsi="Times New Roman" w:eastAsia="宋体" w:cs="Times New Roman"/>
                <w:color w:val="auto"/>
                <w:spacing w:val="11"/>
                <w:position w:val="0"/>
                <w:sz w:val="24"/>
                <w:szCs w:val="24"/>
                <w:u w:val="none" w:color="auto"/>
              </w:rPr>
              <w:t>由于工程的生产建设，可能将导致短期内水土流失量大幅度增加，大部分泥砂会进入排水沟渠而造成淤积。</w:t>
            </w:r>
          </w:p>
          <w:p w14:paraId="6ADC97E0">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auto"/>
                <w:spacing w:val="11"/>
                <w:position w:val="0"/>
                <w:sz w:val="24"/>
                <w:szCs w:val="24"/>
                <w:highlight w:val="none"/>
                <w:u w:val="none" w:color="auto"/>
              </w:rPr>
            </w:pPr>
            <w:r>
              <w:rPr>
                <w:rFonts w:hint="default" w:ascii="Times New Roman" w:hAnsi="Times New Roman" w:eastAsia="宋体" w:cs="Times New Roman"/>
                <w:color w:val="auto"/>
                <w:spacing w:val="11"/>
                <w:position w:val="0"/>
                <w:sz w:val="24"/>
                <w:szCs w:val="24"/>
                <w:highlight w:val="none"/>
                <w:u w:val="none" w:color="auto"/>
              </w:rPr>
              <w:t>D、形成潜在的水土流失因素</w:t>
            </w:r>
          </w:p>
          <w:p w14:paraId="39A24600">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auto"/>
                <w:spacing w:val="11"/>
                <w:position w:val="0"/>
                <w:sz w:val="24"/>
                <w:szCs w:val="24"/>
                <w:highlight w:val="none"/>
                <w:u w:val="none" w:color="auto"/>
              </w:rPr>
            </w:pPr>
            <w:r>
              <w:rPr>
                <w:rFonts w:hint="default" w:ascii="Times New Roman" w:hAnsi="Times New Roman" w:eastAsia="宋体" w:cs="Times New Roman"/>
                <w:color w:val="auto"/>
                <w:spacing w:val="11"/>
                <w:position w:val="0"/>
                <w:sz w:val="24"/>
                <w:szCs w:val="24"/>
                <w:highlight w:val="none"/>
                <w:u w:val="none" w:color="auto"/>
              </w:rPr>
              <w:t>矿山施工期间会造成一定的水土流失，但进入工程运行初期，因施工破坏而影响水土流失的各种因素在各项水土保持措施实施后逐渐消失，并且随着时间的推移，水土保持措施功能日益得到发挥，生态环境逐步得到新的稳定状态。水土流失带来的影响较小。</w:t>
            </w:r>
          </w:p>
          <w:p w14:paraId="27FD8413">
            <w:pPr>
              <w:adjustRightInd w:val="0"/>
              <w:snapToGrid w:val="0"/>
              <w:spacing w:line="360" w:lineRule="auto"/>
              <w:ind w:firstLine="524" w:firstLineChars="200"/>
              <w:rPr>
                <w:rFonts w:ascii="Times New Roman" w:hAnsi="Times New Roman" w:eastAsia="宋体" w:cs="Times New Roman"/>
                <w:color w:val="auto"/>
                <w:spacing w:val="11"/>
                <w:position w:val="0"/>
                <w:sz w:val="24"/>
                <w:szCs w:val="21"/>
                <w:highlight w:val="none"/>
              </w:rPr>
            </w:pPr>
            <w:r>
              <w:rPr>
                <w:rFonts w:ascii="Times New Roman" w:hAnsi="Times New Roman" w:eastAsia="宋体" w:cs="Times New Roman"/>
                <w:color w:val="auto"/>
                <w:spacing w:val="11"/>
                <w:position w:val="0"/>
                <w:sz w:val="24"/>
                <w:szCs w:val="21"/>
                <w:highlight w:val="none"/>
              </w:rPr>
              <w:t>对施工区的水土流失量采用专家估算法进行预测，经估算确定施</w:t>
            </w:r>
            <w:r>
              <w:rPr>
                <w:rFonts w:ascii="Times New Roman" w:hAnsi="Times New Roman" w:eastAsia="宋体" w:cs="Times New Roman"/>
                <w:color w:val="auto"/>
                <w:spacing w:val="11"/>
                <w:kern w:val="0"/>
                <w:position w:val="0"/>
                <w:sz w:val="24"/>
                <w:szCs w:val="21"/>
                <w:highlight w:val="none"/>
                <w:lang w:val="zh-CN"/>
              </w:rPr>
              <w:t>工期各施工单元土壤侵蚀模数4000~7500t/km</w:t>
            </w:r>
            <w:r>
              <w:rPr>
                <w:rFonts w:ascii="Times New Roman" w:hAnsi="Times New Roman" w:eastAsia="宋体" w:cs="Times New Roman"/>
                <w:color w:val="auto"/>
                <w:spacing w:val="11"/>
                <w:kern w:val="0"/>
                <w:position w:val="0"/>
                <w:sz w:val="24"/>
                <w:szCs w:val="21"/>
                <w:highlight w:val="none"/>
                <w:vertAlign w:val="superscript"/>
                <w:lang w:val="zh-CN"/>
              </w:rPr>
              <w:t>2</w:t>
            </w:r>
            <w:r>
              <w:rPr>
                <w:rFonts w:hint="default" w:ascii="Times New Roman" w:hAnsi="Times New Roman" w:eastAsia="宋体" w:cs="Times New Roman"/>
                <w:color w:val="auto"/>
                <w:spacing w:val="11"/>
                <w:kern w:val="0"/>
                <w:position w:val="0"/>
                <w:sz w:val="24"/>
                <w:szCs w:val="21"/>
                <w:highlight w:val="none"/>
                <w:lang w:val="zh-CN"/>
              </w:rPr>
              <w:t>·</w:t>
            </w:r>
            <w:r>
              <w:rPr>
                <w:rFonts w:ascii="Times New Roman" w:hAnsi="Times New Roman" w:eastAsia="宋体" w:cs="Times New Roman"/>
                <w:color w:val="auto"/>
                <w:spacing w:val="11"/>
                <w:kern w:val="0"/>
                <w:position w:val="0"/>
                <w:sz w:val="24"/>
                <w:szCs w:val="21"/>
                <w:highlight w:val="none"/>
                <w:lang w:val="zh-CN"/>
              </w:rPr>
              <w:t>a，</w:t>
            </w:r>
            <w:r>
              <w:rPr>
                <w:rFonts w:ascii="Times New Roman" w:hAnsi="Times New Roman" w:eastAsia="宋体" w:cs="Times New Roman"/>
                <w:color w:val="auto"/>
                <w:spacing w:val="11"/>
                <w:position w:val="0"/>
                <w:sz w:val="24"/>
                <w:szCs w:val="21"/>
                <w:highlight w:val="none"/>
              </w:rPr>
              <w:t>根据《土壤侵蚀分类分级标准》（SL190-2007），本项目所在区域属于南方红壤丘陵区，该区域容许土壤流失量为500t/（km</w:t>
            </w:r>
            <w:r>
              <w:rPr>
                <w:rFonts w:ascii="Times New Roman" w:hAnsi="Times New Roman" w:eastAsia="宋体" w:cs="Times New Roman"/>
                <w:color w:val="auto"/>
                <w:spacing w:val="11"/>
                <w:position w:val="0"/>
                <w:sz w:val="24"/>
                <w:szCs w:val="21"/>
                <w:highlight w:val="none"/>
                <w:vertAlign w:val="superscript"/>
              </w:rPr>
              <w:t>2</w:t>
            </w:r>
            <w:r>
              <w:rPr>
                <w:rFonts w:ascii="Times New Roman" w:hAnsi="Times New Roman" w:eastAsia="宋体" w:cs="Times New Roman"/>
                <w:color w:val="auto"/>
                <w:spacing w:val="11"/>
                <w:position w:val="0"/>
                <w:sz w:val="24"/>
                <w:szCs w:val="21"/>
                <w:highlight w:val="none"/>
              </w:rPr>
              <w:t>·a）</w:t>
            </w:r>
            <w:r>
              <w:rPr>
                <w:rFonts w:ascii="Times New Roman" w:hAnsi="Times New Roman" w:eastAsia="宋体" w:cs="Times New Roman"/>
                <w:color w:val="auto"/>
                <w:spacing w:val="11"/>
                <w:kern w:val="0"/>
                <w:position w:val="0"/>
                <w:sz w:val="24"/>
                <w:szCs w:val="21"/>
                <w:highlight w:val="none"/>
                <w:lang w:val="zh-CN"/>
              </w:rPr>
              <w:t>。结合本项目的实际情况，确定施工期土壤侵蚀模数的取值为</w:t>
            </w:r>
            <w:r>
              <w:rPr>
                <w:rFonts w:hint="eastAsia" w:ascii="Times New Roman" w:hAnsi="Times New Roman" w:eastAsia="宋体" w:cs="Times New Roman"/>
                <w:color w:val="auto"/>
                <w:spacing w:val="11"/>
                <w:kern w:val="0"/>
                <w:position w:val="0"/>
                <w:sz w:val="24"/>
                <w:szCs w:val="21"/>
                <w:highlight w:val="none"/>
                <w:lang w:val="zh-CN" w:eastAsia="zh-CN"/>
              </w:rPr>
              <w:t>2750</w:t>
            </w:r>
            <w:r>
              <w:rPr>
                <w:rFonts w:ascii="Times New Roman" w:hAnsi="Times New Roman" w:eastAsia="宋体" w:cs="Times New Roman"/>
                <w:color w:val="auto"/>
                <w:spacing w:val="11"/>
                <w:position w:val="0"/>
                <w:sz w:val="24"/>
                <w:szCs w:val="21"/>
                <w:highlight w:val="none"/>
              </w:rPr>
              <w:t>t/km</w:t>
            </w:r>
            <w:r>
              <w:rPr>
                <w:rFonts w:ascii="Times New Roman" w:hAnsi="Times New Roman" w:eastAsia="宋体" w:cs="Times New Roman"/>
                <w:color w:val="auto"/>
                <w:spacing w:val="11"/>
                <w:position w:val="0"/>
                <w:sz w:val="24"/>
                <w:szCs w:val="21"/>
                <w:highlight w:val="none"/>
                <w:vertAlign w:val="superscript"/>
              </w:rPr>
              <w:t>2</w:t>
            </w:r>
            <w:r>
              <w:rPr>
                <w:rFonts w:ascii="Times New Roman" w:hAnsi="Times New Roman" w:eastAsia="宋体" w:cs="Times New Roman"/>
                <w:color w:val="auto"/>
                <w:spacing w:val="11"/>
                <w:position w:val="0"/>
                <w:sz w:val="24"/>
                <w:szCs w:val="21"/>
                <w:highlight w:val="none"/>
              </w:rPr>
              <w:t>·a。</w:t>
            </w:r>
            <w:r>
              <w:rPr>
                <w:rFonts w:ascii="Times New Roman" w:hAnsi="宋体" w:eastAsia="宋体" w:cs="Times New Roman"/>
                <w:color w:val="auto"/>
                <w:spacing w:val="11"/>
                <w:position w:val="0"/>
                <w:sz w:val="24"/>
                <w:szCs w:val="21"/>
                <w:highlight w:val="none"/>
              </w:rPr>
              <w:t>工程建设开挖扰动可能产生的水土流失区域为整个施工现场等，造成的水土流失面积共计</w:t>
            </w:r>
            <w:r>
              <w:rPr>
                <w:rFonts w:ascii="Times New Roman" w:hAnsi="Times New Roman" w:eastAsia="宋体" w:cs="Times New Roman"/>
                <w:color w:val="auto"/>
                <w:spacing w:val="11"/>
                <w:position w:val="0"/>
                <w:sz w:val="24"/>
                <w:szCs w:val="21"/>
                <w:highlight w:val="none"/>
              </w:rPr>
              <w:t>0.0</w:t>
            </w:r>
            <w:r>
              <w:rPr>
                <w:rFonts w:hint="eastAsia" w:ascii="Times New Roman" w:hAnsi="Times New Roman" w:eastAsia="宋体" w:cs="Times New Roman"/>
                <w:color w:val="auto"/>
                <w:spacing w:val="11"/>
                <w:position w:val="0"/>
                <w:sz w:val="24"/>
                <w:szCs w:val="21"/>
                <w:highlight w:val="none"/>
                <w:lang w:val="en-US" w:eastAsia="zh-CN"/>
              </w:rPr>
              <w:t>633</w:t>
            </w:r>
            <w:r>
              <w:rPr>
                <w:rFonts w:ascii="Times New Roman" w:hAnsi="Times New Roman" w:eastAsia="宋体" w:cs="Times New Roman"/>
                <w:color w:val="auto"/>
                <w:spacing w:val="11"/>
                <w:position w:val="0"/>
                <w:sz w:val="24"/>
                <w:szCs w:val="21"/>
                <w:highlight w:val="none"/>
              </w:rPr>
              <w:t>km</w:t>
            </w:r>
            <w:r>
              <w:rPr>
                <w:rFonts w:ascii="Times New Roman" w:hAnsi="Times New Roman" w:eastAsia="宋体" w:cs="Times New Roman"/>
                <w:color w:val="auto"/>
                <w:spacing w:val="11"/>
                <w:position w:val="0"/>
                <w:sz w:val="24"/>
                <w:szCs w:val="21"/>
                <w:highlight w:val="none"/>
                <w:vertAlign w:val="superscript"/>
              </w:rPr>
              <w:t>2</w:t>
            </w:r>
            <w:r>
              <w:rPr>
                <w:rFonts w:ascii="Times New Roman" w:hAnsi="宋体" w:eastAsia="宋体" w:cs="Times New Roman"/>
                <w:color w:val="auto"/>
                <w:spacing w:val="11"/>
                <w:position w:val="0"/>
                <w:sz w:val="24"/>
                <w:szCs w:val="21"/>
                <w:highlight w:val="none"/>
              </w:rPr>
              <w:t>。本环评采用侵蚀模数法对施工期水土流失量进行预测，预测计算公式如下：</w:t>
            </w:r>
          </w:p>
          <w:p w14:paraId="7837F06F">
            <w:pPr>
              <w:adjustRightInd w:val="0"/>
              <w:snapToGrid w:val="0"/>
              <w:spacing w:line="360" w:lineRule="auto"/>
              <w:ind w:firstLine="480" w:firstLineChars="0"/>
              <w:jc w:val="center"/>
              <w:rPr>
                <w:rFonts w:ascii="Times New Roman" w:hAnsi="Times New Roman" w:eastAsia="宋体" w:cs="Times New Roman"/>
                <w:color w:val="auto"/>
                <w:spacing w:val="11"/>
                <w:position w:val="0"/>
                <w:sz w:val="24"/>
                <w:szCs w:val="21"/>
                <w:highlight w:val="none"/>
                <w:lang w:val="de-DE"/>
              </w:rPr>
            </w:pPr>
            <w:r>
              <w:rPr>
                <w:rFonts w:ascii="Times New Roman" w:hAnsi="Times New Roman" w:eastAsia="宋体" w:cs="Times New Roman"/>
                <w:color w:val="auto"/>
                <w:spacing w:val="11"/>
                <w:position w:val="0"/>
                <w:sz w:val="24"/>
                <w:szCs w:val="21"/>
                <w:highlight w:val="none"/>
                <w:lang w:val="de-DE"/>
              </w:rPr>
              <w:t>W=</w:t>
            </w:r>
            <w:r>
              <w:rPr>
                <w:rFonts w:ascii="Times New Roman" w:hAnsi="Times New Roman" w:eastAsia="宋体" w:cs="Times New Roman"/>
                <w:color w:val="auto"/>
                <w:spacing w:val="11"/>
                <w:position w:val="0"/>
                <w:sz w:val="24"/>
                <w:szCs w:val="21"/>
                <w:highlight w:val="none"/>
              </w:rPr>
              <w:t>Σ</w:t>
            </w:r>
            <w:r>
              <w:rPr>
                <w:rFonts w:ascii="Times New Roman" w:hAnsi="宋体" w:eastAsia="宋体" w:cs="Times New Roman"/>
                <w:color w:val="auto"/>
                <w:spacing w:val="11"/>
                <w:position w:val="0"/>
                <w:sz w:val="24"/>
                <w:szCs w:val="21"/>
                <w:highlight w:val="none"/>
                <w:lang w:val="de-DE"/>
              </w:rPr>
              <w:t>（</w:t>
            </w:r>
            <w:r>
              <w:rPr>
                <w:rFonts w:ascii="Times New Roman" w:hAnsi="Times New Roman" w:eastAsia="宋体" w:cs="Times New Roman"/>
                <w:color w:val="auto"/>
                <w:spacing w:val="11"/>
                <w:position w:val="0"/>
                <w:sz w:val="24"/>
                <w:szCs w:val="21"/>
                <w:highlight w:val="none"/>
                <w:lang w:val="de-DE"/>
              </w:rPr>
              <w:t>F</w:t>
            </w:r>
            <w:r>
              <w:rPr>
                <w:rFonts w:ascii="Times New Roman" w:hAnsi="Times New Roman" w:eastAsia="宋体" w:cs="Times New Roman"/>
                <w:color w:val="auto"/>
                <w:spacing w:val="11"/>
                <w:position w:val="0"/>
                <w:sz w:val="24"/>
                <w:szCs w:val="21"/>
                <w:highlight w:val="none"/>
                <w:vertAlign w:val="subscript"/>
                <w:lang w:val="de-DE"/>
              </w:rPr>
              <w:t>i</w:t>
            </w:r>
            <w:r>
              <w:rPr>
                <w:rFonts w:ascii="Times New Roman" w:hAnsi="Times New Roman" w:eastAsia="宋体" w:cs="Times New Roman"/>
                <w:color w:val="auto"/>
                <w:spacing w:val="11"/>
                <w:position w:val="0"/>
                <w:sz w:val="24"/>
                <w:szCs w:val="21"/>
                <w:highlight w:val="none"/>
                <w:lang w:val="de-DE"/>
              </w:rPr>
              <w:t>×M</w:t>
            </w:r>
            <w:r>
              <w:rPr>
                <w:rFonts w:ascii="Times New Roman" w:hAnsi="Times New Roman" w:eastAsia="宋体" w:cs="Times New Roman"/>
                <w:color w:val="auto"/>
                <w:spacing w:val="11"/>
                <w:position w:val="0"/>
                <w:sz w:val="24"/>
                <w:szCs w:val="21"/>
                <w:highlight w:val="none"/>
                <w:vertAlign w:val="subscript"/>
                <w:lang w:val="de-DE"/>
              </w:rPr>
              <w:t>i</w:t>
            </w:r>
            <w:r>
              <w:rPr>
                <w:rFonts w:ascii="Times New Roman" w:hAnsi="Times New Roman" w:eastAsia="宋体" w:cs="Times New Roman"/>
                <w:color w:val="auto"/>
                <w:spacing w:val="11"/>
                <w:position w:val="0"/>
                <w:sz w:val="24"/>
                <w:szCs w:val="21"/>
                <w:highlight w:val="none"/>
                <w:lang w:val="de-DE"/>
              </w:rPr>
              <w:t>×T</w:t>
            </w:r>
            <w:r>
              <w:rPr>
                <w:rFonts w:ascii="Times New Roman" w:hAnsi="Times New Roman" w:eastAsia="宋体" w:cs="Times New Roman"/>
                <w:color w:val="auto"/>
                <w:spacing w:val="11"/>
                <w:position w:val="0"/>
                <w:sz w:val="24"/>
                <w:szCs w:val="21"/>
                <w:highlight w:val="none"/>
                <w:vertAlign w:val="subscript"/>
                <w:lang w:val="de-DE"/>
              </w:rPr>
              <w:t>i</w:t>
            </w:r>
            <w:r>
              <w:rPr>
                <w:rFonts w:ascii="Times New Roman" w:hAnsi="宋体" w:eastAsia="宋体" w:cs="Times New Roman"/>
                <w:color w:val="auto"/>
                <w:spacing w:val="11"/>
                <w:position w:val="0"/>
                <w:sz w:val="24"/>
                <w:szCs w:val="21"/>
                <w:highlight w:val="none"/>
                <w:lang w:val="de-DE"/>
              </w:rPr>
              <w:t>）</w:t>
            </w:r>
          </w:p>
          <w:p w14:paraId="14B3B926">
            <w:pPr>
              <w:adjustRightInd w:val="0"/>
              <w:snapToGrid w:val="0"/>
              <w:spacing w:line="360" w:lineRule="auto"/>
              <w:ind w:firstLine="0" w:firstLineChars="0"/>
              <w:rPr>
                <w:rFonts w:ascii="Times New Roman" w:hAnsi="Times New Roman" w:eastAsia="宋体" w:cs="Times New Roman"/>
                <w:color w:val="auto"/>
                <w:spacing w:val="11"/>
                <w:position w:val="0"/>
                <w:sz w:val="24"/>
                <w:szCs w:val="21"/>
                <w:highlight w:val="none"/>
                <w:lang w:val="de-DE"/>
              </w:rPr>
            </w:pPr>
            <w:r>
              <w:rPr>
                <w:rFonts w:ascii="Times New Roman" w:hAnsi="宋体" w:eastAsia="宋体" w:cs="Times New Roman"/>
                <w:color w:val="auto"/>
                <w:spacing w:val="11"/>
                <w:position w:val="0"/>
                <w:sz w:val="24"/>
                <w:szCs w:val="21"/>
                <w:highlight w:val="none"/>
              </w:rPr>
              <w:t>式中</w:t>
            </w:r>
            <w:r>
              <w:rPr>
                <w:rFonts w:ascii="Times New Roman" w:hAnsi="宋体" w:eastAsia="宋体" w:cs="Times New Roman"/>
                <w:color w:val="auto"/>
                <w:spacing w:val="11"/>
                <w:position w:val="0"/>
                <w:sz w:val="24"/>
                <w:szCs w:val="21"/>
                <w:highlight w:val="none"/>
                <w:lang w:val="de-DE"/>
              </w:rPr>
              <w:t>：</w:t>
            </w:r>
            <w:r>
              <w:rPr>
                <w:rFonts w:ascii="Times New Roman" w:hAnsi="Times New Roman" w:eastAsia="宋体" w:cs="Times New Roman"/>
                <w:color w:val="auto"/>
                <w:spacing w:val="11"/>
                <w:position w:val="0"/>
                <w:sz w:val="24"/>
                <w:szCs w:val="21"/>
                <w:highlight w:val="none"/>
                <w:lang w:val="de-DE"/>
              </w:rPr>
              <w:t>W—</w:t>
            </w:r>
            <w:r>
              <w:rPr>
                <w:rFonts w:ascii="Times New Roman" w:hAnsi="宋体" w:eastAsia="宋体" w:cs="Times New Roman"/>
                <w:color w:val="auto"/>
                <w:spacing w:val="11"/>
                <w:position w:val="0"/>
                <w:sz w:val="24"/>
                <w:szCs w:val="21"/>
                <w:highlight w:val="none"/>
              </w:rPr>
              <w:t>扰动地表流失量</w:t>
            </w:r>
            <w:r>
              <w:rPr>
                <w:rFonts w:ascii="Times New Roman" w:hAnsi="宋体" w:eastAsia="宋体" w:cs="Times New Roman"/>
                <w:color w:val="auto"/>
                <w:spacing w:val="11"/>
                <w:position w:val="0"/>
                <w:sz w:val="24"/>
                <w:szCs w:val="21"/>
                <w:highlight w:val="none"/>
                <w:lang w:val="de-DE"/>
              </w:rPr>
              <w:t>，</w:t>
            </w:r>
            <w:r>
              <w:rPr>
                <w:rFonts w:ascii="Times New Roman" w:hAnsi="Times New Roman" w:eastAsia="宋体" w:cs="Times New Roman"/>
                <w:color w:val="auto"/>
                <w:spacing w:val="11"/>
                <w:position w:val="0"/>
                <w:sz w:val="24"/>
                <w:szCs w:val="21"/>
                <w:highlight w:val="none"/>
                <w:lang w:val="de-DE"/>
              </w:rPr>
              <w:t>t</w:t>
            </w:r>
          </w:p>
          <w:p w14:paraId="0EC86BBC">
            <w:pPr>
              <w:adjustRightInd w:val="0"/>
              <w:snapToGrid w:val="0"/>
              <w:spacing w:line="360" w:lineRule="auto"/>
              <w:ind w:firstLine="786" w:firstLineChars="300"/>
              <w:rPr>
                <w:rFonts w:ascii="Times New Roman" w:hAnsi="Times New Roman" w:eastAsia="宋体" w:cs="Times New Roman"/>
                <w:color w:val="auto"/>
                <w:spacing w:val="11"/>
                <w:position w:val="0"/>
                <w:sz w:val="24"/>
                <w:szCs w:val="21"/>
                <w:highlight w:val="none"/>
                <w:lang w:val="de-DE"/>
              </w:rPr>
            </w:pPr>
            <w:r>
              <w:rPr>
                <w:rFonts w:ascii="Times New Roman" w:hAnsi="Times New Roman" w:eastAsia="宋体" w:cs="Times New Roman"/>
                <w:color w:val="auto"/>
                <w:spacing w:val="11"/>
                <w:position w:val="0"/>
                <w:sz w:val="24"/>
                <w:szCs w:val="21"/>
                <w:highlight w:val="none"/>
                <w:lang w:val="de-DE"/>
              </w:rPr>
              <w:t>F</w:t>
            </w:r>
            <w:r>
              <w:rPr>
                <w:rFonts w:ascii="Times New Roman" w:hAnsi="Times New Roman" w:eastAsia="宋体" w:cs="Times New Roman"/>
                <w:color w:val="auto"/>
                <w:spacing w:val="11"/>
                <w:position w:val="0"/>
                <w:sz w:val="24"/>
                <w:szCs w:val="21"/>
                <w:highlight w:val="none"/>
                <w:vertAlign w:val="subscript"/>
                <w:lang w:val="de-DE"/>
              </w:rPr>
              <w:t>i</w:t>
            </w:r>
            <w:r>
              <w:rPr>
                <w:rFonts w:ascii="Times New Roman" w:hAnsi="Times New Roman" w:eastAsia="宋体" w:cs="Times New Roman"/>
                <w:color w:val="auto"/>
                <w:spacing w:val="11"/>
                <w:position w:val="0"/>
                <w:sz w:val="24"/>
                <w:szCs w:val="21"/>
                <w:highlight w:val="none"/>
                <w:lang w:val="de-DE"/>
              </w:rPr>
              <w:t>—</w:t>
            </w:r>
            <w:r>
              <w:rPr>
                <w:rFonts w:ascii="Times New Roman" w:hAnsi="宋体" w:eastAsia="宋体" w:cs="Times New Roman"/>
                <w:color w:val="auto"/>
                <w:spacing w:val="11"/>
                <w:position w:val="0"/>
                <w:sz w:val="24"/>
                <w:szCs w:val="21"/>
                <w:highlight w:val="none"/>
              </w:rPr>
              <w:t>扰动地表面积</w:t>
            </w:r>
            <w:r>
              <w:rPr>
                <w:rFonts w:ascii="Times New Roman" w:hAnsi="宋体" w:eastAsia="宋体" w:cs="Times New Roman"/>
                <w:color w:val="auto"/>
                <w:spacing w:val="11"/>
                <w:position w:val="0"/>
                <w:sz w:val="24"/>
                <w:szCs w:val="21"/>
                <w:highlight w:val="none"/>
                <w:lang w:val="de-DE"/>
              </w:rPr>
              <w:t>，</w:t>
            </w:r>
            <w:r>
              <w:rPr>
                <w:rFonts w:hint="eastAsia" w:ascii="Times New Roman" w:hAnsi="Times New Roman" w:eastAsia="宋体" w:cs="Times New Roman"/>
                <w:color w:val="auto"/>
                <w:spacing w:val="11"/>
                <w:position w:val="0"/>
                <w:sz w:val="24"/>
                <w:szCs w:val="21"/>
                <w:highlight w:val="none"/>
                <w:lang w:val="de-DE"/>
              </w:rPr>
              <w:t>0.0</w:t>
            </w:r>
            <w:r>
              <w:rPr>
                <w:rFonts w:hint="eastAsia" w:ascii="Times New Roman" w:hAnsi="Times New Roman" w:eastAsia="宋体" w:cs="Times New Roman"/>
                <w:color w:val="auto"/>
                <w:spacing w:val="11"/>
                <w:position w:val="0"/>
                <w:sz w:val="24"/>
                <w:szCs w:val="21"/>
                <w:highlight w:val="none"/>
                <w:lang w:val="de-DE" w:eastAsia="zh-CN"/>
              </w:rPr>
              <w:t>633</w:t>
            </w:r>
            <w:r>
              <w:rPr>
                <w:rFonts w:ascii="Times New Roman" w:hAnsi="Times New Roman" w:eastAsia="宋体" w:cs="Times New Roman"/>
                <w:color w:val="auto"/>
                <w:spacing w:val="11"/>
                <w:position w:val="0"/>
                <w:sz w:val="24"/>
                <w:szCs w:val="21"/>
                <w:highlight w:val="none"/>
                <w:lang w:val="de-DE"/>
              </w:rPr>
              <w:t>km</w:t>
            </w:r>
            <w:r>
              <w:rPr>
                <w:rFonts w:ascii="Times New Roman" w:hAnsi="Times New Roman" w:eastAsia="宋体" w:cs="Times New Roman"/>
                <w:color w:val="auto"/>
                <w:spacing w:val="11"/>
                <w:position w:val="0"/>
                <w:sz w:val="24"/>
                <w:szCs w:val="21"/>
                <w:highlight w:val="none"/>
                <w:vertAlign w:val="superscript"/>
                <w:lang w:val="de-DE"/>
              </w:rPr>
              <w:t>2</w:t>
            </w:r>
          </w:p>
          <w:p w14:paraId="328BEF8F">
            <w:pPr>
              <w:adjustRightInd w:val="0"/>
              <w:snapToGrid w:val="0"/>
              <w:spacing w:line="360" w:lineRule="auto"/>
              <w:ind w:firstLine="786" w:firstLineChars="300"/>
              <w:rPr>
                <w:rFonts w:ascii="Times New Roman" w:hAnsi="Times New Roman" w:eastAsia="宋体" w:cs="Times New Roman"/>
                <w:color w:val="auto"/>
                <w:spacing w:val="11"/>
                <w:position w:val="0"/>
                <w:sz w:val="24"/>
                <w:szCs w:val="21"/>
                <w:highlight w:val="none"/>
                <w:lang w:val="de-DE"/>
              </w:rPr>
            </w:pPr>
            <w:r>
              <w:rPr>
                <w:rFonts w:ascii="Times New Roman" w:hAnsi="Times New Roman" w:eastAsia="宋体" w:cs="Times New Roman"/>
                <w:color w:val="auto"/>
                <w:spacing w:val="11"/>
                <w:position w:val="0"/>
                <w:sz w:val="24"/>
                <w:szCs w:val="21"/>
                <w:highlight w:val="none"/>
                <w:lang w:val="de-DE"/>
              </w:rPr>
              <w:t>M</w:t>
            </w:r>
            <w:r>
              <w:rPr>
                <w:rFonts w:ascii="Times New Roman" w:hAnsi="Times New Roman" w:eastAsia="宋体" w:cs="Times New Roman"/>
                <w:color w:val="auto"/>
                <w:spacing w:val="11"/>
                <w:position w:val="0"/>
                <w:sz w:val="24"/>
                <w:szCs w:val="21"/>
                <w:highlight w:val="none"/>
                <w:vertAlign w:val="subscript"/>
                <w:lang w:val="de-DE"/>
              </w:rPr>
              <w:t>i</w:t>
            </w:r>
            <w:r>
              <w:rPr>
                <w:rFonts w:ascii="Times New Roman" w:hAnsi="Times New Roman" w:eastAsia="宋体" w:cs="Times New Roman"/>
                <w:color w:val="auto"/>
                <w:spacing w:val="11"/>
                <w:position w:val="0"/>
                <w:sz w:val="24"/>
                <w:szCs w:val="21"/>
                <w:highlight w:val="none"/>
                <w:lang w:val="de-DE"/>
              </w:rPr>
              <w:t>—</w:t>
            </w:r>
            <w:r>
              <w:rPr>
                <w:rFonts w:ascii="Times New Roman" w:hAnsi="宋体" w:eastAsia="宋体" w:cs="Times New Roman"/>
                <w:color w:val="auto"/>
                <w:spacing w:val="11"/>
                <w:position w:val="0"/>
                <w:sz w:val="24"/>
                <w:szCs w:val="21"/>
                <w:highlight w:val="none"/>
              </w:rPr>
              <w:t>扰动后土壤侵蚀模数</w:t>
            </w:r>
            <w:r>
              <w:rPr>
                <w:rFonts w:ascii="Times New Roman" w:hAnsi="宋体" w:eastAsia="宋体" w:cs="Times New Roman"/>
                <w:color w:val="auto"/>
                <w:spacing w:val="11"/>
                <w:position w:val="0"/>
                <w:sz w:val="24"/>
                <w:szCs w:val="21"/>
                <w:highlight w:val="none"/>
                <w:lang w:val="de-DE"/>
              </w:rPr>
              <w:t>，</w:t>
            </w:r>
            <w:r>
              <w:rPr>
                <w:rFonts w:hint="eastAsia" w:ascii="Times New Roman" w:hAnsi="Times New Roman" w:eastAsia="宋体" w:cs="Times New Roman"/>
                <w:color w:val="auto"/>
                <w:spacing w:val="11"/>
                <w:position w:val="0"/>
                <w:sz w:val="24"/>
                <w:szCs w:val="21"/>
                <w:highlight w:val="none"/>
                <w:lang w:val="de-DE" w:eastAsia="zh-CN"/>
              </w:rPr>
              <w:t>2750</w:t>
            </w:r>
            <w:r>
              <w:rPr>
                <w:rFonts w:ascii="Times New Roman" w:hAnsi="Times New Roman" w:eastAsia="宋体" w:cs="Times New Roman"/>
                <w:color w:val="auto"/>
                <w:spacing w:val="11"/>
                <w:position w:val="0"/>
                <w:sz w:val="24"/>
                <w:szCs w:val="21"/>
                <w:highlight w:val="none"/>
                <w:lang w:val="de-DE"/>
              </w:rPr>
              <w:t>t/km</w:t>
            </w:r>
            <w:r>
              <w:rPr>
                <w:rFonts w:ascii="Times New Roman" w:hAnsi="Times New Roman" w:eastAsia="宋体" w:cs="Times New Roman"/>
                <w:color w:val="auto"/>
                <w:spacing w:val="11"/>
                <w:position w:val="0"/>
                <w:sz w:val="24"/>
                <w:szCs w:val="21"/>
                <w:highlight w:val="none"/>
                <w:vertAlign w:val="superscript"/>
                <w:lang w:val="de-DE"/>
              </w:rPr>
              <w:t>2</w:t>
            </w:r>
            <w:r>
              <w:rPr>
                <w:rFonts w:ascii="Times New Roman" w:hAnsi="Times New Roman" w:eastAsia="宋体" w:cs="Times New Roman"/>
                <w:color w:val="auto"/>
                <w:spacing w:val="11"/>
                <w:position w:val="0"/>
                <w:sz w:val="24"/>
                <w:szCs w:val="21"/>
                <w:highlight w:val="none"/>
                <w:lang w:val="de-DE"/>
              </w:rPr>
              <w:t>.a</w:t>
            </w:r>
          </w:p>
          <w:p w14:paraId="72B46138">
            <w:pPr>
              <w:adjustRightInd w:val="0"/>
              <w:snapToGrid w:val="0"/>
              <w:spacing w:line="360" w:lineRule="auto"/>
              <w:ind w:firstLine="786" w:firstLineChars="300"/>
              <w:rPr>
                <w:rFonts w:ascii="Times New Roman" w:hAnsi="Times New Roman" w:eastAsia="宋体" w:cs="Times New Roman"/>
                <w:color w:val="auto"/>
                <w:spacing w:val="11"/>
                <w:position w:val="0"/>
                <w:sz w:val="24"/>
                <w:szCs w:val="21"/>
                <w:highlight w:val="none"/>
                <w:lang w:val="de-DE"/>
              </w:rPr>
            </w:pPr>
            <w:r>
              <w:rPr>
                <w:rFonts w:ascii="Times New Roman" w:hAnsi="Times New Roman" w:eastAsia="宋体" w:cs="Times New Roman"/>
                <w:color w:val="auto"/>
                <w:spacing w:val="11"/>
                <w:position w:val="0"/>
                <w:sz w:val="24"/>
                <w:szCs w:val="21"/>
                <w:highlight w:val="none"/>
                <w:lang w:val="de-DE"/>
              </w:rPr>
              <w:t>Ti—</w:t>
            </w:r>
            <w:r>
              <w:rPr>
                <w:rFonts w:ascii="Times New Roman" w:hAnsi="Times New Roman" w:eastAsia="宋体" w:cs="Times New Roman"/>
                <w:color w:val="auto"/>
                <w:spacing w:val="11"/>
                <w:position w:val="0"/>
                <w:sz w:val="24"/>
                <w:szCs w:val="21"/>
                <w:highlight w:val="none"/>
              </w:rPr>
              <w:t>水土流失预测时段</w:t>
            </w:r>
            <w:r>
              <w:rPr>
                <w:rFonts w:ascii="Times New Roman" w:hAnsi="Times New Roman" w:eastAsia="宋体" w:cs="Times New Roman"/>
                <w:color w:val="auto"/>
                <w:spacing w:val="11"/>
                <w:position w:val="0"/>
                <w:sz w:val="24"/>
                <w:szCs w:val="21"/>
                <w:highlight w:val="none"/>
                <w:lang w:val="de-DE"/>
              </w:rPr>
              <w:t>，</w:t>
            </w:r>
            <w:r>
              <w:rPr>
                <w:rFonts w:hint="eastAsia" w:ascii="Times New Roman" w:hAnsi="Times New Roman" w:eastAsia="宋体" w:cs="Times New Roman"/>
                <w:color w:val="auto"/>
                <w:spacing w:val="11"/>
                <w:position w:val="0"/>
                <w:sz w:val="24"/>
                <w:szCs w:val="21"/>
                <w:highlight w:val="none"/>
                <w:lang w:val="en-US" w:eastAsia="zh-CN"/>
              </w:rPr>
              <w:t>7.2</w:t>
            </w:r>
            <w:r>
              <w:rPr>
                <w:rFonts w:ascii="Times New Roman" w:hAnsi="Times New Roman" w:eastAsia="宋体" w:cs="Times New Roman"/>
                <w:color w:val="auto"/>
                <w:spacing w:val="11"/>
                <w:position w:val="0"/>
                <w:sz w:val="24"/>
                <w:szCs w:val="21"/>
                <w:highlight w:val="none"/>
                <w:lang w:val="de-DE"/>
              </w:rPr>
              <w:t>a</w:t>
            </w:r>
          </w:p>
          <w:p w14:paraId="438A061E">
            <w:pPr>
              <w:adjustRightInd w:val="0"/>
              <w:snapToGrid w:val="0"/>
              <w:spacing w:line="360" w:lineRule="auto"/>
              <w:ind w:firstLine="524" w:firstLineChars="200"/>
              <w:rPr>
                <w:rFonts w:hint="default" w:ascii="Times New Roman" w:hAnsi="Times New Roman" w:eastAsia="宋体" w:cs="Times New Roman"/>
                <w:color w:val="auto"/>
                <w:spacing w:val="11"/>
                <w:position w:val="0"/>
                <w:sz w:val="24"/>
                <w:szCs w:val="21"/>
                <w:highlight w:val="none"/>
              </w:rPr>
            </w:pPr>
            <w:r>
              <w:rPr>
                <w:rFonts w:hint="default" w:ascii="Times New Roman" w:hAnsi="Times New Roman" w:eastAsia="宋体" w:cs="Times New Roman"/>
                <w:color w:val="auto"/>
                <w:spacing w:val="11"/>
                <w:position w:val="0"/>
                <w:sz w:val="24"/>
                <w:szCs w:val="21"/>
                <w:highlight w:val="none"/>
              </w:rPr>
              <w:t>经预测计算，预测期项目可能产生的</w:t>
            </w:r>
            <w:r>
              <w:rPr>
                <w:rFonts w:hint="default" w:ascii="Times New Roman" w:hAnsi="Times New Roman" w:eastAsia="宋体" w:cs="Times New Roman"/>
                <w:color w:val="auto"/>
                <w:spacing w:val="11"/>
                <w:position w:val="0"/>
                <w:sz w:val="24"/>
                <w:szCs w:val="21"/>
                <w:highlight w:val="none"/>
                <w:lang w:val="en-US" w:eastAsia="zh-CN"/>
              </w:rPr>
              <w:t>土壤</w:t>
            </w:r>
            <w:r>
              <w:rPr>
                <w:rFonts w:hint="default" w:ascii="Times New Roman" w:hAnsi="Times New Roman" w:eastAsia="宋体" w:cs="Times New Roman"/>
                <w:color w:val="auto"/>
                <w:spacing w:val="11"/>
                <w:position w:val="0"/>
                <w:sz w:val="24"/>
                <w:szCs w:val="21"/>
                <w:highlight w:val="none"/>
              </w:rPr>
              <w:t>流失总量</w:t>
            </w:r>
            <w:r>
              <w:rPr>
                <w:rFonts w:hint="eastAsia" w:ascii="Times New Roman" w:hAnsi="Times New Roman" w:eastAsia="宋体" w:cs="Times New Roman"/>
                <w:color w:val="auto"/>
                <w:spacing w:val="11"/>
                <w:position w:val="0"/>
                <w:sz w:val="24"/>
                <w:szCs w:val="21"/>
                <w:highlight w:val="none"/>
                <w:lang w:val="en-US" w:eastAsia="zh-CN"/>
              </w:rPr>
              <w:t>1253.34</w:t>
            </w:r>
            <w:r>
              <w:rPr>
                <w:rFonts w:hint="default" w:ascii="Times New Roman" w:hAnsi="Times New Roman" w:eastAsia="宋体" w:cs="Times New Roman"/>
                <w:color w:val="auto"/>
                <w:spacing w:val="11"/>
                <w:position w:val="0"/>
                <w:sz w:val="24"/>
                <w:szCs w:val="21"/>
                <w:highlight w:val="none"/>
                <w:lang w:val="en-US" w:eastAsia="zh-CN"/>
              </w:rPr>
              <w:t>t</w:t>
            </w:r>
            <w:r>
              <w:rPr>
                <w:rFonts w:hint="default" w:ascii="Times New Roman" w:hAnsi="Times New Roman" w:eastAsia="宋体" w:cs="Times New Roman"/>
                <w:color w:val="auto"/>
                <w:spacing w:val="11"/>
                <w:position w:val="0"/>
                <w:sz w:val="24"/>
                <w:szCs w:val="21"/>
                <w:highlight w:val="none"/>
                <w:lang w:eastAsia="zh-CN"/>
              </w:rPr>
              <w:t>。</w:t>
            </w:r>
          </w:p>
          <w:p w14:paraId="2F0E3793">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auto"/>
                <w:spacing w:val="11"/>
                <w:position w:val="0"/>
                <w:sz w:val="24"/>
                <w:szCs w:val="24"/>
                <w:u w:val="none" w:color="auto"/>
              </w:rPr>
            </w:pPr>
            <w:r>
              <w:rPr>
                <w:rFonts w:hint="default" w:ascii="Times New Roman" w:hAnsi="Times New Roman" w:cs="Times New Roman"/>
                <w:color w:val="auto"/>
                <w:spacing w:val="11"/>
                <w:position w:val="0"/>
                <w:sz w:val="24"/>
                <w:szCs w:val="24"/>
                <w:u w:val="none" w:color="auto"/>
                <w:lang w:val="en-US" w:eastAsia="zh-CN"/>
              </w:rPr>
              <w:t>（5）</w:t>
            </w:r>
            <w:r>
              <w:rPr>
                <w:rFonts w:hint="default" w:ascii="Times New Roman" w:hAnsi="Times New Roman" w:eastAsia="宋体" w:cs="Times New Roman"/>
                <w:color w:val="auto"/>
                <w:spacing w:val="11"/>
                <w:position w:val="0"/>
                <w:sz w:val="24"/>
                <w:szCs w:val="24"/>
                <w:u w:val="none" w:color="auto"/>
              </w:rPr>
              <w:t>景观影响分析</w:t>
            </w:r>
          </w:p>
          <w:p w14:paraId="59BADF4B">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auto"/>
                <w:spacing w:val="11"/>
                <w:position w:val="0"/>
                <w:sz w:val="24"/>
                <w:szCs w:val="24"/>
                <w:u w:val="none" w:color="auto"/>
              </w:rPr>
            </w:pPr>
            <w:r>
              <w:rPr>
                <w:rFonts w:hint="default" w:ascii="Times New Roman" w:hAnsi="Times New Roman" w:eastAsia="宋体" w:cs="Times New Roman"/>
                <w:color w:val="auto"/>
                <w:spacing w:val="11"/>
                <w:position w:val="0"/>
                <w:sz w:val="24"/>
                <w:szCs w:val="24"/>
                <w:u w:val="none" w:color="auto"/>
              </w:rPr>
              <w:t>矿区表层剥离，植被清除，石料开采、生活设施的布置等改变了矿区原有的地形、地貌，破坏了地表结构，影响地表形态的连续性和协调性。植被、土壤及山体的破坏将造成地表裸露，高边坡，人工痕迹明显，与地表生物群落景观不和谐，影响视感景观，在原来较为单纯的山地景观上增加了“斑块”。因此，矿山应注重土地、边坡整理与植被恢复，使项目建设对景观的影响降低到最低。</w:t>
            </w:r>
          </w:p>
          <w:p w14:paraId="10571016">
            <w:pPr>
              <w:keepNext w:val="0"/>
              <w:keepLines w:val="0"/>
              <w:pageBreakBefore w:val="0"/>
              <w:kinsoku/>
              <w:wordWrap/>
              <w:overflowPunct/>
              <w:topLinePunct w:val="0"/>
              <w:bidi w:val="0"/>
              <w:adjustRightInd w:val="0"/>
              <w:snapToGrid w:val="0"/>
              <w:spacing w:line="360" w:lineRule="auto"/>
              <w:ind w:left="0" w:leftChars="0" w:right="0" w:firstLine="526" w:firstLineChars="200"/>
              <w:jc w:val="left"/>
              <w:textAlignment w:val="auto"/>
              <w:rPr>
                <w:rFonts w:hint="default" w:ascii="Times New Roman" w:hAnsi="Times New Roman" w:eastAsia="宋体" w:cs="Times New Roman"/>
                <w:b/>
                <w:color w:val="000000"/>
                <w:spacing w:val="11"/>
                <w:position w:val="0"/>
                <w:sz w:val="24"/>
                <w:szCs w:val="24"/>
                <w:u w:val="none" w:color="auto"/>
              </w:rPr>
            </w:pPr>
            <w:r>
              <w:rPr>
                <w:rFonts w:hint="default" w:ascii="Times New Roman" w:hAnsi="Times New Roman" w:eastAsia="宋体" w:cs="Times New Roman"/>
                <w:b/>
                <w:color w:val="000000"/>
                <w:spacing w:val="11"/>
                <w:position w:val="0"/>
                <w:sz w:val="24"/>
                <w:szCs w:val="24"/>
                <w:u w:val="none" w:color="auto"/>
              </w:rPr>
              <w:t>6、闭矿期环境影响分析</w:t>
            </w:r>
          </w:p>
          <w:p w14:paraId="7286D533">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采矿业作为仅次于农业的人类第二大生产活动，除了在矿体开采和生产加工过程中对区域环境造成不同程度污染外，采矿和生产活动结束后整个矿区的生态恢复越来越受到人们的重视。根据我国《矿产资源法》和其他相关法律，目前正</w:t>
            </w:r>
            <w:r>
              <w:rPr>
                <w:rFonts w:hint="default" w:ascii="Times New Roman" w:hAnsi="Times New Roman" w:eastAsia="宋体" w:cs="Times New Roman"/>
                <w:b w:val="0"/>
                <w:bCs w:val="0"/>
                <w:color w:val="000000"/>
                <w:spacing w:val="11"/>
                <w:position w:val="0"/>
                <w:sz w:val="24"/>
                <w:szCs w:val="24"/>
                <w:u w:val="none" w:color="auto"/>
              </w:rPr>
              <w:t>在开采或即将开采的矿山，在矿山开采过程中和开采活动结束后，应该有完善的废弃物处置与土地生态恢复的方案。</w:t>
            </w:r>
          </w:p>
          <w:p w14:paraId="5F48E91F">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（1）生产设备处理</w:t>
            </w:r>
          </w:p>
          <w:p w14:paraId="012D6057">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企业闭矿以后，应处置其设备。属于行业淘汰的范围、不符合当时国家产业政策和地方政策的设备，应予报废，设备可按废品出售给回收单位。不属于行业淘汰范围的、符合当时国家产业政策和地方政策的设备，可出售给同行业企业。</w:t>
            </w:r>
          </w:p>
          <w:p w14:paraId="23770187">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（2）原材料和产品处理</w:t>
            </w:r>
          </w:p>
          <w:p w14:paraId="2C824F5A">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该项目原材料和产品均不含危险物品，可出售给相关企业，对环境无影响。</w:t>
            </w:r>
          </w:p>
          <w:p w14:paraId="482313AE">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（3）土地生态恢复</w:t>
            </w:r>
          </w:p>
          <w:p w14:paraId="09BE1C28">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项目闭矿后，应由企</w:t>
            </w:r>
            <w:r>
              <w:rPr>
                <w:rFonts w:hint="default" w:ascii="Times New Roman" w:hAnsi="Times New Roman" w:eastAsia="宋体" w:cs="Times New Roman"/>
                <w:color w:val="000000"/>
                <w:spacing w:val="11"/>
                <w:position w:val="0"/>
                <w:sz w:val="24"/>
                <w:szCs w:val="24"/>
                <w:u w:val="none" w:color="auto"/>
              </w:rPr>
              <w:t>业负责进行生态恢复，防治因土壤裸露而造成水土流失等环境问题。生态恢复在不同时期和不同国家因社会经济发展程度不同，其所要求达到的目的也不尽相同。</w:t>
            </w:r>
          </w:p>
          <w:p w14:paraId="20E15BC3">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本评价所称生态恢复是指对采矿过程引发的结构缺损、功能失调的极度退化的生态系统，借助人工支持和诱导，对其组成、结构和功能进行超前性的计划、规划、安排和调控，使已退化生态系统发生逆向演替，最终重建一个符合实际需求的可持续的生态系统。</w:t>
            </w:r>
          </w:p>
          <w:p w14:paraId="18267325">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1）恢复目标</w:t>
            </w:r>
          </w:p>
          <w:p w14:paraId="5153BBE3">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废弃生态恢复是一个多目标的活动，主要体现在三个方面：环境污染控制、社会经济利用和自身维持系统的监理。这三个目标相互是紧密联系的，环境污染的长期和有效控制必须依赖于自身维持生态系统的建立，废弃的社会经济利用必须是基于良好的生态环境的基础，同时，社会经济利用也可能是污染控制的一个有效手段。</w:t>
            </w:r>
          </w:p>
          <w:p w14:paraId="61AC60C1">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对于本项目而言，闭矿后生态恢复的具体目标为以下几项：</w:t>
            </w:r>
          </w:p>
          <w:p w14:paraId="26AD6607">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1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①</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环境污染控制</w:t>
            </w:r>
          </w:p>
          <w:p w14:paraId="52994A16">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2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②</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景观改善</w:t>
            </w:r>
          </w:p>
          <w:p w14:paraId="3495CEC3">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3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③</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生物多向性保护</w:t>
            </w:r>
          </w:p>
          <w:p w14:paraId="49B5C4C7">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4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④</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生态系统复原。</w:t>
            </w:r>
          </w:p>
          <w:p w14:paraId="2320CD6A">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2）技术指标</w:t>
            </w:r>
          </w:p>
          <w:p w14:paraId="16749AC7">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矿山生态恢复主要是对矿业开发损毁压占的土地，采取和整治措施，经过林地和监测、管理、修复两个阶段，使其变成林地等，恢复土地的使用价值和环境生态。</w:t>
            </w:r>
          </w:p>
          <w:p w14:paraId="4B3BCA89">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主要技术指标如下：</w:t>
            </w:r>
          </w:p>
          <w:p w14:paraId="62FE7BD2">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1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①</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有土复垦农业种植技术，复垦后2~3年成为有持续农业生产力的农田，其农作物产量达到或超过当地平均水平。粮食作物无污染，可食用。</w:t>
            </w:r>
          </w:p>
          <w:p w14:paraId="0A75287E">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2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②</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无土复垦生态恢复技术，使复垦后的土地具有自我维持和发展能力，植被覆盖率可达到或超过90%以上。达到生态多样目标，草坪、灌木、乔木多品种互生，昆虫小鸟等小动物在此栖息。</w:t>
            </w:r>
          </w:p>
          <w:p w14:paraId="76319A72">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3）生态恢复的技术手段</w:t>
            </w:r>
          </w:p>
          <w:p w14:paraId="74BFDDE1">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废弃地的生态恢复问题是一个技术复杂的问题，它与生态、地址、土壤、废料、作物栽培、农林、农田水利、环境保护、毒理、没学、农艺、地理等许多学科有关。就当前各学科发展和生态恢复理论研究水平来看，一下集中技术手段通常被认为是可行的。</w:t>
            </w:r>
          </w:p>
          <w:p w14:paraId="6D0F8EC9">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1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①</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植被重建技术</w:t>
            </w:r>
          </w:p>
          <w:p w14:paraId="677469C7">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32"/>
                <w:szCs w:val="32"/>
                <w:u w:val="none" w:color="auto"/>
              </w:rPr>
            </w:pPr>
            <w:r>
              <w:rPr>
                <w:rFonts w:hint="default" w:ascii="Times New Roman" w:hAnsi="Times New Roman" w:eastAsia="宋体" w:cs="Times New Roman"/>
                <w:color w:val="000000"/>
                <w:spacing w:val="11"/>
                <w:position w:val="0"/>
                <w:sz w:val="24"/>
                <w:szCs w:val="24"/>
                <w:u w:val="none" w:color="auto"/>
              </w:rPr>
              <w:t>根据废弃地地理化性质，基本的植被重建技术有三类：直接种植普通植物、改良基质后种植耐性植物和表层处理后种植植物。各种植被重建方法都有其优势和问题，见表</w:t>
            </w:r>
            <w:r>
              <w:rPr>
                <w:rFonts w:hint="default" w:ascii="Times New Roman" w:hAnsi="Times New Roman" w:eastAsia="宋体" w:cs="Times New Roman"/>
                <w:color w:val="000000"/>
                <w:spacing w:val="11"/>
                <w:position w:val="0"/>
                <w:sz w:val="24"/>
                <w:szCs w:val="24"/>
                <w:u w:val="none" w:color="auto"/>
                <w:lang w:val="en-US" w:eastAsia="zh-CN"/>
              </w:rPr>
              <w:t>4-</w:t>
            </w:r>
            <w:r>
              <w:rPr>
                <w:rFonts w:hint="eastAsia" w:cs="Times New Roman"/>
                <w:color w:val="000000"/>
                <w:spacing w:val="11"/>
                <w:position w:val="0"/>
                <w:sz w:val="24"/>
                <w:szCs w:val="24"/>
                <w:u w:val="none" w:color="auto"/>
                <w:lang w:val="en-US" w:eastAsia="zh-CN"/>
              </w:rPr>
              <w:t>5</w:t>
            </w:r>
            <w:r>
              <w:rPr>
                <w:rFonts w:hint="default" w:ascii="Times New Roman" w:hAnsi="Times New Roman" w:eastAsia="宋体" w:cs="Times New Roman"/>
                <w:color w:val="000000"/>
                <w:spacing w:val="11"/>
                <w:position w:val="0"/>
                <w:sz w:val="24"/>
                <w:szCs w:val="24"/>
                <w:u w:val="none" w:color="auto"/>
              </w:rPr>
              <w:t>。</w:t>
            </w:r>
          </w:p>
          <w:p w14:paraId="213CF01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000000"/>
                <w:spacing w:val="11"/>
                <w:position w:val="0"/>
                <w:sz w:val="21"/>
                <w:szCs w:val="21"/>
                <w:u w:val="none" w:color="auto"/>
              </w:rPr>
            </w:pPr>
            <w:r>
              <w:rPr>
                <w:rFonts w:hint="default" w:ascii="Times New Roman" w:hAnsi="Times New Roman" w:eastAsia="宋体" w:cs="Times New Roman"/>
                <w:b/>
                <w:bCs/>
                <w:color w:val="000000"/>
                <w:spacing w:val="11"/>
                <w:position w:val="0"/>
                <w:sz w:val="21"/>
                <w:szCs w:val="21"/>
                <w:u w:val="none" w:color="auto"/>
              </w:rPr>
              <w:t>表</w:t>
            </w:r>
            <w:r>
              <w:rPr>
                <w:rFonts w:hint="default" w:ascii="Times New Roman" w:hAnsi="Times New Roman" w:eastAsia="宋体" w:cs="Times New Roman"/>
                <w:b/>
                <w:bCs/>
                <w:color w:val="000000"/>
                <w:spacing w:val="11"/>
                <w:position w:val="0"/>
                <w:sz w:val="21"/>
                <w:szCs w:val="21"/>
                <w:u w:val="none" w:color="auto"/>
                <w:lang w:val="en-US" w:eastAsia="zh-CN"/>
              </w:rPr>
              <w:t>4-</w:t>
            </w:r>
            <w:r>
              <w:rPr>
                <w:rFonts w:hint="eastAsia" w:cs="Times New Roman"/>
                <w:b/>
                <w:bCs/>
                <w:color w:val="000000"/>
                <w:spacing w:val="11"/>
                <w:position w:val="0"/>
                <w:sz w:val="21"/>
                <w:szCs w:val="21"/>
                <w:u w:val="none" w:color="auto"/>
                <w:lang w:val="en-US" w:eastAsia="zh-CN"/>
              </w:rPr>
              <w:t>5</w:t>
            </w:r>
            <w:r>
              <w:rPr>
                <w:rFonts w:hint="default" w:ascii="Times New Roman" w:hAnsi="Times New Roman" w:eastAsia="宋体" w:cs="Times New Roman"/>
                <w:b/>
                <w:bCs/>
                <w:color w:val="000000"/>
                <w:spacing w:val="11"/>
                <w:position w:val="0"/>
                <w:sz w:val="21"/>
                <w:szCs w:val="21"/>
                <w:u w:val="none" w:color="auto"/>
                <w:lang w:val="en-US" w:eastAsia="zh-CN"/>
              </w:rPr>
              <w:t xml:space="preserve">  </w:t>
            </w:r>
            <w:r>
              <w:rPr>
                <w:rFonts w:hint="default" w:ascii="Times New Roman" w:hAnsi="Times New Roman" w:eastAsia="宋体" w:cs="Times New Roman"/>
                <w:b/>
                <w:bCs/>
                <w:color w:val="000000"/>
                <w:spacing w:val="11"/>
                <w:position w:val="0"/>
                <w:sz w:val="21"/>
                <w:szCs w:val="21"/>
                <w:u w:val="none" w:color="auto"/>
              </w:rPr>
              <w:t>基本的植被重建技术比较</w:t>
            </w:r>
          </w:p>
          <w:tbl>
            <w:tblPr>
              <w:tblStyle w:val="3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3789"/>
              <w:gridCol w:w="3086"/>
            </w:tblGrid>
            <w:tr w14:paraId="09802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6" w:type="pct"/>
                  <w:tcBorders>
                    <w:tl2br w:val="nil"/>
                    <w:tr2bl w:val="nil"/>
                  </w:tcBorders>
                  <w:noWrap w:val="0"/>
                  <w:vAlign w:val="center"/>
                </w:tcPr>
                <w:p w14:paraId="744B77D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color w:val="000000"/>
                      <w:spacing w:val="11"/>
                      <w:position w:val="0"/>
                      <w:sz w:val="21"/>
                      <w:szCs w:val="21"/>
                      <w:u w:val="none" w:color="auto"/>
                    </w:rPr>
                  </w:pPr>
                  <w:r>
                    <w:rPr>
                      <w:rFonts w:hint="default" w:ascii="Times New Roman" w:hAnsi="Times New Roman" w:eastAsia="宋体" w:cs="Times New Roman"/>
                      <w:b/>
                      <w:color w:val="000000"/>
                      <w:spacing w:val="11"/>
                      <w:position w:val="0"/>
                      <w:sz w:val="21"/>
                      <w:szCs w:val="21"/>
                      <w:u w:val="none" w:color="auto"/>
                    </w:rPr>
                    <w:t>性质</w:t>
                  </w:r>
                </w:p>
              </w:tc>
              <w:tc>
                <w:tcPr>
                  <w:tcW w:w="2344" w:type="pct"/>
                  <w:tcBorders>
                    <w:tl2br w:val="nil"/>
                    <w:tr2bl w:val="nil"/>
                  </w:tcBorders>
                  <w:noWrap w:val="0"/>
                  <w:vAlign w:val="center"/>
                </w:tcPr>
                <w:p w14:paraId="2AE5CBB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color w:val="000000"/>
                      <w:spacing w:val="11"/>
                      <w:position w:val="0"/>
                      <w:sz w:val="21"/>
                      <w:szCs w:val="21"/>
                      <w:u w:val="none" w:color="auto"/>
                    </w:rPr>
                  </w:pPr>
                  <w:r>
                    <w:rPr>
                      <w:rFonts w:hint="default" w:ascii="Times New Roman" w:hAnsi="Times New Roman" w:eastAsia="宋体" w:cs="Times New Roman"/>
                      <w:b/>
                      <w:color w:val="000000"/>
                      <w:spacing w:val="11"/>
                      <w:position w:val="0"/>
                      <w:sz w:val="21"/>
                      <w:szCs w:val="21"/>
                      <w:u w:val="none" w:color="auto"/>
                    </w:rPr>
                    <w:t>植被重建技术</w:t>
                  </w:r>
                </w:p>
              </w:tc>
              <w:tc>
                <w:tcPr>
                  <w:tcW w:w="1909" w:type="pct"/>
                  <w:tcBorders>
                    <w:tl2br w:val="nil"/>
                    <w:tr2bl w:val="nil"/>
                  </w:tcBorders>
                  <w:noWrap w:val="0"/>
                  <w:vAlign w:val="center"/>
                </w:tcPr>
                <w:p w14:paraId="2709808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color w:val="000000"/>
                      <w:spacing w:val="11"/>
                      <w:position w:val="0"/>
                      <w:sz w:val="21"/>
                      <w:szCs w:val="21"/>
                      <w:u w:val="none" w:color="auto"/>
                    </w:rPr>
                  </w:pPr>
                  <w:r>
                    <w:rPr>
                      <w:rFonts w:hint="default" w:ascii="Times New Roman" w:hAnsi="Times New Roman" w:eastAsia="宋体" w:cs="Times New Roman"/>
                      <w:b/>
                      <w:color w:val="000000"/>
                      <w:spacing w:val="11"/>
                      <w:position w:val="0"/>
                      <w:sz w:val="21"/>
                      <w:szCs w:val="21"/>
                      <w:u w:val="none" w:color="auto"/>
                    </w:rPr>
                    <w:t>面临问题</w:t>
                  </w:r>
                </w:p>
              </w:tc>
            </w:tr>
            <w:tr w14:paraId="03C46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6" w:type="pct"/>
                  <w:tcBorders>
                    <w:tl2br w:val="nil"/>
                    <w:tr2bl w:val="nil"/>
                  </w:tcBorders>
                  <w:noWrap w:val="0"/>
                  <w:vAlign w:val="center"/>
                </w:tcPr>
                <w:p w14:paraId="3F0420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重金属毒性低酸碱度不强</w:t>
                  </w:r>
                </w:p>
              </w:tc>
              <w:tc>
                <w:tcPr>
                  <w:tcW w:w="2344" w:type="pct"/>
                  <w:tcBorders>
                    <w:tl2br w:val="nil"/>
                    <w:tr2bl w:val="nil"/>
                  </w:tcBorders>
                  <w:noWrap w:val="0"/>
                  <w:vAlign w:val="center"/>
                </w:tcPr>
                <w:p w14:paraId="3D0561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1、经改良后或直接播种农作物、观赏草类或豆科植物。若pH＜6可使用石灰，物理性质不良则添加有机质，亦可添加颗粒状复合肥，普通方法播种或水播均可。</w:t>
                  </w:r>
                </w:p>
              </w:tc>
              <w:tc>
                <w:tcPr>
                  <w:tcW w:w="1909" w:type="pct"/>
                  <w:tcBorders>
                    <w:tl2br w:val="nil"/>
                    <w:tr2bl w:val="nil"/>
                  </w:tcBorders>
                  <w:noWrap w:val="0"/>
                  <w:vAlign w:val="center"/>
                </w:tcPr>
                <w:p w14:paraId="6EA7E02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可能需要长期维护。在某些情况下，需严格检测植物本中有毒元素的积累情况，并严格控制动物取食。</w:t>
                  </w:r>
                </w:p>
              </w:tc>
            </w:tr>
            <w:tr w14:paraId="7CBD8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6" w:type="pct"/>
                  <w:tcBorders>
                    <w:tl2br w:val="nil"/>
                    <w:tr2bl w:val="nil"/>
                  </w:tcBorders>
                  <w:noWrap w:val="0"/>
                  <w:vAlign w:val="center"/>
                </w:tcPr>
                <w:p w14:paraId="1A1A94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重金属毒性低，气候适宜、酸碱度不强、重金属毒性高或较高、盐分含量高</w:t>
                  </w:r>
                </w:p>
              </w:tc>
              <w:tc>
                <w:tcPr>
                  <w:tcW w:w="2344" w:type="pct"/>
                  <w:tcBorders>
                    <w:tl2br w:val="nil"/>
                    <w:tr2bl w:val="nil"/>
                  </w:tcBorders>
                  <w:noWrap w:val="0"/>
                  <w:vAlign w:val="center"/>
                </w:tcPr>
                <w:p w14:paraId="089BA3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2、改良并直接种植乡土植物或耐性植物。基质改良（如化肥、石灰）后直接播种或种植乡土植物，也可散播薄薄一层本地表土以引入种子库。</w:t>
                  </w:r>
                </w:p>
                <w:p w14:paraId="506E2C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3、表层处理后直接播种农作物、观赏曹磊或豆科植物。表层覆盖10~50cm无毒性的矿业废弃物（如剥离土）。必要时施工用石灰、化肥或有机质。</w:t>
                  </w:r>
                </w:p>
              </w:tc>
              <w:tc>
                <w:tcPr>
                  <w:tcW w:w="1909" w:type="pct"/>
                  <w:tcBorders>
                    <w:tl2br w:val="nil"/>
                    <w:tr2bl w:val="nil"/>
                  </w:tcBorders>
                  <w:noWrap w:val="0"/>
                  <w:vAlign w:val="center"/>
                </w:tcPr>
                <w:p w14:paraId="53935E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干旱季必须灌溉。选择乡土种需要专业知识，劳动强度大。可能需要长期施肥。相对而言，只有少数植物才能形成耐性生态型，不宜动物取食，商品化的耐性植物尤其少。若覆盖层较薄，重金属会向表层迁移，从而导致重建植被的退化。表面覆盖材料难于获得，或是运输、施工成本很高。</w:t>
                  </w:r>
                </w:p>
              </w:tc>
            </w:tr>
            <w:tr w14:paraId="7F7FF1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6" w:type="pct"/>
                  <w:tcBorders>
                    <w:tl2br w:val="nil"/>
                    <w:tr2bl w:val="nil"/>
                  </w:tcBorders>
                  <w:noWrap w:val="0"/>
                  <w:vAlign w:val="center"/>
                </w:tcPr>
                <w:p w14:paraId="6595C8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重金属含量非常高、毒性极大极度的酸、碱性</w:t>
                  </w:r>
                </w:p>
              </w:tc>
              <w:tc>
                <w:tcPr>
                  <w:tcW w:w="2344" w:type="pct"/>
                  <w:tcBorders>
                    <w:tl2br w:val="nil"/>
                    <w:tr2bl w:val="nil"/>
                  </w:tcBorders>
                  <w:noWrap w:val="0"/>
                  <w:vAlign w:val="center"/>
                </w:tcPr>
                <w:p w14:paraId="001033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both"/>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4隔离层。在废弃物表层铺上30~100cm无毒性的材料（如非矿质岩石）作为隔离层，在隔离层上面再铺上一层能提供植物生长的基质（如亚层基质土壤），必要时使用石灰、化肥或有机质。</w:t>
                  </w:r>
                </w:p>
              </w:tc>
              <w:tc>
                <w:tcPr>
                  <w:tcW w:w="1909" w:type="pct"/>
                  <w:tcBorders>
                    <w:tl2br w:val="nil"/>
                    <w:tr2bl w:val="nil"/>
                  </w:tcBorders>
                  <w:noWrap w:val="0"/>
                  <w:vAlign w:val="center"/>
                </w:tcPr>
                <w:p w14:paraId="2BAED5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如果表层覆盖物的持水性能不好或厚度不够，植被受干旱影响较大。作为隔离底层的材料难于获得，且费用高昂，植物根系的渗透作用也会影响隔离层的完整性。</w:t>
                  </w:r>
                </w:p>
              </w:tc>
            </w:tr>
          </w:tbl>
          <w:p w14:paraId="271FAF86">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2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②</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废弃地基质改良技术</w:t>
            </w:r>
          </w:p>
          <w:p w14:paraId="545808EC">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矿山废弃地是一种极端生境，不具备正常土壤的基本结构和肥力，土壤生物不复存在，几乎没有具活力植物繁殖体，作为一种极端裸地，植物地自然定居和生态系统地原生演替过程及其缓慢。</w:t>
            </w:r>
          </w:p>
          <w:p w14:paraId="44884DC2">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考察矿山废弃地中影响植物定居的胁迫因子，主要有以下几项：</w:t>
            </w:r>
          </w:p>
          <w:p w14:paraId="05529274">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a、不良的物理结构和较差持水保肥能力；</w:t>
            </w:r>
          </w:p>
          <w:p w14:paraId="59620AA7">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b、极端贫瘠，N、P、K和有机质含量极低，或是养分不平衡；</w:t>
            </w:r>
          </w:p>
          <w:p w14:paraId="3290501D">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c、有害元素含量过高，影响植物代谢途径，植物吸收营养元素和植物根系的生长；</w:t>
            </w:r>
          </w:p>
          <w:p w14:paraId="0265454B">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d、极端pH。硫化物氧化后产生硫酸，严重时pH接近2；酸性条件加剧了有害元素的溶出和增强了其毒性，强碱性条件也会引起植物的养分不足和酶的不稳定性等；</w:t>
            </w:r>
          </w:p>
          <w:p w14:paraId="7A23FD27">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e、干旱或盐分过高引起的生理干旱。</w:t>
            </w:r>
          </w:p>
          <w:p w14:paraId="33FD9A00">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上述不利因素可单独或几种同时出现在各种不同类型的矿山废弃地中。因而在生态恢复中必须有正对性的采取相关的短期或长期措施来解决这些不利因素。</w:t>
            </w:r>
          </w:p>
          <w:p w14:paraId="575B1BDD">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根据当前已经具备的成熟技术手段，参考过国内已有矿山的成功经验，对本项目退役后的废弃地进行生态恢复规划。</w:t>
            </w:r>
          </w:p>
          <w:p w14:paraId="1238DF5B">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4）矿山闭矿植被修复</w:t>
            </w:r>
          </w:p>
          <w:p w14:paraId="408906CB">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矿山开采完毕后，对矿区滑坡、地表水水量进行监测，在出现滑坡后，对其进行圈围，并划出危险区域，禁止人、牲畜进入。其次对其采矿区内破坏地表和石料加工场进行植被恢复。</w:t>
            </w:r>
          </w:p>
          <w:p w14:paraId="246541FC">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植被复垦时必须引入耐性强的草种植被作为先锋植被，在进行植被复垦之前必须进行表层覆土，表土可利用堆存与排土场中采矿区剥离的表土，或从其他荒地处取土，取土应注意保护取土处的生态环境防治造成二次破坏，表土的覆盖厚度要求在50~60cm之间。</w:t>
            </w:r>
          </w:p>
          <w:p w14:paraId="2C1AA3C6">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根据南方第七的气候特征和本矿的特性，采用“立地植被恢复演替”的模式进行生态恢复。该模式是利用改善植被群落演替规律，根据矿山废弃地立地条件，通过植被种类筛选和合理的植被顺序，达到矿山废弃地利用和植被恢复的目的，从而恢复矿区的植被，改善矿区的生态环境，最终实现林业利用。</w:t>
            </w:r>
          </w:p>
          <w:p w14:paraId="491CA0F8">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由于土地贫瘠可先选择耐受性强的草本之辈如：芒草、类芦、百喜草、香根草、象草等，使得裸地迅速被植被所覆盖，当立地生境得到一定的改善后，可逐渐采用对土壤改良作用较强的紫花苜蓿、沙棘、田菁等最为更新草种，草本植物群落发展到一定阶段，及时引进一些阳性、吸光先锋灌木，逐渐形成针叶林、针阔混交林，从而矿山区域的生态环境，栽树时应栽混交林，不得栽纯林，以利于树苗生长和防治病虫害。</w:t>
            </w:r>
          </w:p>
          <w:p w14:paraId="42A7B226">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项目业主还必须在闭矿后的生态环境恢复这段时间负责进行生态恢复措施实施情况进行监管，以防治出现生态恢复措施落实不到位的现象。</w:t>
            </w:r>
          </w:p>
          <w:p w14:paraId="191D7734">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（4）生态恢复措施</w:t>
            </w:r>
          </w:p>
          <w:p w14:paraId="52003BEF">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1）矿山生态恢复工程措施闭矿期生态恢复工作主要是对矿山周围生态环境受到破坏的地区，进行复绿、复垦治理工作，是治理后的生态环境不存在地质灾害的隐患点，不存在岩土体直接裸露地表的地段，破坏区域内的植被得以恢复。</w:t>
            </w:r>
          </w:p>
          <w:p w14:paraId="55A2C211">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①露天采场治理措施：矿山闭矿后，为避免上体裸露造成水土流失和坍塌、滑坡的危险，应对裸露的山体和最终边坡进行绿化，恢复植被。将矿山开采剥离的表土用于终了平台覆土、平整，恢复植被。</w:t>
            </w:r>
          </w:p>
          <w:p w14:paraId="088F6767">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②不稳定边坡治理措施：矿山闭矿后，最终边坡角应小于或等于安全边坡角45-65°及时处理危石、险石，整治好的边坡，加固护坡，进行绿化，恢复植被，防止水土流失和坍塌、滑坡的危险。</w:t>
            </w:r>
          </w:p>
          <w:p w14:paraId="560F12B8">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③排土场及临时设施：矿山建有沉砂池，矿山闭矿后应将上述临时设施拆除，并对场地进行清理、平整、进行覆土（覆土0.5m），并连同排土场的空余面积进行生态环境恢复治理，恢复植被。</w:t>
            </w:r>
          </w:p>
          <w:p w14:paraId="177A95F5">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④矿山道路治理措施：矿山闭矿后，应对矿区范围内的矿山道路进行治理，通过在道路内侧挖掘排水沟，在道路旁进行植树等措施，以恢复绿化，防止水土流失。</w:t>
            </w:r>
          </w:p>
          <w:p w14:paraId="1BEF99E6">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2）矿山开采完毕，采坑占用了一部分土地，破坏了原有的自然生态景观，既浪费了土地资源又容易造成水体流失，本矿开采堆积的废渣为表土，风化岩石已用于修路，堆积存储部分的表土可作为复绿时的回填土。本矿复垦方案如下：</w:t>
            </w:r>
          </w:p>
          <w:p w14:paraId="716F2067">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①边坡稳定性治理</w:t>
            </w:r>
          </w:p>
          <w:p w14:paraId="7790A164">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严格按照设计方案设计台阶开采，边坡角不超过设计边坡角50°，一般不会出现边坡失稳。边坡上的危岩要及时清理，在开采过程中应注意节理裂隙的发育情况，以确定节理裂隙对边坡稳定性的影响；对局部裂隙发育等因素造成的边坡不稳定地段，要进行放坡处理，要求边开采边治理，确保边坡稳定和开采安全。在矿山结束开采后，对边坡稳定性作出最终安全评估及治理措施。</w:t>
            </w:r>
          </w:p>
          <w:p w14:paraId="7770F7DC">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②排土场治理</w:t>
            </w:r>
          </w:p>
          <w:p w14:paraId="3EE797CE">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firstLine="524" w:firstLineChars="200"/>
              <w:textAlignment w:val="auto"/>
              <w:rPr>
                <w:rFonts w:hint="default" w:ascii="Times New Roman" w:hAnsi="Times New Roman" w:eastAsia="宋体" w:cs="Times New Roman"/>
                <w:b w:val="0"/>
                <w:color w:val="000000"/>
                <w:spacing w:val="11"/>
                <w:kern w:val="2"/>
                <w:position w:val="0"/>
                <w:sz w:val="24"/>
                <w:szCs w:val="24"/>
                <w:u w:val="none" w:color="auto"/>
                <w:lang w:val="en-US" w:eastAsia="zh-CN" w:bidi="ar-SA"/>
              </w:rPr>
            </w:pPr>
            <w:r>
              <w:rPr>
                <w:rFonts w:hint="default" w:ascii="Times New Roman" w:hAnsi="Times New Roman" w:eastAsia="宋体" w:cs="Times New Roman"/>
                <w:color w:val="000000"/>
                <w:spacing w:val="11"/>
                <w:position w:val="0"/>
                <w:sz w:val="24"/>
                <w:szCs w:val="24"/>
                <w:u w:val="none" w:color="auto"/>
              </w:rPr>
              <w:t>矿山生态恢复植物措施按照适地适树、适地适草的原则，项目复垦工程设计主要栽种松木、草本，根据同类型矿山生态环境恢复治理的案例，建议选取乔木、灌、藤、草结合，进行地表植被破坏区的绿化措施，定期还应播撒草种，加速生体啊植被恢复。</w:t>
            </w:r>
          </w:p>
          <w:p w14:paraId="5A58EFE5">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right="0" w:firstLine="526" w:firstLineChars="200"/>
              <w:jc w:val="left"/>
              <w:textAlignment w:val="auto"/>
              <w:rPr>
                <w:rFonts w:hint="default" w:ascii="Times New Roman" w:hAnsi="Times New Roman" w:eastAsia="宋体" w:cs="Times New Roman"/>
                <w:b/>
                <w:color w:val="000000"/>
                <w:spacing w:val="11"/>
                <w:position w:val="0"/>
                <w:sz w:val="24"/>
                <w:szCs w:val="24"/>
                <w:highlight w:val="none"/>
                <w:u w:val="none" w:color="auto"/>
                <w:lang w:val="en-US" w:eastAsia="zh-CN"/>
              </w:rPr>
            </w:pPr>
            <w:r>
              <w:rPr>
                <w:rFonts w:hint="default" w:ascii="Times New Roman" w:hAnsi="Times New Roman" w:eastAsia="宋体" w:cs="Times New Roman"/>
                <w:b/>
                <w:color w:val="000000"/>
                <w:spacing w:val="11"/>
                <w:position w:val="0"/>
                <w:sz w:val="24"/>
                <w:szCs w:val="24"/>
                <w:highlight w:val="none"/>
                <w:u w:val="none" w:color="auto"/>
                <w:lang w:val="en-US" w:eastAsia="zh-CN"/>
              </w:rPr>
              <w:t>7、地下水及土壤环境影响及措施分析</w:t>
            </w:r>
          </w:p>
          <w:p w14:paraId="357D8601">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bCs/>
                <w:color w:val="auto"/>
                <w:spacing w:val="11"/>
                <w:kern w:val="0"/>
                <w:position w:val="0"/>
                <w:sz w:val="24"/>
                <w:szCs w:val="24"/>
                <w:u w:val="none" w:color="auto"/>
                <w:lang w:val="en-US" w:eastAsia="zh-CN" w:bidi="ar-SA"/>
              </w:rPr>
            </w:pPr>
            <w:r>
              <w:rPr>
                <w:rFonts w:hint="default" w:ascii="Times New Roman" w:hAnsi="Times New Roman" w:eastAsia="宋体" w:cs="Times New Roman"/>
                <w:bCs/>
                <w:color w:val="auto"/>
                <w:spacing w:val="11"/>
                <w:kern w:val="0"/>
                <w:position w:val="0"/>
                <w:sz w:val="24"/>
                <w:szCs w:val="24"/>
                <w:u w:val="none" w:color="auto"/>
                <w:lang w:val="en-US" w:eastAsia="zh-CN" w:bidi="ar-SA"/>
              </w:rPr>
              <w:t>未来矿业活动对水环境</w:t>
            </w:r>
            <w:r>
              <w:rPr>
                <w:rFonts w:hint="default" w:ascii="Times New Roman" w:hAnsi="Times New Roman" w:cs="Times New Roman"/>
                <w:bCs/>
                <w:color w:val="auto"/>
                <w:spacing w:val="11"/>
                <w:kern w:val="0"/>
                <w:position w:val="0"/>
                <w:sz w:val="24"/>
                <w:szCs w:val="24"/>
                <w:u w:val="none" w:color="auto"/>
                <w:lang w:val="en-US" w:eastAsia="zh-CN" w:bidi="ar-SA"/>
              </w:rPr>
              <w:t>、土壤环境</w:t>
            </w:r>
            <w:r>
              <w:rPr>
                <w:rFonts w:hint="default" w:ascii="Times New Roman" w:hAnsi="Times New Roman" w:eastAsia="宋体" w:cs="Times New Roman"/>
                <w:bCs/>
                <w:color w:val="auto"/>
                <w:spacing w:val="11"/>
                <w:kern w:val="0"/>
                <w:position w:val="0"/>
                <w:sz w:val="24"/>
                <w:szCs w:val="24"/>
                <w:u w:val="none" w:color="auto"/>
                <w:lang w:val="en-US" w:eastAsia="zh-CN" w:bidi="ar-SA"/>
              </w:rPr>
              <w:t>的影响主要</w:t>
            </w:r>
            <w:r>
              <w:rPr>
                <w:rFonts w:hint="default" w:ascii="Times New Roman" w:hAnsi="Times New Roman" w:cs="Times New Roman"/>
                <w:bCs/>
                <w:color w:val="auto"/>
                <w:spacing w:val="11"/>
                <w:kern w:val="0"/>
                <w:position w:val="0"/>
                <w:sz w:val="24"/>
                <w:szCs w:val="24"/>
                <w:u w:val="none" w:color="auto"/>
                <w:lang w:val="en-US" w:eastAsia="zh-CN" w:bidi="ar-SA"/>
              </w:rPr>
              <w:t>为两个方面，一</w:t>
            </w:r>
            <w:r>
              <w:rPr>
                <w:rFonts w:hint="default" w:ascii="Times New Roman" w:hAnsi="Times New Roman" w:eastAsia="宋体" w:cs="Times New Roman"/>
                <w:bCs/>
                <w:color w:val="auto"/>
                <w:spacing w:val="11"/>
                <w:kern w:val="0"/>
                <w:position w:val="0"/>
                <w:sz w:val="24"/>
                <w:szCs w:val="24"/>
                <w:u w:val="none" w:color="auto"/>
                <w:lang w:val="en-US" w:eastAsia="zh-CN" w:bidi="ar-SA"/>
              </w:rPr>
              <w:t>是采场废水和废石堆淋浸水对地表水</w:t>
            </w:r>
            <w:r>
              <w:rPr>
                <w:rFonts w:hint="default" w:ascii="Times New Roman" w:hAnsi="Times New Roman" w:cs="Times New Roman"/>
                <w:bCs/>
                <w:color w:val="auto"/>
                <w:spacing w:val="11"/>
                <w:kern w:val="0"/>
                <w:position w:val="0"/>
                <w:sz w:val="24"/>
                <w:szCs w:val="24"/>
                <w:u w:val="none" w:color="auto"/>
                <w:lang w:val="en-US" w:eastAsia="zh-CN" w:bidi="ar-SA"/>
              </w:rPr>
              <w:t>、</w:t>
            </w:r>
            <w:r>
              <w:rPr>
                <w:rFonts w:hint="default" w:ascii="Times New Roman" w:hAnsi="Times New Roman" w:eastAsia="宋体" w:cs="Times New Roman"/>
                <w:bCs/>
                <w:color w:val="auto"/>
                <w:spacing w:val="11"/>
                <w:kern w:val="0"/>
                <w:position w:val="0"/>
                <w:sz w:val="24"/>
                <w:szCs w:val="24"/>
                <w:u w:val="none" w:color="auto"/>
                <w:lang w:val="en-US" w:eastAsia="zh-CN" w:bidi="ar-SA"/>
              </w:rPr>
              <w:t>地下水</w:t>
            </w:r>
            <w:r>
              <w:rPr>
                <w:rFonts w:hint="default" w:ascii="Times New Roman" w:hAnsi="Times New Roman" w:cs="Times New Roman"/>
                <w:bCs/>
                <w:color w:val="auto"/>
                <w:spacing w:val="11"/>
                <w:kern w:val="0"/>
                <w:position w:val="0"/>
                <w:sz w:val="24"/>
                <w:szCs w:val="24"/>
                <w:u w:val="none" w:color="auto"/>
                <w:lang w:val="en-US" w:eastAsia="zh-CN" w:bidi="ar-SA"/>
              </w:rPr>
              <w:t>和土壤</w:t>
            </w:r>
            <w:r>
              <w:rPr>
                <w:rFonts w:hint="default" w:ascii="Times New Roman" w:hAnsi="Times New Roman" w:eastAsia="宋体" w:cs="Times New Roman"/>
                <w:bCs/>
                <w:color w:val="auto"/>
                <w:spacing w:val="11"/>
                <w:kern w:val="0"/>
                <w:position w:val="0"/>
                <w:sz w:val="24"/>
                <w:szCs w:val="24"/>
                <w:u w:val="none" w:color="auto"/>
                <w:lang w:val="en-US" w:eastAsia="zh-CN" w:bidi="ar-SA"/>
              </w:rPr>
              <w:t>的污染</w:t>
            </w:r>
            <w:r>
              <w:rPr>
                <w:rFonts w:hint="default" w:ascii="Times New Roman" w:hAnsi="Times New Roman" w:cs="Times New Roman"/>
                <w:bCs/>
                <w:color w:val="auto"/>
                <w:spacing w:val="11"/>
                <w:kern w:val="0"/>
                <w:position w:val="0"/>
                <w:sz w:val="24"/>
                <w:szCs w:val="24"/>
                <w:u w:val="none" w:color="auto"/>
                <w:lang w:val="en-US" w:eastAsia="zh-CN" w:bidi="ar-SA"/>
              </w:rPr>
              <w:t>；二是厂内储存的设备维修所用润滑油和维修后的废润滑油属于风险物质，存在泄漏的风险</w:t>
            </w:r>
            <w:r>
              <w:rPr>
                <w:rFonts w:hint="default" w:ascii="Times New Roman" w:hAnsi="Times New Roman" w:eastAsia="宋体" w:cs="Times New Roman"/>
                <w:bCs/>
                <w:color w:val="auto"/>
                <w:spacing w:val="11"/>
                <w:kern w:val="0"/>
                <w:position w:val="0"/>
                <w:sz w:val="24"/>
                <w:szCs w:val="24"/>
                <w:u w:val="none" w:color="auto"/>
                <w:lang w:val="en-US" w:eastAsia="zh-CN" w:bidi="ar-SA"/>
              </w:rPr>
              <w:t>。</w:t>
            </w:r>
          </w:p>
          <w:p w14:paraId="37820C46">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bCs/>
                <w:color w:val="auto"/>
                <w:spacing w:val="11"/>
                <w:kern w:val="0"/>
                <w:position w:val="0"/>
                <w:sz w:val="24"/>
                <w:szCs w:val="24"/>
                <w:u w:val="none" w:color="auto"/>
                <w:lang w:val="en-US" w:eastAsia="zh-CN" w:bidi="ar-SA"/>
              </w:rPr>
            </w:pPr>
            <w:r>
              <w:rPr>
                <w:rFonts w:hint="default" w:ascii="Times New Roman" w:hAnsi="Times New Roman" w:eastAsia="宋体" w:cs="Times New Roman"/>
                <w:bCs/>
                <w:color w:val="auto"/>
                <w:spacing w:val="11"/>
                <w:kern w:val="0"/>
                <w:position w:val="0"/>
                <w:sz w:val="24"/>
                <w:szCs w:val="24"/>
                <w:u w:val="none" w:color="auto"/>
                <w:lang w:val="en-US" w:eastAsia="zh-CN" w:bidi="ar-SA"/>
              </w:rPr>
              <w:t>未来矿山为原矿生产，不进行选矿，矿山废水主要成分为悬浮物，无有毒有害重金属及砷、汞等有毒有害元素，其对地表水、地下水和土壤污染较轻，影响范围仅局限于废水排放范围内及废石堆周围局部地段，所造成的损失小，故预测评估未来矿业活动对水环境</w:t>
            </w:r>
            <w:r>
              <w:rPr>
                <w:rFonts w:hint="default" w:ascii="Times New Roman" w:hAnsi="Times New Roman" w:cs="Times New Roman"/>
                <w:bCs/>
                <w:color w:val="auto"/>
                <w:spacing w:val="11"/>
                <w:kern w:val="0"/>
                <w:position w:val="0"/>
                <w:sz w:val="24"/>
                <w:szCs w:val="24"/>
                <w:u w:val="none" w:color="auto"/>
                <w:lang w:val="en-US" w:eastAsia="zh-CN" w:bidi="ar-SA"/>
              </w:rPr>
              <w:t>、土壤环境</w:t>
            </w:r>
            <w:r>
              <w:rPr>
                <w:rFonts w:hint="default" w:ascii="Times New Roman" w:hAnsi="Times New Roman" w:eastAsia="宋体" w:cs="Times New Roman"/>
                <w:bCs/>
                <w:color w:val="auto"/>
                <w:spacing w:val="11"/>
                <w:kern w:val="0"/>
                <w:position w:val="0"/>
                <w:sz w:val="24"/>
                <w:szCs w:val="24"/>
                <w:u w:val="none" w:color="auto"/>
                <w:lang w:val="en-US" w:eastAsia="zh-CN" w:bidi="ar-SA"/>
              </w:rPr>
              <w:t>影响较轻。</w:t>
            </w:r>
          </w:p>
          <w:p w14:paraId="53C4175F">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bCs/>
                <w:color w:val="auto"/>
                <w:spacing w:val="11"/>
                <w:kern w:val="0"/>
                <w:position w:val="0"/>
                <w:sz w:val="24"/>
                <w:szCs w:val="24"/>
                <w:u w:val="none" w:color="auto"/>
                <w:lang w:val="en-US" w:eastAsia="zh-CN" w:bidi="ar-SA"/>
              </w:rPr>
            </w:pPr>
            <w:r>
              <w:rPr>
                <w:rFonts w:hint="default" w:ascii="Times New Roman" w:hAnsi="Times New Roman" w:eastAsia="宋体" w:cs="Times New Roman"/>
                <w:bCs/>
                <w:color w:val="auto"/>
                <w:spacing w:val="11"/>
                <w:kern w:val="0"/>
                <w:position w:val="0"/>
                <w:sz w:val="24"/>
                <w:szCs w:val="24"/>
                <w:u w:val="none" w:color="auto"/>
                <w:lang w:val="en-US" w:eastAsia="zh-CN" w:bidi="ar-SA"/>
              </w:rPr>
              <w:t>厂内储存的设备维修所用润滑油和维修后的废润滑油属于风险物质，存在泄漏的风险。对危废暂存间采取重点防渗措施，防渗层为2mm厚高密度聚乙烯，渗透系数≤10</w:t>
            </w:r>
            <w:r>
              <w:rPr>
                <w:rFonts w:hint="default" w:ascii="Times New Roman" w:hAnsi="Times New Roman" w:eastAsia="宋体" w:cs="Times New Roman"/>
                <w:bCs/>
                <w:color w:val="auto"/>
                <w:spacing w:val="11"/>
                <w:kern w:val="0"/>
                <w:position w:val="0"/>
                <w:sz w:val="24"/>
                <w:szCs w:val="24"/>
                <w:u w:val="none" w:color="auto"/>
                <w:vertAlign w:val="superscript"/>
                <w:lang w:val="en-US" w:eastAsia="zh-CN" w:bidi="ar-SA"/>
              </w:rPr>
              <w:t>-10</w:t>
            </w:r>
            <w:r>
              <w:rPr>
                <w:rFonts w:hint="default" w:ascii="Times New Roman" w:hAnsi="Times New Roman" w:eastAsia="宋体" w:cs="Times New Roman"/>
                <w:bCs/>
                <w:color w:val="auto"/>
                <w:spacing w:val="11"/>
                <w:kern w:val="0"/>
                <w:position w:val="0"/>
                <w:sz w:val="24"/>
                <w:szCs w:val="24"/>
                <w:u w:val="none" w:color="auto"/>
                <w:lang w:val="en-US" w:eastAsia="zh-CN" w:bidi="ar-SA"/>
              </w:rPr>
              <w:t>cm/s；危废暂存间设置容积不小于0.2m</w:t>
            </w:r>
            <w:r>
              <w:rPr>
                <w:rFonts w:hint="default" w:ascii="Times New Roman" w:hAnsi="Times New Roman" w:eastAsia="宋体" w:cs="Times New Roman"/>
                <w:bCs/>
                <w:color w:val="auto"/>
                <w:spacing w:val="11"/>
                <w:kern w:val="0"/>
                <w:position w:val="0"/>
                <w:sz w:val="24"/>
                <w:szCs w:val="24"/>
                <w:u w:val="none" w:color="auto"/>
                <w:vertAlign w:val="superscript"/>
                <w:lang w:val="en-US" w:eastAsia="zh-CN" w:bidi="ar-SA"/>
              </w:rPr>
              <w:t>3</w:t>
            </w:r>
            <w:r>
              <w:rPr>
                <w:rFonts w:hint="default" w:ascii="Times New Roman" w:hAnsi="Times New Roman" w:eastAsia="宋体" w:cs="Times New Roman"/>
                <w:bCs/>
                <w:color w:val="auto"/>
                <w:spacing w:val="11"/>
                <w:kern w:val="0"/>
                <w:position w:val="0"/>
                <w:sz w:val="24"/>
                <w:szCs w:val="24"/>
                <w:u w:val="none" w:color="auto"/>
                <w:lang w:val="en-US" w:eastAsia="zh-CN" w:bidi="ar-SA"/>
              </w:rPr>
              <w:t>的托盘，一旦发生泄漏，风险物质可得到控制，不会污染周边的地下水及土壤。</w:t>
            </w:r>
          </w:p>
          <w:p w14:paraId="18703520">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cs="Times New Roman"/>
                <w:b/>
                <w:color w:val="auto"/>
                <w:spacing w:val="11"/>
                <w:position w:val="0"/>
                <w:sz w:val="24"/>
                <w:szCs w:val="24"/>
                <w:highlight w:val="none"/>
                <w:u w:val="none" w:color="auto"/>
                <w:lang w:val="en-US" w:eastAsia="zh-CN"/>
              </w:rPr>
            </w:pPr>
            <w:r>
              <w:rPr>
                <w:rFonts w:hint="default" w:ascii="Times New Roman" w:hAnsi="Times New Roman" w:eastAsia="宋体" w:cs="Times New Roman"/>
                <w:bCs/>
                <w:color w:val="auto"/>
                <w:spacing w:val="11"/>
                <w:kern w:val="0"/>
                <w:position w:val="0"/>
                <w:sz w:val="24"/>
                <w:szCs w:val="24"/>
                <w:u w:val="none" w:color="auto"/>
                <w:lang w:val="en-US" w:eastAsia="zh-CN" w:bidi="ar-SA"/>
              </w:rPr>
              <w:t>矿山</w:t>
            </w:r>
            <w:r>
              <w:rPr>
                <w:rFonts w:hint="default" w:ascii="Times New Roman" w:hAnsi="Times New Roman" w:cs="Times New Roman"/>
                <w:bCs/>
                <w:color w:val="auto"/>
                <w:spacing w:val="11"/>
                <w:kern w:val="0"/>
                <w:position w:val="0"/>
                <w:sz w:val="24"/>
                <w:szCs w:val="24"/>
                <w:u w:val="none" w:color="auto"/>
                <w:lang w:val="en-US" w:eastAsia="zh-CN" w:bidi="ar-SA"/>
              </w:rPr>
              <w:t>所在区域</w:t>
            </w:r>
            <w:r>
              <w:rPr>
                <w:rFonts w:hint="default" w:ascii="Times New Roman" w:hAnsi="Times New Roman" w:eastAsia="宋体" w:cs="Times New Roman"/>
                <w:bCs/>
                <w:color w:val="auto"/>
                <w:spacing w:val="11"/>
                <w:kern w:val="0"/>
                <w:position w:val="0"/>
                <w:sz w:val="24"/>
                <w:szCs w:val="24"/>
                <w:u w:val="none" w:color="auto"/>
                <w:lang w:val="en-US" w:eastAsia="zh-CN" w:bidi="ar-SA"/>
              </w:rPr>
              <w:t>地下水类型主要为碳酸盐岩类裂隙溶洞水，赋存于石炭系下统石凳子组（C1s）灰岩岩组，水量贫乏</w:t>
            </w:r>
            <w:r>
              <w:rPr>
                <w:rFonts w:hint="default" w:ascii="Times New Roman" w:hAnsi="Times New Roman" w:cs="Times New Roman"/>
                <w:bCs/>
                <w:color w:val="auto"/>
                <w:spacing w:val="11"/>
                <w:kern w:val="0"/>
                <w:position w:val="0"/>
                <w:sz w:val="24"/>
                <w:szCs w:val="24"/>
                <w:u w:val="none" w:color="auto"/>
                <w:lang w:val="en-US" w:eastAsia="zh-CN" w:bidi="ar-SA"/>
              </w:rPr>
              <w:t>。未来矿山拟采用露天开采方式，拟采最低标高为+177m，高于周边最低侵蚀基准面标高+154m，开采深度内出现地下水涌水的可能性小，界外的水库、水塘水体不能直接倒灌采场。区内无供水泉井，项目东北面有一水塘，矿业活动对地表水产生轻微物理污染，但因废水废渣中不含有毒物质，不产生化学污染，因此未来矿业活动对地表水环境影响较轻。故本项目对水环境影响较小。</w:t>
            </w:r>
          </w:p>
          <w:p w14:paraId="04C308A7">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right="0" w:firstLine="526" w:firstLineChars="200"/>
              <w:jc w:val="left"/>
              <w:textAlignment w:val="auto"/>
              <w:rPr>
                <w:rFonts w:hint="default" w:ascii="Times New Roman" w:hAnsi="Times New Roman" w:eastAsia="宋体" w:cs="Times New Roman"/>
                <w:b/>
                <w:bCs w:val="0"/>
                <w:color w:val="000000"/>
                <w:spacing w:val="11"/>
                <w:position w:val="0"/>
                <w:sz w:val="24"/>
                <w:szCs w:val="24"/>
                <w:u w:val="none" w:color="auto"/>
                <w:lang w:val="en-US" w:eastAsia="zh-CN"/>
              </w:rPr>
            </w:pPr>
            <w:r>
              <w:rPr>
                <w:rFonts w:hint="default" w:ascii="Times New Roman" w:hAnsi="Times New Roman" w:eastAsia="宋体" w:cs="Times New Roman"/>
                <w:b/>
                <w:color w:val="000000"/>
                <w:spacing w:val="11"/>
                <w:position w:val="0"/>
                <w:sz w:val="24"/>
                <w:szCs w:val="24"/>
                <w:highlight w:val="none"/>
                <w:u w:val="none" w:color="auto"/>
                <w:lang w:val="en-US" w:eastAsia="zh-CN"/>
              </w:rPr>
              <w:t>8、环境风险分析</w:t>
            </w:r>
            <w:r>
              <w:rPr>
                <w:rFonts w:hint="default" w:ascii="Times New Roman" w:hAnsi="Times New Roman" w:eastAsia="宋体" w:cs="Times New Roman"/>
                <w:b/>
                <w:bCs w:val="0"/>
                <w:color w:val="000000"/>
                <w:spacing w:val="11"/>
                <w:position w:val="0"/>
                <w:sz w:val="24"/>
                <w:szCs w:val="24"/>
                <w:u w:val="none" w:color="auto"/>
                <w:lang w:val="en-US" w:eastAsia="zh-CN"/>
              </w:rPr>
              <w:tab/>
            </w:r>
          </w:p>
          <w:p w14:paraId="4964CA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524" w:firstLineChars="200"/>
              <w:textAlignment w:val="auto"/>
              <w:rPr>
                <w:rFonts w:hint="default" w:ascii="Times New Roman" w:hAnsi="Times New Roman" w:eastAsia="宋体" w:cs="Times New Roman"/>
                <w:b w:val="0"/>
                <w:bCs w:val="0"/>
                <w:color w:val="auto"/>
                <w:spacing w:val="11"/>
                <w:position w:val="0"/>
                <w:sz w:val="24"/>
                <w:szCs w:val="24"/>
                <w:highlight w:val="none"/>
                <w:u w:val="none" w:color="auto"/>
                <w:lang w:val="en-US" w:eastAsia="zh-CN"/>
              </w:rPr>
            </w:pPr>
            <w:r>
              <w:rPr>
                <w:rFonts w:hint="default" w:ascii="Times New Roman" w:hAnsi="Times New Roman" w:cs="Times New Roman"/>
                <w:b w:val="0"/>
                <w:bCs w:val="0"/>
                <w:color w:val="auto"/>
                <w:spacing w:val="11"/>
                <w:position w:val="0"/>
                <w:sz w:val="24"/>
                <w:szCs w:val="24"/>
                <w:highlight w:val="none"/>
                <w:u w:val="none" w:color="auto"/>
                <w:lang w:val="en-US" w:eastAsia="zh-CN"/>
              </w:rPr>
              <w:t>（1）</w:t>
            </w:r>
            <w:r>
              <w:rPr>
                <w:rFonts w:hint="default" w:ascii="Times New Roman" w:hAnsi="Times New Roman" w:eastAsia="宋体" w:cs="Times New Roman"/>
                <w:b w:val="0"/>
                <w:bCs w:val="0"/>
                <w:color w:val="auto"/>
                <w:spacing w:val="11"/>
                <w:position w:val="0"/>
                <w:sz w:val="24"/>
                <w:szCs w:val="24"/>
                <w:highlight w:val="none"/>
                <w:u w:val="none" w:color="auto"/>
                <w:lang w:val="en-US" w:eastAsia="zh-CN"/>
              </w:rPr>
              <w:t>环境风险评价等级</w:t>
            </w:r>
          </w:p>
          <w:p w14:paraId="51525C97">
            <w:pPr>
              <w:adjustRightInd w:val="0"/>
              <w:snapToGrid w:val="0"/>
              <w:spacing w:line="360" w:lineRule="auto"/>
              <w:ind w:firstLine="524" w:firstLineChars="200"/>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color="auto"/>
                <w:lang w:val="en-US" w:eastAsia="zh-CN"/>
              </w:rPr>
              <w:t>根据《建设项目环境风险评价技术导则》（HJ 169-2018）要求，对于涉及有毒有害和易燃易爆危险物质的生产、使用、储存（包括使用管线输运）的建设项目可能发生的突发性事故（不包括人为破坏及自然灾害引发的事故）应进行环境风险评价。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525BDE43">
            <w:pPr>
              <w:adjustRightInd w:val="0"/>
              <w:snapToGrid w:val="0"/>
              <w:spacing w:line="360" w:lineRule="auto"/>
              <w:ind w:firstLine="524" w:firstLineChars="200"/>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color="auto"/>
                <w:lang w:val="en-US" w:eastAsia="zh-CN"/>
              </w:rPr>
              <w:t>根据《建设项目环境风险评价技术导则》（HJ169－2018））附录B中风险物质临界量计算，本项目Q值计算结果如下：经计算，项目危险物质数量与临界量比值（Q）&lt;1。</w:t>
            </w:r>
          </w:p>
          <w:p w14:paraId="0255986C">
            <w:pPr>
              <w:adjustRightInd w:val="0"/>
              <w:snapToGrid w:val="0"/>
              <w:spacing w:line="240" w:lineRule="auto"/>
              <w:ind w:firstLine="0" w:firstLineChars="0"/>
              <w:jc w:val="center"/>
              <w:rPr>
                <w:rFonts w:hint="default" w:ascii="Times New Roman" w:hAnsi="Times New Roman" w:eastAsia="宋体" w:cs="Times New Roman"/>
                <w:b/>
                <w:bCs/>
                <w:color w:val="auto"/>
                <w:spacing w:val="11"/>
                <w:position w:val="0"/>
                <w:sz w:val="21"/>
                <w:szCs w:val="21"/>
                <w:highlight w:val="none"/>
                <w:u w:val="none" w:color="auto"/>
              </w:rPr>
            </w:pPr>
            <w:r>
              <w:rPr>
                <w:rFonts w:hint="default" w:ascii="Times New Roman" w:hAnsi="Times New Roman" w:eastAsia="宋体" w:cs="Times New Roman"/>
                <w:b/>
                <w:bCs/>
                <w:color w:val="auto"/>
                <w:spacing w:val="11"/>
                <w:position w:val="0"/>
                <w:sz w:val="21"/>
                <w:szCs w:val="21"/>
                <w:highlight w:val="none"/>
                <w:u w:val="none" w:color="auto"/>
              </w:rPr>
              <w:t>表4-</w:t>
            </w:r>
            <w:r>
              <w:rPr>
                <w:rFonts w:hint="eastAsia" w:cs="Times New Roman"/>
                <w:b/>
                <w:bCs/>
                <w:color w:val="auto"/>
                <w:spacing w:val="11"/>
                <w:position w:val="0"/>
                <w:sz w:val="21"/>
                <w:szCs w:val="21"/>
                <w:highlight w:val="none"/>
                <w:u w:val="none" w:color="auto"/>
                <w:lang w:val="en-US" w:eastAsia="zh-CN"/>
              </w:rPr>
              <w:t>6</w:t>
            </w:r>
            <w:r>
              <w:rPr>
                <w:rFonts w:hint="default" w:ascii="Times New Roman" w:hAnsi="Times New Roman" w:eastAsia="宋体" w:cs="Times New Roman"/>
                <w:b/>
                <w:bCs/>
                <w:color w:val="auto"/>
                <w:spacing w:val="11"/>
                <w:position w:val="0"/>
                <w:sz w:val="21"/>
                <w:szCs w:val="21"/>
                <w:highlight w:val="none"/>
                <w:u w:val="none" w:color="auto"/>
              </w:rPr>
              <w:t xml:space="preserve">  项目重大危险源判别表</w:t>
            </w:r>
          </w:p>
          <w:tbl>
            <w:tblPr>
              <w:tblStyle w:val="32"/>
              <w:tblW w:w="492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605"/>
              <w:gridCol w:w="1672"/>
              <w:gridCol w:w="1193"/>
              <w:gridCol w:w="1457"/>
              <w:gridCol w:w="1364"/>
            </w:tblGrid>
            <w:tr w14:paraId="44198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tcBorders>
                    <w:tl2br w:val="nil"/>
                    <w:tr2bl w:val="nil"/>
                  </w:tcBorders>
                  <w:noWrap w:val="0"/>
                  <w:vAlign w:val="center"/>
                </w:tcPr>
                <w:p w14:paraId="288D82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序号</w:t>
                  </w:r>
                </w:p>
              </w:tc>
              <w:tc>
                <w:tcPr>
                  <w:tcW w:w="1008" w:type="pct"/>
                  <w:tcBorders>
                    <w:tl2br w:val="nil"/>
                    <w:tr2bl w:val="nil"/>
                  </w:tcBorders>
                  <w:noWrap w:val="0"/>
                  <w:vAlign w:val="center"/>
                </w:tcPr>
                <w:p w14:paraId="1707E7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危险物质类别</w:t>
                  </w:r>
                </w:p>
              </w:tc>
              <w:tc>
                <w:tcPr>
                  <w:tcW w:w="1050" w:type="pct"/>
                  <w:tcBorders>
                    <w:tl2br w:val="nil"/>
                    <w:tr2bl w:val="nil"/>
                  </w:tcBorders>
                  <w:noWrap w:val="0"/>
                  <w:vAlign w:val="center"/>
                </w:tcPr>
                <w:p w14:paraId="661662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最大存在总量qn/t</w:t>
                  </w:r>
                </w:p>
              </w:tc>
              <w:tc>
                <w:tcPr>
                  <w:tcW w:w="749" w:type="pct"/>
                  <w:tcBorders>
                    <w:tl2br w:val="nil"/>
                    <w:tr2bl w:val="nil"/>
                  </w:tcBorders>
                  <w:noWrap w:val="0"/>
                  <w:vAlign w:val="center"/>
                </w:tcPr>
                <w:p w14:paraId="0F2F66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临界量Qn/t</w:t>
                  </w:r>
                </w:p>
              </w:tc>
              <w:tc>
                <w:tcPr>
                  <w:tcW w:w="915" w:type="pct"/>
                  <w:tcBorders>
                    <w:tl2br w:val="nil"/>
                    <w:tr2bl w:val="nil"/>
                  </w:tcBorders>
                  <w:noWrap w:val="0"/>
                  <w:vAlign w:val="center"/>
                </w:tcPr>
                <w:p w14:paraId="0C5E32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该危险物质</w:t>
                  </w:r>
                </w:p>
                <w:p w14:paraId="51C3CA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q/Q值</w:t>
                  </w:r>
                </w:p>
              </w:tc>
              <w:tc>
                <w:tcPr>
                  <w:tcW w:w="856" w:type="pct"/>
                  <w:tcBorders>
                    <w:tl2br w:val="nil"/>
                    <w:tr2bl w:val="nil"/>
                  </w:tcBorders>
                  <w:noWrap w:val="0"/>
                  <w:vAlign w:val="center"/>
                </w:tcPr>
                <w:p w14:paraId="79982D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所在位置</w:t>
                  </w:r>
                </w:p>
              </w:tc>
            </w:tr>
            <w:tr w14:paraId="7D49A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tcBorders>
                    <w:tl2br w:val="nil"/>
                    <w:tr2bl w:val="nil"/>
                  </w:tcBorders>
                  <w:noWrap w:val="0"/>
                  <w:vAlign w:val="center"/>
                </w:tcPr>
                <w:p w14:paraId="7CEE31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1</w:t>
                  </w:r>
                </w:p>
              </w:tc>
              <w:tc>
                <w:tcPr>
                  <w:tcW w:w="1008" w:type="pct"/>
                  <w:tcBorders>
                    <w:tl2br w:val="nil"/>
                    <w:tr2bl w:val="nil"/>
                  </w:tcBorders>
                  <w:shd w:val="clear" w:color="auto" w:fill="auto"/>
                  <w:noWrap w:val="0"/>
                  <w:vAlign w:val="center"/>
                </w:tcPr>
                <w:p w14:paraId="152036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position w:val="0"/>
                      <w:sz w:val="21"/>
                      <w:szCs w:val="21"/>
                      <w:highlight w:val="none"/>
                      <w:u w:val="none" w:color="auto"/>
                      <w:lang w:val="en-US" w:eastAsia="zh-CN"/>
                    </w:rPr>
                    <w:t>润滑油</w:t>
                  </w:r>
                </w:p>
              </w:tc>
              <w:tc>
                <w:tcPr>
                  <w:tcW w:w="1050" w:type="pct"/>
                  <w:tcBorders>
                    <w:tl2br w:val="nil"/>
                    <w:tr2bl w:val="nil"/>
                  </w:tcBorders>
                  <w:shd w:val="clear" w:color="auto" w:fill="auto"/>
                  <w:noWrap w:val="0"/>
                  <w:vAlign w:val="center"/>
                </w:tcPr>
                <w:p w14:paraId="67F14A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cs="Times New Roman"/>
                      <w:color w:val="auto"/>
                      <w:spacing w:val="11"/>
                      <w:position w:val="0"/>
                      <w:sz w:val="21"/>
                      <w:szCs w:val="21"/>
                      <w:highlight w:val="none"/>
                      <w:u w:val="none" w:color="auto"/>
                      <w:lang w:val="en-US" w:eastAsia="zh-CN"/>
                    </w:rPr>
                    <w:t>0.1</w:t>
                  </w:r>
                </w:p>
              </w:tc>
              <w:tc>
                <w:tcPr>
                  <w:tcW w:w="749" w:type="pct"/>
                  <w:tcBorders>
                    <w:tl2br w:val="nil"/>
                    <w:tr2bl w:val="nil"/>
                  </w:tcBorders>
                  <w:noWrap w:val="0"/>
                  <w:vAlign w:val="center"/>
                </w:tcPr>
                <w:p w14:paraId="72BAA9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2500</w:t>
                  </w:r>
                </w:p>
              </w:tc>
              <w:tc>
                <w:tcPr>
                  <w:tcW w:w="915" w:type="pct"/>
                  <w:tcBorders>
                    <w:tl2br w:val="nil"/>
                    <w:tr2bl w:val="nil"/>
                  </w:tcBorders>
                  <w:noWrap w:val="0"/>
                  <w:vAlign w:val="center"/>
                </w:tcPr>
                <w:p w14:paraId="3F5AD9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cs="Times New Roman"/>
                      <w:color w:val="auto"/>
                      <w:spacing w:val="11"/>
                      <w:position w:val="0"/>
                      <w:sz w:val="21"/>
                      <w:szCs w:val="21"/>
                      <w:highlight w:val="none"/>
                      <w:u w:val="none" w:color="auto"/>
                      <w:lang w:val="en-US" w:eastAsia="zh-CN"/>
                    </w:rPr>
                    <w:t>0.00004</w:t>
                  </w:r>
                </w:p>
              </w:tc>
              <w:tc>
                <w:tcPr>
                  <w:tcW w:w="856" w:type="pct"/>
                  <w:tcBorders>
                    <w:tl2br w:val="nil"/>
                    <w:tr2bl w:val="nil"/>
                  </w:tcBorders>
                  <w:noWrap w:val="0"/>
                  <w:vAlign w:val="center"/>
                </w:tcPr>
                <w:p w14:paraId="03CCA1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lang w:val="en-US" w:eastAsia="zh-CN"/>
                    </w:rPr>
                    <w:t>材料库房</w:t>
                  </w:r>
                </w:p>
              </w:tc>
            </w:tr>
            <w:tr w14:paraId="05379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tcBorders>
                    <w:tl2br w:val="nil"/>
                    <w:tr2bl w:val="nil"/>
                  </w:tcBorders>
                  <w:noWrap w:val="0"/>
                  <w:vAlign w:val="center"/>
                </w:tcPr>
                <w:p w14:paraId="711C09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cs="Times New Roman"/>
                      <w:color w:val="auto"/>
                      <w:spacing w:val="11"/>
                      <w:position w:val="0"/>
                      <w:sz w:val="21"/>
                      <w:szCs w:val="21"/>
                      <w:highlight w:val="none"/>
                      <w:u w:val="none" w:color="auto"/>
                      <w:lang w:val="en-US" w:eastAsia="zh-CN"/>
                    </w:rPr>
                    <w:t>2</w:t>
                  </w:r>
                </w:p>
              </w:tc>
              <w:tc>
                <w:tcPr>
                  <w:tcW w:w="1008" w:type="pct"/>
                  <w:tcBorders>
                    <w:tl2br w:val="nil"/>
                    <w:tr2bl w:val="nil"/>
                  </w:tcBorders>
                  <w:shd w:val="clear" w:color="auto" w:fill="auto"/>
                  <w:noWrap w:val="0"/>
                  <w:vAlign w:val="center"/>
                </w:tcPr>
                <w:p w14:paraId="796583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cs="Times New Roman"/>
                      <w:color w:val="auto"/>
                      <w:spacing w:val="11"/>
                      <w:position w:val="0"/>
                      <w:sz w:val="21"/>
                      <w:szCs w:val="21"/>
                      <w:highlight w:val="none"/>
                      <w:u w:val="none" w:color="auto"/>
                      <w:lang w:val="en-US" w:eastAsia="zh-CN"/>
                    </w:rPr>
                    <w:t>废</w:t>
                  </w:r>
                  <w:r>
                    <w:rPr>
                      <w:rFonts w:hint="default" w:ascii="Times New Roman" w:hAnsi="Times New Roman" w:eastAsia="宋体" w:cs="Times New Roman"/>
                      <w:color w:val="auto"/>
                      <w:spacing w:val="11"/>
                      <w:position w:val="0"/>
                      <w:sz w:val="21"/>
                      <w:szCs w:val="21"/>
                      <w:highlight w:val="none"/>
                      <w:u w:val="none" w:color="auto"/>
                      <w:lang w:val="en-US" w:eastAsia="zh-CN"/>
                    </w:rPr>
                    <w:t>润滑油</w:t>
                  </w:r>
                </w:p>
              </w:tc>
              <w:tc>
                <w:tcPr>
                  <w:tcW w:w="1050" w:type="pct"/>
                  <w:tcBorders>
                    <w:tl2br w:val="nil"/>
                    <w:tr2bl w:val="nil"/>
                  </w:tcBorders>
                  <w:shd w:val="clear" w:color="auto" w:fill="auto"/>
                  <w:noWrap w:val="0"/>
                  <w:vAlign w:val="center"/>
                </w:tcPr>
                <w:p w14:paraId="3E1FE6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cs="Times New Roman"/>
                      <w:color w:val="auto"/>
                      <w:spacing w:val="11"/>
                      <w:position w:val="0"/>
                      <w:sz w:val="21"/>
                      <w:szCs w:val="21"/>
                      <w:highlight w:val="none"/>
                      <w:u w:val="none" w:color="auto"/>
                      <w:lang w:val="en-US" w:eastAsia="zh-CN"/>
                    </w:rPr>
                    <w:t>0.4</w:t>
                  </w:r>
                </w:p>
              </w:tc>
              <w:tc>
                <w:tcPr>
                  <w:tcW w:w="749" w:type="pct"/>
                  <w:tcBorders>
                    <w:tl2br w:val="nil"/>
                    <w:tr2bl w:val="nil"/>
                  </w:tcBorders>
                  <w:noWrap w:val="0"/>
                  <w:vAlign w:val="center"/>
                </w:tcPr>
                <w:p w14:paraId="02BDD2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cs="Times New Roman"/>
                      <w:color w:val="auto"/>
                      <w:spacing w:val="11"/>
                      <w:position w:val="0"/>
                      <w:sz w:val="21"/>
                      <w:szCs w:val="21"/>
                      <w:highlight w:val="none"/>
                      <w:u w:val="none" w:color="auto"/>
                      <w:lang w:val="en-US" w:eastAsia="zh-CN"/>
                    </w:rPr>
                    <w:t>2500</w:t>
                  </w:r>
                </w:p>
              </w:tc>
              <w:tc>
                <w:tcPr>
                  <w:tcW w:w="915" w:type="pct"/>
                  <w:tcBorders>
                    <w:tl2br w:val="nil"/>
                    <w:tr2bl w:val="nil"/>
                  </w:tcBorders>
                  <w:noWrap w:val="0"/>
                  <w:vAlign w:val="center"/>
                </w:tcPr>
                <w:p w14:paraId="0A1B8A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cs="Times New Roman"/>
                      <w:color w:val="auto"/>
                      <w:spacing w:val="11"/>
                      <w:position w:val="0"/>
                      <w:sz w:val="21"/>
                      <w:szCs w:val="21"/>
                      <w:highlight w:val="none"/>
                      <w:u w:val="none" w:color="auto"/>
                      <w:lang w:val="en-US" w:eastAsia="zh-CN"/>
                    </w:rPr>
                    <w:t>0.00016</w:t>
                  </w:r>
                </w:p>
              </w:tc>
              <w:tc>
                <w:tcPr>
                  <w:tcW w:w="856" w:type="pct"/>
                  <w:tcBorders>
                    <w:tl2br w:val="nil"/>
                    <w:tr2bl w:val="nil"/>
                  </w:tcBorders>
                  <w:noWrap w:val="0"/>
                  <w:vAlign w:val="center"/>
                </w:tcPr>
                <w:p w14:paraId="6509CC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cs="Times New Roman"/>
                      <w:color w:val="auto"/>
                      <w:spacing w:val="11"/>
                      <w:position w:val="0"/>
                      <w:sz w:val="21"/>
                      <w:szCs w:val="21"/>
                      <w:highlight w:val="none"/>
                      <w:u w:val="none" w:color="auto"/>
                      <w:lang w:val="en-US" w:eastAsia="zh-CN"/>
                    </w:rPr>
                    <w:t>危废暂存间</w:t>
                  </w:r>
                </w:p>
              </w:tc>
            </w:tr>
            <w:tr w14:paraId="38A12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8" w:type="pct"/>
                  <w:gridSpan w:val="4"/>
                  <w:tcBorders>
                    <w:tl2br w:val="nil"/>
                    <w:tr2bl w:val="nil"/>
                  </w:tcBorders>
                  <w:noWrap w:val="0"/>
                  <w:vAlign w:val="center"/>
                </w:tcPr>
                <w:p w14:paraId="4D7B3A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合计</w:t>
                  </w:r>
                </w:p>
              </w:tc>
              <w:tc>
                <w:tcPr>
                  <w:tcW w:w="915" w:type="pct"/>
                  <w:tcBorders>
                    <w:tl2br w:val="nil"/>
                    <w:tr2bl w:val="nil"/>
                  </w:tcBorders>
                  <w:noWrap w:val="0"/>
                  <w:vAlign w:val="center"/>
                </w:tcPr>
                <w:p w14:paraId="0593F1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cs="Times New Roman"/>
                      <w:color w:val="auto"/>
                      <w:spacing w:val="11"/>
                      <w:position w:val="0"/>
                      <w:sz w:val="21"/>
                      <w:szCs w:val="21"/>
                      <w:highlight w:val="none"/>
                      <w:u w:val="none" w:color="auto"/>
                      <w:lang w:val="en-US" w:eastAsia="zh-CN"/>
                    </w:rPr>
                    <w:t>0.0002</w:t>
                  </w:r>
                </w:p>
              </w:tc>
              <w:tc>
                <w:tcPr>
                  <w:tcW w:w="856" w:type="pct"/>
                  <w:tcBorders>
                    <w:tl2br w:val="nil"/>
                    <w:tr2bl w:val="nil"/>
                  </w:tcBorders>
                  <w:noWrap w:val="0"/>
                  <w:vAlign w:val="center"/>
                </w:tcPr>
                <w:p w14:paraId="743EB5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r>
          </w:tbl>
          <w:p w14:paraId="792DCF69">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textAlignment w:val="auto"/>
              <w:rPr>
                <w:rFonts w:hint="default" w:ascii="Times New Roman" w:hAnsi="Times New Roman" w:eastAsia="宋体" w:cs="Times New Roman"/>
                <w:color w:val="auto"/>
                <w:spacing w:val="11"/>
                <w:position w:val="0"/>
                <w:sz w:val="24"/>
                <w:szCs w:val="24"/>
                <w:u w:val="none"/>
              </w:rPr>
            </w:pPr>
            <w:r>
              <w:rPr>
                <w:rFonts w:hint="default" w:ascii="Times New Roman" w:hAnsi="Times New Roman" w:eastAsia="宋体" w:cs="Times New Roman"/>
                <w:color w:val="auto"/>
                <w:spacing w:val="11"/>
                <w:position w:val="0"/>
                <w:sz w:val="24"/>
                <w:szCs w:val="24"/>
                <w:u w:val="none"/>
              </w:rPr>
              <w:t>根据《建设项目环境风险评价技术导则》（HJ169-2018）附录C，按下式计算物质总量与其临界量的比值（Q）：</w:t>
            </w:r>
          </w:p>
          <w:p w14:paraId="06539B15">
            <w:pPr>
              <w:adjustRightInd/>
              <w:snapToGrid/>
              <w:spacing w:line="240" w:lineRule="auto"/>
              <w:ind w:firstLine="0" w:firstLineChars="0"/>
              <w:jc w:val="center"/>
              <w:rPr>
                <w:rFonts w:hint="default" w:ascii="Times New Roman" w:hAnsi="Times New Roman" w:eastAsia="宋体" w:cs="Times New Roman"/>
                <w:color w:val="auto"/>
                <w:spacing w:val="11"/>
                <w:position w:val="0"/>
                <w:sz w:val="21"/>
                <w:szCs w:val="20"/>
                <w:u w:val="none"/>
              </w:rPr>
            </w:pPr>
            <w:r>
              <w:rPr>
                <w:rFonts w:hint="default" w:ascii="Times New Roman" w:hAnsi="Times New Roman" w:eastAsia="宋体" w:cs="Times New Roman"/>
                <w:color w:val="auto"/>
                <w:spacing w:val="11"/>
                <w:position w:val="0"/>
                <w:sz w:val="21"/>
                <w:szCs w:val="20"/>
                <w:u w:val="none"/>
              </w:rPr>
              <w:drawing>
                <wp:inline distT="0" distB="0" distL="114300" distR="114300">
                  <wp:extent cx="1175385" cy="406400"/>
                  <wp:effectExtent l="0" t="0" r="13335"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9">
                            <a:clrChange>
                              <a:clrFrom>
                                <a:srgbClr val="FFFFFF"/>
                              </a:clrFrom>
                              <a:clrTo>
                                <a:srgbClr val="FFFFFF">
                                  <a:alpha val="0"/>
                                </a:srgbClr>
                              </a:clrTo>
                            </a:clrChange>
                          </a:blip>
                          <a:stretch>
                            <a:fillRect/>
                          </a:stretch>
                        </pic:blipFill>
                        <pic:spPr>
                          <a:xfrm>
                            <a:off x="0" y="0"/>
                            <a:ext cx="1175385" cy="406400"/>
                          </a:xfrm>
                          <a:prstGeom prst="rect">
                            <a:avLst/>
                          </a:prstGeom>
                          <a:noFill/>
                          <a:ln>
                            <a:noFill/>
                          </a:ln>
                        </pic:spPr>
                      </pic:pic>
                    </a:graphicData>
                  </a:graphic>
                </wp:inline>
              </w:drawing>
            </w:r>
          </w:p>
          <w:p w14:paraId="3ADB0E25">
            <w:pPr>
              <w:adjustRightInd w:val="0"/>
              <w:snapToGrid w:val="0"/>
              <w:spacing w:line="360" w:lineRule="auto"/>
              <w:ind w:firstLine="524" w:firstLineChars="200"/>
              <w:rPr>
                <w:rFonts w:hint="default" w:ascii="Times New Roman" w:hAnsi="Times New Roman" w:eastAsia="宋体" w:cs="Times New Roman"/>
                <w:color w:val="auto"/>
                <w:spacing w:val="11"/>
                <w:position w:val="0"/>
                <w:sz w:val="24"/>
                <w:szCs w:val="24"/>
                <w:u w:val="none"/>
              </w:rPr>
            </w:pPr>
            <w:r>
              <w:rPr>
                <w:rFonts w:hint="default" w:ascii="Times New Roman" w:hAnsi="Times New Roman" w:eastAsia="宋体" w:cs="Times New Roman"/>
                <w:color w:val="auto"/>
                <w:spacing w:val="11"/>
                <w:position w:val="0"/>
                <w:sz w:val="24"/>
                <w:szCs w:val="24"/>
                <w:u w:val="none"/>
              </w:rPr>
              <w:t>式中：q</w:t>
            </w:r>
            <w:r>
              <w:rPr>
                <w:rFonts w:hint="default" w:ascii="Times New Roman" w:hAnsi="Times New Roman" w:eastAsia="宋体" w:cs="Times New Roman"/>
                <w:color w:val="auto"/>
                <w:spacing w:val="11"/>
                <w:position w:val="0"/>
                <w:sz w:val="24"/>
                <w:szCs w:val="24"/>
                <w:u w:val="none"/>
                <w:vertAlign w:val="subscript"/>
              </w:rPr>
              <w:t>1</w:t>
            </w:r>
            <w:r>
              <w:rPr>
                <w:rFonts w:hint="default" w:ascii="Times New Roman" w:hAnsi="Times New Roman" w:eastAsia="宋体" w:cs="Times New Roman"/>
                <w:color w:val="auto"/>
                <w:spacing w:val="11"/>
                <w:position w:val="0"/>
                <w:sz w:val="24"/>
                <w:szCs w:val="24"/>
                <w:u w:val="none"/>
              </w:rPr>
              <w:t>，q</w:t>
            </w:r>
            <w:r>
              <w:rPr>
                <w:rFonts w:hint="default" w:ascii="Times New Roman" w:hAnsi="Times New Roman" w:eastAsia="宋体" w:cs="Times New Roman"/>
                <w:color w:val="auto"/>
                <w:spacing w:val="11"/>
                <w:position w:val="0"/>
                <w:sz w:val="24"/>
                <w:szCs w:val="24"/>
                <w:u w:val="none"/>
                <w:vertAlign w:val="subscript"/>
              </w:rPr>
              <w:t>2</w:t>
            </w:r>
            <w:r>
              <w:rPr>
                <w:rFonts w:hint="default" w:ascii="Times New Roman" w:hAnsi="Times New Roman" w:eastAsia="宋体" w:cs="Times New Roman"/>
                <w:color w:val="auto"/>
                <w:spacing w:val="11"/>
                <w:position w:val="0"/>
                <w:sz w:val="24"/>
                <w:szCs w:val="24"/>
                <w:u w:val="none"/>
              </w:rPr>
              <w:t>,…qn—每种危险物质的最大存在量，t；</w:t>
            </w:r>
          </w:p>
          <w:p w14:paraId="2D80E169">
            <w:pPr>
              <w:adjustRightInd w:val="0"/>
              <w:snapToGrid w:val="0"/>
              <w:spacing w:line="360" w:lineRule="auto"/>
              <w:ind w:firstLine="1310" w:firstLineChars="500"/>
              <w:rPr>
                <w:rFonts w:hint="default" w:ascii="Times New Roman" w:hAnsi="Times New Roman" w:eastAsia="宋体" w:cs="Times New Roman"/>
                <w:color w:val="auto"/>
                <w:spacing w:val="11"/>
                <w:position w:val="0"/>
                <w:sz w:val="24"/>
                <w:szCs w:val="24"/>
                <w:u w:val="none"/>
              </w:rPr>
            </w:pPr>
            <w:r>
              <w:rPr>
                <w:rFonts w:hint="default" w:ascii="Times New Roman" w:hAnsi="Times New Roman" w:eastAsia="宋体" w:cs="Times New Roman"/>
                <w:color w:val="auto"/>
                <w:spacing w:val="11"/>
                <w:position w:val="0"/>
                <w:sz w:val="24"/>
                <w:szCs w:val="24"/>
                <w:u w:val="none"/>
              </w:rPr>
              <w:t>Q</w:t>
            </w:r>
            <w:r>
              <w:rPr>
                <w:rFonts w:hint="default" w:ascii="Times New Roman" w:hAnsi="Times New Roman" w:eastAsia="宋体" w:cs="Times New Roman"/>
                <w:color w:val="auto"/>
                <w:spacing w:val="11"/>
                <w:position w:val="0"/>
                <w:sz w:val="24"/>
                <w:szCs w:val="24"/>
                <w:u w:val="none"/>
                <w:vertAlign w:val="subscript"/>
              </w:rPr>
              <w:t>1</w:t>
            </w:r>
            <w:r>
              <w:rPr>
                <w:rFonts w:hint="default" w:ascii="Times New Roman" w:hAnsi="Times New Roman" w:eastAsia="宋体" w:cs="Times New Roman"/>
                <w:color w:val="auto"/>
                <w:spacing w:val="11"/>
                <w:position w:val="0"/>
                <w:sz w:val="24"/>
                <w:szCs w:val="24"/>
                <w:u w:val="none"/>
              </w:rPr>
              <w:t>，Q</w:t>
            </w:r>
            <w:r>
              <w:rPr>
                <w:rFonts w:hint="default" w:ascii="Times New Roman" w:hAnsi="Times New Roman" w:eastAsia="宋体" w:cs="Times New Roman"/>
                <w:color w:val="auto"/>
                <w:spacing w:val="11"/>
                <w:position w:val="0"/>
                <w:sz w:val="24"/>
                <w:szCs w:val="24"/>
                <w:u w:val="none"/>
                <w:vertAlign w:val="subscript"/>
              </w:rPr>
              <w:t>2</w:t>
            </w:r>
            <w:r>
              <w:rPr>
                <w:rFonts w:hint="default" w:ascii="Times New Roman" w:hAnsi="Times New Roman" w:eastAsia="宋体" w:cs="Times New Roman"/>
                <w:color w:val="auto"/>
                <w:spacing w:val="11"/>
                <w:position w:val="0"/>
                <w:sz w:val="24"/>
                <w:szCs w:val="24"/>
                <w:u w:val="none"/>
              </w:rPr>
              <w:t>,…Qn—每种危险物质的临界量，t。</w:t>
            </w:r>
          </w:p>
          <w:p w14:paraId="16F28F37">
            <w:pPr>
              <w:adjustRightInd w:val="0"/>
              <w:snapToGrid w:val="0"/>
              <w:spacing w:line="360" w:lineRule="auto"/>
              <w:ind w:firstLine="1310" w:firstLineChars="500"/>
              <w:rPr>
                <w:rFonts w:hint="default" w:ascii="Times New Roman" w:hAnsi="Times New Roman" w:eastAsia="宋体" w:cs="Times New Roman"/>
                <w:color w:val="auto"/>
                <w:spacing w:val="11"/>
                <w:position w:val="0"/>
                <w:sz w:val="24"/>
                <w:szCs w:val="24"/>
                <w:u w:val="none"/>
              </w:rPr>
            </w:pPr>
            <w:r>
              <w:rPr>
                <w:rFonts w:hint="default" w:ascii="Times New Roman" w:hAnsi="Times New Roman" w:eastAsia="宋体" w:cs="Times New Roman"/>
                <w:color w:val="auto"/>
                <w:spacing w:val="11"/>
                <w:position w:val="0"/>
                <w:sz w:val="24"/>
                <w:szCs w:val="24"/>
                <w:u w:val="none"/>
              </w:rPr>
              <w:t>当Q＜1时，该项目环境风险潜势为Ⅰ。</w:t>
            </w:r>
          </w:p>
          <w:p w14:paraId="11B36068">
            <w:pPr>
              <w:adjustRightInd w:val="0"/>
              <w:snapToGrid w:val="0"/>
              <w:spacing w:line="360" w:lineRule="auto"/>
              <w:ind w:firstLine="1310" w:firstLineChars="500"/>
              <w:rPr>
                <w:rFonts w:hint="default" w:ascii="Times New Roman" w:hAnsi="Times New Roman" w:eastAsia="宋体" w:cs="Times New Roman"/>
                <w:color w:val="auto"/>
                <w:spacing w:val="11"/>
                <w:position w:val="0"/>
                <w:sz w:val="24"/>
                <w:szCs w:val="24"/>
                <w:u w:val="none"/>
              </w:rPr>
            </w:pPr>
            <w:r>
              <w:rPr>
                <w:rFonts w:hint="default" w:ascii="Times New Roman" w:hAnsi="Times New Roman" w:eastAsia="宋体" w:cs="Times New Roman"/>
                <w:color w:val="auto"/>
                <w:spacing w:val="11"/>
                <w:position w:val="0"/>
                <w:sz w:val="24"/>
                <w:szCs w:val="24"/>
                <w:u w:val="none"/>
              </w:rPr>
              <w:t>当Q≥1时，将Q值划分为：（1）1≤Q＜10；（2）10≤Q＜100；（3）Q≥100。</w:t>
            </w:r>
          </w:p>
          <w:p w14:paraId="0F20635D">
            <w:pPr>
              <w:adjustRightInd w:val="0"/>
              <w:snapToGrid w:val="0"/>
              <w:spacing w:line="360" w:lineRule="auto"/>
              <w:ind w:firstLine="524" w:firstLineChars="200"/>
              <w:rPr>
                <w:rFonts w:hint="default" w:ascii="Times New Roman" w:hAnsi="Times New Roman" w:eastAsia="宋体" w:cs="Times New Roman"/>
                <w:color w:val="auto"/>
                <w:spacing w:val="11"/>
                <w:position w:val="0"/>
                <w:sz w:val="24"/>
                <w:szCs w:val="24"/>
                <w:u w:val="none"/>
              </w:rPr>
            </w:pPr>
            <w:r>
              <w:rPr>
                <w:rFonts w:hint="default" w:ascii="Times New Roman" w:hAnsi="Times New Roman" w:eastAsia="宋体" w:cs="Times New Roman"/>
                <w:color w:val="auto"/>
                <w:spacing w:val="11"/>
                <w:position w:val="0"/>
                <w:sz w:val="24"/>
                <w:szCs w:val="24"/>
                <w:u w:val="none"/>
              </w:rPr>
              <w:t>经计算，项目危险物质数量与临界量比值（Q）=</w:t>
            </w:r>
            <w:r>
              <w:rPr>
                <w:rFonts w:hint="default" w:ascii="Times New Roman" w:hAnsi="Times New Roman" w:eastAsia="宋体" w:cs="Times New Roman"/>
                <w:color w:val="auto"/>
                <w:spacing w:val="11"/>
                <w:position w:val="0"/>
                <w:sz w:val="24"/>
                <w:szCs w:val="24"/>
                <w:u w:val="none"/>
                <w:lang w:val="en-US" w:eastAsia="zh-CN"/>
              </w:rPr>
              <w:t>0.0002</w:t>
            </w:r>
            <w:r>
              <w:rPr>
                <w:rFonts w:hint="default" w:ascii="Times New Roman" w:hAnsi="Times New Roman" w:eastAsia="宋体" w:cs="Times New Roman"/>
                <w:color w:val="auto"/>
                <w:spacing w:val="11"/>
                <w:position w:val="0"/>
                <w:sz w:val="24"/>
                <w:szCs w:val="24"/>
                <w:u w:val="none"/>
              </w:rPr>
              <w:t>&lt;1。根据《建设项目环境风险评价技术导则》（HJ/T169-2018）附录C“险物质数量及工艺系统危险性（P）分级”中C.1.1规定：当Q&lt;1时，项目风险潜势为I。本项目的环境风险评价可开展简要分析。</w:t>
            </w:r>
          </w:p>
          <w:p w14:paraId="7D94EF6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2"/>
              <w:rPr>
                <w:rFonts w:hint="default" w:ascii="Times New Roman" w:hAnsi="Times New Roman" w:eastAsia="宋体" w:cs="Times New Roman"/>
                <w:b w:val="0"/>
                <w:bCs w:val="0"/>
                <w:color w:val="auto"/>
                <w:spacing w:val="11"/>
                <w:kern w:val="2"/>
                <w:position w:val="0"/>
                <w:sz w:val="24"/>
                <w:szCs w:val="22"/>
                <w:highlight w:val="none"/>
                <w:u w:val="none"/>
                <w:lang w:val="en-US" w:eastAsia="zh-CN" w:bidi="ar-SA"/>
              </w:rPr>
            </w:pPr>
            <w:r>
              <w:rPr>
                <w:rFonts w:hint="default" w:ascii="Times New Roman" w:hAnsi="Times New Roman" w:cs="Times New Roman"/>
                <w:b w:val="0"/>
                <w:bCs w:val="0"/>
                <w:color w:val="auto"/>
                <w:spacing w:val="11"/>
                <w:kern w:val="2"/>
                <w:position w:val="0"/>
                <w:sz w:val="24"/>
                <w:szCs w:val="22"/>
                <w:highlight w:val="none"/>
                <w:u w:val="none"/>
                <w:lang w:val="en-US" w:eastAsia="zh-CN" w:bidi="ar-SA"/>
              </w:rPr>
              <w:t>（2）</w:t>
            </w:r>
            <w:r>
              <w:rPr>
                <w:rFonts w:hint="default" w:ascii="Times New Roman" w:hAnsi="Times New Roman" w:eastAsia="宋体" w:cs="Times New Roman"/>
                <w:b w:val="0"/>
                <w:bCs w:val="0"/>
                <w:color w:val="auto"/>
                <w:spacing w:val="11"/>
                <w:kern w:val="2"/>
                <w:position w:val="0"/>
                <w:sz w:val="24"/>
                <w:szCs w:val="22"/>
                <w:highlight w:val="none"/>
                <w:u w:val="none"/>
                <w:lang w:val="en-US" w:eastAsia="zh-CN" w:bidi="ar-SA"/>
              </w:rPr>
              <w:t>环境风险识别</w:t>
            </w:r>
          </w:p>
          <w:p w14:paraId="527C8EC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spacing w:val="11"/>
                <w:position w:val="0"/>
                <w:sz w:val="24"/>
                <w:u w:val="none" w:color="auto"/>
              </w:rPr>
            </w:pPr>
            <w:bookmarkStart w:id="40" w:name="_Toc15384"/>
            <w:r>
              <w:rPr>
                <w:rFonts w:hint="default" w:ascii="Times New Roman" w:hAnsi="Times New Roman" w:cs="Times New Roman"/>
                <w:spacing w:val="11"/>
                <w:position w:val="0"/>
                <w:sz w:val="24"/>
                <w:u w:val="none" w:color="auto"/>
              </w:rPr>
              <w:t>①本项目采矿过程中主要为爆破炸开矿石，使用的炸药、雷管均为易燃易爆危险品。因此该类危险品的储存、使用都存在风险隐患。项目爆破委托具有资质的公司，所需的炸药均由其自行携带，厂区不存在炸药、雷管等存储不当引起库区火灾或爆炸事件。所以本项目营运期主要风险为：凿岩钻孔、爆破时对周围环境的影响。</w:t>
            </w:r>
            <w:bookmarkEnd w:id="40"/>
          </w:p>
          <w:p w14:paraId="558468C9">
            <w:pPr>
              <w:pageBreakBefore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spacing w:val="11"/>
                <w:position w:val="0"/>
                <w:sz w:val="24"/>
                <w:u w:val="none" w:color="auto"/>
              </w:rPr>
            </w:pPr>
            <w:bookmarkStart w:id="41" w:name="_Toc25694"/>
            <w:r>
              <w:rPr>
                <w:rFonts w:hint="default" w:ascii="Times New Roman" w:hAnsi="Times New Roman" w:cs="Times New Roman"/>
                <w:spacing w:val="11"/>
                <w:position w:val="0"/>
                <w:sz w:val="24"/>
                <w:u w:val="none" w:color="auto"/>
              </w:rPr>
              <w:t>②项目矿区位于山体之上，露天开采导致植被覆盖率下降，采矿产生的废土石如随意堆放可能存在泥石流灾害，排渣作业不规范、排水设施不完善，容易造成边坡失稳，进而引发滑坡，产生泥石流灾害。</w:t>
            </w:r>
            <w:bookmarkEnd w:id="41"/>
          </w:p>
          <w:p w14:paraId="22294235">
            <w:pPr>
              <w:pageBreakBefore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spacing w:val="11"/>
                <w:position w:val="0"/>
                <w:sz w:val="24"/>
                <w:u w:val="none" w:color="auto"/>
              </w:rPr>
            </w:pPr>
            <w:bookmarkStart w:id="42" w:name="_Toc22299"/>
            <w:r>
              <w:rPr>
                <w:rFonts w:hint="default" w:ascii="Times New Roman" w:hAnsi="Times New Roman" w:cs="Times New Roman"/>
                <w:spacing w:val="11"/>
                <w:position w:val="0"/>
                <w:sz w:val="24"/>
                <w:u w:val="none" w:color="auto"/>
              </w:rPr>
              <w:t>③润滑油储存区包装桶破裂、危废间废润滑油包装桶破裂</w:t>
            </w:r>
            <w:r>
              <w:rPr>
                <w:rFonts w:hint="default" w:ascii="Times New Roman" w:hAnsi="Times New Roman" w:cs="Times New Roman"/>
                <w:spacing w:val="11"/>
                <w:position w:val="0"/>
                <w:sz w:val="24"/>
                <w:u w:val="none" w:color="auto"/>
                <w:lang w:val="en-US" w:eastAsia="zh-CN"/>
              </w:rPr>
              <w:t>导致</w:t>
            </w:r>
            <w:r>
              <w:rPr>
                <w:rFonts w:hint="default" w:ascii="Times New Roman" w:hAnsi="Times New Roman" w:cs="Times New Roman"/>
                <w:spacing w:val="11"/>
                <w:position w:val="0"/>
                <w:sz w:val="24"/>
                <w:u w:val="none" w:color="auto"/>
              </w:rPr>
              <w:t>润滑油、废润滑油泄漏出单元可能会污染水环境和土壤环境。由于这种渗漏必然穿过较厚的土壤层，使土壤层中吸附了大量的油污，不仅会造成植物生物的死亡，而且土壤层吸附的油污还会随着地表水的下渗对土壤层的冲刷作用补充到地下水区域导致污染。地下水一旦遭到油性物质的污染，将使地下水产生严重异味，并具有较强的致畸致癌性，导致地下水无法饮用。</w:t>
            </w:r>
            <w:bookmarkEnd w:id="42"/>
          </w:p>
          <w:p w14:paraId="4CC64AB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2"/>
              <w:rPr>
                <w:rFonts w:hint="default" w:ascii="Times New Roman" w:hAnsi="Times New Roman" w:eastAsia="宋体" w:cs="Times New Roman"/>
                <w:b w:val="0"/>
                <w:bCs w:val="0"/>
                <w:color w:val="auto"/>
                <w:spacing w:val="11"/>
                <w:kern w:val="2"/>
                <w:position w:val="0"/>
                <w:sz w:val="24"/>
                <w:szCs w:val="22"/>
                <w:highlight w:val="none"/>
                <w:u w:val="none" w:color="auto"/>
                <w:lang w:val="en-US" w:eastAsia="zh-CN" w:bidi="ar-SA"/>
              </w:rPr>
            </w:pPr>
            <w:r>
              <w:rPr>
                <w:rFonts w:hint="default" w:ascii="Times New Roman" w:hAnsi="Times New Roman" w:cs="Times New Roman"/>
                <w:b w:val="0"/>
                <w:bCs w:val="0"/>
                <w:color w:val="auto"/>
                <w:spacing w:val="11"/>
                <w:kern w:val="2"/>
                <w:position w:val="0"/>
                <w:sz w:val="24"/>
                <w:szCs w:val="22"/>
                <w:highlight w:val="none"/>
                <w:u w:val="none" w:color="auto"/>
                <w:lang w:val="en-US" w:eastAsia="zh-CN" w:bidi="ar-SA"/>
              </w:rPr>
              <w:t>（2）</w:t>
            </w:r>
            <w:r>
              <w:rPr>
                <w:rFonts w:hint="default" w:ascii="Times New Roman" w:hAnsi="Times New Roman" w:eastAsia="宋体" w:cs="Times New Roman"/>
                <w:b w:val="0"/>
                <w:bCs w:val="0"/>
                <w:color w:val="auto"/>
                <w:spacing w:val="11"/>
                <w:kern w:val="2"/>
                <w:position w:val="0"/>
                <w:sz w:val="24"/>
                <w:szCs w:val="22"/>
                <w:highlight w:val="none"/>
                <w:u w:val="none" w:color="auto"/>
                <w:lang w:val="en-US" w:eastAsia="zh-CN" w:bidi="ar-SA"/>
              </w:rPr>
              <w:t>环境风险识别</w:t>
            </w:r>
          </w:p>
          <w:p w14:paraId="6EE22C7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43" w:name="_Toc27110"/>
            <w:r>
              <w:rPr>
                <w:rFonts w:hint="default" w:ascii="Times New Roman" w:hAnsi="Times New Roman" w:cs="Times New Roman"/>
                <w:color w:val="auto"/>
                <w:spacing w:val="11"/>
                <w:position w:val="0"/>
                <w:sz w:val="24"/>
                <w:u w:val="none" w:color="auto"/>
              </w:rPr>
              <w:t>①本项目采矿过程中主要为爆破炸开矿石，使用的炸药、雷管均为易燃易爆危险品。因此该类危险品的储存、使用都存在风险隐患。项目爆破委托具有资质的公司，所需的炸药均由其自行携带，厂区不存在炸药、雷管等存储不当引起库区火灾或爆炸事件。所以本项目营运期主要风险为：凿岩钻孔、爆破时对周围环境的影响。</w:t>
            </w:r>
            <w:bookmarkEnd w:id="43"/>
          </w:p>
          <w:p w14:paraId="72BB8B42">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44" w:name="_Toc10097"/>
            <w:r>
              <w:rPr>
                <w:rFonts w:hint="default" w:ascii="Times New Roman" w:hAnsi="Times New Roman" w:cs="Times New Roman"/>
                <w:color w:val="auto"/>
                <w:spacing w:val="11"/>
                <w:position w:val="0"/>
                <w:sz w:val="24"/>
                <w:u w:val="none" w:color="auto"/>
              </w:rPr>
              <w:t>②项目矿区位于山体之上，露天开采导致植被覆盖率下降，采矿产生的废土石如随意堆放可能存在泥石流灾害，排渣作业不规范、排水设施不完善，容易造成边坡失稳，进而引发滑坡，产生泥石流灾害。</w:t>
            </w:r>
            <w:bookmarkEnd w:id="44"/>
          </w:p>
          <w:p w14:paraId="161EB870">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45" w:name="_Toc10299"/>
            <w:r>
              <w:rPr>
                <w:rFonts w:hint="default" w:ascii="Times New Roman" w:hAnsi="Times New Roman" w:cs="Times New Roman"/>
                <w:color w:val="auto"/>
                <w:spacing w:val="11"/>
                <w:position w:val="0"/>
                <w:sz w:val="24"/>
                <w:u w:val="none" w:color="auto"/>
              </w:rPr>
              <w:t>③润滑油储存区包装桶破裂、危废间废润滑油包装桶破裂</w:t>
            </w:r>
            <w:r>
              <w:rPr>
                <w:rFonts w:hint="default" w:ascii="Times New Roman" w:hAnsi="Times New Roman" w:eastAsia="宋体" w:cs="Times New Roman"/>
                <w:color w:val="auto"/>
                <w:spacing w:val="11"/>
                <w:position w:val="0"/>
                <w:sz w:val="24"/>
                <w:u w:val="none" w:color="auto"/>
                <w:lang w:val="en-US" w:eastAsia="zh-CN"/>
              </w:rPr>
              <w:t>导致</w:t>
            </w:r>
            <w:r>
              <w:rPr>
                <w:rFonts w:hint="default" w:ascii="Times New Roman" w:hAnsi="Times New Roman" w:cs="Times New Roman"/>
                <w:color w:val="auto"/>
                <w:spacing w:val="11"/>
                <w:position w:val="0"/>
                <w:sz w:val="24"/>
                <w:u w:val="none" w:color="auto"/>
              </w:rPr>
              <w:t>润滑油、废润滑油泄漏出单元可能会污染水环境和土壤环境。由于这种渗漏必然穿过较厚的土壤层，使土壤层中吸附了大量的油污，不仅会造成植物生物的死亡，而且土壤层吸附的油污还会随着地表水的下渗对土壤层的冲刷作用补充到地下水区域导致污染。地下水一旦遭到油性物质的污染，将使地下水产生严重异味，并具有较强的致畸致癌性，导致地下水无法饮用。</w:t>
            </w:r>
            <w:bookmarkEnd w:id="45"/>
          </w:p>
          <w:p w14:paraId="7EFCC0EE">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46" w:name="_Toc26641"/>
            <w:r>
              <w:rPr>
                <w:rFonts w:hint="default" w:ascii="Times New Roman" w:hAnsi="Times New Roman" w:cs="Times New Roman"/>
                <w:color w:val="auto"/>
                <w:spacing w:val="11"/>
                <w:position w:val="0"/>
                <w:sz w:val="24"/>
                <w:u w:val="none" w:color="auto"/>
              </w:rPr>
              <w:t>（2）环境风险分析</w:t>
            </w:r>
            <w:bookmarkEnd w:id="46"/>
          </w:p>
          <w:p w14:paraId="13208C0A">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47" w:name="_Toc22174"/>
            <w:r>
              <w:rPr>
                <w:rFonts w:hint="default" w:ascii="Times New Roman" w:hAnsi="Times New Roman" w:cs="Times New Roman"/>
                <w:color w:val="auto"/>
                <w:spacing w:val="11"/>
                <w:position w:val="0"/>
                <w:sz w:val="24"/>
                <w:u w:val="none" w:color="auto"/>
              </w:rPr>
              <w:t>1）爆破事故影响分析</w:t>
            </w:r>
            <w:bookmarkEnd w:id="47"/>
          </w:p>
          <w:p w14:paraId="2E3710B6">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48" w:name="_Toc25273"/>
            <w:r>
              <w:rPr>
                <w:rFonts w:hint="default" w:ascii="Times New Roman" w:hAnsi="Times New Roman" w:cs="Times New Roman"/>
                <w:color w:val="auto"/>
                <w:spacing w:val="11"/>
                <w:position w:val="0"/>
                <w:sz w:val="24"/>
                <w:u w:val="none" w:color="auto"/>
              </w:rPr>
              <w:t>采剥过程中的爆破工序往往伴随着巨大的能量释放，这些能量对岩石作功外，还可产生多种危害，如冲击波、振动、飞石以及扬尘等。它对附近的人、畜、建筑物、生态环境可产生较大的影响，因此必须给以足够的重视。</w:t>
            </w:r>
            <w:bookmarkEnd w:id="48"/>
          </w:p>
          <w:p w14:paraId="4A8A4C42">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49" w:name="_Toc20821"/>
            <w:r>
              <w:rPr>
                <w:rFonts w:hint="default" w:ascii="Times New Roman" w:hAnsi="Times New Roman" w:cs="Times New Roman"/>
                <w:color w:val="auto"/>
                <w:spacing w:val="11"/>
                <w:position w:val="0"/>
                <w:sz w:val="24"/>
                <w:u w:val="none" w:color="auto"/>
              </w:rPr>
              <w:t>2）润滑油储存区、危废间</w:t>
            </w:r>
            <w:r>
              <w:rPr>
                <w:rFonts w:hint="default" w:ascii="Times New Roman" w:hAnsi="Times New Roman" w:eastAsia="宋体" w:cs="Times New Roman"/>
                <w:color w:val="auto"/>
                <w:spacing w:val="11"/>
                <w:position w:val="0"/>
                <w:sz w:val="24"/>
                <w:u w:val="none" w:color="auto"/>
                <w:lang w:val="en-US" w:eastAsia="zh-CN"/>
              </w:rPr>
              <w:t>废</w:t>
            </w:r>
            <w:r>
              <w:rPr>
                <w:rFonts w:hint="default" w:ascii="Times New Roman" w:hAnsi="Times New Roman" w:cs="Times New Roman"/>
                <w:color w:val="auto"/>
                <w:spacing w:val="11"/>
                <w:position w:val="0"/>
                <w:sz w:val="24"/>
                <w:u w:val="none" w:color="auto"/>
              </w:rPr>
              <w:t>润滑油泄漏事故影响分析</w:t>
            </w:r>
            <w:bookmarkEnd w:id="49"/>
          </w:p>
          <w:p w14:paraId="4735E76C">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50" w:name="_Toc15913"/>
            <w:r>
              <w:rPr>
                <w:rFonts w:hint="default" w:ascii="Times New Roman" w:hAnsi="Times New Roman" w:cs="Times New Roman"/>
                <w:color w:val="auto"/>
                <w:spacing w:val="11"/>
                <w:position w:val="0"/>
                <w:sz w:val="24"/>
                <w:u w:val="none" w:color="auto"/>
              </w:rPr>
              <w:t>润滑油储存区设接液托盘，防止润滑油泄漏流入外环境污染周边土壤及水环境。</w:t>
            </w:r>
            <w:bookmarkEnd w:id="50"/>
          </w:p>
          <w:p w14:paraId="1F78FFEA">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51" w:name="_Toc14696"/>
            <w:r>
              <w:rPr>
                <w:rFonts w:hint="default" w:ascii="Times New Roman" w:hAnsi="Times New Roman" w:cs="Times New Roman"/>
                <w:color w:val="auto"/>
                <w:spacing w:val="11"/>
                <w:position w:val="0"/>
                <w:sz w:val="24"/>
                <w:u w:val="none" w:color="auto"/>
              </w:rPr>
              <w:t>废润滑油贮存于危废间中，储存区设接液托盘，将废油桶放置在接液托盘内，定期委托有资质单位进行转移，转移频次为1次/年。本项目危废间按照《危险废物贮存污染控制标准》（GB18597-2023）要求进行建设，按要求设置危废标识。危废间设有堵截泄漏的裙角，地面和裙角采用厚度为15cm水泥防渗，渗透系数≤10</w:t>
            </w:r>
            <w:r>
              <w:rPr>
                <w:rFonts w:hint="default" w:ascii="Times New Roman" w:hAnsi="Times New Roman" w:cs="Times New Roman"/>
                <w:color w:val="auto"/>
                <w:spacing w:val="11"/>
                <w:position w:val="0"/>
                <w:sz w:val="24"/>
                <w:u w:val="none" w:color="auto"/>
                <w:vertAlign w:val="superscript"/>
              </w:rPr>
              <w:t>-10</w:t>
            </w:r>
            <w:r>
              <w:rPr>
                <w:rFonts w:hint="default" w:ascii="Times New Roman" w:hAnsi="Times New Roman" w:cs="Times New Roman"/>
                <w:color w:val="auto"/>
                <w:spacing w:val="11"/>
                <w:position w:val="0"/>
                <w:sz w:val="24"/>
                <w:u w:val="none" w:color="auto"/>
              </w:rPr>
              <w:t>cm/s，盛装危险废物的容器上必须粘贴符合《危险废物识别标志设置技术规范》（HJ1276-</w:t>
            </w:r>
            <w:r>
              <w:rPr>
                <w:rFonts w:hint="eastAsia" w:cs="Times New Roman"/>
                <w:color w:val="auto"/>
                <w:spacing w:val="11"/>
                <w:position w:val="0"/>
                <w:sz w:val="24"/>
                <w:u w:val="none" w:color="auto"/>
                <w:lang w:val="en-US" w:eastAsia="zh-CN"/>
              </w:rPr>
              <w:t>2</w:t>
            </w:r>
            <w:r>
              <w:rPr>
                <w:rFonts w:hint="default" w:ascii="Times New Roman" w:hAnsi="Times New Roman" w:cs="Times New Roman"/>
                <w:color w:val="auto"/>
                <w:spacing w:val="11"/>
                <w:position w:val="0"/>
                <w:sz w:val="24"/>
                <w:u w:val="none" w:color="auto"/>
              </w:rPr>
              <w:t>022）中图示危险废物标签。危险废物在厂区内转运过程需要根据实际情况确定转运路线，避开办公区和生活区，转运结束后对转运路线进行检查清理，确保无危险废物遗失在转运路线上；危险废物外部运输至有资质单位进行处理，运输由持有危险废物经营许可证的的单位负责实施，承担危险废物运输的单位当获得交通运输部颁发的危险货物运输资质。上述措施实施后，废机油泄漏产生环境污染可能性较低。</w:t>
            </w:r>
            <w:bookmarkEnd w:id="51"/>
          </w:p>
          <w:p w14:paraId="6DBB8E5D">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52" w:name="_Toc32619"/>
            <w:r>
              <w:rPr>
                <w:rFonts w:hint="default" w:ascii="Times New Roman" w:hAnsi="Times New Roman" w:cs="Times New Roman"/>
                <w:color w:val="auto"/>
                <w:spacing w:val="11"/>
                <w:position w:val="0"/>
                <w:sz w:val="24"/>
                <w:u w:val="none" w:color="auto"/>
              </w:rPr>
              <w:t>（3）环境风险防范措施及应急要求</w:t>
            </w:r>
            <w:bookmarkEnd w:id="52"/>
          </w:p>
          <w:p w14:paraId="48726E5B">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53" w:name="_Toc20303"/>
            <w:r>
              <w:rPr>
                <w:rFonts w:hint="default" w:ascii="Times New Roman" w:hAnsi="Times New Roman" w:cs="Times New Roman"/>
                <w:color w:val="auto"/>
                <w:spacing w:val="11"/>
                <w:position w:val="0"/>
                <w:sz w:val="24"/>
                <w:u w:val="none" w:color="auto"/>
              </w:rPr>
              <w:t>1）防范措施：爆破过程中安全防治措施主要以下几个途径：</w:t>
            </w:r>
            <w:bookmarkEnd w:id="53"/>
          </w:p>
          <w:p w14:paraId="67BF5A1B">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54" w:name="_Toc24137"/>
            <w:r>
              <w:rPr>
                <w:rFonts w:hint="default" w:ascii="Times New Roman" w:hAnsi="Times New Roman" w:cs="Times New Roman"/>
                <w:color w:val="auto"/>
                <w:spacing w:val="11"/>
                <w:position w:val="0"/>
                <w:sz w:val="24"/>
                <w:u w:val="none" w:color="auto"/>
              </w:rPr>
              <w:t>①冲击波的强度是由装药量决定的，因此在爆破时根据敏感点分布情况确定合适的装药量；</w:t>
            </w:r>
            <w:bookmarkEnd w:id="54"/>
          </w:p>
          <w:p w14:paraId="7F1ED5B3">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55" w:name="_Toc18460"/>
            <w:r>
              <w:rPr>
                <w:rFonts w:hint="default" w:ascii="Times New Roman" w:hAnsi="Times New Roman" w:cs="Times New Roman"/>
                <w:color w:val="auto"/>
                <w:spacing w:val="11"/>
                <w:position w:val="0"/>
                <w:sz w:val="24"/>
                <w:u w:val="none" w:color="auto"/>
              </w:rPr>
              <w:t>②确定合理的爆破参数，以促使爆炸能充分用于破碎岩石，减少形成空气冲击波的条件；</w:t>
            </w:r>
            <w:bookmarkEnd w:id="55"/>
          </w:p>
          <w:p w14:paraId="56B27549">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56" w:name="_Toc20046"/>
            <w:r>
              <w:rPr>
                <w:rFonts w:hint="default" w:ascii="Times New Roman" w:hAnsi="Times New Roman" w:cs="Times New Roman"/>
                <w:color w:val="auto"/>
                <w:spacing w:val="11"/>
                <w:position w:val="0"/>
                <w:sz w:val="24"/>
                <w:u w:val="none" w:color="auto"/>
              </w:rPr>
              <w:t>③保证有足够的充填长度，提高充填质量，必要时可采取分段装药反向起爆，以防止产生冲天炮；</w:t>
            </w:r>
            <w:bookmarkEnd w:id="56"/>
          </w:p>
          <w:p w14:paraId="085F4135">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57" w:name="_Toc6372"/>
            <w:r>
              <w:rPr>
                <w:rFonts w:hint="default" w:ascii="Times New Roman" w:hAnsi="Times New Roman" w:cs="Times New Roman"/>
                <w:color w:val="auto"/>
                <w:spacing w:val="11"/>
                <w:position w:val="0"/>
                <w:sz w:val="24"/>
                <w:u w:val="none" w:color="auto"/>
              </w:rPr>
              <w:t>④禁止采用裸露药包破碎大块岩石；在地面洒水，减少地面扬尘；</w:t>
            </w:r>
            <w:bookmarkEnd w:id="57"/>
          </w:p>
          <w:p w14:paraId="04786CF1">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58" w:name="_Toc26897"/>
            <w:r>
              <w:rPr>
                <w:rFonts w:hint="default" w:ascii="Times New Roman" w:hAnsi="Times New Roman" w:cs="Times New Roman"/>
                <w:color w:val="auto"/>
                <w:spacing w:val="11"/>
                <w:position w:val="0"/>
                <w:sz w:val="24"/>
                <w:u w:val="none" w:color="auto"/>
              </w:rPr>
              <w:t>⑤选择合理的最小抵抗线，保护充分破碎岩石，消除夹制爆破条件，防止大量爆炸气体从顶部集中送出；</w:t>
            </w:r>
            <w:bookmarkEnd w:id="58"/>
          </w:p>
          <w:p w14:paraId="30D8EC3D">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59" w:name="_Toc21102"/>
            <w:r>
              <w:rPr>
                <w:rFonts w:hint="default" w:ascii="Times New Roman" w:hAnsi="Times New Roman" w:cs="Times New Roman"/>
                <w:color w:val="auto"/>
                <w:spacing w:val="11"/>
                <w:position w:val="0"/>
                <w:sz w:val="24"/>
                <w:u w:val="none" w:color="auto"/>
              </w:rPr>
              <w:t>⑥爆破前应通知附近的居民、单位，并选择影响最小的时段进行爆破，爆破时间确定后不要任意变更；</w:t>
            </w:r>
            <w:bookmarkEnd w:id="59"/>
          </w:p>
          <w:p w14:paraId="631D6403">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60" w:name="_Toc2970"/>
            <w:r>
              <w:rPr>
                <w:rFonts w:hint="default" w:ascii="Times New Roman" w:hAnsi="Times New Roman" w:cs="Times New Roman"/>
                <w:color w:val="auto"/>
                <w:spacing w:val="11"/>
                <w:position w:val="0"/>
                <w:sz w:val="24"/>
                <w:u w:val="none" w:color="auto"/>
              </w:rPr>
              <w:t>⑦加强现场的管理，；加强汛前、汛期、安全工作的领导，安全防汛制度，落实安全责任。</w:t>
            </w:r>
            <w:bookmarkEnd w:id="60"/>
          </w:p>
          <w:p w14:paraId="468C5B48">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eastAsia="宋体" w:cs="Times New Roman"/>
                <w:color w:val="auto"/>
                <w:spacing w:val="11"/>
                <w:position w:val="0"/>
                <w:sz w:val="24"/>
                <w:u w:val="none" w:color="auto"/>
                <w:lang w:val="en-US" w:eastAsia="zh-CN"/>
              </w:rPr>
            </w:pPr>
            <w:bookmarkStart w:id="61" w:name="_Toc14203"/>
            <w:r>
              <w:rPr>
                <w:rFonts w:hint="default" w:ascii="Times New Roman" w:hAnsi="Times New Roman" w:cs="Times New Roman"/>
                <w:color w:val="auto"/>
                <w:spacing w:val="11"/>
                <w:position w:val="0"/>
                <w:sz w:val="24"/>
                <w:u w:val="none" w:color="auto"/>
              </w:rPr>
              <w:t>润滑油泄漏防治措施：泄漏润滑油设置接液托盘，将泄漏至接液托盘内的油品及时转移至完好容器内，制止事故成功后，应对润滑油罐体内的残液实施输转作业，以避免造成二次泄漏。并将破损容器一并交由资质单位处置。</w:t>
            </w:r>
            <w:bookmarkEnd w:id="61"/>
          </w:p>
          <w:p w14:paraId="6FEFFE8F">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62" w:name="_Toc18459"/>
            <w:r>
              <w:rPr>
                <w:rFonts w:hint="default" w:ascii="Times New Roman" w:hAnsi="Times New Roman" w:cs="Times New Roman"/>
                <w:color w:val="auto"/>
                <w:spacing w:val="11"/>
                <w:position w:val="0"/>
                <w:sz w:val="24"/>
                <w:u w:val="none" w:color="auto"/>
              </w:rPr>
              <w:t>废</w:t>
            </w:r>
            <w:r>
              <w:rPr>
                <w:rFonts w:hint="eastAsia" w:cs="Times New Roman"/>
                <w:color w:val="auto"/>
                <w:spacing w:val="11"/>
                <w:position w:val="0"/>
                <w:sz w:val="24"/>
                <w:u w:val="none" w:color="auto"/>
                <w:lang w:val="en-US" w:eastAsia="zh-CN"/>
              </w:rPr>
              <w:t>润滑油</w:t>
            </w:r>
            <w:r>
              <w:rPr>
                <w:rFonts w:hint="default" w:ascii="Times New Roman" w:hAnsi="Times New Roman" w:cs="Times New Roman"/>
                <w:color w:val="auto"/>
                <w:spacing w:val="11"/>
                <w:position w:val="0"/>
                <w:sz w:val="24"/>
                <w:u w:val="none" w:color="auto"/>
              </w:rPr>
              <w:t>泄漏防治措施：废</w:t>
            </w:r>
            <w:r>
              <w:rPr>
                <w:rFonts w:hint="default" w:ascii="Times New Roman" w:hAnsi="Times New Roman" w:cs="Times New Roman"/>
                <w:color w:val="auto"/>
                <w:spacing w:val="11"/>
                <w:position w:val="0"/>
                <w:sz w:val="24"/>
                <w:u w:val="none" w:color="auto"/>
                <w:lang w:val="en-US" w:eastAsia="zh-CN"/>
              </w:rPr>
              <w:t>润滑油</w:t>
            </w:r>
            <w:r>
              <w:rPr>
                <w:rFonts w:hint="default" w:ascii="Times New Roman" w:hAnsi="Times New Roman" w:cs="Times New Roman"/>
                <w:color w:val="auto"/>
                <w:spacing w:val="11"/>
                <w:position w:val="0"/>
                <w:sz w:val="24"/>
                <w:u w:val="none" w:color="auto"/>
              </w:rPr>
              <w:t>储存区设防泄漏接液盘，将废</w:t>
            </w:r>
            <w:r>
              <w:rPr>
                <w:rFonts w:hint="default" w:ascii="Times New Roman" w:hAnsi="Times New Roman" w:cs="Times New Roman"/>
                <w:color w:val="auto"/>
                <w:spacing w:val="11"/>
                <w:position w:val="0"/>
                <w:sz w:val="24"/>
                <w:u w:val="none" w:color="auto"/>
                <w:lang w:val="en-US" w:eastAsia="zh-CN"/>
              </w:rPr>
              <w:t>润滑油</w:t>
            </w:r>
            <w:r>
              <w:rPr>
                <w:rFonts w:hint="default" w:ascii="Times New Roman" w:hAnsi="Times New Roman" w:cs="Times New Roman"/>
                <w:color w:val="auto"/>
                <w:spacing w:val="11"/>
                <w:position w:val="0"/>
                <w:sz w:val="24"/>
                <w:u w:val="none" w:color="auto"/>
              </w:rPr>
              <w:t>放置在接液盘上。一旦发生泄漏，将接液盘泄漏的废</w:t>
            </w:r>
            <w:r>
              <w:rPr>
                <w:rFonts w:hint="default" w:ascii="Times New Roman" w:hAnsi="Times New Roman" w:cs="Times New Roman"/>
                <w:color w:val="auto"/>
                <w:spacing w:val="11"/>
                <w:position w:val="0"/>
                <w:sz w:val="24"/>
                <w:u w:val="none" w:color="auto"/>
                <w:lang w:val="en-US" w:eastAsia="zh-CN"/>
              </w:rPr>
              <w:t>润滑油</w:t>
            </w:r>
            <w:r>
              <w:rPr>
                <w:rFonts w:hint="default" w:ascii="Times New Roman" w:hAnsi="Times New Roman" w:cs="Times New Roman"/>
                <w:color w:val="auto"/>
                <w:spacing w:val="11"/>
                <w:position w:val="0"/>
                <w:sz w:val="24"/>
                <w:u w:val="none" w:color="auto"/>
              </w:rPr>
              <w:t>及时转移至应急桶内，收集后交由有资质单位进行无害化处理与处置。</w:t>
            </w:r>
            <w:bookmarkEnd w:id="62"/>
          </w:p>
          <w:p w14:paraId="50381292">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63" w:name="_Toc18975"/>
            <w:r>
              <w:rPr>
                <w:rFonts w:hint="default" w:ascii="Times New Roman" w:hAnsi="Times New Roman" w:cs="Times New Roman"/>
                <w:color w:val="auto"/>
                <w:spacing w:val="11"/>
                <w:position w:val="0"/>
                <w:sz w:val="24"/>
                <w:u w:val="none" w:color="auto"/>
              </w:rPr>
              <w:t>2）应急要求</w:t>
            </w:r>
            <w:bookmarkEnd w:id="63"/>
          </w:p>
          <w:p w14:paraId="311F716C">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64" w:name="_Toc5724"/>
            <w:r>
              <w:rPr>
                <w:rFonts w:hint="default" w:ascii="Times New Roman" w:hAnsi="Times New Roman" w:cs="Times New Roman"/>
                <w:color w:val="auto"/>
                <w:spacing w:val="11"/>
                <w:position w:val="0"/>
                <w:sz w:val="24"/>
                <w:u w:val="none" w:color="auto"/>
              </w:rPr>
              <w:t>本次评价根据爆破事故分析，制定应急预案，建设单位及管理部门参考，事故应急预案应在安全管理中具体化和进一步完善。本项目最主要是事故爆炸及泄漏事故影响的周边地区的建筑、道路等。</w:t>
            </w:r>
            <w:bookmarkEnd w:id="64"/>
          </w:p>
          <w:p w14:paraId="4A145C99">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 w:val="24"/>
                <w:u w:val="none" w:color="auto"/>
              </w:rPr>
            </w:pPr>
            <w:bookmarkStart w:id="65" w:name="_Toc12540"/>
            <w:r>
              <w:rPr>
                <w:rFonts w:hint="default" w:ascii="Times New Roman" w:hAnsi="Times New Roman" w:cs="Times New Roman"/>
                <w:color w:val="auto"/>
                <w:spacing w:val="11"/>
                <w:position w:val="0"/>
                <w:sz w:val="24"/>
                <w:u w:val="none" w:color="auto"/>
              </w:rPr>
              <w:t>①企业的应急救援指挥部应由公司总经理任总指挥，各部门领导出任副总指挥；②制定事故应急救援预案；③组成应急救援专业队伍，监督检查和做好各项救援准备工作；④发布和解除应急救援令，指挥应急队伍，实施应急行动；⑤向上级汇报并向社会救援组织通报事故情况；⑥组织调查事故原因，总结应急救援工作的经验教训，并做好善后工作；⑦总指挥：发布和解除应急救援令，指挥应急队伍和应急救援行动；⑧副总指挥：协助总指挥协调应急救援行动，负责事故报警与日报告，报救援情况及事故处理工作的协调工作；⑨并设有专人负责事故报警、报告及事故处理工作；协助领导做好事故处理及布置安全、环保防范措施，落实事故现场环境监测工作；组织成立抢险、抢修队，负责现场抢险、抢险工作；负责治安、警戒、疏散人群和现场保卫工作；负责现场医疗救护，受伤人员抢救及护送工作。企业在发生事故后，应进行事故后果评价，并将有关情况通报上级环保主管部门。</w:t>
            </w:r>
            <w:bookmarkEnd w:id="65"/>
          </w:p>
          <w:p w14:paraId="71C1D3D5">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outlineLvl w:val="1"/>
              <w:rPr>
                <w:rFonts w:hint="default" w:ascii="Times New Roman" w:hAnsi="Times New Roman" w:cs="Times New Roman"/>
                <w:color w:val="auto"/>
                <w:spacing w:val="11"/>
                <w:position w:val="0"/>
                <w:szCs w:val="21"/>
                <w:u w:val="none" w:color="auto"/>
              </w:rPr>
            </w:pPr>
            <w:bookmarkStart w:id="66" w:name="_Toc16513"/>
            <w:r>
              <w:rPr>
                <w:rFonts w:hint="default" w:ascii="Times New Roman" w:hAnsi="Times New Roman" w:cs="Times New Roman"/>
                <w:color w:val="auto"/>
                <w:spacing w:val="11"/>
                <w:position w:val="0"/>
                <w:sz w:val="24"/>
                <w:u w:val="none" w:color="auto"/>
              </w:rPr>
              <w:t>本项目炸药使用及</w:t>
            </w:r>
            <w:r>
              <w:rPr>
                <w:rFonts w:hint="default" w:ascii="Times New Roman" w:hAnsi="Times New Roman" w:eastAsia="宋体" w:cs="Times New Roman"/>
                <w:color w:val="auto"/>
                <w:spacing w:val="11"/>
                <w:position w:val="0"/>
                <w:sz w:val="24"/>
                <w:u w:val="none" w:color="auto"/>
                <w:lang w:val="en-US" w:eastAsia="zh-CN"/>
              </w:rPr>
              <w:t>润滑油、</w:t>
            </w:r>
            <w:r>
              <w:rPr>
                <w:rFonts w:hint="default" w:ascii="Times New Roman" w:hAnsi="Times New Roman" w:cs="Times New Roman"/>
                <w:color w:val="auto"/>
                <w:spacing w:val="11"/>
                <w:position w:val="0"/>
                <w:sz w:val="24"/>
                <w:u w:val="none" w:color="auto"/>
              </w:rPr>
              <w:t>废</w:t>
            </w:r>
            <w:r>
              <w:rPr>
                <w:rFonts w:hint="default" w:ascii="Times New Roman" w:hAnsi="Times New Roman" w:eastAsia="宋体" w:cs="Times New Roman"/>
                <w:color w:val="auto"/>
                <w:spacing w:val="11"/>
                <w:position w:val="0"/>
                <w:sz w:val="24"/>
                <w:u w:val="none" w:color="auto"/>
                <w:lang w:val="en-US" w:eastAsia="zh-CN"/>
              </w:rPr>
              <w:t>润滑油</w:t>
            </w:r>
            <w:r>
              <w:rPr>
                <w:rFonts w:hint="default" w:ascii="Times New Roman" w:hAnsi="Times New Roman" w:cs="Times New Roman"/>
                <w:color w:val="auto"/>
                <w:spacing w:val="11"/>
                <w:position w:val="0"/>
                <w:sz w:val="24"/>
                <w:u w:val="none" w:color="auto"/>
              </w:rPr>
              <w:t>贮存虽存在事故风险的可能性，但建设单位只要按照要求严格操作，并认真执行评价所提出的各项风险防范措施，可把事故发生的概率降至最低，采取有效的风险应急预案，对工程风险事故的环境影响控制在可接受范围。</w:t>
            </w:r>
            <w:bookmarkEnd w:id="66"/>
          </w:p>
          <w:p w14:paraId="146F39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1"/>
              <w:rPr>
                <w:rFonts w:hint="default" w:ascii="Times New Roman" w:hAnsi="Times New Roman" w:cs="Times New Roman"/>
                <w:b/>
                <w:spacing w:val="11"/>
                <w:position w:val="0"/>
                <w:sz w:val="21"/>
                <w:szCs w:val="21"/>
                <w:u w:val="none" w:color="auto"/>
              </w:rPr>
            </w:pPr>
            <w:bookmarkStart w:id="67" w:name="_Toc7024"/>
            <w:r>
              <w:rPr>
                <w:rFonts w:hint="default" w:ascii="Times New Roman" w:hAnsi="Times New Roman" w:cs="Times New Roman"/>
                <w:b/>
                <w:spacing w:val="11"/>
                <w:position w:val="0"/>
                <w:sz w:val="21"/>
                <w:szCs w:val="21"/>
                <w:u w:val="none" w:color="auto"/>
              </w:rPr>
              <w:t>表4-</w:t>
            </w:r>
            <w:r>
              <w:rPr>
                <w:rFonts w:hint="eastAsia" w:cs="Times New Roman"/>
                <w:b/>
                <w:spacing w:val="11"/>
                <w:position w:val="0"/>
                <w:sz w:val="21"/>
                <w:szCs w:val="21"/>
                <w:u w:val="none" w:color="auto"/>
                <w:lang w:val="en-US" w:eastAsia="zh-CN"/>
              </w:rPr>
              <w:t>7</w:t>
            </w:r>
            <w:r>
              <w:rPr>
                <w:rFonts w:hint="default" w:ascii="Times New Roman" w:hAnsi="Times New Roman" w:cs="Times New Roman"/>
                <w:b/>
                <w:spacing w:val="11"/>
                <w:position w:val="0"/>
                <w:sz w:val="21"/>
                <w:szCs w:val="21"/>
                <w:u w:val="none" w:color="auto"/>
              </w:rPr>
              <w:t xml:space="preserve">  建设项目环境风险简单分析内容表</w:t>
            </w:r>
            <w:bookmarkEnd w:id="67"/>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0"/>
              <w:gridCol w:w="1209"/>
              <w:gridCol w:w="1539"/>
              <w:gridCol w:w="1203"/>
              <w:gridCol w:w="2072"/>
            </w:tblGrid>
            <w:tr w14:paraId="330A5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4" w:type="pct"/>
                  <w:tcBorders>
                    <w:tl2br w:val="nil"/>
                    <w:tr2bl w:val="nil"/>
                  </w:tcBorders>
                  <w:noWrap w:val="0"/>
                  <w:vAlign w:val="center"/>
                </w:tcPr>
                <w:p w14:paraId="3F79030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iCs/>
                      <w:spacing w:val="11"/>
                      <w:position w:val="0"/>
                      <w:sz w:val="21"/>
                      <w:szCs w:val="21"/>
                      <w:u w:val="none" w:color="auto"/>
                      <w:lang w:bidi="en-US"/>
                    </w:rPr>
                  </w:pPr>
                  <w:r>
                    <w:rPr>
                      <w:rFonts w:hint="default" w:ascii="Times New Roman" w:hAnsi="Times New Roman" w:cs="Times New Roman"/>
                      <w:bCs/>
                      <w:iCs/>
                      <w:spacing w:val="11"/>
                      <w:position w:val="0"/>
                      <w:sz w:val="21"/>
                      <w:szCs w:val="21"/>
                      <w:u w:val="none" w:color="auto"/>
                      <w:lang w:bidi="en-US"/>
                    </w:rPr>
                    <w:t>建设项目名称</w:t>
                  </w:r>
                </w:p>
              </w:tc>
              <w:tc>
                <w:tcPr>
                  <w:tcW w:w="3726" w:type="pct"/>
                  <w:gridSpan w:val="4"/>
                  <w:tcBorders>
                    <w:tl2br w:val="nil"/>
                    <w:tr2bl w:val="nil"/>
                  </w:tcBorders>
                  <w:noWrap w:val="0"/>
                  <w:vAlign w:val="center"/>
                </w:tcPr>
                <w:p w14:paraId="67F72D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iCs/>
                      <w:spacing w:val="11"/>
                      <w:position w:val="0"/>
                      <w:sz w:val="21"/>
                      <w:szCs w:val="21"/>
                      <w:u w:val="none" w:color="auto"/>
                      <w:lang w:bidi="en-US"/>
                    </w:rPr>
                  </w:pPr>
                  <w:r>
                    <w:rPr>
                      <w:rFonts w:hint="default" w:ascii="Times New Roman" w:hAnsi="Times New Roman" w:cs="Times New Roman"/>
                      <w:bCs/>
                      <w:iCs/>
                      <w:spacing w:val="11"/>
                      <w:position w:val="0"/>
                      <w:sz w:val="21"/>
                      <w:szCs w:val="21"/>
                      <w:u w:val="none" w:color="auto"/>
                      <w:lang w:val="en-US" w:eastAsia="zh-CN" w:bidi="en-US"/>
                    </w:rPr>
                    <w:t>新田县创景建材有限公司文峰岭矿区灰岩矿开采项目</w:t>
                  </w:r>
                </w:p>
              </w:tc>
            </w:tr>
            <w:tr w14:paraId="094AE4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4" w:type="pct"/>
                  <w:tcBorders>
                    <w:tl2br w:val="nil"/>
                    <w:tr2bl w:val="nil"/>
                  </w:tcBorders>
                  <w:noWrap w:val="0"/>
                  <w:vAlign w:val="center"/>
                </w:tcPr>
                <w:p w14:paraId="4CD190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iCs/>
                      <w:spacing w:val="11"/>
                      <w:position w:val="0"/>
                      <w:sz w:val="21"/>
                      <w:szCs w:val="21"/>
                      <w:u w:val="none" w:color="auto"/>
                      <w:lang w:bidi="en-US"/>
                    </w:rPr>
                  </w:pPr>
                  <w:r>
                    <w:rPr>
                      <w:rFonts w:hint="default" w:ascii="Times New Roman" w:hAnsi="Times New Roman" w:cs="Times New Roman"/>
                      <w:bCs/>
                      <w:iCs/>
                      <w:spacing w:val="11"/>
                      <w:position w:val="0"/>
                      <w:sz w:val="21"/>
                      <w:szCs w:val="21"/>
                      <w:u w:val="none" w:color="auto"/>
                      <w:lang w:bidi="en-US"/>
                    </w:rPr>
                    <w:t>建设地点</w:t>
                  </w:r>
                </w:p>
              </w:tc>
              <w:tc>
                <w:tcPr>
                  <w:tcW w:w="748" w:type="pct"/>
                  <w:tcBorders>
                    <w:tl2br w:val="nil"/>
                    <w:tr2bl w:val="nil"/>
                  </w:tcBorders>
                  <w:noWrap w:val="0"/>
                  <w:vAlign w:val="center"/>
                </w:tcPr>
                <w:p w14:paraId="34A7672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iCs/>
                      <w:spacing w:val="11"/>
                      <w:position w:val="0"/>
                      <w:sz w:val="21"/>
                      <w:szCs w:val="21"/>
                      <w:u w:val="none" w:color="auto"/>
                      <w:lang w:bidi="en-US"/>
                    </w:rPr>
                  </w:pPr>
                  <w:r>
                    <w:rPr>
                      <w:rFonts w:hint="default" w:ascii="Times New Roman" w:hAnsi="Times New Roman" w:cs="Times New Roman"/>
                      <w:bCs/>
                      <w:iCs/>
                      <w:spacing w:val="11"/>
                      <w:position w:val="0"/>
                      <w:sz w:val="21"/>
                      <w:szCs w:val="21"/>
                      <w:u w:val="none" w:color="auto"/>
                      <w:lang w:bidi="en-US"/>
                    </w:rPr>
                    <w:t>湖南省</w:t>
                  </w:r>
                </w:p>
              </w:tc>
              <w:tc>
                <w:tcPr>
                  <w:tcW w:w="952" w:type="pct"/>
                  <w:tcBorders>
                    <w:tl2br w:val="nil"/>
                    <w:tr2bl w:val="nil"/>
                  </w:tcBorders>
                  <w:noWrap w:val="0"/>
                  <w:vAlign w:val="center"/>
                </w:tcPr>
                <w:p w14:paraId="55AD8A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iCs/>
                      <w:spacing w:val="11"/>
                      <w:position w:val="0"/>
                      <w:sz w:val="21"/>
                      <w:szCs w:val="21"/>
                      <w:u w:val="none" w:color="auto"/>
                      <w:lang w:bidi="en-US"/>
                    </w:rPr>
                  </w:pPr>
                  <w:r>
                    <w:rPr>
                      <w:rFonts w:hint="default" w:ascii="Times New Roman" w:hAnsi="Times New Roman" w:cs="Times New Roman"/>
                      <w:bCs/>
                      <w:iCs/>
                      <w:spacing w:val="11"/>
                      <w:position w:val="0"/>
                      <w:sz w:val="21"/>
                      <w:szCs w:val="21"/>
                      <w:u w:val="none" w:color="auto"/>
                      <w:lang w:eastAsia="zh-CN" w:bidi="en-US"/>
                    </w:rPr>
                    <w:t>永州</w:t>
                  </w:r>
                  <w:r>
                    <w:rPr>
                      <w:rFonts w:hint="default" w:ascii="Times New Roman" w:hAnsi="Times New Roman" w:cs="Times New Roman"/>
                      <w:bCs/>
                      <w:iCs/>
                      <w:spacing w:val="11"/>
                      <w:position w:val="0"/>
                      <w:sz w:val="21"/>
                      <w:szCs w:val="21"/>
                      <w:u w:val="none" w:color="auto"/>
                      <w:lang w:bidi="en-US"/>
                    </w:rPr>
                    <w:t>市</w:t>
                  </w:r>
                </w:p>
              </w:tc>
              <w:tc>
                <w:tcPr>
                  <w:tcW w:w="744" w:type="pct"/>
                  <w:tcBorders>
                    <w:tl2br w:val="nil"/>
                    <w:tr2bl w:val="nil"/>
                  </w:tcBorders>
                  <w:noWrap w:val="0"/>
                  <w:vAlign w:val="center"/>
                </w:tcPr>
                <w:p w14:paraId="3A218D9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iCs/>
                      <w:spacing w:val="11"/>
                      <w:position w:val="0"/>
                      <w:sz w:val="21"/>
                      <w:szCs w:val="21"/>
                      <w:u w:val="none" w:color="auto"/>
                      <w:lang w:bidi="en-US"/>
                    </w:rPr>
                  </w:pPr>
                  <w:r>
                    <w:rPr>
                      <w:rFonts w:hint="default" w:ascii="Times New Roman" w:hAnsi="Times New Roman" w:cs="Times New Roman"/>
                      <w:bCs/>
                      <w:iCs/>
                      <w:spacing w:val="11"/>
                      <w:position w:val="0"/>
                      <w:sz w:val="21"/>
                      <w:szCs w:val="21"/>
                      <w:u w:val="none" w:color="auto"/>
                      <w:lang w:eastAsia="zh-CN" w:bidi="en-US"/>
                    </w:rPr>
                    <w:t>新田</w:t>
                  </w:r>
                  <w:r>
                    <w:rPr>
                      <w:rFonts w:hint="default" w:ascii="Times New Roman" w:hAnsi="Times New Roman" w:cs="Times New Roman"/>
                      <w:bCs/>
                      <w:iCs/>
                      <w:spacing w:val="11"/>
                      <w:position w:val="0"/>
                      <w:sz w:val="21"/>
                      <w:szCs w:val="21"/>
                      <w:u w:val="none" w:color="auto"/>
                      <w:lang w:bidi="en-US"/>
                    </w:rPr>
                    <w:t>县</w:t>
                  </w:r>
                </w:p>
              </w:tc>
              <w:tc>
                <w:tcPr>
                  <w:tcW w:w="1282" w:type="pct"/>
                  <w:tcBorders>
                    <w:tl2br w:val="nil"/>
                    <w:tr2bl w:val="nil"/>
                  </w:tcBorders>
                  <w:noWrap w:val="0"/>
                  <w:vAlign w:val="center"/>
                </w:tcPr>
                <w:p w14:paraId="6FA3D9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iCs/>
                      <w:spacing w:val="11"/>
                      <w:position w:val="0"/>
                      <w:sz w:val="21"/>
                      <w:szCs w:val="21"/>
                      <w:u w:val="none" w:color="auto"/>
                      <w:lang w:bidi="en-US"/>
                    </w:rPr>
                  </w:pPr>
                  <w:r>
                    <w:rPr>
                      <w:rFonts w:hint="default" w:ascii="Times New Roman" w:hAnsi="Times New Roman" w:cs="Times New Roman"/>
                      <w:bCs/>
                      <w:iCs/>
                      <w:spacing w:val="11"/>
                      <w:position w:val="0"/>
                      <w:sz w:val="21"/>
                      <w:szCs w:val="21"/>
                      <w:u w:val="none" w:color="auto"/>
                      <w:lang w:bidi="en-US"/>
                    </w:rPr>
                    <w:t>龙泉街道</w:t>
                  </w:r>
                  <w:r>
                    <w:rPr>
                      <w:rFonts w:hint="default" w:ascii="Times New Roman" w:hAnsi="Times New Roman" w:cs="Times New Roman"/>
                      <w:bCs/>
                      <w:iCs/>
                      <w:spacing w:val="11"/>
                      <w:position w:val="0"/>
                      <w:sz w:val="21"/>
                      <w:szCs w:val="21"/>
                      <w:u w:val="none" w:color="auto"/>
                      <w:lang w:val="en-US" w:eastAsia="zh-CN" w:bidi="en-US"/>
                    </w:rPr>
                    <w:t>潮水铺村文峰岭矿区</w:t>
                  </w:r>
                </w:p>
              </w:tc>
            </w:tr>
            <w:tr w14:paraId="798CB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4" w:type="pct"/>
                  <w:tcBorders>
                    <w:tl2br w:val="nil"/>
                    <w:tr2bl w:val="nil"/>
                  </w:tcBorders>
                  <w:noWrap w:val="0"/>
                  <w:vAlign w:val="center"/>
                </w:tcPr>
                <w:p w14:paraId="5400DEB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iCs/>
                      <w:spacing w:val="11"/>
                      <w:position w:val="0"/>
                      <w:sz w:val="21"/>
                      <w:szCs w:val="21"/>
                      <w:u w:val="none" w:color="auto"/>
                      <w:lang w:bidi="en-US"/>
                    </w:rPr>
                  </w:pPr>
                  <w:r>
                    <w:rPr>
                      <w:rFonts w:hint="default" w:ascii="Times New Roman" w:hAnsi="Times New Roman" w:cs="Times New Roman"/>
                      <w:bCs/>
                      <w:iCs/>
                      <w:spacing w:val="11"/>
                      <w:position w:val="0"/>
                      <w:sz w:val="21"/>
                      <w:szCs w:val="21"/>
                      <w:u w:val="none" w:color="auto"/>
                      <w:lang w:bidi="en-US"/>
                    </w:rPr>
                    <w:t>地理坐标</w:t>
                  </w:r>
                </w:p>
              </w:tc>
              <w:tc>
                <w:tcPr>
                  <w:tcW w:w="748" w:type="pct"/>
                  <w:tcBorders>
                    <w:tl2br w:val="nil"/>
                    <w:tr2bl w:val="nil"/>
                  </w:tcBorders>
                  <w:noWrap w:val="0"/>
                  <w:vAlign w:val="center"/>
                </w:tcPr>
                <w:p w14:paraId="5B3A04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iCs/>
                      <w:spacing w:val="11"/>
                      <w:position w:val="0"/>
                      <w:sz w:val="21"/>
                      <w:szCs w:val="21"/>
                      <w:u w:val="none" w:color="auto"/>
                      <w:lang w:bidi="en-US"/>
                    </w:rPr>
                  </w:pPr>
                  <w:r>
                    <w:rPr>
                      <w:rFonts w:hint="default" w:ascii="Times New Roman" w:hAnsi="Times New Roman" w:cs="Times New Roman"/>
                      <w:bCs/>
                      <w:iCs/>
                      <w:spacing w:val="11"/>
                      <w:position w:val="0"/>
                      <w:sz w:val="21"/>
                      <w:szCs w:val="21"/>
                      <w:u w:val="none" w:color="auto"/>
                      <w:lang w:bidi="en-US"/>
                    </w:rPr>
                    <w:t>经度</w:t>
                  </w:r>
                </w:p>
              </w:tc>
              <w:tc>
                <w:tcPr>
                  <w:tcW w:w="952" w:type="pct"/>
                  <w:tcBorders>
                    <w:tl2br w:val="nil"/>
                    <w:tr2bl w:val="nil"/>
                  </w:tcBorders>
                  <w:noWrap w:val="0"/>
                  <w:vAlign w:val="center"/>
                </w:tcPr>
                <w:p w14:paraId="6E72115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Cs/>
                      <w:iCs/>
                      <w:spacing w:val="11"/>
                      <w:position w:val="0"/>
                      <w:sz w:val="21"/>
                      <w:szCs w:val="21"/>
                      <w:u w:val="none" w:color="auto"/>
                      <w:lang w:val="en-US" w:eastAsia="zh-CN" w:bidi="en-US"/>
                    </w:rPr>
                  </w:pPr>
                  <w:r>
                    <w:rPr>
                      <w:rFonts w:hint="default" w:ascii="Times New Roman" w:hAnsi="Times New Roman" w:cs="Times New Roman"/>
                      <w:spacing w:val="11"/>
                      <w:position w:val="0"/>
                      <w:sz w:val="21"/>
                      <w:szCs w:val="21"/>
                      <w:u w:val="none" w:color="auto"/>
                    </w:rPr>
                    <w:t>112.133132</w:t>
                  </w:r>
                </w:p>
              </w:tc>
              <w:tc>
                <w:tcPr>
                  <w:tcW w:w="744" w:type="pct"/>
                  <w:tcBorders>
                    <w:tl2br w:val="nil"/>
                    <w:tr2bl w:val="nil"/>
                  </w:tcBorders>
                  <w:noWrap w:val="0"/>
                  <w:vAlign w:val="center"/>
                </w:tcPr>
                <w:p w14:paraId="7557726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iCs/>
                      <w:spacing w:val="11"/>
                      <w:position w:val="0"/>
                      <w:sz w:val="21"/>
                      <w:szCs w:val="21"/>
                      <w:u w:val="none" w:color="auto"/>
                      <w:lang w:bidi="en-US"/>
                    </w:rPr>
                  </w:pPr>
                  <w:r>
                    <w:rPr>
                      <w:rFonts w:hint="default" w:ascii="Times New Roman" w:hAnsi="Times New Roman" w:cs="Times New Roman"/>
                      <w:bCs/>
                      <w:iCs/>
                      <w:spacing w:val="11"/>
                      <w:position w:val="0"/>
                      <w:sz w:val="21"/>
                      <w:szCs w:val="21"/>
                      <w:u w:val="none" w:color="auto"/>
                      <w:lang w:bidi="en-US"/>
                    </w:rPr>
                    <w:t>纬度</w:t>
                  </w:r>
                </w:p>
              </w:tc>
              <w:tc>
                <w:tcPr>
                  <w:tcW w:w="1282" w:type="pct"/>
                  <w:tcBorders>
                    <w:tl2br w:val="nil"/>
                    <w:tr2bl w:val="nil"/>
                  </w:tcBorders>
                  <w:noWrap w:val="0"/>
                  <w:vAlign w:val="center"/>
                </w:tcPr>
                <w:p w14:paraId="36A287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Cs/>
                      <w:iCs/>
                      <w:spacing w:val="11"/>
                      <w:position w:val="0"/>
                      <w:sz w:val="21"/>
                      <w:szCs w:val="21"/>
                      <w:u w:val="none" w:color="auto"/>
                      <w:lang w:val="en-US" w:eastAsia="zh-CN" w:bidi="en-US"/>
                    </w:rPr>
                  </w:pPr>
                  <w:r>
                    <w:rPr>
                      <w:rFonts w:hint="default" w:ascii="Times New Roman" w:hAnsi="Times New Roman" w:cs="Times New Roman"/>
                      <w:spacing w:val="11"/>
                      <w:position w:val="0"/>
                      <w:sz w:val="21"/>
                      <w:szCs w:val="21"/>
                      <w:u w:val="none" w:color="auto"/>
                    </w:rPr>
                    <w:t>25.904815</w:t>
                  </w:r>
                </w:p>
              </w:tc>
            </w:tr>
            <w:tr w14:paraId="5AB5F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4" w:type="pct"/>
                  <w:tcBorders>
                    <w:tl2br w:val="nil"/>
                    <w:tr2bl w:val="nil"/>
                  </w:tcBorders>
                  <w:noWrap w:val="0"/>
                  <w:vAlign w:val="center"/>
                </w:tcPr>
                <w:p w14:paraId="05DB69E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iCs/>
                      <w:spacing w:val="11"/>
                      <w:position w:val="0"/>
                      <w:sz w:val="21"/>
                      <w:szCs w:val="21"/>
                      <w:u w:val="none" w:color="auto"/>
                      <w:lang w:bidi="en-US"/>
                    </w:rPr>
                  </w:pPr>
                  <w:r>
                    <w:rPr>
                      <w:rFonts w:hint="default" w:ascii="Times New Roman" w:hAnsi="Times New Roman" w:cs="Times New Roman"/>
                      <w:bCs/>
                      <w:iCs/>
                      <w:spacing w:val="11"/>
                      <w:position w:val="0"/>
                      <w:sz w:val="21"/>
                      <w:szCs w:val="21"/>
                      <w:u w:val="none" w:color="auto"/>
                      <w:lang w:bidi="en-US"/>
                    </w:rPr>
                    <w:t>主要危险物质及分布</w:t>
                  </w:r>
                </w:p>
              </w:tc>
              <w:tc>
                <w:tcPr>
                  <w:tcW w:w="3726" w:type="pct"/>
                  <w:gridSpan w:val="4"/>
                  <w:tcBorders>
                    <w:tl2br w:val="nil"/>
                    <w:tr2bl w:val="nil"/>
                  </w:tcBorders>
                  <w:noWrap w:val="0"/>
                  <w:vAlign w:val="center"/>
                </w:tcPr>
                <w:p w14:paraId="1FD023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both"/>
                    <w:textAlignment w:val="auto"/>
                    <w:rPr>
                      <w:rFonts w:hint="default" w:ascii="Times New Roman" w:hAnsi="Times New Roman" w:cs="Times New Roman"/>
                      <w:bCs/>
                      <w:iCs/>
                      <w:spacing w:val="11"/>
                      <w:position w:val="0"/>
                      <w:sz w:val="21"/>
                      <w:szCs w:val="21"/>
                      <w:u w:val="none" w:color="auto"/>
                      <w:lang w:bidi="en-US"/>
                    </w:rPr>
                  </w:pPr>
                  <w:r>
                    <w:rPr>
                      <w:rFonts w:hint="default" w:ascii="Times New Roman" w:hAnsi="Times New Roman" w:cs="Times New Roman"/>
                      <w:bCs/>
                      <w:iCs/>
                      <w:spacing w:val="11"/>
                      <w:position w:val="0"/>
                      <w:sz w:val="21"/>
                      <w:szCs w:val="21"/>
                      <w:u w:val="none" w:color="auto"/>
                      <w:lang w:bidi="en-US"/>
                    </w:rPr>
                    <w:t>主要危险物质为润滑油、废润滑油</w:t>
                  </w:r>
                </w:p>
              </w:tc>
            </w:tr>
            <w:tr w14:paraId="0B6BFB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4" w:type="pct"/>
                  <w:tcBorders>
                    <w:tl2br w:val="nil"/>
                    <w:tr2bl w:val="nil"/>
                  </w:tcBorders>
                  <w:noWrap w:val="0"/>
                  <w:vAlign w:val="center"/>
                </w:tcPr>
                <w:p w14:paraId="71CD41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iCs/>
                      <w:spacing w:val="11"/>
                      <w:position w:val="0"/>
                      <w:sz w:val="21"/>
                      <w:szCs w:val="21"/>
                      <w:u w:val="none" w:color="auto"/>
                      <w:lang w:bidi="en-US"/>
                    </w:rPr>
                  </w:pPr>
                  <w:r>
                    <w:rPr>
                      <w:rFonts w:hint="default" w:ascii="Times New Roman" w:hAnsi="Times New Roman" w:cs="Times New Roman"/>
                      <w:bCs/>
                      <w:iCs/>
                      <w:spacing w:val="11"/>
                      <w:position w:val="0"/>
                      <w:sz w:val="21"/>
                      <w:szCs w:val="21"/>
                      <w:u w:val="none" w:color="auto"/>
                      <w:lang w:bidi="en-US"/>
                    </w:rPr>
                    <w:t>环境影响途径及危害后果</w:t>
                  </w:r>
                </w:p>
              </w:tc>
              <w:tc>
                <w:tcPr>
                  <w:tcW w:w="3726" w:type="pct"/>
                  <w:gridSpan w:val="4"/>
                  <w:tcBorders>
                    <w:tl2br w:val="nil"/>
                    <w:tr2bl w:val="nil"/>
                  </w:tcBorders>
                  <w:noWrap w:val="0"/>
                  <w:vAlign w:val="center"/>
                </w:tcPr>
                <w:p w14:paraId="041E0E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bCs/>
                      <w:iCs/>
                      <w:spacing w:val="11"/>
                      <w:position w:val="0"/>
                      <w:sz w:val="21"/>
                      <w:szCs w:val="21"/>
                      <w:u w:val="none" w:color="auto"/>
                      <w:lang w:bidi="en-US"/>
                    </w:rPr>
                  </w:pPr>
                  <w:r>
                    <w:rPr>
                      <w:rFonts w:hint="default" w:ascii="Times New Roman" w:hAnsi="Times New Roman" w:cs="Times New Roman"/>
                      <w:spacing w:val="11"/>
                      <w:position w:val="0"/>
                      <w:sz w:val="21"/>
                      <w:szCs w:val="21"/>
                      <w:u w:val="none" w:color="auto"/>
                    </w:rPr>
                    <w:t>炸药爆炸后产生的有害气体及粉尘主要对大气环境产生影响，由于本项目使用炸药量较小，爆炸产生的有害气体影响有限，由于是瞬间产生，随时间及空气传播，很快对周围环境影响消失。润滑油、废机油泄漏，会污染水环境和土壤环境。油类物质泄漏造成地面漫流污染周边土壤及水环境，采取泄漏防治措施和应急方案紧急处理后对周边环境影响较小</w:t>
                  </w:r>
                  <w:r>
                    <w:rPr>
                      <w:rFonts w:hint="default" w:ascii="Times New Roman" w:hAnsi="Times New Roman" w:cs="Times New Roman"/>
                      <w:bCs/>
                      <w:iCs/>
                      <w:spacing w:val="11"/>
                      <w:position w:val="0"/>
                      <w:sz w:val="21"/>
                      <w:szCs w:val="21"/>
                      <w:u w:val="none" w:color="auto"/>
                      <w:lang w:bidi="en-US"/>
                    </w:rPr>
                    <w:t>。</w:t>
                  </w:r>
                </w:p>
              </w:tc>
            </w:tr>
            <w:tr w14:paraId="7BD827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4" w:type="pct"/>
                  <w:tcBorders>
                    <w:tl2br w:val="nil"/>
                    <w:tr2bl w:val="nil"/>
                  </w:tcBorders>
                  <w:noWrap w:val="0"/>
                  <w:vAlign w:val="center"/>
                </w:tcPr>
                <w:p w14:paraId="368323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iCs/>
                      <w:spacing w:val="11"/>
                      <w:position w:val="0"/>
                      <w:sz w:val="21"/>
                      <w:szCs w:val="21"/>
                      <w:u w:val="none" w:color="auto"/>
                      <w:lang w:bidi="en-US"/>
                    </w:rPr>
                  </w:pPr>
                  <w:r>
                    <w:rPr>
                      <w:rFonts w:hint="default" w:ascii="Times New Roman" w:hAnsi="Times New Roman" w:cs="Times New Roman"/>
                      <w:bCs/>
                      <w:iCs/>
                      <w:spacing w:val="11"/>
                      <w:position w:val="0"/>
                      <w:sz w:val="21"/>
                      <w:szCs w:val="21"/>
                      <w:u w:val="none" w:color="auto"/>
                      <w:lang w:bidi="en-US"/>
                    </w:rPr>
                    <w:t>风险防范措施要求</w:t>
                  </w:r>
                </w:p>
              </w:tc>
              <w:tc>
                <w:tcPr>
                  <w:tcW w:w="3726" w:type="pct"/>
                  <w:gridSpan w:val="4"/>
                  <w:tcBorders>
                    <w:tl2br w:val="nil"/>
                    <w:tr2bl w:val="nil"/>
                  </w:tcBorders>
                  <w:noWrap w:val="0"/>
                  <w:vAlign w:val="top"/>
                </w:tcPr>
                <w:p w14:paraId="272D942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bCs/>
                      <w:spacing w:val="11"/>
                      <w:position w:val="0"/>
                      <w:sz w:val="21"/>
                      <w:szCs w:val="21"/>
                      <w:u w:val="none" w:color="auto"/>
                      <w:lang w:bidi="en-US"/>
                    </w:rPr>
                  </w:pPr>
                  <w:r>
                    <w:rPr>
                      <w:rFonts w:hint="default" w:ascii="Times New Roman" w:hAnsi="Times New Roman" w:cs="Times New Roman"/>
                      <w:bCs/>
                      <w:spacing w:val="11"/>
                      <w:position w:val="0"/>
                      <w:sz w:val="21"/>
                      <w:szCs w:val="21"/>
                      <w:u w:val="none" w:color="auto"/>
                      <w:lang w:bidi="en-US"/>
                    </w:rPr>
                    <w:t>①炸药运输及装卸期间，防止炸药遇到明火后发生事故；</w:t>
                  </w:r>
                </w:p>
                <w:p w14:paraId="094BEE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bCs/>
                      <w:spacing w:val="11"/>
                      <w:position w:val="0"/>
                      <w:sz w:val="21"/>
                      <w:szCs w:val="21"/>
                      <w:u w:val="none" w:color="auto"/>
                      <w:lang w:bidi="en-US"/>
                    </w:rPr>
                  </w:pPr>
                  <w:r>
                    <w:rPr>
                      <w:rFonts w:hint="default" w:ascii="Times New Roman" w:hAnsi="Times New Roman" w:cs="Times New Roman"/>
                      <w:bCs/>
                      <w:spacing w:val="11"/>
                      <w:position w:val="0"/>
                      <w:sz w:val="21"/>
                      <w:szCs w:val="21"/>
                      <w:u w:val="none" w:color="auto"/>
                      <w:lang w:bidi="en-US"/>
                    </w:rPr>
                    <w:t>②搬运和储存火工品必须符合有关规定并严禁撞击，摔打火工品；</w:t>
                  </w:r>
                </w:p>
                <w:p w14:paraId="4FE08E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bCs/>
                      <w:spacing w:val="11"/>
                      <w:position w:val="0"/>
                      <w:sz w:val="21"/>
                      <w:szCs w:val="21"/>
                      <w:u w:val="none" w:color="auto"/>
                      <w:lang w:bidi="en-US"/>
                    </w:rPr>
                  </w:pPr>
                  <w:r>
                    <w:rPr>
                      <w:rFonts w:hint="default" w:ascii="Times New Roman" w:hAnsi="Times New Roman" w:cs="Times New Roman"/>
                      <w:bCs/>
                      <w:spacing w:val="11"/>
                      <w:position w:val="0"/>
                      <w:sz w:val="21"/>
                      <w:szCs w:val="21"/>
                      <w:u w:val="none" w:color="auto"/>
                      <w:lang w:bidi="en-US"/>
                    </w:rPr>
                    <w:t>③事故状态下，安排专员进行疏散通道，并进行安置；</w:t>
                  </w:r>
                </w:p>
                <w:p w14:paraId="5D1EE53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bCs/>
                      <w:spacing w:val="11"/>
                      <w:position w:val="0"/>
                      <w:sz w:val="21"/>
                      <w:szCs w:val="21"/>
                      <w:u w:val="none" w:color="auto"/>
                      <w:lang w:bidi="en-US"/>
                    </w:rPr>
                  </w:pPr>
                  <w:r>
                    <w:rPr>
                      <w:rFonts w:hint="default" w:ascii="Times New Roman" w:hAnsi="Times New Roman" w:cs="Times New Roman"/>
                      <w:bCs/>
                      <w:spacing w:val="11"/>
                      <w:position w:val="0"/>
                      <w:sz w:val="21"/>
                      <w:szCs w:val="21"/>
                      <w:u w:val="none" w:color="auto"/>
                      <w:lang w:bidi="en-US"/>
                    </w:rPr>
                    <w:t>④炸药运输及装卸前，采用洒水车定期湿润地面，并安排洒水车在采区待命；</w:t>
                  </w:r>
                </w:p>
                <w:p w14:paraId="61F061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bCs/>
                      <w:spacing w:val="11"/>
                      <w:position w:val="0"/>
                      <w:sz w:val="21"/>
                      <w:szCs w:val="21"/>
                      <w:u w:val="none" w:color="auto"/>
                      <w:lang w:bidi="en-US"/>
                    </w:rPr>
                  </w:pPr>
                  <w:r>
                    <w:rPr>
                      <w:rFonts w:hint="default" w:ascii="Times New Roman" w:hAnsi="Times New Roman" w:cs="Times New Roman"/>
                      <w:bCs/>
                      <w:spacing w:val="11"/>
                      <w:position w:val="0"/>
                      <w:sz w:val="21"/>
                      <w:szCs w:val="21"/>
                      <w:u w:val="none" w:color="auto"/>
                      <w:lang w:bidi="en-US"/>
                    </w:rPr>
                    <w:t>⑤润滑油储存区</w:t>
                  </w:r>
                  <w:r>
                    <w:rPr>
                      <w:rFonts w:hint="eastAsia" w:cs="Times New Roman"/>
                      <w:bCs/>
                      <w:spacing w:val="11"/>
                      <w:position w:val="0"/>
                      <w:sz w:val="21"/>
                      <w:szCs w:val="21"/>
                      <w:u w:val="none" w:color="auto"/>
                      <w:lang w:eastAsia="zh-CN" w:bidi="en-US"/>
                    </w:rPr>
                    <w:t>、危废暂存间</w:t>
                  </w:r>
                  <w:r>
                    <w:rPr>
                      <w:rFonts w:hint="default" w:ascii="Times New Roman" w:hAnsi="Times New Roman" w:cs="Times New Roman"/>
                      <w:bCs/>
                      <w:spacing w:val="11"/>
                      <w:position w:val="0"/>
                      <w:sz w:val="21"/>
                      <w:szCs w:val="21"/>
                      <w:u w:val="none" w:color="auto"/>
                      <w:lang w:bidi="en-US"/>
                    </w:rPr>
                    <w:t>设接液托盘</w:t>
                  </w:r>
                  <w:r>
                    <w:rPr>
                      <w:rFonts w:hint="default" w:ascii="Times New Roman" w:hAnsi="Times New Roman" w:cs="Times New Roman"/>
                      <w:bCs/>
                      <w:spacing w:val="11"/>
                      <w:position w:val="0"/>
                      <w:sz w:val="21"/>
                      <w:szCs w:val="21"/>
                      <w:u w:val="none" w:color="auto"/>
                      <w:lang w:eastAsia="zh-CN" w:bidi="en-US"/>
                    </w:rPr>
                    <w:t>；</w:t>
                  </w:r>
                  <w:r>
                    <w:rPr>
                      <w:rFonts w:hint="default" w:ascii="Times New Roman" w:hAnsi="Times New Roman" w:cs="Times New Roman"/>
                      <w:bCs/>
                      <w:spacing w:val="11"/>
                      <w:position w:val="0"/>
                      <w:sz w:val="21"/>
                      <w:szCs w:val="21"/>
                      <w:u w:val="none" w:color="auto"/>
                      <w:lang w:bidi="en-US"/>
                    </w:rPr>
                    <w:t>应急处置后沾油</w:t>
                  </w:r>
                  <w:r>
                    <w:rPr>
                      <w:rFonts w:hint="default" w:ascii="Times New Roman" w:hAnsi="Times New Roman" w:cs="Times New Roman"/>
                      <w:spacing w:val="11"/>
                      <w:kern w:val="0"/>
                      <w:position w:val="0"/>
                      <w:sz w:val="21"/>
                      <w:szCs w:val="21"/>
                      <w:u w:val="none" w:color="auto"/>
                    </w:rPr>
                    <w:t>吸油毡或砂土</w:t>
                  </w:r>
                  <w:r>
                    <w:rPr>
                      <w:rFonts w:hint="default" w:ascii="Times New Roman" w:hAnsi="Times New Roman" w:cs="Times New Roman"/>
                      <w:bCs/>
                      <w:spacing w:val="11"/>
                      <w:position w:val="0"/>
                      <w:sz w:val="21"/>
                      <w:szCs w:val="21"/>
                      <w:u w:val="none" w:color="auto"/>
                      <w:lang w:bidi="en-US"/>
                    </w:rPr>
                    <w:t>收集后交由有资部门进行无害化处理与处置；</w:t>
                  </w:r>
                </w:p>
                <w:p w14:paraId="34345E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bCs/>
                      <w:spacing w:val="11"/>
                      <w:position w:val="0"/>
                      <w:sz w:val="21"/>
                      <w:szCs w:val="21"/>
                      <w:u w:val="none" w:color="auto"/>
                      <w:lang w:bidi="en-US"/>
                    </w:rPr>
                  </w:pPr>
                  <w:r>
                    <w:rPr>
                      <w:rFonts w:hint="default" w:ascii="Times New Roman" w:hAnsi="Times New Roman" w:cs="Times New Roman"/>
                      <w:bCs/>
                      <w:spacing w:val="11"/>
                      <w:position w:val="0"/>
                      <w:sz w:val="21"/>
                      <w:szCs w:val="21"/>
                      <w:u w:val="none" w:color="auto"/>
                      <w:lang w:bidi="en-US"/>
                    </w:rPr>
                    <w:t>⑥</w:t>
                  </w:r>
                  <w:r>
                    <w:rPr>
                      <w:rFonts w:hint="default" w:ascii="Times New Roman" w:hAnsi="Times New Roman" w:cs="Times New Roman"/>
                      <w:spacing w:val="11"/>
                      <w:position w:val="0"/>
                      <w:sz w:val="21"/>
                      <w:szCs w:val="21"/>
                      <w:u w:val="none" w:color="auto"/>
                    </w:rPr>
                    <w:t>建设方在采区、排土场周边设截流沟，靠坡一面设浆砌拦挡墙，排土场撒播草籽绿化，同时做好安全作业与</w:t>
                  </w:r>
                  <w:r>
                    <w:rPr>
                      <w:rFonts w:hint="eastAsia" w:cs="Times New Roman"/>
                      <w:spacing w:val="11"/>
                      <w:position w:val="0"/>
                      <w:sz w:val="21"/>
                      <w:szCs w:val="21"/>
                      <w:u w:val="none" w:color="auto"/>
                      <w:lang w:val="en-US" w:eastAsia="zh-CN"/>
                    </w:rPr>
                    <w:t>定期</w:t>
                  </w:r>
                  <w:r>
                    <w:rPr>
                      <w:rFonts w:hint="default" w:ascii="Times New Roman" w:hAnsi="Times New Roman" w:cs="Times New Roman"/>
                      <w:spacing w:val="11"/>
                      <w:position w:val="0"/>
                      <w:sz w:val="21"/>
                      <w:szCs w:val="21"/>
                      <w:u w:val="none" w:color="auto"/>
                    </w:rPr>
                    <w:t>检查排水设施</w:t>
                  </w:r>
                  <w:r>
                    <w:rPr>
                      <w:rFonts w:hint="default" w:ascii="Times New Roman" w:hAnsi="Times New Roman" w:cs="Times New Roman"/>
                      <w:bCs/>
                      <w:spacing w:val="11"/>
                      <w:position w:val="0"/>
                      <w:sz w:val="21"/>
                      <w:szCs w:val="21"/>
                      <w:u w:val="none" w:color="auto"/>
                      <w:lang w:bidi="en-US"/>
                    </w:rPr>
                    <w:t>。</w:t>
                  </w:r>
                </w:p>
              </w:tc>
            </w:tr>
            <w:tr w14:paraId="6A993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tcBorders>
                    <w:tl2br w:val="nil"/>
                    <w:tr2bl w:val="nil"/>
                  </w:tcBorders>
                  <w:noWrap w:val="0"/>
                  <w:vAlign w:val="top"/>
                </w:tcPr>
                <w:p w14:paraId="5BCF3B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bCs/>
                      <w:iCs/>
                      <w:spacing w:val="11"/>
                      <w:position w:val="0"/>
                      <w:sz w:val="21"/>
                      <w:szCs w:val="21"/>
                      <w:u w:val="none" w:color="auto"/>
                      <w:lang w:bidi="en-US"/>
                    </w:rPr>
                  </w:pPr>
                  <w:r>
                    <w:rPr>
                      <w:rFonts w:hint="default" w:ascii="Times New Roman" w:hAnsi="Times New Roman" w:cs="Times New Roman"/>
                      <w:bCs/>
                      <w:iCs/>
                      <w:spacing w:val="11"/>
                      <w:position w:val="0"/>
                      <w:sz w:val="21"/>
                      <w:szCs w:val="21"/>
                      <w:u w:val="none" w:color="auto"/>
                      <w:lang w:bidi="en-US"/>
                    </w:rPr>
                    <w:t>填表说明：根据《建设项目环境风险评价技术导则》（HJ169-2018）附录B突发环境事件风险物质及临界量表，本项目环境风险潜势为I，仅开展简单分析。</w:t>
                  </w:r>
                </w:p>
              </w:tc>
            </w:tr>
          </w:tbl>
          <w:p w14:paraId="3D6FBED8">
            <w:pPr>
              <w:pStyle w:val="71"/>
              <w:keepNext w:val="0"/>
              <w:keepLines w:val="0"/>
              <w:pageBreakBefore w:val="0"/>
              <w:widowControl w:val="0"/>
              <w:tabs>
                <w:tab w:val="left" w:pos="8820"/>
                <w:tab w:val="left" w:pos="9000"/>
                <w:tab w:val="clear" w:pos="0"/>
              </w:tabs>
              <w:kinsoku/>
              <w:wordWrap/>
              <w:overflowPunct/>
              <w:topLinePunct w:val="0"/>
              <w:autoSpaceDE/>
              <w:autoSpaceDN/>
              <w:bidi w:val="0"/>
              <w:adjustRightInd w:val="0"/>
              <w:snapToGrid w:val="0"/>
              <w:spacing w:line="360" w:lineRule="auto"/>
              <w:ind w:left="0" w:leftChars="0" w:right="0" w:rightChars="0" w:firstLine="524" w:firstLineChars="200"/>
              <w:jc w:val="both"/>
              <w:textAlignment w:val="auto"/>
              <w:rPr>
                <w:rFonts w:hint="default" w:ascii="Times New Roman" w:hAnsi="Times New Roman" w:eastAsia="宋体" w:cs="Times New Roman"/>
                <w:bCs/>
                <w:color w:val="auto"/>
                <w:spacing w:val="11"/>
                <w:position w:val="0"/>
                <w:sz w:val="24"/>
                <w:szCs w:val="24"/>
                <w:u w:val="none" w:color="auto"/>
                <w:lang w:val="en-US"/>
              </w:rPr>
            </w:pPr>
          </w:p>
        </w:tc>
      </w:tr>
      <w:tr w14:paraId="324D33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pct"/>
            <w:tcBorders>
              <w:tl2br w:val="nil"/>
              <w:tr2bl w:val="nil"/>
            </w:tcBorders>
            <w:noWrap w:val="0"/>
            <w:vAlign w:val="center"/>
          </w:tcPr>
          <w:p w14:paraId="61D89D21">
            <w:pPr>
              <w:pStyle w:val="28"/>
              <w:adjustRightInd w:val="0"/>
              <w:snapToGrid w:val="0"/>
              <w:spacing w:before="0" w:beforeAutospacing="0" w:after="0" w:afterAutospacing="0" w:line="360" w:lineRule="auto"/>
              <w:jc w:val="center"/>
              <w:rPr>
                <w:rFonts w:hint="default" w:ascii="Times New Roman" w:hAnsi="Times New Roman" w:eastAsia="宋体" w:cs="Times New Roman"/>
                <w:bCs/>
                <w:color w:val="auto"/>
                <w:spacing w:val="11"/>
                <w:kern w:val="2"/>
                <w:position w:val="0"/>
                <w:sz w:val="24"/>
                <w:szCs w:val="24"/>
              </w:rPr>
            </w:pPr>
            <w:r>
              <w:rPr>
                <w:rFonts w:hint="default" w:ascii="Times New Roman" w:hAnsi="Times New Roman" w:eastAsia="宋体" w:cs="Times New Roman"/>
                <w:bCs/>
                <w:color w:val="auto"/>
                <w:spacing w:val="11"/>
                <w:kern w:val="2"/>
                <w:position w:val="0"/>
                <w:sz w:val="24"/>
                <w:szCs w:val="24"/>
              </w:rPr>
              <w:t>选址选线环境合理性分析</w:t>
            </w:r>
          </w:p>
        </w:tc>
        <w:tc>
          <w:tcPr>
            <w:tcW w:w="4579" w:type="pct"/>
            <w:tcBorders>
              <w:tl2br w:val="nil"/>
              <w:tr2bl w:val="nil"/>
            </w:tcBorders>
            <w:noWrap w:val="0"/>
            <w:vAlign w:val="top"/>
          </w:tcPr>
          <w:p w14:paraId="005F267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6" w:firstLineChars="200"/>
              <w:textAlignment w:val="auto"/>
              <w:rPr>
                <w:rFonts w:hint="default" w:ascii="Times New Roman" w:hAnsi="Times New Roman" w:eastAsia="宋体" w:cs="Times New Roman"/>
                <w:b/>
                <w:spacing w:val="11"/>
                <w:position w:val="0"/>
                <w:sz w:val="24"/>
                <w:szCs w:val="24"/>
              </w:rPr>
            </w:pPr>
            <w:r>
              <w:rPr>
                <w:rFonts w:hint="default" w:ascii="Times New Roman" w:hAnsi="Times New Roman" w:eastAsia="宋体" w:cs="Times New Roman"/>
                <w:b/>
                <w:spacing w:val="11"/>
                <w:position w:val="0"/>
                <w:sz w:val="24"/>
                <w:szCs w:val="24"/>
                <w:lang w:val="en-US" w:eastAsia="zh-CN"/>
              </w:rPr>
              <w:t>1、</w:t>
            </w:r>
            <w:r>
              <w:rPr>
                <w:rFonts w:hint="default" w:ascii="Times New Roman" w:hAnsi="Times New Roman" w:eastAsia="宋体" w:cs="Times New Roman"/>
                <w:b/>
                <w:spacing w:val="11"/>
                <w:position w:val="0"/>
                <w:sz w:val="24"/>
                <w:szCs w:val="24"/>
              </w:rPr>
              <w:t>项目</w:t>
            </w:r>
            <w:r>
              <w:rPr>
                <w:rFonts w:hint="default" w:ascii="Times New Roman" w:hAnsi="Times New Roman" w:eastAsia="宋体" w:cs="Times New Roman"/>
                <w:b/>
                <w:spacing w:val="11"/>
                <w:position w:val="0"/>
                <w:sz w:val="24"/>
                <w:szCs w:val="24"/>
                <w:lang w:eastAsia="zh-CN"/>
              </w:rPr>
              <w:t>用地</w:t>
            </w:r>
            <w:r>
              <w:rPr>
                <w:rFonts w:hint="default" w:ascii="Times New Roman" w:hAnsi="Times New Roman" w:eastAsia="宋体" w:cs="Times New Roman"/>
                <w:b/>
                <w:spacing w:val="11"/>
                <w:position w:val="0"/>
                <w:sz w:val="24"/>
                <w:szCs w:val="24"/>
              </w:rPr>
              <w:t>选址环境合理性分析</w:t>
            </w:r>
          </w:p>
          <w:p w14:paraId="65D979E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pacing w:val="11"/>
                <w:kern w:val="0"/>
                <w:position w:val="0"/>
                <w:sz w:val="24"/>
              </w:rPr>
            </w:pPr>
            <w:r>
              <w:rPr>
                <w:rFonts w:hint="default" w:ascii="Times New Roman" w:hAnsi="Times New Roman" w:eastAsia="宋体" w:cs="Times New Roman"/>
                <w:spacing w:val="11"/>
                <w:position w:val="0"/>
                <w:sz w:val="24"/>
              </w:rPr>
              <w:t>本项目位于湖南省永州市新田县龙泉街道</w:t>
            </w:r>
            <w:r>
              <w:rPr>
                <w:rFonts w:hint="default" w:ascii="Times New Roman" w:hAnsi="Times New Roman" w:eastAsia="宋体" w:cs="Times New Roman"/>
                <w:spacing w:val="11"/>
                <w:position w:val="0"/>
                <w:sz w:val="24"/>
                <w:lang w:val="en-US" w:eastAsia="zh-CN"/>
              </w:rPr>
              <w:t>潮水铺村文峰岭矿区</w:t>
            </w:r>
            <w:r>
              <w:rPr>
                <w:rFonts w:hint="default" w:ascii="Times New Roman" w:hAnsi="Times New Roman" w:eastAsia="宋体" w:cs="Times New Roman"/>
                <w:spacing w:val="11"/>
                <w:position w:val="0"/>
                <w:sz w:val="24"/>
              </w:rPr>
              <w:t>，</w:t>
            </w:r>
            <w:r>
              <w:rPr>
                <w:rFonts w:hint="default" w:ascii="Times New Roman" w:hAnsi="Times New Roman" w:eastAsia="宋体" w:cs="Times New Roman"/>
                <w:spacing w:val="11"/>
                <w:position w:val="0"/>
                <w:sz w:val="24"/>
                <w:lang w:eastAsia="zh-CN"/>
              </w:rPr>
              <w:t>地理</w:t>
            </w:r>
            <w:r>
              <w:rPr>
                <w:rFonts w:hint="default" w:ascii="Times New Roman" w:hAnsi="Times New Roman" w:eastAsia="宋体" w:cs="Times New Roman"/>
                <w:spacing w:val="11"/>
                <w:position w:val="0"/>
                <w:sz w:val="24"/>
              </w:rPr>
              <w:t>坐标为</w:t>
            </w:r>
            <w:r>
              <w:rPr>
                <w:rFonts w:hint="default" w:ascii="Times New Roman" w:hAnsi="Times New Roman" w:eastAsia="宋体" w:cs="Times New Roman"/>
                <w:color w:val="000000"/>
                <w:spacing w:val="11"/>
                <w:position w:val="0"/>
                <w:sz w:val="24"/>
                <w:szCs w:val="24"/>
                <w:u w:val="none" w:color="auto"/>
              </w:rPr>
              <w:t>（</w:t>
            </w:r>
            <w:r>
              <w:rPr>
                <w:rFonts w:hint="default" w:ascii="Times New Roman" w:hAnsi="Times New Roman" w:eastAsia="宋体" w:cs="Times New Roman"/>
                <w:color w:val="000000"/>
                <w:spacing w:val="11"/>
                <w:position w:val="0"/>
                <w:sz w:val="24"/>
                <w:szCs w:val="24"/>
                <w:u w:val="none" w:color="auto"/>
                <w:lang w:val="en-US" w:eastAsia="zh-CN"/>
              </w:rPr>
              <w:t>E</w:t>
            </w:r>
            <w:r>
              <w:rPr>
                <w:rFonts w:hint="eastAsia" w:cs="Times New Roman"/>
                <w:color w:val="000000"/>
                <w:spacing w:val="11"/>
                <w:position w:val="0"/>
                <w:sz w:val="24"/>
                <w:szCs w:val="24"/>
                <w:u w:val="none" w:color="auto"/>
                <w:lang w:val="en-US" w:eastAsia="zh-CN"/>
              </w:rPr>
              <w:t xml:space="preserve"> </w:t>
            </w:r>
            <w:r>
              <w:rPr>
                <w:rFonts w:hint="default" w:ascii="Times New Roman" w:hAnsi="Times New Roman" w:eastAsia="宋体" w:cs="Times New Roman"/>
                <w:color w:val="000000"/>
                <w:spacing w:val="11"/>
                <w:position w:val="0"/>
                <w:sz w:val="24"/>
                <w:szCs w:val="24"/>
                <w:u w:val="none" w:color="auto"/>
              </w:rPr>
              <w:t>112.133132，</w:t>
            </w:r>
            <w:r>
              <w:rPr>
                <w:rFonts w:hint="default" w:ascii="Times New Roman" w:hAnsi="Times New Roman" w:eastAsia="宋体" w:cs="Times New Roman"/>
                <w:color w:val="000000"/>
                <w:spacing w:val="11"/>
                <w:position w:val="0"/>
                <w:sz w:val="24"/>
                <w:szCs w:val="24"/>
                <w:u w:val="none" w:color="auto"/>
                <w:lang w:val="en-US" w:eastAsia="zh-CN"/>
              </w:rPr>
              <w:t>N</w:t>
            </w:r>
            <w:r>
              <w:rPr>
                <w:rFonts w:hint="eastAsia" w:cs="Times New Roman"/>
                <w:color w:val="000000"/>
                <w:spacing w:val="11"/>
                <w:position w:val="0"/>
                <w:sz w:val="24"/>
                <w:szCs w:val="24"/>
                <w:u w:val="none" w:color="auto"/>
                <w:lang w:val="en-US" w:eastAsia="zh-CN"/>
              </w:rPr>
              <w:t xml:space="preserve"> </w:t>
            </w:r>
            <w:r>
              <w:rPr>
                <w:rFonts w:hint="default" w:ascii="Times New Roman" w:hAnsi="Times New Roman" w:eastAsia="宋体" w:cs="Times New Roman"/>
                <w:color w:val="000000"/>
                <w:spacing w:val="11"/>
                <w:position w:val="0"/>
                <w:sz w:val="24"/>
                <w:szCs w:val="24"/>
                <w:u w:val="none" w:color="auto"/>
                <w:lang w:val="en-US" w:eastAsia="zh-CN"/>
              </w:rPr>
              <w:t>25.904815</w:t>
            </w:r>
            <w:r>
              <w:rPr>
                <w:rFonts w:hint="default" w:ascii="Times New Roman" w:hAnsi="Times New Roman" w:eastAsia="宋体" w:cs="Times New Roman"/>
                <w:color w:val="000000"/>
                <w:spacing w:val="11"/>
                <w:position w:val="0"/>
                <w:sz w:val="24"/>
                <w:szCs w:val="24"/>
                <w:u w:val="none" w:color="auto"/>
              </w:rPr>
              <w:t>）</w:t>
            </w:r>
            <w:r>
              <w:rPr>
                <w:rFonts w:hint="default" w:ascii="Times New Roman" w:hAnsi="Times New Roman" w:eastAsia="宋体" w:cs="Times New Roman"/>
                <w:spacing w:val="11"/>
                <w:position w:val="0"/>
                <w:sz w:val="24"/>
              </w:rPr>
              <w:t>。</w:t>
            </w:r>
            <w:r>
              <w:rPr>
                <w:rFonts w:hint="default" w:ascii="Times New Roman" w:hAnsi="Times New Roman" w:eastAsia="宋体" w:cs="Times New Roman"/>
                <w:spacing w:val="11"/>
                <w:kern w:val="0"/>
                <w:position w:val="0"/>
                <w:sz w:val="24"/>
              </w:rPr>
              <w:t>按照相关法律规定，禁止在依法划定的饮用水水源保护区、自然保护区（核心区、缓冲区）、风景名胜区、森林公园、重要湖泊周边、文物古迹所在地等区域内采矿；禁止在铁路、国道、省道两侧的直观可视范围内建设采石、采砂生产企业。</w:t>
            </w:r>
          </w:p>
          <w:p w14:paraId="31905702">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pacing w:val="11"/>
                <w:position w:val="0"/>
                <w:sz w:val="24"/>
                <w:highlight w:val="none"/>
              </w:rPr>
            </w:pPr>
            <w:r>
              <w:rPr>
                <w:rFonts w:hint="default" w:ascii="Times New Roman" w:hAnsi="Times New Roman" w:eastAsia="宋体" w:cs="Times New Roman"/>
                <w:spacing w:val="11"/>
                <w:kern w:val="0"/>
                <w:position w:val="0"/>
                <w:sz w:val="24"/>
                <w:lang w:eastAsia="zh-CN"/>
              </w:rPr>
              <w:t>本</w:t>
            </w:r>
            <w:r>
              <w:rPr>
                <w:rFonts w:hint="default" w:ascii="Times New Roman" w:hAnsi="Times New Roman" w:eastAsia="宋体" w:cs="Times New Roman"/>
                <w:spacing w:val="11"/>
                <w:position w:val="0"/>
                <w:sz w:val="24"/>
              </w:rPr>
              <w:t>项目已于</w:t>
            </w:r>
            <w:r>
              <w:rPr>
                <w:rFonts w:hint="default" w:ascii="Times New Roman" w:hAnsi="Times New Roman" w:eastAsia="宋体" w:cs="Times New Roman"/>
                <w:spacing w:val="11"/>
                <w:position w:val="0"/>
                <w:sz w:val="24"/>
                <w:lang w:val="en-US" w:eastAsia="zh-CN"/>
              </w:rPr>
              <w:t>202</w:t>
            </w:r>
            <w:r>
              <w:rPr>
                <w:rFonts w:hint="eastAsia" w:cs="Times New Roman"/>
                <w:spacing w:val="11"/>
                <w:position w:val="0"/>
                <w:sz w:val="24"/>
                <w:lang w:val="en-US" w:eastAsia="zh-CN"/>
              </w:rPr>
              <w:t>4</w:t>
            </w:r>
            <w:r>
              <w:rPr>
                <w:rFonts w:hint="default" w:ascii="Times New Roman" w:hAnsi="Times New Roman" w:eastAsia="宋体" w:cs="Times New Roman"/>
                <w:spacing w:val="11"/>
                <w:position w:val="0"/>
                <w:sz w:val="24"/>
                <w:lang w:val="en-US" w:eastAsia="zh-CN"/>
              </w:rPr>
              <w:t>年1</w:t>
            </w:r>
            <w:r>
              <w:rPr>
                <w:rFonts w:hint="eastAsia" w:cs="Times New Roman"/>
                <w:spacing w:val="11"/>
                <w:position w:val="0"/>
                <w:sz w:val="24"/>
                <w:lang w:val="en-US" w:eastAsia="zh-CN"/>
              </w:rPr>
              <w:t>2</w:t>
            </w:r>
            <w:r>
              <w:rPr>
                <w:rFonts w:hint="default" w:ascii="Times New Roman" w:hAnsi="Times New Roman" w:eastAsia="宋体" w:cs="Times New Roman"/>
                <w:spacing w:val="11"/>
                <w:position w:val="0"/>
                <w:sz w:val="24"/>
                <w:lang w:val="en-US" w:eastAsia="zh-CN"/>
              </w:rPr>
              <w:t>月</w:t>
            </w:r>
            <w:r>
              <w:rPr>
                <w:rFonts w:hint="eastAsia" w:cs="Times New Roman"/>
                <w:spacing w:val="11"/>
                <w:position w:val="0"/>
                <w:sz w:val="24"/>
                <w:lang w:val="en-US" w:eastAsia="zh-CN"/>
              </w:rPr>
              <w:t>12</w:t>
            </w:r>
            <w:r>
              <w:rPr>
                <w:rFonts w:hint="default" w:ascii="Times New Roman" w:hAnsi="Times New Roman" w:eastAsia="宋体" w:cs="Times New Roman"/>
                <w:spacing w:val="11"/>
                <w:position w:val="0"/>
                <w:sz w:val="24"/>
                <w:lang w:val="en-US" w:eastAsia="zh-CN"/>
              </w:rPr>
              <w:t>日</w:t>
            </w:r>
            <w:r>
              <w:rPr>
                <w:rFonts w:hint="default" w:ascii="Times New Roman" w:hAnsi="Times New Roman" w:eastAsia="宋体" w:cs="Times New Roman"/>
                <w:spacing w:val="11"/>
                <w:position w:val="0"/>
                <w:sz w:val="24"/>
              </w:rPr>
              <w:t>取得永州市自然资源和规划局发放的采矿许可证，</w:t>
            </w:r>
            <w:r>
              <w:rPr>
                <w:rFonts w:hint="default" w:ascii="Times New Roman" w:hAnsi="Times New Roman" w:eastAsia="宋体" w:cs="Times New Roman"/>
                <w:spacing w:val="11"/>
                <w:position w:val="0"/>
                <w:sz w:val="24"/>
                <w:lang w:val="en-US" w:eastAsia="zh-CN"/>
              </w:rPr>
              <w:t>该矿区</w:t>
            </w:r>
            <w:r>
              <w:rPr>
                <w:rFonts w:hint="default" w:ascii="Times New Roman" w:hAnsi="Times New Roman" w:eastAsia="宋体" w:cs="Times New Roman"/>
                <w:spacing w:val="11"/>
                <w:position w:val="0"/>
                <w:sz w:val="24"/>
              </w:rPr>
              <w:t>属于</w:t>
            </w:r>
            <w:r>
              <w:rPr>
                <w:rFonts w:hint="default" w:ascii="Times New Roman" w:hAnsi="Times New Roman" w:eastAsia="宋体" w:cs="Times New Roman"/>
                <w:spacing w:val="11"/>
                <w:position w:val="0"/>
                <w:sz w:val="24"/>
                <w:shd w:val="clear" w:color="auto" w:fill="FFFFFF"/>
              </w:rPr>
              <w:t>《湖南省普通建筑材料用砂石土矿专项规划（2021~2025年）》、《</w:t>
            </w:r>
            <w:r>
              <w:rPr>
                <w:rFonts w:hint="default" w:ascii="Times New Roman" w:hAnsi="Times New Roman" w:eastAsia="宋体" w:cs="Times New Roman"/>
                <w:spacing w:val="11"/>
                <w:position w:val="0"/>
                <w:sz w:val="24"/>
                <w:shd w:val="clear" w:color="auto" w:fill="FFFFFF"/>
                <w:lang w:eastAsia="zh-CN"/>
              </w:rPr>
              <w:t>新田</w:t>
            </w:r>
            <w:r>
              <w:rPr>
                <w:rFonts w:hint="default" w:ascii="Times New Roman" w:hAnsi="Times New Roman" w:eastAsia="宋体" w:cs="Times New Roman"/>
                <w:spacing w:val="11"/>
                <w:position w:val="0"/>
                <w:sz w:val="24"/>
                <w:shd w:val="clear" w:color="auto" w:fill="FFFFFF"/>
              </w:rPr>
              <w:t>县</w:t>
            </w:r>
            <w:r>
              <w:rPr>
                <w:rFonts w:hint="default" w:ascii="Times New Roman" w:hAnsi="Times New Roman" w:eastAsia="宋体" w:cs="Times New Roman"/>
                <w:spacing w:val="11"/>
                <w:position w:val="0"/>
                <w:sz w:val="24"/>
                <w:highlight w:val="none"/>
                <w:shd w:val="clear" w:color="auto" w:fill="FFFFFF"/>
              </w:rPr>
              <w:t>普通建筑材料用砂石土矿专项规划（2021~2025年）》中允许开采区块。</w:t>
            </w:r>
            <w:r>
              <w:rPr>
                <w:rFonts w:hint="default" w:ascii="Times New Roman" w:hAnsi="Times New Roman" w:eastAsia="宋体" w:cs="Times New Roman"/>
                <w:spacing w:val="11"/>
                <w:position w:val="0"/>
                <w:sz w:val="24"/>
                <w:highlight w:val="none"/>
              </w:rPr>
              <w:t>根据</w:t>
            </w:r>
            <w:r>
              <w:rPr>
                <w:rFonts w:hint="default" w:ascii="Times New Roman" w:hAnsi="Times New Roman" w:eastAsia="宋体" w:cs="Times New Roman"/>
                <w:spacing w:val="11"/>
                <w:position w:val="0"/>
                <w:sz w:val="24"/>
                <w:highlight w:val="none"/>
                <w:lang w:val="en-US" w:eastAsia="zh-CN"/>
              </w:rPr>
              <w:t>2022年10月湖南省自然资源调查所编制提交的《湖南省新田县文锋岭矿区建筑石料用灰岩矿采矿权申请范围核查报告》</w:t>
            </w:r>
            <w:r>
              <w:rPr>
                <w:rFonts w:hint="eastAsia" w:cs="Times New Roman"/>
                <w:spacing w:val="11"/>
                <w:position w:val="0"/>
                <w:sz w:val="24"/>
                <w:highlight w:val="none"/>
                <w:lang w:val="en-US" w:eastAsia="zh-CN"/>
              </w:rPr>
              <w:t>（永采矿权核查评字[2022]08号）、湖南省地球物理地球化学调查所编制提交的《湖南省新田县文锋岭矿区建筑石料用灰岩矿勘查报告》（永自然资储备字[2022]004号）以及永州市新田县自然资源局委托湖南省自然资源调查所编制的《湖南省新田县文锋岭矿区建筑石料用灰岩矿资源开发利用方案》评审意见书相关内容（具体详见附件）</w:t>
            </w:r>
            <w:r>
              <w:rPr>
                <w:rFonts w:hint="default" w:ascii="Times New Roman" w:hAnsi="Times New Roman" w:eastAsia="宋体" w:cs="Times New Roman"/>
                <w:spacing w:val="11"/>
                <w:position w:val="0"/>
                <w:sz w:val="24"/>
                <w:highlight w:val="none"/>
              </w:rPr>
              <w:t>，</w:t>
            </w:r>
            <w:r>
              <w:rPr>
                <w:rFonts w:hint="default" w:ascii="Times New Roman" w:hAnsi="Times New Roman" w:eastAsia="宋体" w:cs="Times New Roman"/>
                <w:spacing w:val="11"/>
                <w:position w:val="0"/>
                <w:sz w:val="24"/>
                <w:highlight w:val="none"/>
                <w:lang w:eastAsia="zh-CN"/>
              </w:rPr>
              <w:t>本项目</w:t>
            </w:r>
            <w:r>
              <w:rPr>
                <w:rFonts w:hint="default" w:ascii="Times New Roman" w:hAnsi="Times New Roman" w:eastAsia="宋体" w:cs="Times New Roman"/>
                <w:spacing w:val="11"/>
                <w:position w:val="0"/>
                <w:sz w:val="24"/>
                <w:highlight w:val="none"/>
              </w:rPr>
              <w:t>采矿权范围未涉及限制开采区、“三线一单”禁止范围、不在城乡建设和国家重大工程建设规划区、不涉及禁止、限制性矿种和国家总量调控矿种等情况。采矿区与生态保护红线和各类自然保护地不重叠，地表主要为林地，根据</w:t>
            </w:r>
            <w:r>
              <w:rPr>
                <w:rFonts w:hint="default" w:ascii="Times New Roman" w:hAnsi="Times New Roman" w:eastAsia="宋体" w:cs="Times New Roman"/>
                <w:spacing w:val="11"/>
                <w:position w:val="0"/>
                <w:sz w:val="24"/>
                <w:highlight w:val="none"/>
                <w:lang w:eastAsia="zh-CN"/>
              </w:rPr>
              <w:t>新田县</w:t>
            </w:r>
            <w:r>
              <w:rPr>
                <w:rFonts w:hint="default" w:ascii="Times New Roman" w:hAnsi="Times New Roman" w:eastAsia="宋体" w:cs="Times New Roman"/>
                <w:spacing w:val="11"/>
                <w:position w:val="0"/>
                <w:sz w:val="24"/>
                <w:highlight w:val="none"/>
                <w:lang w:val="en-US" w:eastAsia="zh-CN"/>
              </w:rPr>
              <w:t>自然资源</w:t>
            </w:r>
            <w:r>
              <w:rPr>
                <w:rFonts w:hint="default" w:ascii="Times New Roman" w:hAnsi="Times New Roman" w:eastAsia="宋体" w:cs="Times New Roman"/>
                <w:spacing w:val="11"/>
                <w:position w:val="0"/>
                <w:sz w:val="24"/>
                <w:highlight w:val="none"/>
                <w:lang w:eastAsia="zh-CN"/>
              </w:rPr>
              <w:t>局</w:t>
            </w:r>
            <w:r>
              <w:rPr>
                <w:rFonts w:hint="default" w:ascii="Times New Roman" w:hAnsi="Times New Roman" w:eastAsia="宋体" w:cs="Times New Roman"/>
                <w:spacing w:val="11"/>
                <w:position w:val="0"/>
                <w:sz w:val="24"/>
                <w:highlight w:val="none"/>
              </w:rPr>
              <w:t>202</w:t>
            </w:r>
            <w:r>
              <w:rPr>
                <w:rFonts w:hint="eastAsia" w:cs="Times New Roman"/>
                <w:spacing w:val="11"/>
                <w:position w:val="0"/>
                <w:sz w:val="24"/>
                <w:highlight w:val="none"/>
                <w:lang w:val="en-US" w:eastAsia="zh-CN"/>
              </w:rPr>
              <w:t>3</w:t>
            </w:r>
            <w:r>
              <w:rPr>
                <w:rFonts w:hint="default" w:ascii="Times New Roman" w:hAnsi="Times New Roman" w:eastAsia="宋体" w:cs="Times New Roman"/>
                <w:spacing w:val="11"/>
                <w:position w:val="0"/>
                <w:sz w:val="24"/>
                <w:highlight w:val="none"/>
              </w:rPr>
              <w:t>年</w:t>
            </w:r>
            <w:r>
              <w:rPr>
                <w:rFonts w:hint="eastAsia" w:cs="Times New Roman"/>
                <w:spacing w:val="11"/>
                <w:position w:val="0"/>
                <w:sz w:val="24"/>
                <w:highlight w:val="none"/>
                <w:lang w:val="en-US" w:eastAsia="zh-CN"/>
              </w:rPr>
              <w:t>7</w:t>
            </w:r>
            <w:r>
              <w:rPr>
                <w:rFonts w:hint="default" w:ascii="Times New Roman" w:hAnsi="Times New Roman" w:eastAsia="宋体" w:cs="Times New Roman"/>
                <w:spacing w:val="11"/>
                <w:position w:val="0"/>
                <w:sz w:val="24"/>
                <w:highlight w:val="none"/>
              </w:rPr>
              <w:t>月</w:t>
            </w:r>
            <w:r>
              <w:rPr>
                <w:rFonts w:hint="eastAsia" w:cs="Times New Roman"/>
                <w:spacing w:val="11"/>
                <w:position w:val="0"/>
                <w:sz w:val="24"/>
                <w:highlight w:val="none"/>
                <w:lang w:val="en-US" w:eastAsia="zh-CN"/>
              </w:rPr>
              <w:t>6</w:t>
            </w:r>
            <w:r>
              <w:rPr>
                <w:rFonts w:hint="default" w:ascii="Times New Roman" w:hAnsi="Times New Roman" w:eastAsia="宋体" w:cs="Times New Roman"/>
                <w:spacing w:val="11"/>
                <w:position w:val="0"/>
                <w:sz w:val="24"/>
                <w:highlight w:val="none"/>
              </w:rPr>
              <w:t>日出具的</w:t>
            </w:r>
            <w:r>
              <w:rPr>
                <w:rFonts w:hint="default" w:ascii="Times New Roman" w:hAnsi="Times New Roman" w:eastAsia="宋体" w:cs="Times New Roman"/>
                <w:spacing w:val="11"/>
                <w:position w:val="0"/>
                <w:sz w:val="24"/>
                <w:highlight w:val="none"/>
                <w:lang w:eastAsia="zh-CN"/>
              </w:rPr>
              <w:t>《关于新田县文锋岭矿区建筑石料用灰岩矿土地使用方案的审查意见》（详见附件）</w:t>
            </w:r>
            <w:r>
              <w:rPr>
                <w:rFonts w:hint="default" w:ascii="Times New Roman" w:hAnsi="Times New Roman" w:eastAsia="宋体" w:cs="Times New Roman"/>
                <w:spacing w:val="11"/>
                <w:position w:val="0"/>
                <w:sz w:val="24"/>
                <w:highlight w:val="none"/>
              </w:rPr>
              <w:t>，</w:t>
            </w:r>
            <w:r>
              <w:rPr>
                <w:rFonts w:hint="default" w:ascii="Times New Roman" w:hAnsi="Times New Roman" w:eastAsia="宋体" w:cs="Times New Roman"/>
                <w:spacing w:val="11"/>
                <w:position w:val="0"/>
                <w:sz w:val="24"/>
                <w:highlight w:val="none"/>
                <w:lang w:eastAsia="zh-CN"/>
              </w:rPr>
              <w:t>原则同意湖南省新田县文锋岭矿区建筑石料用灰岩矿土地使用方案</w:t>
            </w:r>
            <w:r>
              <w:rPr>
                <w:rFonts w:hint="default" w:ascii="Times New Roman" w:hAnsi="Times New Roman" w:eastAsia="宋体" w:cs="Times New Roman"/>
                <w:spacing w:val="11"/>
                <w:position w:val="0"/>
                <w:sz w:val="24"/>
                <w:highlight w:val="none"/>
              </w:rPr>
              <w:t>。</w:t>
            </w:r>
          </w:p>
          <w:p w14:paraId="0266E07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rPr>
            </w:pPr>
            <w:r>
              <w:rPr>
                <w:rFonts w:hint="default" w:ascii="Times New Roman" w:hAnsi="Times New Roman" w:eastAsia="宋体" w:cs="Times New Roman"/>
                <w:spacing w:val="11"/>
                <w:position w:val="0"/>
                <w:sz w:val="24"/>
                <w:highlight w:val="none"/>
              </w:rPr>
              <w:t>因此，本项目选址合理。</w:t>
            </w:r>
          </w:p>
          <w:p w14:paraId="1CB5E524">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outlineLvl w:val="2"/>
              <w:rPr>
                <w:rFonts w:hint="default" w:ascii="Times New Roman" w:hAnsi="Times New Roman" w:eastAsia="宋体" w:cs="Times New Roman"/>
                <w:b/>
                <w:spacing w:val="11"/>
                <w:position w:val="0"/>
                <w:sz w:val="24"/>
                <w:szCs w:val="24"/>
                <w:highlight w:val="none"/>
              </w:rPr>
            </w:pPr>
            <w:r>
              <w:rPr>
                <w:rFonts w:hint="default" w:ascii="Times New Roman" w:hAnsi="Times New Roman" w:eastAsia="宋体" w:cs="Times New Roman"/>
                <w:b/>
                <w:spacing w:val="11"/>
                <w:position w:val="0"/>
                <w:sz w:val="24"/>
                <w:szCs w:val="24"/>
                <w:highlight w:val="none"/>
                <w:lang w:val="en-US" w:eastAsia="zh-CN"/>
              </w:rPr>
              <w:t>2、排土场</w:t>
            </w:r>
            <w:r>
              <w:rPr>
                <w:rFonts w:hint="default" w:ascii="Times New Roman" w:hAnsi="Times New Roman" w:eastAsia="宋体" w:cs="Times New Roman"/>
                <w:b/>
                <w:spacing w:val="11"/>
                <w:position w:val="0"/>
                <w:sz w:val="24"/>
                <w:szCs w:val="24"/>
                <w:highlight w:val="none"/>
              </w:rPr>
              <w:t>选址合理性分析</w:t>
            </w:r>
          </w:p>
          <w:p w14:paraId="010CAB1B">
            <w:pPr>
              <w:keepNext w:val="0"/>
              <w:keepLines w:val="0"/>
              <w:pageBreakBefore w:val="0"/>
              <w:widowControl w:val="0"/>
              <w:kinsoku/>
              <w:wordWrap/>
              <w:overflowPunct/>
              <w:topLinePunct w:val="0"/>
              <w:autoSpaceDE/>
              <w:autoSpaceDN/>
              <w:bidi w:val="0"/>
              <w:snapToGrid w:val="0"/>
              <w:spacing w:line="360" w:lineRule="auto"/>
              <w:ind w:firstLine="522"/>
              <w:textAlignment w:val="auto"/>
              <w:rPr>
                <w:rFonts w:hint="default" w:ascii="Times New Roman" w:hAnsi="Times New Roman" w:eastAsia="宋体" w:cs="Times New Roman"/>
                <w:spacing w:val="11"/>
                <w:kern w:val="0"/>
                <w:position w:val="0"/>
                <w:sz w:val="24"/>
                <w:szCs w:val="24"/>
                <w:highlight w:val="none"/>
                <w:lang w:val="zh-CN"/>
              </w:rPr>
            </w:pPr>
            <w:r>
              <w:rPr>
                <w:rFonts w:hint="default" w:ascii="Times New Roman" w:hAnsi="Times New Roman" w:eastAsia="宋体" w:cs="Times New Roman"/>
                <w:spacing w:val="11"/>
                <w:kern w:val="0"/>
                <w:position w:val="0"/>
                <w:sz w:val="24"/>
                <w:szCs w:val="24"/>
                <w:highlight w:val="none"/>
                <w:lang w:val="zh-CN"/>
              </w:rPr>
              <w:t>本项目</w:t>
            </w:r>
            <w:r>
              <w:rPr>
                <w:rFonts w:hint="eastAsia" w:cs="Times New Roman"/>
                <w:spacing w:val="11"/>
                <w:kern w:val="0"/>
                <w:position w:val="0"/>
                <w:sz w:val="24"/>
                <w:szCs w:val="24"/>
                <w:highlight w:val="none"/>
                <w:lang w:val="en-US" w:eastAsia="zh-CN"/>
              </w:rPr>
              <w:t>利用</w:t>
            </w:r>
            <w:r>
              <w:rPr>
                <w:rFonts w:hint="default" w:ascii="Times New Roman" w:hAnsi="Times New Roman" w:eastAsia="宋体" w:cs="Times New Roman"/>
                <w:spacing w:val="11"/>
                <w:kern w:val="0"/>
                <w:position w:val="0"/>
                <w:sz w:val="24"/>
                <w:szCs w:val="24"/>
                <w:highlight w:val="none"/>
                <w:lang w:val="zh-CN"/>
              </w:rPr>
              <w:t>矿区</w:t>
            </w:r>
            <w:r>
              <w:rPr>
                <w:rFonts w:hint="default" w:ascii="Times New Roman" w:hAnsi="Times New Roman" w:eastAsia="宋体" w:cs="Times New Roman"/>
                <w:spacing w:val="11"/>
                <w:kern w:val="0"/>
                <w:position w:val="0"/>
                <w:sz w:val="24"/>
                <w:szCs w:val="24"/>
                <w:highlight w:val="none"/>
                <w:lang w:val="en-US" w:eastAsia="zh-CN"/>
              </w:rPr>
              <w:t>西南</w:t>
            </w:r>
            <w:r>
              <w:rPr>
                <w:rFonts w:hint="default" w:ascii="Times New Roman" w:hAnsi="Times New Roman" w:eastAsia="宋体" w:cs="Times New Roman"/>
                <w:spacing w:val="11"/>
                <w:kern w:val="0"/>
                <w:position w:val="0"/>
                <w:sz w:val="24"/>
                <w:szCs w:val="24"/>
                <w:highlight w:val="none"/>
                <w:lang w:val="zh-CN"/>
              </w:rPr>
              <w:t>侧地势低洼的废弃采坑</w:t>
            </w:r>
            <w:r>
              <w:rPr>
                <w:rFonts w:hint="eastAsia" w:cs="Times New Roman"/>
                <w:spacing w:val="11"/>
                <w:kern w:val="0"/>
                <w:position w:val="0"/>
                <w:sz w:val="24"/>
                <w:szCs w:val="24"/>
                <w:highlight w:val="none"/>
                <w:lang w:val="en-US" w:eastAsia="zh-CN"/>
              </w:rPr>
              <w:t>作为</w:t>
            </w:r>
            <w:r>
              <w:rPr>
                <w:rFonts w:hint="default" w:ascii="Times New Roman" w:hAnsi="Times New Roman" w:eastAsia="宋体" w:cs="Times New Roman"/>
                <w:spacing w:val="11"/>
                <w:kern w:val="0"/>
                <w:position w:val="0"/>
                <w:sz w:val="24"/>
                <w:szCs w:val="24"/>
                <w:highlight w:val="none"/>
                <w:lang w:val="zh-CN"/>
              </w:rPr>
              <w:t>排土场，排土场场地为凹陷式采坑，可堆置面积约7200m</w:t>
            </w:r>
            <w:r>
              <w:rPr>
                <w:rFonts w:hint="default" w:ascii="Times New Roman" w:hAnsi="Times New Roman" w:eastAsia="宋体" w:cs="Times New Roman"/>
                <w:spacing w:val="11"/>
                <w:kern w:val="0"/>
                <w:position w:val="0"/>
                <w:sz w:val="24"/>
                <w:szCs w:val="24"/>
                <w:highlight w:val="none"/>
                <w:vertAlign w:val="superscript"/>
                <w:lang w:val="zh-CN"/>
              </w:rPr>
              <w:t>2</w:t>
            </w:r>
            <w:r>
              <w:rPr>
                <w:rFonts w:hint="default" w:ascii="Times New Roman" w:hAnsi="Times New Roman" w:eastAsia="宋体" w:cs="Times New Roman"/>
                <w:spacing w:val="11"/>
                <w:kern w:val="0"/>
                <w:position w:val="0"/>
                <w:sz w:val="24"/>
                <w:szCs w:val="24"/>
                <w:highlight w:val="none"/>
                <w:lang w:val="zh-CN"/>
              </w:rPr>
              <w:t>，堆土高度约8m，容积约5.76万m</w:t>
            </w:r>
            <w:r>
              <w:rPr>
                <w:rFonts w:hint="default" w:ascii="Times New Roman" w:hAnsi="Times New Roman" w:eastAsia="宋体" w:cs="Times New Roman"/>
                <w:spacing w:val="11"/>
                <w:kern w:val="0"/>
                <w:position w:val="0"/>
                <w:sz w:val="24"/>
                <w:szCs w:val="24"/>
                <w:highlight w:val="none"/>
                <w:vertAlign w:val="superscript"/>
                <w:lang w:val="zh-CN"/>
              </w:rPr>
              <w:t>3</w:t>
            </w:r>
            <w:r>
              <w:rPr>
                <w:rFonts w:hint="eastAsia" w:cs="Times New Roman"/>
                <w:spacing w:val="11"/>
                <w:kern w:val="0"/>
                <w:position w:val="0"/>
                <w:sz w:val="24"/>
                <w:szCs w:val="24"/>
                <w:highlight w:val="none"/>
                <w:lang w:val="zh-CN"/>
              </w:rPr>
              <w:t>，</w:t>
            </w:r>
            <w:r>
              <w:rPr>
                <w:rFonts w:hint="default" w:ascii="Times New Roman" w:hAnsi="Times New Roman" w:eastAsia="宋体" w:cs="Times New Roman"/>
                <w:bCs/>
                <w:color w:val="000000"/>
                <w:spacing w:val="11"/>
                <w:position w:val="0"/>
                <w:sz w:val="24"/>
                <w:szCs w:val="24"/>
                <w:u w:val="none" w:color="auto"/>
              </w:rPr>
              <w:t>本区剥离物主要地表残坡积土层，剥离量共2.8万m</w:t>
            </w:r>
            <w:r>
              <w:rPr>
                <w:rFonts w:hint="default" w:ascii="Times New Roman" w:hAnsi="Times New Roman" w:eastAsia="宋体" w:cs="Times New Roman"/>
                <w:bCs/>
                <w:color w:val="000000"/>
                <w:spacing w:val="11"/>
                <w:position w:val="0"/>
                <w:sz w:val="24"/>
                <w:szCs w:val="24"/>
                <w:u w:val="none" w:color="auto"/>
                <w:vertAlign w:val="superscript"/>
              </w:rPr>
              <w:t>3</w:t>
            </w:r>
            <w:r>
              <w:rPr>
                <w:rFonts w:hint="default" w:ascii="Times New Roman" w:hAnsi="Times New Roman" w:eastAsia="宋体" w:cs="Times New Roman"/>
                <w:bCs/>
                <w:color w:val="000000"/>
                <w:spacing w:val="11"/>
                <w:position w:val="0"/>
                <w:sz w:val="24"/>
                <w:szCs w:val="24"/>
                <w:u w:val="none" w:color="auto"/>
              </w:rPr>
              <w:t>，</w:t>
            </w:r>
            <w:r>
              <w:rPr>
                <w:rFonts w:hint="eastAsia" w:ascii="Times New Roman" w:hAnsi="Times New Roman" w:eastAsia="宋体" w:cs="Times New Roman"/>
                <w:bCs/>
                <w:color w:val="000000"/>
                <w:spacing w:val="11"/>
                <w:position w:val="0"/>
                <w:sz w:val="24"/>
                <w:szCs w:val="24"/>
                <w:u w:val="none" w:color="auto"/>
                <w:lang w:val="en-US" w:eastAsia="zh-CN"/>
              </w:rPr>
              <w:t>因此排土场可容纳本项目运行期间产生的剥离物</w:t>
            </w:r>
            <w:r>
              <w:rPr>
                <w:rFonts w:hint="eastAsia" w:cs="Times New Roman"/>
                <w:spacing w:val="11"/>
                <w:kern w:val="0"/>
                <w:position w:val="0"/>
                <w:sz w:val="24"/>
                <w:szCs w:val="24"/>
                <w:highlight w:val="none"/>
                <w:lang w:val="en-US" w:eastAsia="zh-CN"/>
              </w:rPr>
              <w:t>。</w:t>
            </w:r>
            <w:r>
              <w:rPr>
                <w:rFonts w:hint="default" w:ascii="Times New Roman" w:hAnsi="Times New Roman" w:eastAsia="宋体" w:cs="Times New Roman"/>
                <w:spacing w:val="11"/>
                <w:kern w:val="0"/>
                <w:position w:val="0"/>
                <w:sz w:val="24"/>
                <w:szCs w:val="24"/>
                <w:highlight w:val="none"/>
                <w:lang w:val="zh-CN"/>
              </w:rPr>
              <w:t>排土场所占土地类型为采矿用地，未占用林地及基本农田。本项目采用边开采边生态恢复的方式，</w:t>
            </w:r>
            <w:r>
              <w:rPr>
                <w:rFonts w:hint="default" w:ascii="Times New Roman" w:hAnsi="Times New Roman" w:eastAsia="宋体" w:cs="Times New Roman"/>
                <w:spacing w:val="11"/>
                <w:kern w:val="0"/>
                <w:position w:val="0"/>
                <w:sz w:val="24"/>
                <w:szCs w:val="24"/>
                <w:highlight w:val="none"/>
                <w:lang w:val="zh-CN" w:eastAsia="zh-CN"/>
              </w:rPr>
              <w:t>排土场</w:t>
            </w:r>
            <w:r>
              <w:rPr>
                <w:rFonts w:hint="default" w:ascii="Times New Roman" w:hAnsi="Times New Roman" w:eastAsia="宋体" w:cs="Times New Roman"/>
                <w:spacing w:val="11"/>
                <w:kern w:val="0"/>
                <w:position w:val="0"/>
                <w:sz w:val="24"/>
                <w:szCs w:val="24"/>
                <w:highlight w:val="none"/>
                <w:lang w:val="zh-CN"/>
              </w:rPr>
              <w:t>满足周转需求。</w:t>
            </w:r>
          </w:p>
          <w:p w14:paraId="686A0C7C">
            <w:pPr>
              <w:keepNext w:val="0"/>
              <w:keepLines w:val="0"/>
              <w:pageBreakBefore w:val="0"/>
              <w:widowControl w:val="0"/>
              <w:kinsoku/>
              <w:wordWrap/>
              <w:overflowPunct/>
              <w:topLinePunct w:val="0"/>
              <w:autoSpaceDE/>
              <w:autoSpaceDN/>
              <w:bidi w:val="0"/>
              <w:snapToGrid w:val="0"/>
              <w:spacing w:line="360" w:lineRule="auto"/>
              <w:ind w:firstLine="522"/>
              <w:textAlignment w:val="auto"/>
              <w:rPr>
                <w:rFonts w:hint="default" w:ascii="Times New Roman" w:hAnsi="Times New Roman" w:eastAsia="宋体" w:cs="Times New Roman"/>
                <w:spacing w:val="11"/>
                <w:kern w:val="0"/>
                <w:position w:val="0"/>
                <w:sz w:val="24"/>
                <w:szCs w:val="24"/>
                <w:highlight w:val="none"/>
                <w:lang w:val="zh-CN"/>
              </w:rPr>
            </w:pPr>
            <w:r>
              <w:rPr>
                <w:rFonts w:hint="default" w:ascii="Times New Roman" w:hAnsi="Times New Roman" w:eastAsia="宋体" w:cs="Times New Roman"/>
                <w:spacing w:val="11"/>
                <w:kern w:val="0"/>
                <w:position w:val="0"/>
                <w:sz w:val="24"/>
                <w:szCs w:val="24"/>
                <w:highlight w:val="none"/>
                <w:lang w:val="zh-CN"/>
              </w:rPr>
              <w:t>为了防止大气降水流入排土场，按30a一遇在排土场周边上游砌建生态砼截水沟，境界外截排水沟采用梯形断面，断面净规格为：上宽0.45m×下宽0.4m×深0.4m（预留0.15m的安全超高、水沟充满度取0.625），厚度200mm，底板坡降100‰。截排水沟距推积线的最小距离不应小于5m。</w:t>
            </w:r>
          </w:p>
          <w:p w14:paraId="57B2E5AA">
            <w:pPr>
              <w:keepNext w:val="0"/>
              <w:keepLines w:val="0"/>
              <w:pageBreakBefore w:val="0"/>
              <w:widowControl w:val="0"/>
              <w:kinsoku/>
              <w:wordWrap/>
              <w:overflowPunct/>
              <w:topLinePunct w:val="0"/>
              <w:autoSpaceDE/>
              <w:autoSpaceDN/>
              <w:bidi w:val="0"/>
              <w:snapToGrid w:val="0"/>
              <w:spacing w:line="360" w:lineRule="auto"/>
              <w:ind w:firstLine="522"/>
              <w:textAlignment w:val="auto"/>
              <w:rPr>
                <w:rFonts w:hint="default" w:ascii="Times New Roman" w:hAnsi="Times New Roman" w:eastAsia="宋体" w:cs="Times New Roman"/>
                <w:spacing w:val="11"/>
                <w:kern w:val="0"/>
                <w:position w:val="0"/>
                <w:sz w:val="24"/>
                <w:szCs w:val="24"/>
                <w:highlight w:val="none"/>
                <w:lang w:val="zh-CN"/>
              </w:rPr>
            </w:pPr>
            <w:r>
              <w:rPr>
                <w:rFonts w:hint="default" w:ascii="Times New Roman" w:hAnsi="Times New Roman" w:eastAsia="宋体" w:cs="Times New Roman"/>
                <w:spacing w:val="11"/>
                <w:kern w:val="0"/>
                <w:position w:val="0"/>
                <w:sz w:val="24"/>
                <w:szCs w:val="24"/>
                <w:highlight w:val="none"/>
                <w:lang w:val="zh-CN"/>
              </w:rPr>
              <w:t>为防止雨水对外坡冲刷，拟在各安全平台内侧设置马道生态砼排水沟（断面上宽0.35m×下宽0.30m×深0.25m），通过坡面跌水沟汇入排土场截洪沟排水系统。安全平台设置不小于3</w:t>
            </w:r>
            <w:r>
              <w:rPr>
                <w:rFonts w:hint="eastAsia" w:cs="Times New Roman"/>
                <w:spacing w:val="11"/>
                <w:kern w:val="0"/>
                <w:position w:val="0"/>
                <w:sz w:val="24"/>
                <w:szCs w:val="24"/>
                <w:highlight w:val="none"/>
                <w:lang w:val="en-US" w:eastAsia="zh-CN"/>
              </w:rPr>
              <w:t>%</w:t>
            </w:r>
            <w:r>
              <w:rPr>
                <w:rFonts w:hint="default" w:ascii="Times New Roman" w:hAnsi="Times New Roman" w:eastAsia="宋体" w:cs="Times New Roman"/>
                <w:spacing w:val="11"/>
                <w:kern w:val="0"/>
                <w:position w:val="0"/>
                <w:sz w:val="24"/>
                <w:szCs w:val="24"/>
                <w:highlight w:val="none"/>
                <w:lang w:val="zh-CN"/>
              </w:rPr>
              <w:t>的反坡，排土台阶边坡和平台上的雨水经截排水沟汇集后外排。</w:t>
            </w:r>
          </w:p>
          <w:p w14:paraId="57EE346F">
            <w:pPr>
              <w:keepNext w:val="0"/>
              <w:keepLines w:val="0"/>
              <w:pageBreakBefore w:val="0"/>
              <w:widowControl w:val="0"/>
              <w:kinsoku/>
              <w:wordWrap/>
              <w:overflowPunct/>
              <w:topLinePunct w:val="0"/>
              <w:autoSpaceDE/>
              <w:autoSpaceDN/>
              <w:bidi w:val="0"/>
              <w:snapToGrid w:val="0"/>
              <w:spacing w:line="360" w:lineRule="auto"/>
              <w:ind w:firstLine="522"/>
              <w:textAlignment w:val="auto"/>
              <w:rPr>
                <w:rFonts w:hint="default" w:ascii="Times New Roman" w:hAnsi="Times New Roman" w:eastAsia="宋体" w:cs="Times New Roman"/>
                <w:spacing w:val="11"/>
                <w:kern w:val="0"/>
                <w:position w:val="0"/>
                <w:sz w:val="24"/>
                <w:szCs w:val="24"/>
                <w:highlight w:val="none"/>
              </w:rPr>
            </w:pPr>
            <w:r>
              <w:rPr>
                <w:rFonts w:hint="default" w:ascii="Times New Roman" w:hAnsi="Times New Roman" w:eastAsia="宋体" w:cs="Times New Roman"/>
                <w:spacing w:val="11"/>
                <w:kern w:val="0"/>
                <w:position w:val="0"/>
                <w:sz w:val="24"/>
                <w:szCs w:val="24"/>
                <w:highlight w:val="none"/>
              </w:rPr>
              <w:t>项目</w:t>
            </w:r>
            <w:r>
              <w:rPr>
                <w:rFonts w:hint="default" w:ascii="Times New Roman" w:hAnsi="Times New Roman" w:eastAsia="宋体" w:cs="Times New Roman"/>
                <w:spacing w:val="11"/>
                <w:kern w:val="0"/>
                <w:position w:val="0"/>
                <w:sz w:val="24"/>
                <w:szCs w:val="24"/>
                <w:highlight w:val="none"/>
                <w:lang w:val="en-US" w:eastAsia="zh-CN"/>
              </w:rPr>
              <w:t>排土场</w:t>
            </w:r>
            <w:r>
              <w:rPr>
                <w:rFonts w:hint="default" w:ascii="Times New Roman" w:hAnsi="Times New Roman" w:eastAsia="宋体" w:cs="Times New Roman"/>
                <w:spacing w:val="11"/>
                <w:kern w:val="0"/>
                <w:position w:val="0"/>
                <w:sz w:val="24"/>
                <w:szCs w:val="24"/>
                <w:highlight w:val="none"/>
              </w:rPr>
              <w:t>为临时用地，在项目闭坑后，暂存的</w:t>
            </w:r>
            <w:r>
              <w:rPr>
                <w:rFonts w:hint="eastAsia" w:cs="Times New Roman"/>
                <w:spacing w:val="11"/>
                <w:kern w:val="0"/>
                <w:position w:val="0"/>
                <w:sz w:val="24"/>
                <w:szCs w:val="24"/>
                <w:highlight w:val="none"/>
                <w:lang w:val="en-US" w:eastAsia="zh-CN"/>
              </w:rPr>
              <w:t>剥离物等</w:t>
            </w:r>
            <w:r>
              <w:rPr>
                <w:rFonts w:hint="default" w:ascii="Times New Roman" w:hAnsi="Times New Roman" w:eastAsia="宋体" w:cs="Times New Roman"/>
                <w:spacing w:val="11"/>
                <w:kern w:val="0"/>
                <w:position w:val="0"/>
                <w:sz w:val="24"/>
                <w:szCs w:val="24"/>
                <w:highlight w:val="none"/>
              </w:rPr>
              <w:t>将全部回用，并统筹进行复耕或覆绿措施，运营期带来的不利影响可以慢慢消除，综上，本项目</w:t>
            </w:r>
            <w:r>
              <w:rPr>
                <w:rFonts w:hint="default" w:ascii="Times New Roman" w:hAnsi="Times New Roman" w:eastAsia="宋体" w:cs="Times New Roman"/>
                <w:spacing w:val="11"/>
                <w:kern w:val="0"/>
                <w:position w:val="0"/>
                <w:sz w:val="24"/>
                <w:szCs w:val="24"/>
                <w:highlight w:val="none"/>
                <w:lang w:val="en-US" w:eastAsia="zh-CN"/>
              </w:rPr>
              <w:t>排土场</w:t>
            </w:r>
            <w:r>
              <w:rPr>
                <w:rFonts w:hint="default" w:ascii="Times New Roman" w:hAnsi="Times New Roman" w:eastAsia="宋体" w:cs="Times New Roman"/>
                <w:spacing w:val="11"/>
                <w:kern w:val="0"/>
                <w:position w:val="0"/>
                <w:sz w:val="24"/>
                <w:szCs w:val="24"/>
                <w:highlight w:val="none"/>
              </w:rPr>
              <w:t>选址合理。</w:t>
            </w:r>
          </w:p>
          <w:p w14:paraId="1F1CEAAF">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拟建项目属于</w:t>
            </w:r>
            <w:r>
              <w:rPr>
                <w:rFonts w:hint="default" w:ascii="Times New Roman" w:hAnsi="Times New Roman" w:eastAsia="宋体" w:cs="Times New Roman"/>
                <w:color w:val="000000"/>
                <w:spacing w:val="11"/>
                <w:position w:val="0"/>
                <w:sz w:val="24"/>
                <w:szCs w:val="24"/>
                <w:highlight w:val="none"/>
                <w:u w:val="none" w:color="auto"/>
                <w:lang w:val="en-US" w:eastAsia="zh-CN"/>
              </w:rPr>
              <w:t>建筑石料用灰岩开采项目</w:t>
            </w: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w:t>
            </w:r>
            <w:r>
              <w:rPr>
                <w:rFonts w:hint="default" w:ascii="Times New Roman" w:hAnsi="Times New Roman" w:eastAsia="宋体" w:cs="Times New Roman"/>
                <w:color w:val="000000"/>
                <w:spacing w:val="11"/>
                <w:position w:val="0"/>
                <w:sz w:val="24"/>
                <w:szCs w:val="24"/>
                <w:highlight w:val="none"/>
                <w:u w:val="none" w:color="auto"/>
                <w:lang w:val="en-US" w:eastAsia="zh-CN"/>
              </w:rPr>
              <w:t>位于湖南省永州市新田县龙泉街道潮水铺村文峰岭矿区</w:t>
            </w: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详见附图1），通过现场踏勘，项目所在区域电、水资源丰富，区域道路设施较为完善，项目所在区域空气、水、声环境良好，项目用地不占用基本农田，项目周边3km以内无风景旅游区以及水源保护区。本项目在新田县矿产资源开发利用规划范围内，故项目用地满足规划要求。结合区域环境质量现状监测结果，项目所在区域空气质量良好，项目区域还具有较大的环境容量，项目选址无环境制约因素，选址合理。</w:t>
            </w:r>
          </w:p>
          <w:p w14:paraId="648EDA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5457472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3E7DEEE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2FCA736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03795BA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2A8B1E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1FA0B9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br w:type="textWrapping"/>
            </w:r>
          </w:p>
          <w:p w14:paraId="49A5B9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4FDD601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110D9FD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0A30BE0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22B1B5F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182A951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1825892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1976473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24AA67B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36C69E1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0A03300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6C7042C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153D4F0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005FD0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4C66FD6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437C508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38FCB2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61DC571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514CCA6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14958A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197AA36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17B80C1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666C09C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2D85F88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p>
          <w:p w14:paraId="6F30D21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auto"/>
                <w:spacing w:val="11"/>
                <w:position w:val="0"/>
                <w:sz w:val="24"/>
                <w:szCs w:val="24"/>
                <w:lang w:val="en-US"/>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 xml:space="preserve"> </w:t>
            </w:r>
          </w:p>
        </w:tc>
      </w:tr>
    </w:tbl>
    <w:p w14:paraId="598A6D81">
      <w:pPr>
        <w:rPr>
          <w:rFonts w:hint="default" w:ascii="Times New Roman" w:hAnsi="Times New Roman" w:eastAsia="宋体" w:cs="Times New Roman"/>
          <w:b/>
          <w:bCs/>
          <w:snapToGrid w:val="0"/>
          <w:color w:val="auto"/>
          <w:spacing w:val="11"/>
          <w:position w:val="0"/>
          <w:sz w:val="30"/>
          <w:szCs w:val="30"/>
        </w:rPr>
      </w:pPr>
      <w:bookmarkStart w:id="68" w:name="_Toc25265"/>
      <w:r>
        <w:rPr>
          <w:rFonts w:hint="default" w:ascii="Times New Roman" w:hAnsi="Times New Roman" w:eastAsia="宋体" w:cs="Times New Roman"/>
          <w:b/>
          <w:bCs/>
          <w:snapToGrid w:val="0"/>
          <w:color w:val="auto"/>
          <w:spacing w:val="11"/>
          <w:position w:val="0"/>
          <w:sz w:val="30"/>
          <w:szCs w:val="30"/>
        </w:rPr>
        <w:br w:type="page"/>
      </w:r>
    </w:p>
    <w:p w14:paraId="01B8D6D3">
      <w:pPr>
        <w:pStyle w:val="2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pacing w:val="11"/>
          <w:position w:val="0"/>
          <w:sz w:val="30"/>
          <w:szCs w:val="30"/>
        </w:rPr>
      </w:pPr>
      <w:bookmarkStart w:id="69" w:name="_Toc14107"/>
      <w:r>
        <w:rPr>
          <w:rFonts w:hint="default" w:ascii="Times New Roman" w:hAnsi="Times New Roman" w:eastAsia="宋体" w:cs="Times New Roman"/>
          <w:b/>
          <w:bCs/>
          <w:snapToGrid w:val="0"/>
          <w:color w:val="auto"/>
          <w:spacing w:val="11"/>
          <w:position w:val="0"/>
          <w:sz w:val="30"/>
          <w:szCs w:val="30"/>
        </w:rPr>
        <w:t>五、主要生态环境保护措施</w:t>
      </w:r>
      <w:bookmarkEnd w:id="68"/>
      <w:bookmarkEnd w:id="69"/>
    </w:p>
    <w:tbl>
      <w:tblPr>
        <w:tblStyle w:val="3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3"/>
        <w:gridCol w:w="8246"/>
      </w:tblGrid>
      <w:tr w14:paraId="36EE0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33" w:type="dxa"/>
            <w:tcBorders>
              <w:tl2br w:val="nil"/>
              <w:tr2bl w:val="nil"/>
            </w:tcBorders>
            <w:noWrap w:val="0"/>
            <w:tcMar>
              <w:left w:w="28" w:type="dxa"/>
              <w:right w:w="28" w:type="dxa"/>
            </w:tcMar>
            <w:vAlign w:val="center"/>
          </w:tcPr>
          <w:p w14:paraId="3C885B1B">
            <w:pPr>
              <w:pageBreakBefore w:val="0"/>
              <w:widowControl w:val="0"/>
              <w:kinsoku/>
              <w:wordWrap/>
              <w:overflowPunct/>
              <w:topLinePunct w:val="0"/>
              <w:autoSpaceDE/>
              <w:bidi w:val="0"/>
              <w:adjustRightInd w:val="0"/>
              <w:snapToGrid w:val="0"/>
              <w:spacing w:line="360" w:lineRule="auto"/>
              <w:ind w:leftChars="0"/>
              <w:jc w:val="center"/>
              <w:rPr>
                <w:rFonts w:hint="default" w:ascii="Times New Roman" w:hAnsi="Times New Roman" w:eastAsia="宋体" w:cs="Times New Roman"/>
                <w:bCs/>
                <w:color w:val="auto"/>
                <w:spacing w:val="11"/>
                <w:position w:val="0"/>
                <w:sz w:val="24"/>
                <w:szCs w:val="24"/>
              </w:rPr>
            </w:pPr>
            <w:r>
              <w:rPr>
                <w:rFonts w:hint="default" w:ascii="Times New Roman" w:hAnsi="Times New Roman" w:eastAsia="宋体" w:cs="Times New Roman"/>
                <w:bCs/>
                <w:color w:val="000000"/>
                <w:spacing w:val="11"/>
                <w:position w:val="0"/>
                <w:sz w:val="24"/>
                <w:szCs w:val="24"/>
                <w:u w:val="none" w:color="auto"/>
              </w:rPr>
              <w:t>施工期生态环境保护措施</w:t>
            </w:r>
          </w:p>
        </w:tc>
        <w:tc>
          <w:tcPr>
            <w:tcW w:w="8246" w:type="dxa"/>
            <w:tcBorders>
              <w:tl2br w:val="nil"/>
              <w:tr2bl w:val="nil"/>
            </w:tcBorders>
            <w:noWrap w:val="0"/>
            <w:vAlign w:val="top"/>
          </w:tcPr>
          <w:p w14:paraId="7FA7783D">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526" w:firstLineChars="200"/>
              <w:jc w:val="left"/>
              <w:textAlignment w:val="auto"/>
              <w:rPr>
                <w:rFonts w:hint="default" w:ascii="Times New Roman" w:hAnsi="Times New Roman" w:cs="Times New Roman"/>
                <w:b/>
                <w:spacing w:val="11"/>
                <w:position w:val="0"/>
                <w:sz w:val="24"/>
              </w:rPr>
            </w:pPr>
            <w:r>
              <w:rPr>
                <w:rFonts w:hint="default" w:ascii="Times New Roman" w:hAnsi="Times New Roman" w:cs="Times New Roman"/>
                <w:b/>
                <w:spacing w:val="11"/>
                <w:position w:val="0"/>
                <w:sz w:val="24"/>
              </w:rPr>
              <w:t>1、施工期生态保护措施</w:t>
            </w:r>
          </w:p>
          <w:p w14:paraId="0A11EAC6">
            <w:pPr>
              <w:pStyle w:val="73"/>
              <w:pageBreakBefore w:val="0"/>
              <w:widowControl w:val="0"/>
              <w:shd w:val="clear" w:color="auto" w:fill="auto"/>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rPr>
            </w:pPr>
            <w:r>
              <w:rPr>
                <w:rFonts w:hint="default" w:ascii="Times New Roman" w:hAnsi="Times New Roman" w:cs="Times New Roman"/>
                <w:spacing w:val="11"/>
                <w:position w:val="0"/>
              </w:rPr>
              <w:t>（1）植被破坏</w:t>
            </w:r>
          </w:p>
          <w:p w14:paraId="5145603A">
            <w:pPr>
              <w:pStyle w:val="73"/>
              <w:pageBreakBefore w:val="0"/>
              <w:widowControl w:val="0"/>
              <w:shd w:val="clear" w:color="auto" w:fill="auto"/>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rPr>
            </w:pPr>
            <w:r>
              <w:rPr>
                <w:rFonts w:hint="default" w:ascii="Times New Roman" w:hAnsi="Times New Roman" w:cs="Times New Roman"/>
                <w:spacing w:val="11"/>
                <w:position w:val="0"/>
              </w:rPr>
              <w:t>对矿区内的现有植被，能保留的尽量保留，对于必须破坏的地段，在施工期或结束后，能恢复的地段及时恢复，尽量减少绿地面积的破坏和减少；保护和利用好表层的熟化土壤，施工前把表层的熟化土壤集中起来；待施工扰动结束后，再覆土于新塑地貌区，以利于植被恢复；项目在施工过程中应设置隔离带，以保护施工区外植被，防止施工区外植被遭到破坏。</w:t>
            </w:r>
          </w:p>
          <w:p w14:paraId="351CD160">
            <w:pPr>
              <w:pStyle w:val="73"/>
              <w:pageBreakBefore w:val="0"/>
              <w:widowControl w:val="0"/>
              <w:shd w:val="clear" w:color="auto" w:fill="auto"/>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rPr>
            </w:pPr>
            <w:r>
              <w:rPr>
                <w:rFonts w:hint="default" w:ascii="Times New Roman" w:hAnsi="Times New Roman" w:cs="Times New Roman"/>
                <w:spacing w:val="11"/>
                <w:position w:val="0"/>
              </w:rPr>
              <w:t>（2）野生动物保护措施</w:t>
            </w:r>
          </w:p>
          <w:p w14:paraId="5B5807B1">
            <w:pPr>
              <w:pStyle w:val="73"/>
              <w:pageBreakBefore w:val="0"/>
              <w:widowControl w:val="0"/>
              <w:shd w:val="clear" w:color="auto" w:fill="auto"/>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rPr>
            </w:pPr>
            <w:r>
              <w:rPr>
                <w:rFonts w:hint="default" w:ascii="Times New Roman" w:hAnsi="Times New Roman" w:cs="Times New Roman"/>
                <w:spacing w:val="11"/>
                <w:position w:val="0"/>
              </w:rPr>
              <w:t>严格控制施工临时占地区域，严禁破坏施工区外动物生境；加强对施工人员的宣传教育和管理禁止滥捕乱猎，保护野生动物。</w:t>
            </w:r>
          </w:p>
          <w:p w14:paraId="234FE1A4">
            <w:pPr>
              <w:pageBreakBefore w:val="0"/>
              <w:widowControl w:val="0"/>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sz w:val="24"/>
              </w:rPr>
            </w:pPr>
            <w:r>
              <w:rPr>
                <w:rFonts w:hint="default" w:ascii="Times New Roman" w:hAnsi="Times New Roman" w:cs="Times New Roman"/>
                <w:spacing w:val="11"/>
                <w:position w:val="0"/>
                <w:sz w:val="24"/>
              </w:rPr>
              <w:t>（3）水土流失保护措施</w:t>
            </w:r>
          </w:p>
          <w:p w14:paraId="6BC124DE">
            <w:pPr>
              <w:pageBreakBefore w:val="0"/>
              <w:widowControl w:val="0"/>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sz w:val="24"/>
              </w:rPr>
            </w:pPr>
            <w:r>
              <w:rPr>
                <w:rFonts w:hint="default" w:ascii="Times New Roman" w:hAnsi="Times New Roman" w:cs="Times New Roman"/>
                <w:spacing w:val="11"/>
                <w:position w:val="0"/>
                <w:sz w:val="24"/>
              </w:rPr>
              <w:t>水土流失缓解措施：</w:t>
            </w:r>
          </w:p>
          <w:p w14:paraId="526F8D6E">
            <w:pPr>
              <w:pStyle w:val="18"/>
              <w:pageBreakBefore w:val="0"/>
              <w:widowControl w:val="0"/>
              <w:kinsoku/>
              <w:wordWrap/>
              <w:overflowPunct/>
              <w:topLinePunct w:val="0"/>
              <w:autoSpaceDE/>
              <w:bidi w:val="0"/>
              <w:adjustRightInd w:val="0"/>
              <w:snapToGrid w:val="0"/>
              <w:spacing w:after="0" w:line="360" w:lineRule="auto"/>
              <w:ind w:left="0" w:leftChars="0" w:firstLine="524" w:firstLineChars="200"/>
              <w:rPr>
                <w:rFonts w:hint="default" w:ascii="Times New Roman" w:hAnsi="Times New Roman" w:cs="Times New Roman"/>
                <w:spacing w:val="11"/>
                <w:position w:val="0"/>
                <w:sz w:val="24"/>
              </w:rPr>
            </w:pPr>
            <w:r>
              <w:rPr>
                <w:rFonts w:hint="default" w:ascii="Times New Roman" w:hAnsi="Times New Roman" w:cs="Times New Roman"/>
                <w:spacing w:val="11"/>
                <w:position w:val="0"/>
                <w:sz w:val="24"/>
              </w:rPr>
              <w:t>1）施工单位应随时与气象部门联系，事先了解降雨时间和特点，以便采取适当的防护措施，施工开挖阶段尽量避开雨季，施工结束后，尽快对矿区道路和排土场进行压实；</w:t>
            </w:r>
          </w:p>
          <w:p w14:paraId="5399C31D">
            <w:pPr>
              <w:pageBreakBefore w:val="0"/>
              <w:widowControl w:val="0"/>
              <w:kinsoku/>
              <w:wordWrap/>
              <w:overflowPunct/>
              <w:topLinePunct w:val="0"/>
              <w:autoSpaceDE/>
              <w:bidi w:val="0"/>
              <w:adjustRightInd w:val="0"/>
              <w:snapToGrid w:val="0"/>
              <w:spacing w:line="360" w:lineRule="auto"/>
              <w:ind w:left="0" w:leftChars="0" w:firstLine="524" w:firstLineChars="200"/>
              <w:jc w:val="left"/>
              <w:rPr>
                <w:rFonts w:hint="default" w:ascii="Times New Roman" w:hAnsi="Times New Roman" w:cs="Times New Roman"/>
                <w:spacing w:val="11"/>
                <w:position w:val="0"/>
                <w:sz w:val="24"/>
              </w:rPr>
            </w:pPr>
            <w:r>
              <w:rPr>
                <w:rFonts w:hint="default" w:ascii="Times New Roman" w:hAnsi="Times New Roman" w:cs="Times New Roman"/>
                <w:spacing w:val="11"/>
                <w:position w:val="0"/>
                <w:sz w:val="24"/>
              </w:rPr>
              <w:t>2）当暴雨来临时应使用一些防护物进行覆盖，同时设置沉沙池，这两项措施同时实施的效果更好。</w:t>
            </w:r>
          </w:p>
          <w:p w14:paraId="5DD4BA4B">
            <w:pPr>
              <w:pageBreakBefore w:val="0"/>
              <w:widowControl w:val="0"/>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sz w:val="24"/>
              </w:rPr>
            </w:pPr>
            <w:r>
              <w:rPr>
                <w:rFonts w:hint="default" w:ascii="Times New Roman" w:hAnsi="Times New Roman" w:cs="Times New Roman"/>
                <w:spacing w:val="11"/>
                <w:position w:val="0"/>
                <w:sz w:val="24"/>
              </w:rPr>
              <w:t>3）原料堆棚设土工布围栏，以减少建材随雨水流失造成的环境影响。</w:t>
            </w:r>
          </w:p>
          <w:p w14:paraId="01579D49">
            <w:pPr>
              <w:pStyle w:val="21"/>
              <w:pageBreakBefore w:val="0"/>
              <w:widowControl w:val="0"/>
              <w:kinsoku/>
              <w:wordWrap/>
              <w:overflowPunct/>
              <w:topLinePunct w:val="0"/>
              <w:autoSpaceDE/>
              <w:bidi w:val="0"/>
              <w:adjustRightInd w:val="0"/>
              <w:snapToGrid w:val="0"/>
              <w:spacing w:after="0" w:line="360" w:lineRule="auto"/>
              <w:ind w:left="0" w:leftChars="0" w:firstLine="524" w:firstLineChars="200"/>
              <w:rPr>
                <w:rFonts w:hint="default" w:ascii="Times New Roman" w:hAnsi="Times New Roman" w:eastAsia="宋体" w:cs="Times New Roman"/>
                <w:spacing w:val="11"/>
                <w:position w:val="0"/>
                <w:sz w:val="24"/>
              </w:rPr>
            </w:pPr>
            <w:r>
              <w:rPr>
                <w:rFonts w:hint="default" w:ascii="Times New Roman" w:hAnsi="Times New Roman" w:eastAsia="宋体" w:cs="Times New Roman"/>
                <w:spacing w:val="11"/>
                <w:position w:val="0"/>
                <w:sz w:val="24"/>
              </w:rPr>
              <w:t>4）地面开挖后尽可能降低地面坡度，除去易于侵蚀的土垄背。</w:t>
            </w:r>
          </w:p>
          <w:p w14:paraId="0CDE447C">
            <w:pPr>
              <w:pageBreakBefore w:val="0"/>
              <w:widowControl w:val="0"/>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sz w:val="24"/>
              </w:rPr>
            </w:pPr>
            <w:r>
              <w:rPr>
                <w:rFonts w:hint="default" w:ascii="Times New Roman" w:hAnsi="Times New Roman" w:cs="Times New Roman"/>
                <w:spacing w:val="11"/>
                <w:position w:val="0"/>
                <w:sz w:val="24"/>
              </w:rPr>
              <w:t>5）合理安排工期，尽量避开雨季弃土。降雨时，对裸露地面覆盖薄膜，避免雨水对地面的直接冲刷。</w:t>
            </w:r>
          </w:p>
          <w:p w14:paraId="23289FC4">
            <w:pPr>
              <w:pageBreakBefore w:val="0"/>
              <w:widowControl w:val="0"/>
              <w:tabs>
                <w:tab w:val="left" w:pos="735"/>
              </w:tabs>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bCs/>
                <w:spacing w:val="11"/>
                <w:position w:val="0"/>
                <w:sz w:val="24"/>
              </w:rPr>
            </w:pPr>
            <w:r>
              <w:rPr>
                <w:rFonts w:hint="default" w:ascii="Times New Roman" w:hAnsi="Times New Roman" w:cs="Times New Roman"/>
                <w:bCs/>
                <w:spacing w:val="11"/>
                <w:position w:val="0"/>
                <w:sz w:val="24"/>
              </w:rPr>
              <w:t>6）做到文明施工，施工前应结合建设工程弃土量进行施工，预先将选址区域表层植被、表土剥离，合理处置表层植被，表土进行压实处理。</w:t>
            </w:r>
          </w:p>
          <w:p w14:paraId="10331337">
            <w:pPr>
              <w:pageBreakBefore w:val="0"/>
              <w:widowControl w:val="0"/>
              <w:tabs>
                <w:tab w:val="left" w:pos="735"/>
              </w:tabs>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bCs/>
                <w:spacing w:val="11"/>
                <w:position w:val="0"/>
                <w:sz w:val="24"/>
              </w:rPr>
            </w:pPr>
            <w:r>
              <w:rPr>
                <w:rFonts w:hint="default" w:ascii="Times New Roman" w:hAnsi="Times New Roman" w:cs="Times New Roman"/>
                <w:bCs/>
                <w:spacing w:val="11"/>
                <w:position w:val="0"/>
                <w:sz w:val="24"/>
              </w:rPr>
              <w:t>7）施工过程中，保证工程质量和落实设计的重要内容，把水土保持作为单项工程监理的一项重要内容，保证水土保持施工质量。</w:t>
            </w:r>
          </w:p>
          <w:p w14:paraId="1F83FEC3">
            <w:pPr>
              <w:pStyle w:val="73"/>
              <w:pageBreakBefore w:val="0"/>
              <w:widowControl w:val="0"/>
              <w:shd w:val="clear" w:color="auto" w:fill="auto"/>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bCs/>
                <w:spacing w:val="11"/>
                <w:position w:val="0"/>
              </w:rPr>
            </w:pPr>
            <w:r>
              <w:rPr>
                <w:rFonts w:hint="default" w:ascii="Times New Roman" w:hAnsi="Times New Roman" w:cs="Times New Roman"/>
                <w:bCs/>
                <w:spacing w:val="11"/>
                <w:position w:val="0"/>
              </w:rPr>
              <w:t>8）在场地内设置导流沟渠，防止场地四周冲沟的产生，雨水收集沉淀处理达标后排放，严禁初期雨水直接排入周边地表水体。</w:t>
            </w:r>
          </w:p>
          <w:p w14:paraId="6FE48110">
            <w:pPr>
              <w:pStyle w:val="64"/>
              <w:pageBreakBefore w:val="0"/>
              <w:widowControl w:val="0"/>
              <w:kinsoku/>
              <w:wordWrap/>
              <w:overflowPunct/>
              <w:topLinePunct w:val="0"/>
              <w:autoSpaceDE/>
              <w:bidi w:val="0"/>
              <w:adjustRightInd w:val="0"/>
              <w:snapToGrid w:val="0"/>
              <w:spacing w:line="360" w:lineRule="auto"/>
              <w:ind w:left="0" w:leftChars="0" w:firstLine="526" w:firstLineChars="200"/>
              <w:jc w:val="left"/>
              <w:rPr>
                <w:rFonts w:hint="default" w:ascii="Times New Roman" w:hAnsi="Times New Roman" w:cs="Times New Roman"/>
                <w:bCs/>
                <w:spacing w:val="11"/>
                <w:position w:val="0"/>
                <w:sz w:val="24"/>
                <w:lang w:val="en-US"/>
              </w:rPr>
            </w:pPr>
            <w:r>
              <w:rPr>
                <w:rFonts w:hint="default" w:ascii="Times New Roman" w:hAnsi="Times New Roman" w:cs="Times New Roman"/>
                <w:b/>
                <w:spacing w:val="11"/>
                <w:position w:val="0"/>
                <w:sz w:val="24"/>
              </w:rPr>
              <w:t>2、施工期</w:t>
            </w:r>
            <w:r>
              <w:rPr>
                <w:rFonts w:hint="default" w:ascii="Times New Roman" w:hAnsi="Times New Roman" w:cs="Times New Roman"/>
                <w:b/>
                <w:bCs/>
                <w:spacing w:val="11"/>
                <w:position w:val="0"/>
                <w:sz w:val="24"/>
              </w:rPr>
              <w:t>废气防治措施</w:t>
            </w:r>
          </w:p>
          <w:p w14:paraId="0C7198BC">
            <w:pPr>
              <w:pStyle w:val="64"/>
              <w:pageBreakBefore w:val="0"/>
              <w:widowControl w:val="0"/>
              <w:kinsoku/>
              <w:wordWrap/>
              <w:overflowPunct/>
              <w:topLinePunct w:val="0"/>
              <w:autoSpaceDE/>
              <w:bidi w:val="0"/>
              <w:adjustRightInd w:val="0"/>
              <w:snapToGrid w:val="0"/>
              <w:spacing w:line="360" w:lineRule="auto"/>
              <w:ind w:left="0" w:leftChars="0" w:firstLine="524" w:firstLineChars="200"/>
              <w:jc w:val="left"/>
              <w:rPr>
                <w:rFonts w:hint="default" w:ascii="Times New Roman" w:hAnsi="Times New Roman" w:cs="Times New Roman"/>
                <w:bCs/>
                <w:spacing w:val="11"/>
                <w:position w:val="0"/>
                <w:sz w:val="24"/>
                <w:lang w:val="en-US"/>
              </w:rPr>
            </w:pPr>
            <w:r>
              <w:rPr>
                <w:rFonts w:hint="default" w:ascii="Times New Roman" w:hAnsi="Times New Roman" w:cs="Times New Roman"/>
                <w:spacing w:val="11"/>
                <w:position w:val="0"/>
                <w:sz w:val="24"/>
              </w:rPr>
              <w:t>施工期环境大气污染物主要有施工车辆和燃油施工机械排放的尾气、施工扬尘。为减轻施工期大气污染物的污染程度和影响范围，环评建议采取如下防治措施：</w:t>
            </w:r>
          </w:p>
          <w:p w14:paraId="65AC4DEB">
            <w:pPr>
              <w:pageBreakBefore w:val="0"/>
              <w:widowControl w:val="0"/>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sz w:val="24"/>
              </w:rPr>
            </w:pPr>
            <w:r>
              <w:rPr>
                <w:rFonts w:hint="default" w:ascii="Times New Roman" w:hAnsi="Times New Roman" w:cs="Times New Roman"/>
                <w:spacing w:val="11"/>
                <w:position w:val="0"/>
                <w:sz w:val="24"/>
              </w:rPr>
              <w:t>（1）车辆尾气</w:t>
            </w:r>
          </w:p>
          <w:p w14:paraId="5355FAC2">
            <w:pPr>
              <w:pageBreakBefore w:val="0"/>
              <w:widowControl w:val="0"/>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sz w:val="24"/>
              </w:rPr>
            </w:pPr>
            <w:r>
              <w:rPr>
                <w:rFonts w:hint="default" w:ascii="Times New Roman" w:hAnsi="Times New Roman" w:cs="Times New Roman"/>
                <w:spacing w:val="11"/>
                <w:position w:val="0"/>
                <w:sz w:val="24"/>
              </w:rPr>
              <w:t>①选择经车辆检测机构检测综合性能、尾气排放达标的车辆及作业设备，防止机械设备带病运行。</w:t>
            </w:r>
          </w:p>
          <w:p w14:paraId="5DFEBF46">
            <w:pPr>
              <w:pageBreakBefore w:val="0"/>
              <w:widowControl w:val="0"/>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sz w:val="24"/>
              </w:rPr>
            </w:pPr>
            <w:r>
              <w:rPr>
                <w:rFonts w:hint="default" w:ascii="Times New Roman" w:hAnsi="Times New Roman" w:cs="Times New Roman"/>
                <w:spacing w:val="11"/>
                <w:position w:val="0"/>
                <w:sz w:val="24"/>
              </w:rPr>
              <w:t>②机械设备能源应选择轻质柴油、汽油等清洁能源。</w:t>
            </w:r>
          </w:p>
          <w:p w14:paraId="6A0303CB">
            <w:pPr>
              <w:pageBreakBefore w:val="0"/>
              <w:widowControl w:val="0"/>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sz w:val="24"/>
              </w:rPr>
            </w:pPr>
            <w:r>
              <w:rPr>
                <w:rFonts w:hint="default" w:ascii="Times New Roman" w:hAnsi="Times New Roman" w:cs="Times New Roman"/>
                <w:spacing w:val="11"/>
                <w:position w:val="0"/>
                <w:sz w:val="24"/>
              </w:rPr>
              <w:t>③选择气象扩散条件较好的天气进行施工作业，重污染天气情况下严禁施工。</w:t>
            </w:r>
          </w:p>
          <w:p w14:paraId="52DEA1E8">
            <w:pPr>
              <w:pageBreakBefore w:val="0"/>
              <w:widowControl w:val="0"/>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kern w:val="0"/>
                <w:position w:val="0"/>
                <w:sz w:val="24"/>
              </w:rPr>
            </w:pPr>
            <w:r>
              <w:rPr>
                <w:rFonts w:hint="default" w:ascii="Times New Roman" w:hAnsi="Times New Roman" w:cs="Times New Roman"/>
                <w:spacing w:val="11"/>
                <w:position w:val="0"/>
                <w:sz w:val="24"/>
              </w:rPr>
              <w:t>（2）扬尘</w:t>
            </w:r>
          </w:p>
          <w:p w14:paraId="69DB7317">
            <w:pPr>
              <w:pageBreakBefore w:val="0"/>
              <w:widowControl w:val="0"/>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sz w:val="24"/>
              </w:rPr>
            </w:pPr>
            <w:r>
              <w:rPr>
                <w:rFonts w:hint="default" w:ascii="Times New Roman" w:hAnsi="Times New Roman" w:cs="Times New Roman"/>
                <w:spacing w:val="11"/>
                <w:position w:val="0"/>
                <w:sz w:val="24"/>
              </w:rPr>
              <w:t>①项目对进行表土剥离以及沉淀池开挖基础作业时，应经常洒水使作业面土壤保持较高的湿度；对施工场地内裸露的地面，也应经常洒水防止扬尘。</w:t>
            </w:r>
          </w:p>
          <w:p w14:paraId="682CB543">
            <w:pPr>
              <w:pageBreakBefore w:val="0"/>
              <w:widowControl w:val="0"/>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sz w:val="24"/>
              </w:rPr>
            </w:pPr>
            <w:r>
              <w:rPr>
                <w:rFonts w:hint="default" w:ascii="Times New Roman" w:hAnsi="Times New Roman" w:cs="Times New Roman"/>
                <w:spacing w:val="11"/>
                <w:position w:val="0"/>
                <w:sz w:val="24"/>
              </w:rPr>
              <w:t>②施工场地产生的土方应及时清运至排土场，并注意随时压实、撒水防止扬尘。</w:t>
            </w:r>
          </w:p>
          <w:p w14:paraId="48A45B6F">
            <w:pPr>
              <w:pStyle w:val="66"/>
              <w:pageBreakBefore w:val="0"/>
              <w:widowControl w:val="0"/>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sz w:val="24"/>
              </w:rPr>
            </w:pPr>
            <w:r>
              <w:rPr>
                <w:rFonts w:hint="default" w:ascii="Times New Roman" w:hAnsi="Times New Roman" w:cs="Times New Roman"/>
                <w:spacing w:val="11"/>
                <w:position w:val="0"/>
                <w:sz w:val="24"/>
              </w:rPr>
              <w:t>③运输过程中散落在路面上的泥土要及时清扫，以减少运行过程中的扬尘。</w:t>
            </w:r>
          </w:p>
          <w:p w14:paraId="5CC35439">
            <w:pPr>
              <w:pageBreakBefore w:val="0"/>
              <w:widowControl w:val="0"/>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sz w:val="24"/>
              </w:rPr>
            </w:pPr>
            <w:r>
              <w:rPr>
                <w:rFonts w:hint="default" w:ascii="Times New Roman" w:hAnsi="Times New Roman" w:cs="Times New Roman"/>
                <w:spacing w:val="11"/>
                <w:position w:val="0"/>
                <w:sz w:val="24"/>
              </w:rPr>
              <w:t>④根据</w:t>
            </w:r>
            <w:r>
              <w:rPr>
                <w:rFonts w:hint="default" w:ascii="Times New Roman" w:hAnsi="Times New Roman" w:cs="Times New Roman"/>
                <w:spacing w:val="11"/>
                <w:position w:val="0"/>
                <w:sz w:val="24"/>
                <w:lang w:eastAsia="zh-CN"/>
              </w:rPr>
              <w:t>永州</w:t>
            </w:r>
            <w:r>
              <w:rPr>
                <w:rFonts w:hint="default" w:ascii="Times New Roman" w:hAnsi="Times New Roman" w:cs="Times New Roman"/>
                <w:spacing w:val="11"/>
                <w:position w:val="0"/>
                <w:sz w:val="24"/>
              </w:rPr>
              <w:t>市“蓝天保卫战”要求，项目施工必须做到八个百分之百，即现场封闭管理100%、现场湿法作业100%、场区道路硬化100%、渣土物料覆盖100%、物料密闭运输100%、车辆出入清洗100%、扬尘监控安装100%、工地内非移动机械车辆100%达标。不准渣土运输车辆违规上路、违规装载。渣土必须实行封闭运输，不得撒漏，不得带泥上路。</w:t>
            </w:r>
          </w:p>
          <w:p w14:paraId="55F9627E">
            <w:pPr>
              <w:pageBreakBefore w:val="0"/>
              <w:widowControl w:val="0"/>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sz w:val="24"/>
              </w:rPr>
            </w:pPr>
            <w:r>
              <w:rPr>
                <w:rFonts w:hint="default" w:ascii="Times New Roman" w:hAnsi="Times New Roman" w:cs="Times New Roman"/>
                <w:spacing w:val="11"/>
                <w:position w:val="0"/>
                <w:sz w:val="24"/>
              </w:rPr>
              <w:t>通过加强施工管理，采取以上措施后，可大幅度降低施工造成的大气污染，上述均为常用措施且效果明显，施工场界废气污染均可达标排放，措施合理可行。</w:t>
            </w:r>
          </w:p>
          <w:p w14:paraId="6976892E">
            <w:pPr>
              <w:pStyle w:val="6"/>
              <w:pageBreakBefore w:val="0"/>
              <w:widowControl w:val="0"/>
              <w:tabs>
                <w:tab w:val="left" w:pos="720"/>
              </w:tabs>
              <w:kinsoku/>
              <w:wordWrap/>
              <w:overflowPunct/>
              <w:topLinePunct w:val="0"/>
              <w:autoSpaceDE/>
              <w:bidi w:val="0"/>
              <w:adjustRightInd w:val="0"/>
              <w:snapToGrid w:val="0"/>
              <w:spacing w:before="0" w:line="360" w:lineRule="auto"/>
              <w:ind w:left="0" w:leftChars="0" w:firstLine="526" w:firstLineChars="200"/>
              <w:rPr>
                <w:rFonts w:hint="default" w:ascii="Times New Roman" w:hAnsi="Times New Roman" w:cs="Times New Roman"/>
                <w:spacing w:val="11"/>
                <w:position w:val="0"/>
                <w:sz w:val="24"/>
                <w:szCs w:val="24"/>
              </w:rPr>
            </w:pPr>
            <w:r>
              <w:rPr>
                <w:rFonts w:hint="default" w:ascii="Times New Roman" w:hAnsi="Times New Roman" w:cs="Times New Roman"/>
                <w:spacing w:val="11"/>
                <w:position w:val="0"/>
                <w:sz w:val="24"/>
                <w:szCs w:val="24"/>
              </w:rPr>
              <w:t>3、施工期废水防治措施</w:t>
            </w:r>
          </w:p>
          <w:p w14:paraId="0B621957">
            <w:pPr>
              <w:pageBreakBefore w:val="0"/>
              <w:widowControl w:val="0"/>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napToGrid w:val="0"/>
                <w:spacing w:val="11"/>
                <w:kern w:val="0"/>
                <w:position w:val="0"/>
                <w:sz w:val="24"/>
              </w:rPr>
            </w:pPr>
            <w:r>
              <w:rPr>
                <w:rFonts w:hint="default" w:ascii="Times New Roman" w:hAnsi="Times New Roman" w:cs="Times New Roman"/>
                <w:snapToGrid w:val="0"/>
                <w:spacing w:val="11"/>
                <w:kern w:val="0"/>
                <w:position w:val="0"/>
                <w:sz w:val="24"/>
              </w:rPr>
              <w:t>本项目施工期废水主要来自于车辆冲洗水及施工人员生活污水。</w:t>
            </w:r>
            <w:r>
              <w:rPr>
                <w:rFonts w:hint="default" w:ascii="Times New Roman" w:hAnsi="Times New Roman" w:cs="Times New Roman"/>
                <w:spacing w:val="11"/>
                <w:position w:val="0"/>
                <w:sz w:val="24"/>
              </w:rPr>
              <w:t>施工人员生活污水依托化粪池处理后用于周边农田菜地浇灌用肥；施工机械、车辆冲洗废水含SS和少量石油类，经冲洗平台旁的截留沟收集至沉淀池进行沉淀处理后回用于</w:t>
            </w:r>
            <w:r>
              <w:rPr>
                <w:rFonts w:hint="default" w:ascii="Times New Roman" w:hAnsi="Times New Roman" w:cs="Times New Roman"/>
                <w:spacing w:val="11"/>
                <w:position w:val="0"/>
                <w:sz w:val="24"/>
                <w:lang w:val="en-US" w:eastAsia="zh-CN"/>
              </w:rPr>
              <w:t>生产</w:t>
            </w:r>
            <w:r>
              <w:rPr>
                <w:rFonts w:hint="default" w:ascii="Times New Roman" w:hAnsi="Times New Roman" w:cs="Times New Roman"/>
                <w:spacing w:val="11"/>
                <w:position w:val="0"/>
                <w:sz w:val="24"/>
              </w:rPr>
              <w:t>。</w:t>
            </w:r>
          </w:p>
          <w:p w14:paraId="66D5EB4E">
            <w:pPr>
              <w:pStyle w:val="6"/>
              <w:pageBreakBefore w:val="0"/>
              <w:widowControl w:val="0"/>
              <w:tabs>
                <w:tab w:val="left" w:pos="720"/>
              </w:tabs>
              <w:kinsoku/>
              <w:wordWrap/>
              <w:overflowPunct/>
              <w:topLinePunct w:val="0"/>
              <w:autoSpaceDE/>
              <w:bidi w:val="0"/>
              <w:adjustRightInd w:val="0"/>
              <w:snapToGrid w:val="0"/>
              <w:spacing w:before="0" w:line="360" w:lineRule="auto"/>
              <w:ind w:left="0" w:leftChars="0" w:firstLine="524" w:firstLineChars="200"/>
              <w:rPr>
                <w:rFonts w:hint="default" w:ascii="Times New Roman" w:hAnsi="Times New Roman" w:cs="Times New Roman"/>
                <w:b w:val="0"/>
                <w:spacing w:val="11"/>
                <w:position w:val="0"/>
                <w:sz w:val="21"/>
                <w:szCs w:val="21"/>
              </w:rPr>
            </w:pPr>
            <w:r>
              <w:rPr>
                <w:rFonts w:hint="default" w:ascii="Times New Roman" w:hAnsi="Times New Roman" w:cs="Times New Roman"/>
                <w:b w:val="0"/>
                <w:spacing w:val="11"/>
                <w:position w:val="0"/>
                <w:sz w:val="24"/>
                <w:szCs w:val="24"/>
              </w:rPr>
              <w:t>施工期废水及雨水均可得到妥善处理，对周围环境影响较小。</w:t>
            </w:r>
          </w:p>
          <w:p w14:paraId="4D5C8E04">
            <w:pPr>
              <w:pStyle w:val="64"/>
              <w:pageBreakBefore w:val="0"/>
              <w:widowControl w:val="0"/>
              <w:kinsoku/>
              <w:wordWrap/>
              <w:overflowPunct/>
              <w:topLinePunct w:val="0"/>
              <w:autoSpaceDE/>
              <w:bidi w:val="0"/>
              <w:adjustRightInd w:val="0"/>
              <w:snapToGrid w:val="0"/>
              <w:spacing w:line="360" w:lineRule="auto"/>
              <w:ind w:left="0" w:leftChars="0" w:firstLine="526" w:firstLineChars="200"/>
              <w:jc w:val="both"/>
              <w:rPr>
                <w:rFonts w:hint="default" w:ascii="Times New Roman" w:hAnsi="Times New Roman" w:cs="Times New Roman"/>
                <w:b/>
                <w:spacing w:val="11"/>
                <w:position w:val="0"/>
                <w:sz w:val="24"/>
              </w:rPr>
            </w:pPr>
            <w:r>
              <w:rPr>
                <w:rFonts w:hint="default" w:ascii="Times New Roman" w:hAnsi="Times New Roman" w:cs="Times New Roman"/>
                <w:b/>
                <w:spacing w:val="11"/>
                <w:position w:val="0"/>
                <w:sz w:val="24"/>
              </w:rPr>
              <w:t>4、施工期噪声防治措施</w:t>
            </w:r>
          </w:p>
          <w:p w14:paraId="4AA82D3A">
            <w:pPr>
              <w:pStyle w:val="74"/>
              <w:pageBreakBefore w:val="0"/>
              <w:widowControl w:val="0"/>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sz w:val="24"/>
              </w:rPr>
            </w:pPr>
            <w:r>
              <w:rPr>
                <w:rFonts w:hint="default" w:ascii="Times New Roman" w:hAnsi="Times New Roman" w:cs="Times New Roman"/>
                <w:spacing w:val="11"/>
                <w:position w:val="0"/>
                <w:sz w:val="24"/>
              </w:rPr>
              <w:t>施工噪声主要来源于装载机、挖掘机、吊车等施工机具和原材料、渣土运输车辆。为减少施工噪声对项目周边声环境的影响，建议采取以下措施：</w:t>
            </w:r>
          </w:p>
          <w:p w14:paraId="12D2E2B5">
            <w:pPr>
              <w:pStyle w:val="74"/>
              <w:pageBreakBefore w:val="0"/>
              <w:widowControl w:val="0"/>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sz w:val="24"/>
              </w:rPr>
            </w:pPr>
            <w:r>
              <w:rPr>
                <w:rFonts w:hint="default" w:ascii="Times New Roman" w:hAnsi="Times New Roman" w:cs="Times New Roman"/>
                <w:spacing w:val="11"/>
                <w:position w:val="0"/>
                <w:sz w:val="24"/>
              </w:rPr>
              <w:t>①尽量选用低噪声系列工程机械设备。</w:t>
            </w:r>
          </w:p>
          <w:p w14:paraId="16B7E610">
            <w:pPr>
              <w:pStyle w:val="74"/>
              <w:pageBreakBefore w:val="0"/>
              <w:widowControl w:val="0"/>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sz w:val="24"/>
              </w:rPr>
            </w:pPr>
            <w:r>
              <w:rPr>
                <w:rFonts w:hint="default" w:ascii="Times New Roman" w:hAnsi="Times New Roman" w:cs="Times New Roman"/>
                <w:spacing w:val="11"/>
                <w:position w:val="0"/>
                <w:sz w:val="24"/>
              </w:rPr>
              <w:t>②合理布置高噪声的施工设备，大于80dB(A)的施工设备布置远离声环境敏感点。</w:t>
            </w:r>
          </w:p>
          <w:p w14:paraId="5944DE8B">
            <w:pPr>
              <w:pageBreakBefore w:val="0"/>
              <w:widowControl w:val="0"/>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sz w:val="24"/>
              </w:rPr>
            </w:pPr>
            <w:r>
              <w:rPr>
                <w:rFonts w:hint="default" w:ascii="Times New Roman" w:hAnsi="Times New Roman" w:cs="Times New Roman"/>
                <w:spacing w:val="11"/>
                <w:position w:val="0"/>
                <w:sz w:val="24"/>
              </w:rPr>
              <w:t>③对较高噪声值的固定设备，应在北面近居民侧设置隔声间或声屏障。</w:t>
            </w:r>
          </w:p>
          <w:p w14:paraId="65894C0F">
            <w:pPr>
              <w:pageBreakBefore w:val="0"/>
              <w:widowControl w:val="0"/>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position w:val="0"/>
                <w:sz w:val="24"/>
              </w:rPr>
            </w:pPr>
            <w:r>
              <w:rPr>
                <w:rFonts w:hint="default" w:ascii="Times New Roman" w:hAnsi="Times New Roman" w:cs="Times New Roman"/>
                <w:spacing w:val="11"/>
                <w:position w:val="0"/>
                <w:sz w:val="24"/>
              </w:rPr>
              <w:t>④施工作业安排在白天进行，矿山夜间、午间12-14点禁止施工作业。</w:t>
            </w:r>
          </w:p>
          <w:p w14:paraId="6B647E1C">
            <w:pPr>
              <w:pageBreakBefore w:val="0"/>
              <w:widowControl w:val="0"/>
              <w:kinsoku/>
              <w:wordWrap/>
              <w:overflowPunct/>
              <w:topLinePunct w:val="0"/>
              <w:autoSpaceDE/>
              <w:bidi w:val="0"/>
              <w:adjustRightInd w:val="0"/>
              <w:snapToGrid w:val="0"/>
              <w:spacing w:line="360" w:lineRule="auto"/>
              <w:ind w:left="0" w:leftChars="0" w:firstLine="524" w:firstLineChars="200"/>
              <w:rPr>
                <w:rFonts w:hint="default" w:ascii="Times New Roman" w:hAnsi="Times New Roman" w:cs="Times New Roman"/>
                <w:spacing w:val="11"/>
                <w:kern w:val="0"/>
                <w:position w:val="0"/>
                <w:sz w:val="24"/>
              </w:rPr>
            </w:pPr>
            <w:r>
              <w:rPr>
                <w:rFonts w:hint="default" w:ascii="Times New Roman" w:hAnsi="Times New Roman" w:cs="Times New Roman"/>
                <w:spacing w:val="11"/>
                <w:position w:val="0"/>
                <w:sz w:val="24"/>
              </w:rPr>
              <w:t>采取上述措施后，可有效地降低施工噪声，保证施工场界噪声不对声环境敏感点造成影响。</w:t>
            </w:r>
          </w:p>
          <w:p w14:paraId="24936DC3">
            <w:pPr>
              <w:pageBreakBefore w:val="0"/>
              <w:widowControl w:val="0"/>
              <w:kinsoku/>
              <w:wordWrap/>
              <w:overflowPunct/>
              <w:topLinePunct w:val="0"/>
              <w:autoSpaceDE/>
              <w:autoSpaceDN w:val="0"/>
              <w:bidi w:val="0"/>
              <w:adjustRightInd w:val="0"/>
              <w:snapToGrid w:val="0"/>
              <w:spacing w:line="360" w:lineRule="auto"/>
              <w:ind w:left="0" w:leftChars="0" w:firstLine="526" w:firstLineChars="200"/>
              <w:rPr>
                <w:rFonts w:hint="default" w:ascii="Times New Roman" w:hAnsi="Times New Roman" w:cs="Times New Roman"/>
                <w:b/>
                <w:spacing w:val="11"/>
                <w:position w:val="0"/>
                <w:sz w:val="24"/>
              </w:rPr>
            </w:pPr>
            <w:r>
              <w:rPr>
                <w:rFonts w:hint="default" w:ascii="Times New Roman" w:hAnsi="Times New Roman" w:cs="Times New Roman"/>
                <w:b/>
                <w:spacing w:val="11"/>
                <w:position w:val="0"/>
                <w:sz w:val="24"/>
              </w:rPr>
              <w:t>5、固体废物</w:t>
            </w:r>
          </w:p>
          <w:p w14:paraId="1A795932">
            <w:pPr>
              <w:pageBreakBefore w:val="0"/>
              <w:widowControl w:val="0"/>
              <w:kinsoku/>
              <w:wordWrap/>
              <w:overflowPunct/>
              <w:topLinePunct w:val="0"/>
              <w:autoSpaceDE/>
              <w:bidi w:val="0"/>
              <w:adjustRightInd w:val="0"/>
              <w:snapToGrid w:val="0"/>
              <w:spacing w:line="360" w:lineRule="auto"/>
              <w:ind w:left="0" w:leftChars="0" w:firstLine="524" w:firstLineChars="200"/>
              <w:textAlignment w:val="baseline"/>
              <w:rPr>
                <w:rFonts w:hint="default" w:ascii="Times New Roman" w:hAnsi="Times New Roman" w:cs="Times New Roman"/>
                <w:spacing w:val="11"/>
                <w:position w:val="0"/>
                <w:sz w:val="24"/>
              </w:rPr>
            </w:pPr>
            <w:r>
              <w:rPr>
                <w:rFonts w:hint="default" w:ascii="Times New Roman" w:hAnsi="Times New Roman" w:cs="Times New Roman"/>
                <w:spacing w:val="11"/>
                <w:position w:val="0"/>
                <w:sz w:val="24"/>
              </w:rPr>
              <w:t>本项目基础阶段产生的弃土堆放于排土场堆存，后期用于绿化覆土，故项目施工期固体废物主要为施工建筑垃圾与施工人员生活垃圾。</w:t>
            </w:r>
          </w:p>
          <w:p w14:paraId="2D513F6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524" w:firstLineChars="200"/>
              <w:textAlignment w:val="auto"/>
              <w:rPr>
                <w:rFonts w:hint="default" w:ascii="Times New Roman" w:hAnsi="Times New Roman" w:cs="Times New Roman"/>
                <w:spacing w:val="11"/>
                <w:position w:val="0"/>
                <w:sz w:val="24"/>
              </w:rPr>
            </w:pPr>
            <w:r>
              <w:rPr>
                <w:rFonts w:hint="default" w:ascii="Times New Roman" w:hAnsi="Times New Roman" w:cs="Times New Roman"/>
                <w:spacing w:val="11"/>
                <w:kern w:val="0"/>
                <w:position w:val="0"/>
                <w:sz w:val="24"/>
              </w:rPr>
              <w:t>本项目施工期</w:t>
            </w:r>
            <w:r>
              <w:rPr>
                <w:rFonts w:hint="default" w:ascii="Times New Roman" w:hAnsi="Times New Roman" w:cs="Times New Roman"/>
                <w:spacing w:val="11"/>
                <w:position w:val="0"/>
                <w:sz w:val="24"/>
              </w:rPr>
              <w:t>建筑垃圾</w:t>
            </w:r>
            <w:r>
              <w:rPr>
                <w:rFonts w:hint="default" w:ascii="Times New Roman" w:hAnsi="Times New Roman" w:cs="Times New Roman"/>
                <w:spacing w:val="11"/>
                <w:kern w:val="0"/>
                <w:position w:val="0"/>
                <w:sz w:val="24"/>
              </w:rPr>
              <w:t>可以回收部分回收利用，不能回收利用的应统一运往指定地点进行处置</w:t>
            </w:r>
            <w:r>
              <w:rPr>
                <w:rFonts w:hint="default" w:ascii="Times New Roman" w:hAnsi="Times New Roman" w:cs="Times New Roman"/>
                <w:spacing w:val="11"/>
                <w:position w:val="0"/>
                <w:sz w:val="24"/>
              </w:rPr>
              <w:t>；施工期施工人员产生的生活垃圾集中收集后由环卫部门统一进行处理。</w:t>
            </w:r>
          </w:p>
          <w:p w14:paraId="574459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textAlignment w:val="auto"/>
              <w:rPr>
                <w:rFonts w:hint="default" w:ascii="Times New Roman" w:hAnsi="Times New Roman" w:eastAsia="宋体" w:cs="Times New Roman"/>
                <w:bCs/>
                <w:color w:val="auto"/>
                <w:spacing w:val="11"/>
                <w:position w:val="0"/>
                <w:sz w:val="24"/>
                <w:szCs w:val="24"/>
                <w:lang w:val="en-US" w:eastAsia="zh-CN"/>
              </w:rPr>
            </w:pPr>
            <w:r>
              <w:rPr>
                <w:rFonts w:hint="default" w:ascii="Times New Roman" w:hAnsi="Times New Roman" w:cs="Times New Roman"/>
                <w:spacing w:val="11"/>
                <w:position w:val="0"/>
                <w:sz w:val="24"/>
                <w:lang w:val="en-US" w:eastAsia="zh-CN"/>
              </w:rPr>
              <w:t xml:space="preserve"> </w:t>
            </w:r>
          </w:p>
        </w:tc>
      </w:tr>
      <w:tr w14:paraId="1246F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3" w:type="dxa"/>
            <w:tcBorders>
              <w:tl2br w:val="nil"/>
              <w:tr2bl w:val="nil"/>
            </w:tcBorders>
            <w:noWrap w:val="0"/>
            <w:tcMar>
              <w:left w:w="28" w:type="dxa"/>
              <w:right w:w="28" w:type="dxa"/>
            </w:tcMar>
            <w:vAlign w:val="center"/>
          </w:tcPr>
          <w:p w14:paraId="6F22C73B">
            <w:pPr>
              <w:adjustRightInd w:val="0"/>
              <w:snapToGrid w:val="0"/>
              <w:spacing w:line="360" w:lineRule="auto"/>
              <w:jc w:val="center"/>
              <w:rPr>
                <w:rFonts w:hint="default" w:ascii="Times New Roman" w:hAnsi="Times New Roman" w:eastAsia="宋体" w:cs="Times New Roman"/>
                <w:bCs/>
                <w:color w:val="auto"/>
                <w:spacing w:val="11"/>
                <w:position w:val="0"/>
                <w:sz w:val="24"/>
                <w:szCs w:val="24"/>
                <w:u w:val="none" w:color="auto"/>
              </w:rPr>
            </w:pPr>
            <w:r>
              <w:rPr>
                <w:rFonts w:hint="default" w:ascii="Times New Roman" w:hAnsi="Times New Roman" w:eastAsia="宋体" w:cs="Times New Roman"/>
                <w:bCs/>
                <w:color w:val="000000"/>
                <w:spacing w:val="11"/>
                <w:position w:val="0"/>
                <w:sz w:val="24"/>
                <w:szCs w:val="24"/>
                <w:u w:val="none" w:color="auto"/>
              </w:rPr>
              <w:t>运营期生态环境保护措施</w:t>
            </w:r>
          </w:p>
        </w:tc>
        <w:tc>
          <w:tcPr>
            <w:tcW w:w="8246" w:type="dxa"/>
            <w:tcBorders>
              <w:tl2br w:val="nil"/>
              <w:tr2bl w:val="nil"/>
            </w:tcBorders>
            <w:noWrap w:val="0"/>
            <w:vAlign w:val="top"/>
          </w:tcPr>
          <w:p w14:paraId="40F11B2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6" w:firstLineChars="200"/>
              <w:textAlignment w:val="auto"/>
              <w:rPr>
                <w:rFonts w:hint="default" w:ascii="Times New Roman" w:hAnsi="Times New Roman" w:cs="Times New Roman"/>
                <w:b/>
                <w:bCs/>
                <w:spacing w:val="11"/>
                <w:position w:val="0"/>
                <w:sz w:val="24"/>
                <w:u w:val="single" w:color="auto"/>
              </w:rPr>
            </w:pPr>
            <w:r>
              <w:rPr>
                <w:rFonts w:hint="default" w:ascii="Times New Roman" w:hAnsi="Times New Roman" w:cs="Times New Roman"/>
                <w:b/>
                <w:bCs/>
                <w:spacing w:val="11"/>
                <w:position w:val="0"/>
                <w:sz w:val="24"/>
                <w:u w:val="single" w:color="auto"/>
              </w:rPr>
              <w:t>1、生态环境保护措施</w:t>
            </w:r>
          </w:p>
          <w:p w14:paraId="0A17A8A3">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bCs/>
                <w:spacing w:val="11"/>
                <w:kern w:val="0"/>
                <w:position w:val="0"/>
                <w:sz w:val="24"/>
                <w:u w:val="single" w:color="auto"/>
              </w:rPr>
              <w:t>项目属于采掘类项目，生态环境的破坏及影响是该项目的主要污染特征，矿山开采过程将不可避免地导致生态环境的破坏和变化。本次评价主要从工程占地、动植物资源的破坏、景观影响、水土流失等方面分析矿山开采对生态环境的影响。恢复治理后的各类场地应实现：安全稳定，对人类和动植物不造成威胁；对周边环境不产生污染；与周边自然环境和景观相协调；恢复土地基本功能，因地制宜实现土地可持续利用；区域整体生态功能得到保护和恢复</w:t>
            </w:r>
            <w:r>
              <w:rPr>
                <w:rFonts w:hint="default" w:ascii="Times New Roman" w:hAnsi="Times New Roman" w:cs="Times New Roman"/>
                <w:spacing w:val="11"/>
                <w:position w:val="0"/>
                <w:sz w:val="24"/>
                <w:u w:val="single" w:color="auto"/>
              </w:rPr>
              <w:t>拟采取的减缓生态影响对策措施：</w:t>
            </w:r>
          </w:p>
          <w:p w14:paraId="5D488920">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（1）露采场生态修复工程设计</w:t>
            </w:r>
          </w:p>
          <w:p w14:paraId="6AA2596A">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矿山对边坡进行坡面清理后，按底盘、平台和边坡分别进行修复。未来露采场底盘复垦为旱地，配套修建机耕道、排水沟及储水池等。露采场底盘覆土面积4.2721hm</w:t>
            </w:r>
            <w:r>
              <w:rPr>
                <w:rFonts w:hint="default" w:ascii="Times New Roman" w:hAnsi="Times New Roman" w:cs="Times New Roman"/>
                <w:spacing w:val="11"/>
                <w:position w:val="0"/>
                <w:sz w:val="24"/>
                <w:u w:val="single" w:color="auto"/>
                <w:vertAlign w:val="superscript"/>
              </w:rPr>
              <w:t>2</w:t>
            </w:r>
            <w:r>
              <w:rPr>
                <w:rFonts w:hint="default" w:ascii="Times New Roman" w:hAnsi="Times New Roman" w:cs="Times New Roman"/>
                <w:spacing w:val="11"/>
                <w:position w:val="0"/>
                <w:sz w:val="24"/>
                <w:u w:val="single" w:color="auto"/>
              </w:rPr>
              <w:t>，覆土厚0.</w:t>
            </w:r>
            <w:r>
              <w:rPr>
                <w:rFonts w:hint="default" w:ascii="Times New Roman" w:hAnsi="Times New Roman" w:cs="Times New Roman"/>
                <w:spacing w:val="11"/>
                <w:position w:val="0"/>
                <w:sz w:val="24"/>
                <w:u w:val="single" w:color="auto"/>
                <w:lang w:val="en-US" w:eastAsia="zh-CN"/>
              </w:rPr>
              <w:t>5</w:t>
            </w:r>
            <w:r>
              <w:rPr>
                <w:rFonts w:hint="default" w:ascii="Times New Roman" w:hAnsi="Times New Roman" w:cs="Times New Roman"/>
                <w:spacing w:val="11"/>
                <w:position w:val="0"/>
                <w:sz w:val="24"/>
                <w:u w:val="single" w:color="auto"/>
              </w:rPr>
              <w:t>m，需土方21360.5m</w:t>
            </w:r>
            <w:r>
              <w:rPr>
                <w:rFonts w:hint="default" w:ascii="Times New Roman" w:hAnsi="Times New Roman" w:cs="Times New Roman"/>
                <w:spacing w:val="11"/>
                <w:position w:val="0"/>
                <w:sz w:val="24"/>
                <w:u w:val="single" w:color="auto"/>
                <w:vertAlign w:val="superscript"/>
              </w:rPr>
              <w:t>3</w:t>
            </w:r>
            <w:r>
              <w:rPr>
                <w:rFonts w:hint="default" w:ascii="Times New Roman" w:hAnsi="Times New Roman" w:cs="Times New Roman"/>
                <w:spacing w:val="11"/>
                <w:position w:val="0"/>
                <w:sz w:val="24"/>
                <w:u w:val="single" w:color="auto"/>
              </w:rPr>
              <w:t>。种植</w:t>
            </w:r>
            <w:r>
              <w:rPr>
                <w:rFonts w:hint="default" w:ascii="Times New Roman" w:hAnsi="Times New Roman" w:cs="Times New Roman"/>
                <w:spacing w:val="11"/>
                <w:position w:val="0"/>
                <w:sz w:val="24"/>
                <w:u w:val="single" w:color="auto"/>
                <w:lang w:eastAsia="zh-CN"/>
              </w:rPr>
              <w:t>油茶树</w:t>
            </w:r>
            <w:r>
              <w:rPr>
                <w:rFonts w:hint="default" w:ascii="Times New Roman" w:hAnsi="Times New Roman" w:cs="Times New Roman"/>
                <w:spacing w:val="11"/>
                <w:position w:val="0"/>
                <w:sz w:val="24"/>
                <w:u w:val="single" w:color="auto"/>
              </w:rPr>
              <w:t>等</w:t>
            </w:r>
            <w:r>
              <w:rPr>
                <w:rFonts w:hint="default" w:ascii="Times New Roman" w:hAnsi="Times New Roman" w:cs="Times New Roman"/>
                <w:spacing w:val="11"/>
                <w:position w:val="0"/>
                <w:sz w:val="24"/>
                <w:u w:val="single" w:color="auto"/>
                <w:lang w:eastAsia="zh-CN"/>
              </w:rPr>
              <w:t>经济作物</w:t>
            </w:r>
            <w:r>
              <w:rPr>
                <w:rFonts w:hint="default" w:ascii="Times New Roman" w:hAnsi="Times New Roman" w:cs="Times New Roman"/>
                <w:spacing w:val="11"/>
                <w:position w:val="0"/>
                <w:sz w:val="24"/>
                <w:u w:val="single" w:color="auto"/>
              </w:rPr>
              <w:t>。</w:t>
            </w:r>
          </w:p>
          <w:p w14:paraId="1F3D1760">
            <w:pPr>
              <w:adjustRightInd w:val="0"/>
              <w:snapToGrid w:val="0"/>
              <w:spacing w:line="360" w:lineRule="auto"/>
              <w:ind w:firstLine="524" w:firstLineChars="200"/>
              <w:rPr>
                <w:rFonts w:hint="eastAsia" w:ascii="Times New Roman" w:hAnsi="Times New Roman" w:eastAsia="宋体" w:cs="Times New Roman"/>
                <w:spacing w:val="11"/>
                <w:position w:val="0"/>
                <w:sz w:val="24"/>
                <w:u w:val="single" w:color="auto"/>
                <w:lang w:eastAsia="zh-CN"/>
              </w:rPr>
            </w:pPr>
            <w:r>
              <w:rPr>
                <w:rFonts w:hint="default" w:ascii="Times New Roman" w:hAnsi="Times New Roman" w:cs="Times New Roman"/>
                <w:spacing w:val="11"/>
                <w:position w:val="0"/>
                <w:sz w:val="24"/>
                <w:u w:val="single" w:color="auto"/>
              </w:rPr>
              <w:t>台阶平台复垦为灌木林地，覆土时须使边坡平台要向内倾斜3-5度，总面积0.6799hm</w:t>
            </w:r>
            <w:r>
              <w:rPr>
                <w:rFonts w:hint="default" w:ascii="Times New Roman" w:hAnsi="Times New Roman" w:cs="Times New Roman"/>
                <w:spacing w:val="11"/>
                <w:position w:val="0"/>
                <w:sz w:val="24"/>
                <w:u w:val="single" w:color="auto"/>
                <w:vertAlign w:val="superscript"/>
              </w:rPr>
              <w:t>2</w:t>
            </w:r>
            <w:r>
              <w:rPr>
                <w:rFonts w:hint="default" w:ascii="Times New Roman" w:hAnsi="Times New Roman" w:cs="Times New Roman"/>
                <w:spacing w:val="11"/>
                <w:position w:val="0"/>
                <w:sz w:val="24"/>
                <w:u w:val="single" w:color="auto"/>
              </w:rPr>
              <w:t>。平台内侧修建截排水沟，外侧铺生态袋，中间地段覆土厚0.5m，需从排土场运输土方3399.5m</w:t>
            </w:r>
            <w:r>
              <w:rPr>
                <w:rFonts w:hint="default" w:ascii="Times New Roman" w:hAnsi="Times New Roman" w:cs="Times New Roman"/>
                <w:spacing w:val="11"/>
                <w:position w:val="0"/>
                <w:sz w:val="24"/>
                <w:u w:val="single" w:color="auto"/>
                <w:vertAlign w:val="superscript"/>
              </w:rPr>
              <w:t>3</w:t>
            </w:r>
            <w:r>
              <w:rPr>
                <w:rFonts w:hint="default" w:ascii="Times New Roman" w:hAnsi="Times New Roman" w:cs="Times New Roman"/>
                <w:spacing w:val="11"/>
                <w:position w:val="0"/>
                <w:sz w:val="24"/>
                <w:u w:val="single" w:color="auto"/>
              </w:rPr>
              <w:t>。在平台种植</w:t>
            </w:r>
            <w:r>
              <w:rPr>
                <w:rFonts w:hint="default" w:ascii="Times New Roman" w:hAnsi="Times New Roman" w:cs="Times New Roman"/>
                <w:spacing w:val="11"/>
                <w:position w:val="0"/>
                <w:sz w:val="24"/>
                <w:u w:val="single" w:color="auto"/>
                <w:lang w:eastAsia="zh-CN"/>
              </w:rPr>
              <w:t>油茶树</w:t>
            </w:r>
            <w:r>
              <w:rPr>
                <w:rFonts w:hint="default" w:ascii="Times New Roman" w:hAnsi="Times New Roman" w:cs="Times New Roman"/>
                <w:spacing w:val="11"/>
                <w:position w:val="0"/>
                <w:sz w:val="24"/>
                <w:u w:val="single" w:color="auto"/>
              </w:rPr>
              <w:t>，株行距取2.0m×2.0m，植树量1700株。斜面部分无法覆土，在边坡坡顶和坡脚种植爬藤类植物，共2893米，间距0.25m/株，共11572株，配套爬藤网，爬藤网面积29966m</w:t>
            </w:r>
            <w:r>
              <w:rPr>
                <w:rFonts w:hint="default" w:ascii="Times New Roman" w:hAnsi="Times New Roman" w:cs="Times New Roman"/>
                <w:spacing w:val="11"/>
                <w:position w:val="0"/>
                <w:sz w:val="24"/>
                <w:u w:val="single" w:color="auto"/>
                <w:vertAlign w:val="superscript"/>
              </w:rPr>
              <w:t>2</w:t>
            </w:r>
            <w:r>
              <w:rPr>
                <w:rFonts w:hint="default" w:ascii="Times New Roman" w:hAnsi="Times New Roman" w:cs="Times New Roman"/>
                <w:spacing w:val="11"/>
                <w:position w:val="0"/>
                <w:sz w:val="24"/>
                <w:u w:val="single" w:color="auto"/>
              </w:rPr>
              <w:t>（斜坡面积）。边坡清理后，在拟修复边坡顶部台阶沿外侧边线打固定短锚杆，之后沿坡面挂垂直网</w:t>
            </w:r>
            <w:r>
              <w:rPr>
                <w:rFonts w:hint="eastAsia" w:cs="Times New Roman"/>
                <w:spacing w:val="11"/>
                <w:position w:val="0"/>
                <w:sz w:val="24"/>
                <w:u w:val="single" w:color="auto"/>
                <w:lang w:eastAsia="zh-CN"/>
              </w:rPr>
              <w:t>。</w:t>
            </w:r>
          </w:p>
          <w:p w14:paraId="3904CF2F">
            <w:pPr>
              <w:adjustRightInd w:val="0"/>
              <w:snapToGrid w:val="0"/>
              <w:spacing w:line="360" w:lineRule="auto"/>
              <w:ind w:firstLine="524" w:firstLineChars="200"/>
              <w:rPr>
                <w:rFonts w:hint="eastAsia" w:ascii="Times New Roman" w:hAnsi="Times New Roman" w:eastAsia="宋体" w:cs="Times New Roman"/>
                <w:spacing w:val="11"/>
                <w:position w:val="0"/>
                <w:sz w:val="24"/>
                <w:u w:val="single" w:color="auto"/>
                <w:lang w:eastAsia="zh-CN"/>
              </w:rPr>
            </w:pPr>
            <w:r>
              <w:rPr>
                <w:rFonts w:hint="eastAsia" w:cs="Times New Roman"/>
                <w:spacing w:val="11"/>
                <w:position w:val="0"/>
                <w:sz w:val="24"/>
                <w:u w:val="single" w:color="auto"/>
                <w:lang w:eastAsia="zh-CN"/>
              </w:rPr>
              <w:t>（</w:t>
            </w:r>
            <w:r>
              <w:rPr>
                <w:rFonts w:hint="eastAsia" w:cs="Times New Roman"/>
                <w:spacing w:val="11"/>
                <w:position w:val="0"/>
                <w:sz w:val="24"/>
                <w:u w:val="single" w:color="auto"/>
                <w:lang w:val="en-US" w:eastAsia="zh-CN"/>
              </w:rPr>
              <w:t>2</w:t>
            </w:r>
            <w:r>
              <w:rPr>
                <w:rFonts w:hint="eastAsia" w:cs="Times New Roman"/>
                <w:spacing w:val="11"/>
                <w:position w:val="0"/>
                <w:sz w:val="24"/>
                <w:u w:val="single" w:color="auto"/>
                <w:lang w:eastAsia="zh-CN"/>
              </w:rPr>
              <w:t>）排土场生态修复工程及进度安排</w:t>
            </w:r>
          </w:p>
          <w:p w14:paraId="01CABD87">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排土场地处原露天采场坡脚处，不易作为人为活动较多的旱地，因此修复为林地，主要种植杉树、马尾松、油茶等（坑栽），其工程内容包括：场地平整工程、植树种草工程。</w:t>
            </w:r>
          </w:p>
          <w:p w14:paraId="6501316F">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a、平整修坡工程：排土场内剥土运至其他修复区后，剩余土层进行场地平整；土地平整修复面积0.7199hm</w:t>
            </w:r>
            <w:r>
              <w:rPr>
                <w:rFonts w:hint="default" w:ascii="Times New Roman" w:hAnsi="Times New Roman" w:cs="Times New Roman"/>
                <w:spacing w:val="11"/>
                <w:position w:val="0"/>
                <w:sz w:val="24"/>
                <w:u w:val="single" w:color="auto"/>
                <w:vertAlign w:val="superscript"/>
              </w:rPr>
              <w:t>2</w:t>
            </w:r>
            <w:r>
              <w:rPr>
                <w:rFonts w:hint="default" w:ascii="Times New Roman" w:hAnsi="Times New Roman" w:cs="Times New Roman"/>
                <w:spacing w:val="11"/>
                <w:position w:val="0"/>
                <w:sz w:val="24"/>
                <w:u w:val="single" w:color="auto"/>
              </w:rPr>
              <w:t>。</w:t>
            </w:r>
          </w:p>
          <w:p w14:paraId="2F1FB31A">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b、地力培肥工程</w:t>
            </w:r>
          </w:p>
          <w:p w14:paraId="68B49BC8">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排土场面积0.7199hm</w:t>
            </w:r>
            <w:r>
              <w:rPr>
                <w:rFonts w:hint="default" w:ascii="Times New Roman" w:hAnsi="Times New Roman" w:cs="Times New Roman"/>
                <w:spacing w:val="11"/>
                <w:position w:val="0"/>
                <w:sz w:val="24"/>
                <w:u w:val="single" w:color="auto"/>
                <w:vertAlign w:val="superscript"/>
              </w:rPr>
              <w:t>2</w:t>
            </w:r>
            <w:r>
              <w:rPr>
                <w:rFonts w:hint="default" w:ascii="Times New Roman" w:hAnsi="Times New Roman" w:cs="Times New Roman"/>
                <w:spacing w:val="11"/>
                <w:position w:val="0"/>
                <w:sz w:val="24"/>
                <w:u w:val="single" w:color="auto"/>
              </w:rPr>
              <w:t>，无需覆土，整平后进行培肥，注意添加保水剂及施用有机肥。</w:t>
            </w:r>
          </w:p>
          <w:p w14:paraId="05238DC2">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c、场地覆土翻耕复垦工程</w:t>
            </w:r>
          </w:p>
          <w:p w14:paraId="2CC9CAC9">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对树坑进行标识（测量）定位，进行人工细部翻耕平整，每立方米土添加保水剂100g，每立方米施3-5kg有机肥，保持土壤肥力。场区整平完整、开挖植树坑，按3.0×3.0m布置，种植</w:t>
            </w:r>
            <w:r>
              <w:rPr>
                <w:rFonts w:hint="default" w:ascii="Times New Roman" w:hAnsi="Times New Roman" w:cs="Times New Roman"/>
                <w:spacing w:val="11"/>
                <w:position w:val="0"/>
                <w:sz w:val="24"/>
                <w:u w:val="single" w:color="auto"/>
                <w:lang w:eastAsia="zh-CN"/>
              </w:rPr>
              <w:t>油茶树，</w:t>
            </w:r>
            <w:r>
              <w:rPr>
                <w:rFonts w:hint="default" w:ascii="Times New Roman" w:hAnsi="Times New Roman" w:cs="Times New Roman"/>
                <w:spacing w:val="11"/>
                <w:position w:val="0"/>
                <w:sz w:val="24"/>
                <w:u w:val="single" w:color="auto"/>
              </w:rPr>
              <w:t>植树坑圆形，直径0.6m、深≥0.5m，坑内铺膜、添加保水剂、施有机肥。复垦林地面积0.7199hm2，种植</w:t>
            </w:r>
            <w:r>
              <w:rPr>
                <w:rFonts w:hint="default" w:ascii="Times New Roman" w:hAnsi="Times New Roman" w:cs="Times New Roman"/>
                <w:spacing w:val="11"/>
                <w:position w:val="0"/>
                <w:sz w:val="24"/>
                <w:u w:val="single" w:color="auto"/>
                <w:lang w:eastAsia="zh-CN"/>
              </w:rPr>
              <w:t>油茶树</w:t>
            </w:r>
            <w:r>
              <w:rPr>
                <w:rFonts w:hint="default" w:ascii="Times New Roman" w:hAnsi="Times New Roman" w:cs="Times New Roman"/>
                <w:spacing w:val="11"/>
                <w:position w:val="0"/>
                <w:sz w:val="24"/>
                <w:u w:val="single" w:color="auto"/>
              </w:rPr>
              <w:t>等800株，撒播草籽0.7199hm</w:t>
            </w:r>
            <w:r>
              <w:rPr>
                <w:rFonts w:hint="default" w:ascii="Times New Roman" w:hAnsi="Times New Roman" w:cs="Times New Roman"/>
                <w:spacing w:val="11"/>
                <w:position w:val="0"/>
                <w:sz w:val="24"/>
                <w:u w:val="single" w:color="auto"/>
                <w:vertAlign w:val="superscript"/>
              </w:rPr>
              <w:t>2</w:t>
            </w:r>
            <w:r>
              <w:rPr>
                <w:rFonts w:hint="default" w:ascii="Times New Roman" w:hAnsi="Times New Roman" w:cs="Times New Roman"/>
                <w:spacing w:val="11"/>
                <w:position w:val="0"/>
                <w:sz w:val="24"/>
                <w:u w:val="single" w:color="auto"/>
              </w:rPr>
              <w:t>。</w:t>
            </w:r>
          </w:p>
          <w:p w14:paraId="3AC0A4B7">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d、林地排水沟</w:t>
            </w:r>
          </w:p>
          <w:p w14:paraId="72424E4E">
            <w:pPr>
              <w:adjustRightInd w:val="0"/>
              <w:snapToGrid w:val="0"/>
              <w:spacing w:line="360" w:lineRule="auto"/>
              <w:ind w:firstLine="524" w:firstLineChars="200"/>
              <w:rPr>
                <w:rFonts w:hint="eastAsia" w:ascii="Times New Roman" w:hAnsi="Times New Roman" w:eastAsia="宋体" w:cs="Times New Roman"/>
                <w:spacing w:val="11"/>
                <w:position w:val="0"/>
                <w:sz w:val="24"/>
                <w:u w:val="single" w:color="auto"/>
                <w:lang w:eastAsia="zh-CN"/>
              </w:rPr>
            </w:pPr>
            <w:r>
              <w:rPr>
                <w:rFonts w:hint="default" w:ascii="Times New Roman" w:hAnsi="Times New Roman" w:cs="Times New Roman"/>
                <w:spacing w:val="11"/>
                <w:position w:val="0"/>
                <w:sz w:val="24"/>
                <w:u w:val="single" w:color="auto"/>
              </w:rPr>
              <w:t>为保障植被存活及减少雨水冲刷，减少水土流失，设计在平整后的工业场地中开挖生态沟，进行灌溉排水。沟宽0.4m，深0.3m</w:t>
            </w:r>
            <w:r>
              <w:rPr>
                <w:rFonts w:hint="eastAsia" w:cs="Times New Roman"/>
                <w:spacing w:val="11"/>
                <w:position w:val="0"/>
                <w:sz w:val="24"/>
                <w:u w:val="single" w:color="auto"/>
                <w:lang w:eastAsia="zh-CN"/>
              </w:rPr>
              <w:t>。</w:t>
            </w:r>
          </w:p>
          <w:p w14:paraId="3FB2169B">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eastAsia" w:cs="Times New Roman"/>
                <w:spacing w:val="11"/>
                <w:position w:val="0"/>
                <w:sz w:val="24"/>
                <w:u w:val="single" w:color="auto"/>
                <w:lang w:eastAsia="zh-CN"/>
              </w:rPr>
              <w:t>（</w:t>
            </w:r>
            <w:r>
              <w:rPr>
                <w:rFonts w:hint="eastAsia" w:cs="Times New Roman"/>
                <w:spacing w:val="11"/>
                <w:position w:val="0"/>
                <w:sz w:val="24"/>
                <w:u w:val="single" w:color="auto"/>
                <w:lang w:val="en-US" w:eastAsia="zh-CN"/>
              </w:rPr>
              <w:t>3</w:t>
            </w:r>
            <w:r>
              <w:rPr>
                <w:rFonts w:hint="eastAsia" w:cs="Times New Roman"/>
                <w:spacing w:val="11"/>
                <w:position w:val="0"/>
                <w:sz w:val="24"/>
                <w:u w:val="single" w:color="auto"/>
                <w:lang w:eastAsia="zh-CN"/>
              </w:rPr>
              <w:t>）</w:t>
            </w:r>
            <w:r>
              <w:rPr>
                <w:rFonts w:hint="default" w:ascii="Times New Roman" w:hAnsi="Times New Roman" w:cs="Times New Roman"/>
                <w:spacing w:val="11"/>
                <w:position w:val="0"/>
                <w:sz w:val="24"/>
                <w:u w:val="single" w:color="auto"/>
              </w:rPr>
              <w:t>矿山工业广场及地面建设区生态修复工程</w:t>
            </w:r>
          </w:p>
          <w:p w14:paraId="13267467">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矿山地面建设区中矿部和加工工业广场（含工业广场、卸矿平台及加工厂房、辅助生产设施）等地面设施区修复为旱地。其工程内容包括：设施基础拆除工程、硬化层剥离工程、渣土清运工程、土地平整工程、回填覆土工程、翻耕培肥及配套排水沟工程等</w:t>
            </w:r>
          </w:p>
          <w:p w14:paraId="40C933D2">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a、设施基础拆除、硬化层剥离工程</w:t>
            </w:r>
          </w:p>
          <w:p w14:paraId="40980835">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占损面积1.2778hm</w:t>
            </w:r>
            <w:r>
              <w:rPr>
                <w:rFonts w:hint="default" w:ascii="Times New Roman" w:hAnsi="Times New Roman" w:cs="Times New Roman"/>
                <w:spacing w:val="11"/>
                <w:position w:val="0"/>
                <w:sz w:val="24"/>
                <w:u w:val="single" w:color="auto"/>
                <w:vertAlign w:val="superscript"/>
              </w:rPr>
              <w:t>2</w:t>
            </w:r>
            <w:r>
              <w:rPr>
                <w:rFonts w:hint="default" w:ascii="Times New Roman" w:hAnsi="Times New Roman" w:cs="Times New Roman"/>
                <w:spacing w:val="11"/>
                <w:position w:val="0"/>
                <w:sz w:val="24"/>
                <w:u w:val="single" w:color="auto"/>
              </w:rPr>
              <w:t>，进行设施基础拆除、硬化层剥离。拆除建筑及硬化场地面积约6000m</w:t>
            </w:r>
            <w:r>
              <w:rPr>
                <w:rFonts w:hint="default" w:ascii="Times New Roman" w:hAnsi="Times New Roman" w:cs="Times New Roman"/>
                <w:spacing w:val="11"/>
                <w:position w:val="0"/>
                <w:sz w:val="24"/>
                <w:u w:val="single" w:color="auto"/>
                <w:vertAlign w:val="superscript"/>
              </w:rPr>
              <w:t>2</w:t>
            </w:r>
            <w:r>
              <w:rPr>
                <w:rFonts w:hint="default" w:ascii="Times New Roman" w:hAnsi="Times New Roman" w:cs="Times New Roman"/>
                <w:spacing w:val="11"/>
                <w:position w:val="0"/>
                <w:sz w:val="24"/>
                <w:u w:val="single" w:color="auto"/>
              </w:rPr>
              <w:t>，治理区总的硬化物拆除量为1800m</w:t>
            </w:r>
            <w:r>
              <w:rPr>
                <w:rFonts w:hint="default" w:ascii="Times New Roman" w:hAnsi="Times New Roman" w:cs="Times New Roman"/>
                <w:spacing w:val="11"/>
                <w:position w:val="0"/>
                <w:sz w:val="24"/>
                <w:u w:val="single" w:color="auto"/>
                <w:vertAlign w:val="superscript"/>
              </w:rPr>
              <w:t>3</w:t>
            </w:r>
            <w:r>
              <w:rPr>
                <w:rFonts w:hint="default" w:ascii="Times New Roman" w:hAnsi="Times New Roman" w:cs="Times New Roman"/>
                <w:spacing w:val="11"/>
                <w:position w:val="0"/>
                <w:sz w:val="24"/>
                <w:u w:val="single" w:color="auto"/>
              </w:rPr>
              <w:t>、渣土清运量1800m</w:t>
            </w:r>
            <w:r>
              <w:rPr>
                <w:rFonts w:hint="default" w:ascii="Times New Roman" w:hAnsi="Times New Roman" w:cs="Times New Roman"/>
                <w:spacing w:val="11"/>
                <w:position w:val="0"/>
                <w:sz w:val="24"/>
                <w:u w:val="single" w:color="auto"/>
                <w:vertAlign w:val="superscript"/>
              </w:rPr>
              <w:t>3</w:t>
            </w:r>
            <w:r>
              <w:rPr>
                <w:rFonts w:hint="default" w:ascii="Times New Roman" w:hAnsi="Times New Roman" w:cs="Times New Roman"/>
                <w:spacing w:val="11"/>
                <w:position w:val="0"/>
                <w:sz w:val="24"/>
                <w:u w:val="single" w:color="auto"/>
              </w:rPr>
              <w:t>。</w:t>
            </w:r>
          </w:p>
          <w:p w14:paraId="330D3D09">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b、平整、覆土工程</w:t>
            </w:r>
          </w:p>
          <w:p w14:paraId="2CA7A198">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利用机械对工业广场和矿部区等进行表层清理后，进行挖翻松土（深度0.3m左右）、平整，达到修复为旱地的要求。共需进行场地平整面积1.2778hm</w:t>
            </w:r>
            <w:r>
              <w:rPr>
                <w:rFonts w:hint="default" w:ascii="Times New Roman" w:hAnsi="Times New Roman" w:cs="Times New Roman"/>
                <w:spacing w:val="11"/>
                <w:position w:val="0"/>
                <w:sz w:val="24"/>
                <w:u w:val="single" w:color="auto"/>
                <w:vertAlign w:val="superscript"/>
              </w:rPr>
              <w:t>2</w:t>
            </w:r>
            <w:r>
              <w:rPr>
                <w:rFonts w:hint="default" w:ascii="Times New Roman" w:hAnsi="Times New Roman" w:cs="Times New Roman"/>
                <w:spacing w:val="11"/>
                <w:position w:val="0"/>
                <w:sz w:val="24"/>
                <w:u w:val="single" w:color="auto"/>
              </w:rPr>
              <w:t>。设计旱地区覆土厚度为0.8m，共需覆土10222.4m</w:t>
            </w:r>
            <w:r>
              <w:rPr>
                <w:rFonts w:hint="default" w:ascii="Times New Roman" w:hAnsi="Times New Roman" w:cs="Times New Roman"/>
                <w:spacing w:val="11"/>
                <w:position w:val="0"/>
                <w:sz w:val="24"/>
                <w:u w:val="single" w:color="auto"/>
                <w:vertAlign w:val="superscript"/>
              </w:rPr>
              <w:t>3</w:t>
            </w:r>
            <w:r>
              <w:rPr>
                <w:rFonts w:hint="default" w:ascii="Times New Roman" w:hAnsi="Times New Roman" w:cs="Times New Roman"/>
                <w:spacing w:val="11"/>
                <w:position w:val="0"/>
                <w:sz w:val="24"/>
                <w:u w:val="single" w:color="auto"/>
              </w:rPr>
              <w:t>。</w:t>
            </w:r>
          </w:p>
          <w:p w14:paraId="0FA3906F">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c、地力培肥工程</w:t>
            </w:r>
          </w:p>
          <w:p w14:paraId="1F922C5A">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覆土整平后进行培肥，注意添加保水剂及施用有机肥。可种植玉米、红薯、花生等当地农作物。培肥面积1.2778hm</w:t>
            </w:r>
            <w:r>
              <w:rPr>
                <w:rFonts w:hint="default" w:ascii="Times New Roman" w:hAnsi="Times New Roman" w:cs="Times New Roman"/>
                <w:spacing w:val="11"/>
                <w:position w:val="0"/>
                <w:sz w:val="24"/>
                <w:u w:val="single" w:color="auto"/>
                <w:vertAlign w:val="superscript"/>
              </w:rPr>
              <w:t>2</w:t>
            </w:r>
            <w:r>
              <w:rPr>
                <w:rFonts w:hint="default" w:ascii="Times New Roman" w:hAnsi="Times New Roman" w:cs="Times New Roman"/>
                <w:spacing w:val="11"/>
                <w:position w:val="0"/>
                <w:sz w:val="24"/>
                <w:u w:val="single" w:color="auto"/>
              </w:rPr>
              <w:t>。</w:t>
            </w:r>
          </w:p>
          <w:p w14:paraId="0F2C92C3">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d、灌溉农沟工程</w:t>
            </w:r>
          </w:p>
          <w:p w14:paraId="546B2FA9">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工业广场及地面建设区1.2778hm</w:t>
            </w:r>
            <w:r>
              <w:rPr>
                <w:rFonts w:hint="default" w:ascii="Times New Roman" w:hAnsi="Times New Roman" w:cs="Times New Roman"/>
                <w:spacing w:val="11"/>
                <w:position w:val="0"/>
                <w:sz w:val="24"/>
                <w:u w:val="single" w:color="auto"/>
                <w:vertAlign w:val="superscript"/>
              </w:rPr>
              <w:t>2</w:t>
            </w:r>
            <w:r>
              <w:rPr>
                <w:rFonts w:hint="default" w:ascii="Times New Roman" w:hAnsi="Times New Roman" w:cs="Times New Roman"/>
                <w:spacing w:val="11"/>
                <w:position w:val="0"/>
                <w:sz w:val="24"/>
                <w:u w:val="single" w:color="auto"/>
              </w:rPr>
              <w:t>，复垦成旱地，机耕道利用保留道路。为了方便排水，道路设计1条灌溉农沟，总长146m。</w:t>
            </w:r>
          </w:p>
          <w:p w14:paraId="1BAE6783">
            <w:pPr>
              <w:adjustRightInd w:val="0"/>
              <w:snapToGrid w:val="0"/>
              <w:spacing w:line="360" w:lineRule="auto"/>
              <w:ind w:firstLine="526" w:firstLineChars="200"/>
              <w:rPr>
                <w:rFonts w:hint="default" w:ascii="Times New Roman" w:hAnsi="Times New Roman" w:cs="Times New Roman"/>
                <w:b/>
                <w:bCs/>
                <w:spacing w:val="11"/>
                <w:position w:val="0"/>
                <w:sz w:val="24"/>
                <w:u w:val="none" w:color="auto"/>
              </w:rPr>
            </w:pPr>
            <w:r>
              <w:rPr>
                <w:rFonts w:hint="default" w:ascii="Times New Roman" w:hAnsi="Times New Roman" w:cs="Times New Roman"/>
                <w:b/>
                <w:bCs/>
                <w:spacing w:val="11"/>
                <w:position w:val="0"/>
                <w:sz w:val="24"/>
                <w:u w:val="none" w:color="auto"/>
              </w:rPr>
              <w:t>2、水土保持措施</w:t>
            </w:r>
          </w:p>
          <w:p w14:paraId="70CEA3EB">
            <w:pPr>
              <w:autoSpaceDE w:val="0"/>
              <w:autoSpaceDN w:val="0"/>
              <w:adjustRightInd w:val="0"/>
              <w:spacing w:line="360" w:lineRule="auto"/>
              <w:ind w:firstLine="524" w:firstLineChars="200"/>
              <w:rPr>
                <w:rFonts w:hint="default" w:ascii="Times New Roman" w:hAnsi="Times New Roman" w:cs="Times New Roman"/>
                <w:spacing w:val="11"/>
                <w:kern w:val="0"/>
                <w:position w:val="0"/>
                <w:sz w:val="24"/>
                <w:u w:val="none" w:color="auto"/>
              </w:rPr>
            </w:pPr>
            <w:r>
              <w:rPr>
                <w:rFonts w:hint="default" w:ascii="Times New Roman" w:hAnsi="Times New Roman" w:cs="Times New Roman"/>
                <w:spacing w:val="11"/>
                <w:kern w:val="0"/>
                <w:position w:val="0"/>
                <w:sz w:val="24"/>
                <w:u w:val="none" w:color="auto"/>
              </w:rPr>
              <w:t>矿山开采过程中，由于扰动地貌、平整场地所造成的地表植被破坏和土壤裸露，遇降雨天气，极易引起水土流失。裸露面被雨水冲刷流失的泥土随着径流的雨水流向低洼处或进入附近水体，会影响地表水体水质。</w:t>
            </w:r>
          </w:p>
          <w:p w14:paraId="05A7C178">
            <w:pPr>
              <w:autoSpaceDE w:val="0"/>
              <w:autoSpaceDN w:val="0"/>
              <w:adjustRightInd w:val="0"/>
              <w:spacing w:line="360" w:lineRule="auto"/>
              <w:ind w:firstLine="524" w:firstLineChars="200"/>
              <w:rPr>
                <w:rFonts w:hint="default" w:ascii="Times New Roman" w:hAnsi="Times New Roman" w:cs="Times New Roman"/>
                <w:spacing w:val="11"/>
                <w:kern w:val="0"/>
                <w:position w:val="0"/>
                <w:sz w:val="24"/>
                <w:u w:val="none" w:color="auto"/>
              </w:rPr>
            </w:pPr>
            <w:r>
              <w:rPr>
                <w:rFonts w:hint="default" w:ascii="Times New Roman" w:hAnsi="Times New Roman" w:cs="Times New Roman"/>
                <w:spacing w:val="11"/>
                <w:kern w:val="0"/>
                <w:position w:val="0"/>
                <w:sz w:val="24"/>
                <w:u w:val="none" w:color="auto"/>
              </w:rPr>
              <w:t>项目针对可能造成的水土流失状况，在采矿区周边设置截排水沟，将矿区外汇集的雨水有序的沿矿区周边排走，减少雨水进入采区内，从而控制水土流失量。项目建设及营运期水土流失量及工程措施如下</w:t>
            </w:r>
          </w:p>
          <w:p w14:paraId="50F23018">
            <w:pPr>
              <w:autoSpaceDE w:val="0"/>
              <w:autoSpaceDN w:val="0"/>
              <w:adjustRightInd w:val="0"/>
              <w:spacing w:line="360" w:lineRule="auto"/>
              <w:ind w:firstLine="524" w:firstLineChars="200"/>
              <w:rPr>
                <w:rFonts w:hint="default" w:ascii="Times New Roman" w:hAnsi="Times New Roman" w:cs="Times New Roman"/>
                <w:spacing w:val="11"/>
                <w:kern w:val="0"/>
                <w:position w:val="0"/>
                <w:sz w:val="24"/>
                <w:u w:val="none" w:color="auto"/>
              </w:rPr>
            </w:pPr>
            <w:r>
              <w:rPr>
                <w:rFonts w:hint="default" w:ascii="Times New Roman" w:hAnsi="Times New Roman" w:cs="Times New Roman"/>
                <w:spacing w:val="11"/>
                <w:kern w:val="0"/>
                <w:position w:val="0"/>
                <w:sz w:val="24"/>
                <w:u w:val="none" w:color="auto"/>
              </w:rPr>
              <w:t>①采矿区</w:t>
            </w:r>
          </w:p>
          <w:p w14:paraId="348FBA1C">
            <w:pPr>
              <w:autoSpaceDE w:val="0"/>
              <w:autoSpaceDN w:val="0"/>
              <w:adjustRightInd w:val="0"/>
              <w:spacing w:line="360" w:lineRule="auto"/>
              <w:ind w:firstLine="524" w:firstLineChars="200"/>
              <w:rPr>
                <w:rFonts w:hint="default" w:ascii="Times New Roman" w:hAnsi="Times New Roman" w:cs="Times New Roman"/>
                <w:spacing w:val="11"/>
                <w:kern w:val="0"/>
                <w:position w:val="0"/>
                <w:sz w:val="24"/>
                <w:u w:val="none" w:color="auto"/>
              </w:rPr>
            </w:pPr>
            <w:r>
              <w:rPr>
                <w:rFonts w:hint="default" w:ascii="Times New Roman" w:hAnsi="Times New Roman" w:cs="Times New Roman"/>
                <w:spacing w:val="11"/>
                <w:kern w:val="0"/>
                <w:position w:val="0"/>
                <w:sz w:val="24"/>
                <w:u w:val="none" w:color="auto"/>
              </w:rPr>
              <w:t>在采矿区边界修建截排水沟，修建护坡，定期对采露天采场边坡及其上方岩体定期进行监测，修整边坡，清除松散土体及不稳定边坡，消除崩塌、滑坡等地质灾害隐患，最大限度地减少或避免矿山地质灾害的发生。根据开采进度，对未开采到的矿段，先保留其上的植被，待开采到该矿段时再清理，以此尽量减少新增水土流失量和缩短流失时间。</w:t>
            </w:r>
          </w:p>
          <w:p w14:paraId="621DBB49">
            <w:pPr>
              <w:autoSpaceDE w:val="0"/>
              <w:autoSpaceDN w:val="0"/>
              <w:adjustRightInd w:val="0"/>
              <w:spacing w:line="360" w:lineRule="auto"/>
              <w:ind w:firstLine="524" w:firstLineChars="200"/>
              <w:rPr>
                <w:rFonts w:hint="default" w:ascii="Times New Roman" w:hAnsi="Times New Roman" w:cs="Times New Roman"/>
                <w:spacing w:val="11"/>
                <w:kern w:val="0"/>
                <w:position w:val="0"/>
                <w:sz w:val="24"/>
                <w:u w:val="none" w:color="auto"/>
              </w:rPr>
            </w:pPr>
            <w:r>
              <w:rPr>
                <w:rFonts w:hint="default" w:ascii="Times New Roman" w:hAnsi="Times New Roman" w:cs="Times New Roman"/>
                <w:spacing w:val="11"/>
                <w:kern w:val="0"/>
                <w:position w:val="0"/>
                <w:sz w:val="24"/>
                <w:u w:val="none" w:color="auto"/>
              </w:rPr>
              <w:t>②工业场区</w:t>
            </w:r>
          </w:p>
          <w:p w14:paraId="1519A60C">
            <w:pPr>
              <w:autoSpaceDE w:val="0"/>
              <w:autoSpaceDN w:val="0"/>
              <w:adjustRightInd w:val="0"/>
              <w:spacing w:line="360" w:lineRule="auto"/>
              <w:ind w:firstLine="524" w:firstLineChars="200"/>
              <w:rPr>
                <w:rFonts w:hint="default" w:ascii="Times New Roman" w:hAnsi="Times New Roman" w:cs="Times New Roman"/>
                <w:spacing w:val="11"/>
                <w:kern w:val="0"/>
                <w:position w:val="0"/>
                <w:sz w:val="24"/>
                <w:u w:val="none" w:color="auto"/>
              </w:rPr>
            </w:pPr>
            <w:r>
              <w:rPr>
                <w:rFonts w:hint="default" w:ascii="Times New Roman" w:hAnsi="Times New Roman" w:cs="Times New Roman"/>
                <w:spacing w:val="11"/>
                <w:kern w:val="0"/>
                <w:position w:val="0"/>
                <w:sz w:val="24"/>
                <w:u w:val="none" w:color="auto"/>
              </w:rPr>
              <w:t>营运期在工业场区四周修建截排水沟，并设有沉淀池，最大限度减少雨季雨水冲刷，服务期满后废渣清运、表土回填、种植树木。</w:t>
            </w:r>
          </w:p>
          <w:p w14:paraId="1B4386D6">
            <w:pPr>
              <w:autoSpaceDE w:val="0"/>
              <w:autoSpaceDN w:val="0"/>
              <w:adjustRightInd w:val="0"/>
              <w:spacing w:line="360" w:lineRule="auto"/>
              <w:ind w:firstLine="524" w:firstLineChars="200"/>
              <w:rPr>
                <w:rFonts w:hint="default" w:ascii="Times New Roman" w:hAnsi="Times New Roman" w:cs="Times New Roman"/>
                <w:spacing w:val="11"/>
                <w:kern w:val="0"/>
                <w:position w:val="0"/>
                <w:sz w:val="24"/>
                <w:u w:val="none" w:color="auto"/>
              </w:rPr>
            </w:pPr>
            <w:r>
              <w:rPr>
                <w:rFonts w:hint="default" w:ascii="Times New Roman" w:hAnsi="Times New Roman" w:cs="Times New Roman"/>
                <w:spacing w:val="11"/>
                <w:kern w:val="0"/>
                <w:position w:val="0"/>
                <w:sz w:val="24"/>
                <w:u w:val="none" w:color="auto"/>
              </w:rPr>
              <w:t>③矿山道路</w:t>
            </w:r>
          </w:p>
          <w:p w14:paraId="02909AED">
            <w:pPr>
              <w:autoSpaceDE w:val="0"/>
              <w:autoSpaceDN w:val="0"/>
              <w:adjustRightInd w:val="0"/>
              <w:spacing w:line="360" w:lineRule="auto"/>
              <w:ind w:firstLine="524" w:firstLineChars="200"/>
              <w:rPr>
                <w:rFonts w:hint="default" w:ascii="Times New Roman" w:hAnsi="Times New Roman" w:cs="Times New Roman"/>
                <w:spacing w:val="11"/>
                <w:kern w:val="0"/>
                <w:position w:val="0"/>
                <w:sz w:val="24"/>
                <w:u w:val="none" w:color="auto"/>
              </w:rPr>
            </w:pPr>
            <w:r>
              <w:rPr>
                <w:rFonts w:hint="default" w:ascii="Times New Roman" w:hAnsi="Times New Roman" w:cs="Times New Roman"/>
                <w:spacing w:val="11"/>
                <w:kern w:val="0"/>
                <w:position w:val="0"/>
                <w:sz w:val="24"/>
                <w:u w:val="none" w:color="auto"/>
              </w:rPr>
              <w:t>对矿山道路采取开挖树坑、表土回填、坑栽灌木、土地翻耕、土地培肥、种植绿肥、播撒草籽等措施复垦为林地。矿山道路内侧边坡采取浆砌片石骨架内种杂草防护，且浆砌片石骨架要与上坡植被措施衔接完好。矿山道路外侧边坡采取草灌木植被进行防护。且在矿山道路的内侧设置排水沟（截水沟），从而减轻水土流失。</w:t>
            </w:r>
          </w:p>
          <w:p w14:paraId="71C7A200">
            <w:pPr>
              <w:autoSpaceDE w:val="0"/>
              <w:autoSpaceDN w:val="0"/>
              <w:adjustRightInd w:val="0"/>
              <w:spacing w:line="360" w:lineRule="auto"/>
              <w:ind w:firstLine="524" w:firstLineChars="200"/>
              <w:rPr>
                <w:rFonts w:hint="default" w:ascii="Times New Roman" w:hAnsi="Times New Roman" w:cs="Times New Roman"/>
                <w:spacing w:val="11"/>
                <w:kern w:val="0"/>
                <w:position w:val="0"/>
                <w:sz w:val="24"/>
                <w:u w:val="none" w:color="auto"/>
              </w:rPr>
            </w:pPr>
            <w:r>
              <w:rPr>
                <w:rFonts w:hint="default" w:ascii="Times New Roman" w:hAnsi="Times New Roman" w:cs="Times New Roman"/>
                <w:spacing w:val="11"/>
                <w:kern w:val="0"/>
                <w:position w:val="0"/>
                <w:sz w:val="24"/>
                <w:u w:val="none" w:color="auto"/>
              </w:rPr>
              <w:t>④排土场</w:t>
            </w:r>
          </w:p>
          <w:p w14:paraId="6FCE6E05">
            <w:pPr>
              <w:autoSpaceDE w:val="0"/>
              <w:autoSpaceDN w:val="0"/>
              <w:adjustRightInd w:val="0"/>
              <w:spacing w:line="360" w:lineRule="auto"/>
              <w:ind w:firstLine="524" w:firstLineChars="200"/>
              <w:rPr>
                <w:rFonts w:hint="default" w:ascii="Times New Roman" w:hAnsi="Times New Roman" w:cs="Times New Roman"/>
                <w:spacing w:val="11"/>
                <w:kern w:val="0"/>
                <w:position w:val="0"/>
                <w:sz w:val="24"/>
                <w:u w:val="none" w:color="auto"/>
              </w:rPr>
            </w:pPr>
            <w:r>
              <w:rPr>
                <w:rFonts w:hint="default" w:ascii="Times New Roman" w:hAnsi="Times New Roman" w:cs="Times New Roman"/>
                <w:spacing w:val="11"/>
                <w:kern w:val="0"/>
                <w:position w:val="0"/>
                <w:sz w:val="24"/>
                <w:u w:val="none" w:color="auto"/>
              </w:rPr>
              <w:t>拟设排土场需要的容积约0.2</w:t>
            </w:r>
            <w:r>
              <w:rPr>
                <w:rFonts w:hint="eastAsia" w:cs="Times New Roman"/>
                <w:spacing w:val="11"/>
                <w:kern w:val="0"/>
                <w:position w:val="0"/>
                <w:sz w:val="24"/>
                <w:u w:val="none" w:color="auto"/>
                <w:lang w:val="en-US" w:eastAsia="zh-CN"/>
              </w:rPr>
              <w:t>8</w:t>
            </w:r>
            <w:r>
              <w:rPr>
                <w:rFonts w:hint="default" w:ascii="Times New Roman" w:hAnsi="Times New Roman" w:cs="Times New Roman"/>
                <w:spacing w:val="11"/>
                <w:kern w:val="0"/>
                <w:position w:val="0"/>
                <w:sz w:val="24"/>
                <w:u w:val="none" w:color="auto"/>
              </w:rPr>
              <w:t>万m</w:t>
            </w:r>
            <w:r>
              <w:rPr>
                <w:rFonts w:hint="default" w:ascii="Times New Roman" w:hAnsi="Times New Roman" w:cs="Times New Roman"/>
                <w:spacing w:val="11"/>
                <w:kern w:val="0"/>
                <w:position w:val="0"/>
                <w:sz w:val="24"/>
                <w:u w:val="none" w:color="auto"/>
                <w:vertAlign w:val="superscript"/>
              </w:rPr>
              <w:t>3</w:t>
            </w:r>
            <w:r>
              <w:rPr>
                <w:rFonts w:hint="default" w:ascii="Times New Roman" w:hAnsi="Times New Roman" w:cs="Times New Roman"/>
                <w:spacing w:val="11"/>
                <w:kern w:val="0"/>
                <w:position w:val="0"/>
                <w:sz w:val="24"/>
                <w:u w:val="none" w:color="auto"/>
              </w:rPr>
              <w:t>。拟设排土场面积约为</w:t>
            </w:r>
            <w:r>
              <w:rPr>
                <w:rFonts w:hint="eastAsia" w:cs="Times New Roman"/>
                <w:spacing w:val="11"/>
                <w:kern w:val="0"/>
                <w:position w:val="0"/>
                <w:sz w:val="24"/>
                <w:u w:val="none" w:color="auto"/>
                <w:lang w:val="en-US" w:eastAsia="zh-CN"/>
              </w:rPr>
              <w:t>7200</w:t>
            </w:r>
            <w:r>
              <w:rPr>
                <w:rFonts w:hint="default" w:ascii="Times New Roman" w:hAnsi="Times New Roman" w:cs="Times New Roman"/>
                <w:spacing w:val="11"/>
                <w:kern w:val="0"/>
                <w:position w:val="0"/>
                <w:sz w:val="24"/>
                <w:u w:val="none" w:color="auto"/>
              </w:rPr>
              <w:t>m</w:t>
            </w:r>
            <w:r>
              <w:rPr>
                <w:rFonts w:hint="default" w:ascii="Times New Roman" w:hAnsi="Times New Roman" w:cs="Times New Roman"/>
                <w:spacing w:val="11"/>
                <w:kern w:val="0"/>
                <w:position w:val="0"/>
                <w:sz w:val="24"/>
                <w:u w:val="none" w:color="auto"/>
                <w:vertAlign w:val="superscript"/>
              </w:rPr>
              <w:t>2</w:t>
            </w:r>
            <w:r>
              <w:rPr>
                <w:rFonts w:hint="default" w:ascii="Times New Roman" w:hAnsi="Times New Roman" w:cs="Times New Roman"/>
                <w:spacing w:val="11"/>
                <w:kern w:val="0"/>
                <w:position w:val="0"/>
                <w:sz w:val="24"/>
                <w:u w:val="none" w:color="auto"/>
              </w:rPr>
              <w:t>，经计算排土场堆呈阶状堆积，堆高</w:t>
            </w:r>
            <w:r>
              <w:rPr>
                <w:rFonts w:hint="eastAsia" w:cs="Times New Roman"/>
                <w:spacing w:val="11"/>
                <w:kern w:val="0"/>
                <w:position w:val="0"/>
                <w:sz w:val="24"/>
                <w:u w:val="none" w:color="auto"/>
                <w:lang w:val="en-US" w:eastAsia="zh-CN"/>
              </w:rPr>
              <w:t>8</w:t>
            </w:r>
            <w:r>
              <w:rPr>
                <w:rFonts w:hint="default" w:ascii="Times New Roman" w:hAnsi="Times New Roman" w:cs="Times New Roman"/>
                <w:spacing w:val="11"/>
                <w:kern w:val="0"/>
                <w:position w:val="0"/>
                <w:sz w:val="24"/>
                <w:u w:val="none" w:color="auto"/>
              </w:rPr>
              <w:t>m时的总容积可达</w:t>
            </w:r>
            <w:r>
              <w:rPr>
                <w:rFonts w:hint="eastAsia" w:cs="Times New Roman"/>
                <w:spacing w:val="11"/>
                <w:kern w:val="0"/>
                <w:position w:val="0"/>
                <w:sz w:val="24"/>
                <w:u w:val="none" w:color="auto"/>
                <w:lang w:val="en-US" w:eastAsia="zh-CN"/>
              </w:rPr>
              <w:t>5.76</w:t>
            </w:r>
            <w:r>
              <w:rPr>
                <w:rFonts w:hint="default" w:ascii="Times New Roman" w:hAnsi="Times New Roman" w:cs="Times New Roman"/>
                <w:spacing w:val="11"/>
                <w:kern w:val="0"/>
                <w:position w:val="0"/>
                <w:sz w:val="24"/>
                <w:u w:val="none" w:color="auto"/>
              </w:rPr>
              <w:t>万m</w:t>
            </w:r>
            <w:r>
              <w:rPr>
                <w:rFonts w:hint="default" w:ascii="Times New Roman" w:hAnsi="Times New Roman" w:cs="Times New Roman"/>
                <w:spacing w:val="11"/>
                <w:kern w:val="0"/>
                <w:position w:val="0"/>
                <w:sz w:val="24"/>
                <w:u w:val="none" w:color="auto"/>
                <w:vertAlign w:val="superscript"/>
              </w:rPr>
              <w:t>3</w:t>
            </w:r>
            <w:r>
              <w:rPr>
                <w:rFonts w:hint="default" w:ascii="Times New Roman" w:hAnsi="Times New Roman" w:cs="Times New Roman"/>
                <w:spacing w:val="11"/>
                <w:kern w:val="0"/>
                <w:position w:val="0"/>
                <w:sz w:val="24"/>
                <w:u w:val="none" w:color="auto"/>
              </w:rPr>
              <w:t>；且矿山遵循边开采边修复原则，拟设完全满足矿山剥离量填埋需求。矿区剥离土方后期主要用于进行统一绿化、复垦使用。</w:t>
            </w:r>
          </w:p>
          <w:p w14:paraId="3C514568">
            <w:pPr>
              <w:autoSpaceDE w:val="0"/>
              <w:autoSpaceDN w:val="0"/>
              <w:adjustRightInd w:val="0"/>
              <w:spacing w:line="360" w:lineRule="auto"/>
              <w:ind w:firstLine="524" w:firstLineChars="200"/>
              <w:rPr>
                <w:rFonts w:hint="default" w:ascii="Times New Roman" w:hAnsi="Times New Roman" w:cs="Times New Roman"/>
                <w:spacing w:val="11"/>
                <w:kern w:val="0"/>
                <w:position w:val="0"/>
                <w:sz w:val="24"/>
                <w:u w:val="none" w:color="auto"/>
              </w:rPr>
            </w:pPr>
            <w:r>
              <w:rPr>
                <w:rFonts w:hint="default" w:ascii="Times New Roman" w:hAnsi="Times New Roman" w:cs="Times New Roman"/>
                <w:spacing w:val="11"/>
                <w:kern w:val="0"/>
                <w:position w:val="0"/>
                <w:sz w:val="24"/>
                <w:u w:val="none" w:color="auto"/>
              </w:rPr>
              <w:t>通过以上措施可以有效的减缓水土流失。</w:t>
            </w:r>
          </w:p>
          <w:p w14:paraId="4FFDC858">
            <w:pPr>
              <w:autoSpaceDE w:val="0"/>
              <w:autoSpaceDN w:val="0"/>
              <w:adjustRightInd w:val="0"/>
              <w:spacing w:line="360" w:lineRule="auto"/>
              <w:ind w:firstLine="524" w:firstLineChars="200"/>
              <w:rPr>
                <w:rFonts w:hint="default" w:ascii="Times New Roman" w:hAnsi="Times New Roman" w:eastAsia="宋体" w:cs="Times New Roman"/>
                <w:spacing w:val="11"/>
                <w:kern w:val="0"/>
                <w:position w:val="0"/>
                <w:sz w:val="24"/>
                <w:u w:val="none" w:color="auto"/>
                <w:lang w:val="en-US" w:eastAsia="zh-CN"/>
              </w:rPr>
            </w:pPr>
            <w:r>
              <w:rPr>
                <w:rFonts w:hint="eastAsia" w:cs="Times New Roman"/>
                <w:spacing w:val="11"/>
                <w:kern w:val="0"/>
                <w:position w:val="0"/>
                <w:sz w:val="24"/>
                <w:u w:val="none" w:color="auto"/>
                <w:lang w:val="en-US" w:eastAsia="zh-CN"/>
              </w:rPr>
              <w:t>⑤</w:t>
            </w:r>
            <w:r>
              <w:rPr>
                <w:rFonts w:hint="default" w:ascii="Times New Roman" w:hAnsi="Times New Roman" w:cs="Times New Roman"/>
                <w:spacing w:val="11"/>
                <w:kern w:val="0"/>
                <w:position w:val="0"/>
                <w:sz w:val="24"/>
                <w:u w:val="none" w:color="auto"/>
                <w:lang w:val="en-US" w:eastAsia="zh-CN"/>
              </w:rPr>
              <w:t>其他水土保持要求</w:t>
            </w:r>
          </w:p>
          <w:p w14:paraId="459AF5B9">
            <w:pPr>
              <w:autoSpaceDE w:val="0"/>
              <w:autoSpaceDN w:val="0"/>
              <w:adjustRightInd w:val="0"/>
              <w:spacing w:line="360" w:lineRule="auto"/>
              <w:ind w:firstLine="524" w:firstLineChars="200"/>
              <w:rPr>
                <w:rFonts w:hint="default" w:ascii="Times New Roman" w:hAnsi="Times New Roman" w:cs="Times New Roman"/>
                <w:spacing w:val="11"/>
                <w:kern w:val="0"/>
                <w:position w:val="0"/>
                <w:sz w:val="24"/>
                <w:u w:val="none" w:color="auto"/>
                <w:lang w:val="en-US" w:eastAsia="zh-CN"/>
              </w:rPr>
            </w:pPr>
            <w:r>
              <w:rPr>
                <w:rFonts w:hint="default" w:ascii="Times New Roman" w:hAnsi="Times New Roman" w:cs="Times New Roman"/>
                <w:spacing w:val="11"/>
                <w:kern w:val="0"/>
                <w:position w:val="0"/>
                <w:sz w:val="24"/>
                <w:u w:val="none" w:color="auto"/>
                <w:lang w:val="en-US" w:eastAsia="zh-CN"/>
              </w:rPr>
              <w:t>1）合理安排施工季节，尽量避免雨季施工。不能避免时，应该做好随时增加施工防护、排水工作的准备，保证施工期间排水畅通，不出现积水浸泡工作面的现象；</w:t>
            </w:r>
          </w:p>
          <w:p w14:paraId="30A0FD97">
            <w:pPr>
              <w:autoSpaceDE w:val="0"/>
              <w:autoSpaceDN w:val="0"/>
              <w:adjustRightInd w:val="0"/>
              <w:spacing w:line="360" w:lineRule="auto"/>
              <w:ind w:firstLine="524" w:firstLineChars="200"/>
              <w:rPr>
                <w:rFonts w:hint="default" w:ascii="Times New Roman" w:hAnsi="Times New Roman" w:cs="Times New Roman"/>
                <w:spacing w:val="11"/>
                <w:kern w:val="0"/>
                <w:position w:val="0"/>
                <w:sz w:val="24"/>
                <w:u w:val="none" w:color="auto"/>
                <w:lang w:val="en-US" w:eastAsia="zh-CN"/>
              </w:rPr>
            </w:pPr>
            <w:r>
              <w:rPr>
                <w:rFonts w:hint="default" w:ascii="Times New Roman" w:hAnsi="Times New Roman" w:cs="Times New Roman"/>
                <w:spacing w:val="11"/>
                <w:kern w:val="0"/>
                <w:position w:val="0"/>
                <w:sz w:val="24"/>
                <w:u w:val="none" w:color="auto"/>
                <w:lang w:val="en-US" w:eastAsia="zh-CN"/>
              </w:rPr>
              <w:t>2）土石方工程应及时防护，随挖、随运、随填、随夯，不留松土，减少裸露面积暴露时间；</w:t>
            </w:r>
          </w:p>
          <w:p w14:paraId="60D565C1">
            <w:pPr>
              <w:autoSpaceDE w:val="0"/>
              <w:autoSpaceDN w:val="0"/>
              <w:adjustRightInd w:val="0"/>
              <w:spacing w:line="360" w:lineRule="auto"/>
              <w:ind w:firstLine="524" w:firstLineChars="200"/>
              <w:rPr>
                <w:rFonts w:hint="default" w:ascii="Times New Roman" w:hAnsi="Times New Roman" w:cs="Times New Roman"/>
                <w:spacing w:val="11"/>
                <w:kern w:val="0"/>
                <w:position w:val="0"/>
                <w:sz w:val="24"/>
                <w:u w:val="none" w:color="auto"/>
                <w:lang w:val="en-US" w:eastAsia="zh-CN"/>
              </w:rPr>
            </w:pPr>
            <w:r>
              <w:rPr>
                <w:rFonts w:hint="default" w:ascii="Times New Roman" w:hAnsi="Times New Roman" w:cs="Times New Roman"/>
                <w:spacing w:val="11"/>
                <w:kern w:val="0"/>
                <w:position w:val="0"/>
                <w:sz w:val="24"/>
                <w:u w:val="none" w:color="auto"/>
                <w:lang w:val="en-US" w:eastAsia="zh-CN"/>
              </w:rPr>
              <w:t>3）合理安排施工进度，衔接好各施工程序，需按照“三同时”原则，及时配套完成水土保持措施，做到工序紧凑、有序，以减少施工期水土流失量；</w:t>
            </w:r>
          </w:p>
          <w:p w14:paraId="29E455F0">
            <w:pPr>
              <w:autoSpaceDE w:val="0"/>
              <w:autoSpaceDN w:val="0"/>
              <w:adjustRightInd w:val="0"/>
              <w:spacing w:line="360" w:lineRule="auto"/>
              <w:ind w:firstLine="524" w:firstLineChars="200"/>
              <w:rPr>
                <w:rFonts w:hint="default" w:ascii="Times New Roman" w:hAnsi="Times New Roman" w:cs="Times New Roman"/>
                <w:spacing w:val="11"/>
                <w:kern w:val="0"/>
                <w:position w:val="0"/>
                <w:sz w:val="24"/>
                <w:u w:val="none" w:color="auto"/>
                <w:lang w:val="en-US" w:eastAsia="zh-CN"/>
              </w:rPr>
            </w:pPr>
            <w:r>
              <w:rPr>
                <w:rFonts w:hint="default" w:ascii="Times New Roman" w:hAnsi="Times New Roman" w:cs="Times New Roman"/>
                <w:spacing w:val="11"/>
                <w:kern w:val="0"/>
                <w:position w:val="0"/>
                <w:sz w:val="24"/>
                <w:u w:val="none" w:color="auto"/>
                <w:lang w:val="en-US" w:eastAsia="zh-CN"/>
              </w:rPr>
              <w:t>4）优化主体工程土石方平衡，避免乱挖、乱弃土的现象发生，尽量减少人为水土流失的发生；</w:t>
            </w:r>
          </w:p>
          <w:p w14:paraId="7AA256FB">
            <w:pPr>
              <w:autoSpaceDE w:val="0"/>
              <w:autoSpaceDN w:val="0"/>
              <w:adjustRightInd w:val="0"/>
              <w:spacing w:line="360" w:lineRule="auto"/>
              <w:ind w:firstLine="524" w:firstLineChars="200"/>
              <w:rPr>
                <w:rFonts w:hint="default" w:ascii="Times New Roman" w:hAnsi="Times New Roman" w:cs="Times New Roman"/>
                <w:spacing w:val="11"/>
                <w:kern w:val="0"/>
                <w:position w:val="0"/>
                <w:sz w:val="24"/>
                <w:u w:val="none" w:color="auto"/>
                <w:lang w:val="en-US" w:eastAsia="zh-CN"/>
              </w:rPr>
            </w:pPr>
            <w:r>
              <w:rPr>
                <w:rFonts w:hint="default" w:ascii="Times New Roman" w:hAnsi="Times New Roman" w:cs="Times New Roman"/>
                <w:spacing w:val="11"/>
                <w:kern w:val="0"/>
                <w:position w:val="0"/>
                <w:sz w:val="24"/>
                <w:u w:val="none" w:color="auto"/>
                <w:lang w:val="en-US" w:eastAsia="zh-CN"/>
              </w:rPr>
              <w:t>5）土石方、弃方、弃土的运输车辆加盖板，以防洒落；</w:t>
            </w:r>
          </w:p>
          <w:p w14:paraId="139CCAFE">
            <w:pPr>
              <w:autoSpaceDE w:val="0"/>
              <w:autoSpaceDN w:val="0"/>
              <w:adjustRightInd w:val="0"/>
              <w:spacing w:line="360" w:lineRule="auto"/>
              <w:ind w:firstLine="524" w:firstLineChars="200"/>
              <w:rPr>
                <w:rFonts w:hint="default" w:ascii="Times New Roman" w:hAnsi="Times New Roman" w:cs="Times New Roman"/>
                <w:spacing w:val="11"/>
                <w:kern w:val="0"/>
                <w:position w:val="0"/>
                <w:sz w:val="24"/>
                <w:u w:val="none" w:color="auto"/>
                <w:lang w:val="en-US" w:eastAsia="zh-CN"/>
              </w:rPr>
            </w:pPr>
            <w:r>
              <w:rPr>
                <w:rFonts w:hint="default" w:ascii="Times New Roman" w:hAnsi="Times New Roman" w:cs="Times New Roman"/>
                <w:spacing w:val="11"/>
                <w:kern w:val="0"/>
                <w:position w:val="0"/>
                <w:sz w:val="24"/>
                <w:u w:val="none" w:color="auto"/>
                <w:lang w:val="en-US" w:eastAsia="zh-CN"/>
              </w:rPr>
              <w:t>6）剥离的表土在表土堆置区集中堆放，待施工完毕后回填在绿化带；</w:t>
            </w:r>
          </w:p>
          <w:p w14:paraId="7D061480">
            <w:pPr>
              <w:autoSpaceDE w:val="0"/>
              <w:autoSpaceDN w:val="0"/>
              <w:adjustRightInd w:val="0"/>
              <w:spacing w:line="360" w:lineRule="auto"/>
              <w:ind w:firstLine="524" w:firstLineChars="200"/>
              <w:rPr>
                <w:rFonts w:hint="default" w:ascii="Times New Roman" w:hAnsi="Times New Roman" w:cs="Times New Roman"/>
                <w:spacing w:val="11"/>
                <w:kern w:val="0"/>
                <w:position w:val="0"/>
                <w:sz w:val="24"/>
                <w:u w:val="none" w:color="auto"/>
                <w:lang w:val="en-US" w:eastAsia="zh-CN"/>
              </w:rPr>
            </w:pPr>
            <w:r>
              <w:rPr>
                <w:rFonts w:hint="default" w:ascii="Times New Roman" w:hAnsi="Times New Roman" w:cs="Times New Roman"/>
                <w:spacing w:val="11"/>
                <w:kern w:val="0"/>
                <w:position w:val="0"/>
                <w:sz w:val="24"/>
                <w:u w:val="none" w:color="auto"/>
                <w:lang w:val="en-US" w:eastAsia="zh-CN"/>
              </w:rPr>
              <w:t>7）临时排水沟需加膜铺垫，防止雨水对土壤的冲刷。</w:t>
            </w:r>
          </w:p>
          <w:p w14:paraId="08BBDBA5">
            <w:pPr>
              <w:autoSpaceDE w:val="0"/>
              <w:autoSpaceDN w:val="0"/>
              <w:adjustRightInd w:val="0"/>
              <w:spacing w:line="360" w:lineRule="auto"/>
              <w:ind w:firstLine="524" w:firstLineChars="200"/>
              <w:rPr>
                <w:rFonts w:hint="default" w:ascii="Times New Roman" w:hAnsi="Times New Roman" w:cs="Times New Roman"/>
                <w:spacing w:val="11"/>
                <w:kern w:val="0"/>
                <w:position w:val="0"/>
                <w:sz w:val="24"/>
                <w:u w:val="none" w:color="auto"/>
              </w:rPr>
            </w:pPr>
            <w:r>
              <w:rPr>
                <w:rFonts w:hint="default" w:ascii="Times New Roman" w:hAnsi="Times New Roman" w:cs="Times New Roman"/>
                <w:spacing w:val="11"/>
                <w:kern w:val="0"/>
                <w:position w:val="0"/>
                <w:sz w:val="24"/>
                <w:u w:val="none" w:color="auto"/>
                <w:lang w:val="en-US" w:eastAsia="zh-CN"/>
              </w:rPr>
              <w:t>8）若项目因不可抗力停工，各开采作业面和排土场等处，需布设临时水土保持措施。依据水土保持的需要，以有效防护为目的，各种临时防护措施灵活配置使用，除了对开挖的土方及时清运、集中堆放、采取平整、碾压、削坡开级等措施，尽量减轻水土流失外，采用帆布或塑料薄膜覆盖，防止水土流失。</w:t>
            </w:r>
          </w:p>
          <w:p w14:paraId="40FF8DB9">
            <w:pPr>
              <w:autoSpaceDE w:val="0"/>
              <w:autoSpaceDN w:val="0"/>
              <w:adjustRightInd w:val="0"/>
              <w:spacing w:line="360" w:lineRule="auto"/>
              <w:ind w:firstLine="524" w:firstLineChars="200"/>
              <w:rPr>
                <w:rFonts w:hint="default" w:ascii="Times New Roman" w:hAnsi="Times New Roman" w:cs="Times New Roman"/>
                <w:spacing w:val="11"/>
                <w:kern w:val="0"/>
                <w:position w:val="0"/>
                <w:sz w:val="24"/>
                <w:u w:val="none" w:color="auto"/>
              </w:rPr>
            </w:pPr>
            <w:r>
              <w:rPr>
                <w:rFonts w:hint="default" w:ascii="Times New Roman" w:hAnsi="Times New Roman" w:cs="Times New Roman"/>
                <w:spacing w:val="11"/>
                <w:kern w:val="0"/>
                <w:position w:val="0"/>
                <w:sz w:val="24"/>
                <w:u w:val="none" w:color="auto"/>
              </w:rPr>
              <w:t>通过以上措施可以有效的减缓水土流失。</w:t>
            </w:r>
          </w:p>
          <w:p w14:paraId="00834596">
            <w:pPr>
              <w:adjustRightInd w:val="0"/>
              <w:snapToGrid w:val="0"/>
              <w:spacing w:line="360" w:lineRule="auto"/>
              <w:ind w:firstLine="526" w:firstLineChars="200"/>
              <w:rPr>
                <w:rFonts w:hint="default" w:ascii="Times New Roman" w:hAnsi="Times New Roman" w:cs="Times New Roman"/>
                <w:b/>
                <w:bCs/>
                <w:spacing w:val="11"/>
                <w:position w:val="0"/>
                <w:sz w:val="24"/>
                <w:u w:val="none" w:color="auto"/>
              </w:rPr>
            </w:pPr>
            <w:r>
              <w:rPr>
                <w:rFonts w:hint="default" w:ascii="Times New Roman" w:hAnsi="Times New Roman" w:cs="Times New Roman"/>
                <w:b/>
                <w:bCs/>
                <w:spacing w:val="11"/>
                <w:position w:val="0"/>
                <w:sz w:val="24"/>
                <w:u w:val="none" w:color="auto"/>
              </w:rPr>
              <w:t>3、矿山大气污染防治</w:t>
            </w:r>
          </w:p>
          <w:p w14:paraId="531062D1">
            <w:pPr>
              <w:adjustRightInd w:val="0"/>
              <w:snapToGrid w:val="0"/>
              <w:spacing w:line="360" w:lineRule="auto"/>
              <w:ind w:firstLine="524" w:firstLineChars="20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采矿清理地面植被时，禁止燃烧植被；运输剥离土、灰岩矿、废石的道路洒水降尘，车辆进出矿区对车轮进行冲洗，运输车辆车轮严禁带泥出场，有效控制车辆运输扬尘；排土场扬尘采用洒水降尘，灰岩矿开采、爆破采用洒水降尘，采区周边设防尘帷幕。矿区配备洒水车</w:t>
            </w:r>
            <w:r>
              <w:rPr>
                <w:rFonts w:hint="eastAsia" w:cs="Times New Roman"/>
                <w:spacing w:val="11"/>
                <w:position w:val="0"/>
                <w:sz w:val="24"/>
                <w:u w:val="none" w:color="auto"/>
                <w:lang w:eastAsia="zh-CN"/>
              </w:rPr>
              <w:t>，</w:t>
            </w:r>
            <w:r>
              <w:rPr>
                <w:rFonts w:hint="eastAsia" w:cs="Times New Roman"/>
                <w:spacing w:val="11"/>
                <w:position w:val="0"/>
                <w:sz w:val="24"/>
                <w:u w:val="none" w:color="auto"/>
                <w:lang w:val="en-US" w:eastAsia="zh-CN"/>
              </w:rPr>
              <w:t>在道路两旁以及厂内种植绿植及树木</w:t>
            </w:r>
            <w:r>
              <w:rPr>
                <w:rFonts w:hint="default" w:ascii="Times New Roman" w:hAnsi="Times New Roman" w:cs="Times New Roman"/>
                <w:spacing w:val="11"/>
                <w:position w:val="0"/>
                <w:sz w:val="24"/>
                <w:u w:val="none" w:color="auto"/>
              </w:rPr>
              <w:t>，采取措施后能有效控制矿区粉尘逸散，确保厂界无组织粉尘达标排放。</w:t>
            </w:r>
          </w:p>
          <w:p w14:paraId="38AA8528">
            <w:pPr>
              <w:adjustRightInd w:val="0"/>
              <w:snapToGrid w:val="0"/>
              <w:spacing w:line="360" w:lineRule="auto"/>
              <w:ind w:firstLine="526" w:firstLineChars="200"/>
              <w:rPr>
                <w:rFonts w:hint="default" w:ascii="Times New Roman" w:hAnsi="Times New Roman" w:cs="Times New Roman"/>
                <w:b/>
                <w:bCs/>
                <w:spacing w:val="11"/>
                <w:position w:val="0"/>
                <w:sz w:val="24"/>
                <w:u w:val="none" w:color="auto"/>
              </w:rPr>
            </w:pPr>
            <w:r>
              <w:rPr>
                <w:rFonts w:hint="default" w:ascii="Times New Roman" w:hAnsi="Times New Roman" w:cs="Times New Roman"/>
                <w:b/>
                <w:bCs/>
                <w:spacing w:val="11"/>
                <w:position w:val="0"/>
                <w:sz w:val="24"/>
                <w:u w:val="none" w:color="auto"/>
              </w:rPr>
              <w:t>4、噪声污染防治</w:t>
            </w:r>
          </w:p>
          <w:p w14:paraId="468B1987">
            <w:pPr>
              <w:adjustRightInd w:val="0"/>
              <w:snapToGrid w:val="0"/>
              <w:spacing w:line="360" w:lineRule="auto"/>
              <w:ind w:firstLine="524" w:firstLineChars="20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lang w:eastAsia="zh-CN"/>
              </w:rPr>
              <w:t>（</w:t>
            </w:r>
            <w:r>
              <w:rPr>
                <w:rFonts w:hint="default" w:ascii="Times New Roman" w:hAnsi="Times New Roman" w:cs="Times New Roman"/>
                <w:spacing w:val="11"/>
                <w:position w:val="0"/>
                <w:sz w:val="24"/>
                <w:u w:val="none" w:color="auto"/>
                <w:lang w:val="en-US" w:eastAsia="zh-CN"/>
              </w:rPr>
              <w:t>1）</w:t>
            </w:r>
            <w:r>
              <w:rPr>
                <w:rFonts w:hint="default" w:ascii="Times New Roman" w:hAnsi="Times New Roman" w:cs="Times New Roman"/>
                <w:spacing w:val="11"/>
                <w:position w:val="0"/>
                <w:sz w:val="24"/>
                <w:u w:val="none" w:color="auto"/>
              </w:rPr>
              <w:t>爆破噪声防治措施</w:t>
            </w:r>
          </w:p>
          <w:p w14:paraId="0E2C689B">
            <w:pPr>
              <w:adjustRightInd w:val="0"/>
              <w:snapToGrid w:val="0"/>
              <w:spacing w:line="360" w:lineRule="auto"/>
              <w:ind w:firstLine="524" w:firstLineChars="20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①采用延期爆破。不仅能够降低爆破的地震效应，还能降低爆破噪声。将总药量分成几段小的药量，减小了爆破噪声。实际应用时，应注意方向效应，以免产生噪声的叠加。实践证明，只要布局合理，采用秒或毫秒延期爆破，降低噪声强度1/3~1/2。</w:t>
            </w:r>
          </w:p>
          <w:p w14:paraId="5ECB3FFA">
            <w:pPr>
              <w:adjustRightInd w:val="0"/>
              <w:snapToGrid w:val="0"/>
              <w:spacing w:line="360" w:lineRule="auto"/>
              <w:ind w:firstLine="524" w:firstLineChars="20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②安排合理的爆破时间，避免在早晨或下午较晚时进行爆破。</w:t>
            </w:r>
          </w:p>
          <w:p w14:paraId="2C0A21E9">
            <w:pPr>
              <w:adjustRightInd w:val="0"/>
              <w:snapToGrid w:val="0"/>
              <w:spacing w:line="360" w:lineRule="auto"/>
              <w:ind w:firstLine="524" w:firstLineChars="20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③严密堵塞炮孔和加强覆盖，可大大减弱爆破噪声。</w:t>
            </w:r>
          </w:p>
          <w:p w14:paraId="5C3E7CAD">
            <w:pPr>
              <w:adjustRightInd w:val="0"/>
              <w:snapToGrid w:val="0"/>
              <w:spacing w:line="360" w:lineRule="auto"/>
              <w:ind w:firstLine="524" w:firstLineChars="20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采取措施后爆破噪声得到有效的控制，防治措施可行。</w:t>
            </w:r>
          </w:p>
          <w:p w14:paraId="061DF115">
            <w:pPr>
              <w:adjustRightInd w:val="0"/>
              <w:snapToGrid w:val="0"/>
              <w:spacing w:line="360" w:lineRule="auto"/>
              <w:ind w:firstLine="524" w:firstLineChars="20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lang w:eastAsia="zh-CN"/>
              </w:rPr>
              <w:t>（</w:t>
            </w:r>
            <w:r>
              <w:rPr>
                <w:rFonts w:hint="default" w:ascii="Times New Roman" w:hAnsi="Times New Roman" w:cs="Times New Roman"/>
                <w:spacing w:val="11"/>
                <w:position w:val="0"/>
                <w:sz w:val="24"/>
                <w:u w:val="none" w:color="auto"/>
                <w:lang w:val="en-US" w:eastAsia="zh-CN"/>
              </w:rPr>
              <w:t>2）</w:t>
            </w:r>
            <w:r>
              <w:rPr>
                <w:rFonts w:hint="default" w:ascii="Times New Roman" w:hAnsi="Times New Roman" w:cs="Times New Roman"/>
                <w:spacing w:val="11"/>
                <w:position w:val="0"/>
                <w:sz w:val="24"/>
                <w:u w:val="none" w:color="auto"/>
              </w:rPr>
              <w:t>设备噪声防治措施</w:t>
            </w:r>
          </w:p>
          <w:p w14:paraId="0C8B16F5">
            <w:pPr>
              <w:adjustRightInd w:val="0"/>
              <w:snapToGrid w:val="0"/>
              <w:spacing w:line="360" w:lineRule="auto"/>
              <w:ind w:firstLine="524" w:firstLineChars="20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露天采场高噪设备产生的噪声主要对矿山工作人员产生影响，减噪措施如下：</w:t>
            </w:r>
          </w:p>
          <w:p w14:paraId="73DC7458">
            <w:pPr>
              <w:adjustRightInd w:val="0"/>
              <w:snapToGrid w:val="0"/>
              <w:spacing w:line="360" w:lineRule="auto"/>
              <w:ind w:firstLine="524" w:firstLineChars="20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①严格控制生产作业时间，尽量避免在人们休息时间进行采矿作业，夜间不得进行生产。</w:t>
            </w:r>
          </w:p>
          <w:p w14:paraId="31EEB4A2">
            <w:pPr>
              <w:adjustRightInd w:val="0"/>
              <w:snapToGrid w:val="0"/>
              <w:spacing w:line="360" w:lineRule="auto"/>
              <w:ind w:firstLine="524" w:firstLineChars="20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②选用功能好、噪音低的生产设备，加强生产机械设备的日常维护，钻孔机、挖掘机等生产设备要注意润滑，并对老化和性能降低的旧设备进行及时更换，以此降低磨擦，减小噪声强度。</w:t>
            </w:r>
          </w:p>
          <w:p w14:paraId="36C45BBA">
            <w:pPr>
              <w:adjustRightInd w:val="0"/>
              <w:snapToGrid w:val="0"/>
              <w:spacing w:line="360" w:lineRule="auto"/>
              <w:ind w:firstLine="524" w:firstLineChars="20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③噪声对岗位操作工人影响较大，应给施工人员佩戴耳塞，以减少噪声对施工人员的影响。</w:t>
            </w:r>
          </w:p>
          <w:p w14:paraId="5370C1C0">
            <w:pPr>
              <w:adjustRightInd w:val="0"/>
              <w:snapToGrid w:val="0"/>
              <w:spacing w:line="360" w:lineRule="auto"/>
              <w:ind w:firstLine="524" w:firstLineChars="20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④对高噪声设备采用消声、隔声、减震等措施，各种噪声设备的噪声值可以得到较大幅度的削减。</w:t>
            </w:r>
          </w:p>
          <w:p w14:paraId="6EDDE61B">
            <w:pPr>
              <w:adjustRightInd w:val="0"/>
              <w:snapToGrid w:val="0"/>
              <w:spacing w:line="360" w:lineRule="auto"/>
              <w:ind w:firstLine="524" w:firstLineChars="20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在采区上述的防护措施后，各生产设备噪声对周边环境的影响均在环境可承受的范围之内，防噪措施可行。</w:t>
            </w:r>
          </w:p>
          <w:p w14:paraId="134B52F5">
            <w:pPr>
              <w:adjustRightInd w:val="0"/>
              <w:snapToGrid w:val="0"/>
              <w:spacing w:line="360" w:lineRule="auto"/>
              <w:ind w:firstLine="524" w:firstLineChars="20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lang w:eastAsia="zh-CN"/>
              </w:rPr>
              <w:t>（</w:t>
            </w:r>
            <w:r>
              <w:rPr>
                <w:rFonts w:hint="default" w:ascii="Times New Roman" w:hAnsi="Times New Roman" w:cs="Times New Roman"/>
                <w:spacing w:val="11"/>
                <w:position w:val="0"/>
                <w:sz w:val="24"/>
                <w:u w:val="none" w:color="auto"/>
                <w:lang w:val="en-US" w:eastAsia="zh-CN"/>
              </w:rPr>
              <w:t>3）</w:t>
            </w:r>
            <w:r>
              <w:rPr>
                <w:rFonts w:hint="default" w:ascii="Times New Roman" w:hAnsi="Times New Roman" w:cs="Times New Roman"/>
                <w:spacing w:val="11"/>
                <w:position w:val="0"/>
                <w:sz w:val="24"/>
                <w:u w:val="none" w:color="auto"/>
              </w:rPr>
              <w:t>交通噪声防治措施</w:t>
            </w:r>
          </w:p>
          <w:p w14:paraId="2612291E">
            <w:pPr>
              <w:adjustRightInd w:val="0"/>
              <w:snapToGrid w:val="0"/>
              <w:spacing w:line="360" w:lineRule="auto"/>
              <w:ind w:firstLine="524" w:firstLineChars="20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除了加强对运输汽车的日常维修保养工作，应严禁夜间进行汽车运输，禁止超载、超速、超负荷运行，以减少交通噪声对项目周围敏感点的影响。防治措施可行。</w:t>
            </w:r>
          </w:p>
          <w:p w14:paraId="4BBE3B31">
            <w:pPr>
              <w:adjustRightInd w:val="0"/>
              <w:snapToGrid w:val="0"/>
              <w:spacing w:line="360" w:lineRule="auto"/>
              <w:ind w:firstLine="526" w:firstLineChars="200"/>
              <w:rPr>
                <w:rFonts w:hint="default" w:ascii="Times New Roman" w:hAnsi="Times New Roman" w:cs="Times New Roman"/>
                <w:b/>
                <w:bCs/>
                <w:spacing w:val="11"/>
                <w:position w:val="0"/>
                <w:sz w:val="24"/>
                <w:u w:val="none" w:color="auto"/>
              </w:rPr>
            </w:pPr>
            <w:r>
              <w:rPr>
                <w:rFonts w:hint="default" w:ascii="Times New Roman" w:hAnsi="Times New Roman" w:cs="Times New Roman"/>
                <w:b/>
                <w:bCs/>
                <w:spacing w:val="11"/>
                <w:position w:val="0"/>
                <w:sz w:val="24"/>
                <w:u w:val="none" w:color="auto"/>
              </w:rPr>
              <w:t>5、矿山废水污染防治</w:t>
            </w:r>
          </w:p>
          <w:p w14:paraId="0008776C">
            <w:pPr>
              <w:adjustRightInd w:val="0"/>
              <w:snapToGrid w:val="0"/>
              <w:spacing w:line="360" w:lineRule="auto"/>
              <w:ind w:firstLine="524" w:firstLineChars="20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矿山废水主要为车辆冲洗、初期雨水</w:t>
            </w:r>
            <w:r>
              <w:rPr>
                <w:rFonts w:hint="eastAsia" w:cs="Times New Roman"/>
                <w:spacing w:val="11"/>
                <w:position w:val="0"/>
                <w:sz w:val="24"/>
                <w:u w:val="none" w:color="auto"/>
                <w:lang w:eastAsia="zh-CN"/>
              </w:rPr>
              <w:t>、</w:t>
            </w:r>
            <w:r>
              <w:rPr>
                <w:rFonts w:hint="eastAsia" w:cs="Times New Roman"/>
                <w:spacing w:val="11"/>
                <w:position w:val="0"/>
                <w:sz w:val="24"/>
                <w:u w:val="none" w:color="auto"/>
                <w:lang w:val="en-US" w:eastAsia="zh-CN"/>
              </w:rPr>
              <w:t>洗砂废水</w:t>
            </w:r>
            <w:r>
              <w:rPr>
                <w:rFonts w:hint="default" w:ascii="Times New Roman" w:hAnsi="Times New Roman" w:cs="Times New Roman"/>
                <w:spacing w:val="11"/>
                <w:position w:val="0"/>
                <w:sz w:val="24"/>
                <w:u w:val="none" w:color="auto"/>
              </w:rPr>
              <w:t>、生活污水。车辆冲洗废水沉淀处理后循环使用，不外排；初期雨水通过</w:t>
            </w:r>
            <w:r>
              <w:rPr>
                <w:rFonts w:hint="eastAsia" w:cs="Times New Roman"/>
                <w:spacing w:val="11"/>
                <w:position w:val="0"/>
                <w:sz w:val="24"/>
                <w:u w:val="none" w:color="auto"/>
                <w:lang w:val="en-US" w:eastAsia="zh-CN"/>
              </w:rPr>
              <w:t>项目区内</w:t>
            </w:r>
            <w:r>
              <w:rPr>
                <w:rFonts w:hint="default" w:ascii="Times New Roman" w:hAnsi="Times New Roman" w:cs="Times New Roman"/>
                <w:spacing w:val="11"/>
                <w:position w:val="0"/>
                <w:sz w:val="24"/>
                <w:u w:val="none" w:color="auto"/>
              </w:rPr>
              <w:t>截流沟导入沉淀池（根据地势高差合理布设）</w:t>
            </w:r>
            <w:r>
              <w:rPr>
                <w:rFonts w:hint="eastAsia" w:cs="Times New Roman"/>
                <w:spacing w:val="11"/>
                <w:position w:val="0"/>
                <w:sz w:val="24"/>
                <w:u w:val="none" w:color="auto"/>
                <w:lang w:eastAsia="zh-CN"/>
              </w:rPr>
              <w:t>；</w:t>
            </w:r>
            <w:r>
              <w:rPr>
                <w:rFonts w:hint="eastAsia" w:cs="Times New Roman"/>
                <w:spacing w:val="11"/>
                <w:position w:val="0"/>
                <w:sz w:val="24"/>
                <w:u w:val="none" w:color="auto"/>
                <w:lang w:val="en-US" w:eastAsia="zh-CN"/>
              </w:rPr>
              <w:t>洗砂废水经过泥水分离脱水系统处理后进入沉淀池，回用于生产，不外排；</w:t>
            </w:r>
            <w:r>
              <w:rPr>
                <w:rFonts w:hint="default" w:ascii="Times New Roman" w:hAnsi="Times New Roman" w:cs="Times New Roman"/>
                <w:spacing w:val="11"/>
                <w:position w:val="0"/>
                <w:sz w:val="24"/>
                <w:u w:val="none" w:color="auto"/>
              </w:rPr>
              <w:t>生活污水经化粪池处理后</w:t>
            </w:r>
            <w:r>
              <w:rPr>
                <w:rFonts w:hint="eastAsia" w:cs="Times New Roman"/>
                <w:spacing w:val="11"/>
                <w:position w:val="0"/>
                <w:sz w:val="24"/>
                <w:u w:val="none" w:color="auto"/>
                <w:lang w:val="en-US" w:eastAsia="zh-CN"/>
              </w:rPr>
              <w:t>用于厂内绿化用水</w:t>
            </w:r>
            <w:r>
              <w:rPr>
                <w:rFonts w:hint="default" w:ascii="Times New Roman" w:hAnsi="Times New Roman" w:cs="Times New Roman"/>
                <w:spacing w:val="11"/>
                <w:position w:val="0"/>
                <w:sz w:val="24"/>
                <w:u w:val="none" w:color="auto"/>
              </w:rPr>
              <w:t>。</w:t>
            </w:r>
          </w:p>
          <w:p w14:paraId="22265AE8">
            <w:pPr>
              <w:adjustRightInd w:val="0"/>
              <w:snapToGrid w:val="0"/>
              <w:spacing w:line="360" w:lineRule="auto"/>
              <w:ind w:firstLine="526" w:firstLineChars="200"/>
              <w:rPr>
                <w:rFonts w:hint="default" w:ascii="Times New Roman" w:hAnsi="Times New Roman" w:eastAsia="宋体" w:cs="Times New Roman"/>
                <w:b/>
                <w:bCs/>
                <w:spacing w:val="11"/>
                <w:position w:val="0"/>
                <w:sz w:val="24"/>
                <w:u w:val="single" w:color="auto"/>
              </w:rPr>
            </w:pPr>
            <w:r>
              <w:rPr>
                <w:rFonts w:hint="default" w:ascii="Times New Roman" w:hAnsi="Times New Roman" w:eastAsia="宋体" w:cs="Times New Roman"/>
                <w:b/>
                <w:bCs/>
                <w:spacing w:val="11"/>
                <w:position w:val="0"/>
                <w:sz w:val="24"/>
                <w:u w:val="single" w:color="auto"/>
              </w:rPr>
              <w:t>6、生态修复方案及要求</w:t>
            </w:r>
          </w:p>
          <w:p w14:paraId="5DAF9D49">
            <w:pPr>
              <w:adjustRightInd w:val="0"/>
              <w:snapToGrid w:val="0"/>
              <w:spacing w:line="360" w:lineRule="auto"/>
              <w:ind w:firstLine="524" w:firstLineChars="200"/>
              <w:rPr>
                <w:rFonts w:hint="default" w:ascii="Times New Roman" w:hAnsi="Times New Roman" w:cs="Times New Roman"/>
                <w:spacing w:val="11"/>
                <w:position w:val="0"/>
                <w:sz w:val="24"/>
                <w:u w:val="single" w:color="auto"/>
                <w:lang w:val="en-US" w:eastAsia="zh-CN"/>
              </w:rPr>
            </w:pPr>
            <w:r>
              <w:rPr>
                <w:rFonts w:hint="eastAsia" w:cs="Times New Roman"/>
                <w:spacing w:val="11"/>
                <w:position w:val="0"/>
                <w:sz w:val="24"/>
                <w:u w:val="single" w:color="auto"/>
                <w:lang w:val="en-US" w:eastAsia="zh-CN"/>
              </w:rPr>
              <w:t>根据建设单位提供的《湖南省新田县文锋岭矿区建筑石料用灰岩矿矿山生态保护修复方案》中相关内容，文峰岭矿区生态修复内容为：</w:t>
            </w:r>
          </w:p>
          <w:p w14:paraId="3CDC91DA">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lang w:eastAsia="zh-CN"/>
              </w:rPr>
              <w:t>（</w:t>
            </w:r>
            <w:r>
              <w:rPr>
                <w:rFonts w:hint="default" w:ascii="Times New Roman" w:hAnsi="Times New Roman" w:cs="Times New Roman"/>
                <w:spacing w:val="11"/>
                <w:position w:val="0"/>
                <w:sz w:val="24"/>
                <w:u w:val="single" w:color="auto"/>
                <w:lang w:val="en-US" w:eastAsia="zh-CN"/>
              </w:rPr>
              <w:t>1）</w:t>
            </w:r>
            <w:r>
              <w:rPr>
                <w:rFonts w:hint="default" w:ascii="Times New Roman" w:hAnsi="Times New Roman" w:cs="Times New Roman"/>
                <w:spacing w:val="11"/>
                <w:position w:val="0"/>
                <w:sz w:val="24"/>
                <w:u w:val="single" w:color="auto"/>
              </w:rPr>
              <w:t>修复目标</w:t>
            </w:r>
          </w:p>
          <w:p w14:paraId="18AEF822">
            <w:pPr>
              <w:spacing w:line="360" w:lineRule="auto"/>
              <w:ind w:firstLine="48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①促进矿山企业按《矿山生态保护修复方案》开展生态环境保护与复垦工作，消除地质灾害安全隐患，使矿山地质坏境得到保护，矿区生态环境得以改善。</w:t>
            </w:r>
          </w:p>
          <w:p w14:paraId="6CAF1DAC">
            <w:pPr>
              <w:spacing w:line="360" w:lineRule="auto"/>
              <w:ind w:firstLine="48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②定期监测，矿山废水做到达标排放。</w:t>
            </w:r>
          </w:p>
          <w:p w14:paraId="13D024B0">
            <w:pPr>
              <w:spacing w:line="360" w:lineRule="auto"/>
              <w:ind w:firstLine="48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③灾害治理率达100</w:t>
            </w:r>
            <w:r>
              <w:rPr>
                <w:rFonts w:hint="eastAsia" w:cs="Times New Roman"/>
                <w:spacing w:val="11"/>
                <w:position w:val="0"/>
                <w:sz w:val="24"/>
                <w:u w:val="single" w:color="auto"/>
                <w:lang w:val="en-US" w:eastAsia="zh-CN"/>
              </w:rPr>
              <w:t>%</w:t>
            </w:r>
            <w:r>
              <w:rPr>
                <w:rFonts w:hint="default" w:ascii="Times New Roman" w:hAnsi="Times New Roman" w:cs="Times New Roman"/>
                <w:spacing w:val="11"/>
                <w:position w:val="0"/>
                <w:sz w:val="24"/>
                <w:u w:val="single" w:color="auto"/>
              </w:rPr>
              <w:t>；对矿区可能存在的灾害隐患点定期监测、巡查及时消除安全隐患，对发生的灾害及时治理到位。</w:t>
            </w:r>
          </w:p>
          <w:p w14:paraId="3820F17D">
            <w:pPr>
              <w:spacing w:line="360" w:lineRule="auto"/>
              <w:ind w:firstLine="48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④土地复垦率100</w:t>
            </w:r>
            <w:r>
              <w:rPr>
                <w:rFonts w:hint="eastAsia" w:cs="Times New Roman"/>
                <w:spacing w:val="11"/>
                <w:position w:val="0"/>
                <w:sz w:val="24"/>
                <w:u w:val="single" w:color="auto"/>
                <w:lang w:val="en-US" w:eastAsia="zh-CN"/>
              </w:rPr>
              <w:t>%</w:t>
            </w:r>
            <w:r>
              <w:rPr>
                <w:rFonts w:hint="default" w:ascii="Times New Roman" w:hAnsi="Times New Roman" w:cs="Times New Roman"/>
                <w:spacing w:val="11"/>
                <w:position w:val="0"/>
                <w:sz w:val="24"/>
                <w:u w:val="single" w:color="auto"/>
              </w:rPr>
              <w:t>；矿山闭坑后对所有占用、破坏的土地及时复垦。</w:t>
            </w:r>
          </w:p>
          <w:p w14:paraId="26992433">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⑤矿区生态环境保护方面能达标绿色矿山建设要求，能保持区域整体生态系统功能得到保护和修复。</w:t>
            </w:r>
          </w:p>
          <w:p w14:paraId="79E4A183">
            <w:pPr>
              <w:pStyle w:val="6"/>
              <w:tabs>
                <w:tab w:val="left" w:pos="720"/>
              </w:tabs>
              <w:adjustRightInd w:val="0"/>
              <w:snapToGrid w:val="0"/>
              <w:spacing w:before="0" w:after="0" w:line="360" w:lineRule="auto"/>
              <w:ind w:left="760" w:leftChars="185" w:hanging="372" w:hangingChars="142"/>
              <w:rPr>
                <w:rFonts w:hint="default" w:ascii="Times New Roman" w:hAnsi="Times New Roman" w:cs="Times New Roman"/>
                <w:b w:val="0"/>
                <w:spacing w:val="11"/>
                <w:position w:val="0"/>
                <w:sz w:val="24"/>
                <w:szCs w:val="24"/>
                <w:u w:val="single" w:color="auto"/>
              </w:rPr>
            </w:pPr>
            <w:r>
              <w:rPr>
                <w:rFonts w:hint="default" w:ascii="Times New Roman" w:hAnsi="Times New Roman" w:cs="Times New Roman"/>
                <w:b w:val="0"/>
                <w:spacing w:val="11"/>
                <w:position w:val="0"/>
                <w:sz w:val="24"/>
                <w:szCs w:val="24"/>
                <w:u w:val="single" w:color="auto"/>
                <w:lang w:eastAsia="zh-CN"/>
              </w:rPr>
              <w:t>（</w:t>
            </w:r>
            <w:r>
              <w:rPr>
                <w:rFonts w:hint="default" w:ascii="Times New Roman" w:hAnsi="Times New Roman" w:cs="Times New Roman"/>
                <w:b w:val="0"/>
                <w:spacing w:val="11"/>
                <w:position w:val="0"/>
                <w:sz w:val="24"/>
                <w:szCs w:val="24"/>
                <w:u w:val="single" w:color="auto"/>
                <w:lang w:val="en-US" w:eastAsia="zh-CN"/>
              </w:rPr>
              <w:t>2）</w:t>
            </w:r>
            <w:r>
              <w:rPr>
                <w:rFonts w:hint="default" w:ascii="Times New Roman" w:hAnsi="Times New Roman" w:cs="Times New Roman"/>
                <w:b w:val="0"/>
                <w:spacing w:val="11"/>
                <w:position w:val="0"/>
                <w:sz w:val="24"/>
                <w:szCs w:val="24"/>
                <w:u w:val="single" w:color="auto"/>
              </w:rPr>
              <w:t>修复措施</w:t>
            </w:r>
          </w:p>
          <w:p w14:paraId="7BF1564F">
            <w:pPr>
              <w:spacing w:line="360" w:lineRule="auto"/>
              <w:ind w:firstLine="48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矿山生态保护修复措施主要有保护保育、自然恢复、人工辅助修复等。本次根据新田县文锋岭矿区建筑石料用灰岩矿生态问题诊断，结合自然恢复，采取改善物理环境，参照本地生态系统引入适宜物种，移除导致生态系统退化的物种等中小强度的人工辅助措施，引导和促进生态系统逐步恢复。根据以上修复模式相关要求和主要做法：</w:t>
            </w:r>
          </w:p>
          <w:p w14:paraId="5D7F63A9">
            <w:pPr>
              <w:spacing w:line="360" w:lineRule="auto"/>
              <w:ind w:firstLine="48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①矿山基建期间沿采坑境界外围依地形修建截水沟，边坡坡顶设置安全防护围栏并设立警示标识，修建采坑、矿区出口废水沉淀池。</w:t>
            </w:r>
          </w:p>
          <w:p w14:paraId="72776095">
            <w:pPr>
              <w:spacing w:line="360" w:lineRule="auto"/>
              <w:ind w:firstLine="48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②开采期间严格按照设计留设采场台阶边坡，并对其开展地质灾害监测工程；台阶终了后，对露采场边坡表面存在的明显松动的危岩体和浮石进行清除，沿平台修筑排水沟和联结水沟，并对平台进行覆土复绿，坡面绿化。</w:t>
            </w:r>
          </w:p>
          <w:p w14:paraId="310835D9">
            <w:pPr>
              <w:spacing w:line="360" w:lineRule="auto"/>
              <w:ind w:firstLine="48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③矿山开采后设计在排土场侧、后缘3m处修建截排水沟，并设置地质灾害监测点，对可能的地质灾害进行防治。</w:t>
            </w:r>
          </w:p>
          <w:p w14:paraId="3E91EC22">
            <w:pPr>
              <w:spacing w:line="360" w:lineRule="auto"/>
              <w:ind w:firstLine="48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④矿山闭采后全面复垦，工业广场和矿部地面建设区复垦为旱地，露采场（Lc1）底盘</w:t>
            </w:r>
            <w:r>
              <w:rPr>
                <w:rFonts w:hint="default" w:ascii="Times New Roman" w:hAnsi="Times New Roman" w:cs="Times New Roman"/>
                <w:spacing w:val="11"/>
                <w:position w:val="0"/>
                <w:sz w:val="24"/>
                <w:u w:val="single" w:color="auto"/>
                <w:lang w:eastAsia="zh-CN"/>
              </w:rPr>
              <w:t>、</w:t>
            </w:r>
            <w:r>
              <w:rPr>
                <w:rFonts w:hint="default" w:ascii="Times New Roman" w:hAnsi="Times New Roman" w:cs="Times New Roman"/>
                <w:spacing w:val="11"/>
                <w:position w:val="0"/>
                <w:sz w:val="24"/>
                <w:u w:val="single" w:color="auto"/>
              </w:rPr>
              <w:t>排土场复垦为林地，矿山公路保留为养护公路。</w:t>
            </w:r>
          </w:p>
          <w:p w14:paraId="1900D13A">
            <w:pPr>
              <w:spacing w:line="360" w:lineRule="auto"/>
              <w:ind w:firstLine="48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⑤开采期间对矿山采坑排水和生活废水进行处理、综合利用及水质监测，使矿山废水达标排放。</w:t>
            </w:r>
          </w:p>
          <w:p w14:paraId="5C337BA4">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⑥对于生态修复完毕的土地，开展3年的管护期，防止土地的退化。</w:t>
            </w:r>
          </w:p>
          <w:p w14:paraId="25149A63">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本矿山区位条件不</w:t>
            </w:r>
            <w:r>
              <w:rPr>
                <w:rFonts w:hint="eastAsia" w:ascii="宋体" w:hAnsi="宋体" w:eastAsia="宋体" w:cs="宋体"/>
                <w:spacing w:val="11"/>
                <w:position w:val="0"/>
                <w:sz w:val="24"/>
                <w:u w:val="single" w:color="auto"/>
              </w:rPr>
              <w:t>与“生态公益林”、各类“自然保护区”相邻，但矿山后续矿业活动应严格控制矿山</w:t>
            </w:r>
            <w:r>
              <w:rPr>
                <w:rFonts w:hint="default" w:ascii="Times New Roman" w:hAnsi="Times New Roman" w:cs="Times New Roman"/>
                <w:spacing w:val="11"/>
                <w:position w:val="0"/>
                <w:sz w:val="24"/>
                <w:u w:val="single" w:color="auto"/>
              </w:rPr>
              <w:t>建设工程计划用地，保护建设场地以外往的生态环境，禁止非建设的乱砍滥伐、毁损植被和猎捕行为。将生态保护理念贯穿至矿山开采全生命周期。</w:t>
            </w:r>
          </w:p>
          <w:p w14:paraId="3DE9AECB">
            <w:pPr>
              <w:adjustRightInd w:val="0"/>
              <w:snapToGrid w:val="0"/>
              <w:spacing w:line="360" w:lineRule="auto"/>
              <w:ind w:firstLine="524" w:firstLineChars="20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rPr>
              <w:t>未来矿山闭坑后需全面恢复植被，因此本次不再设计景观修复工程。但是矿山在建设过程中应严格按照绿色矿山建设方案的设计，加强绿化，尤其是办公生活区的美化工作。</w:t>
            </w:r>
          </w:p>
          <w:p w14:paraId="71C57691">
            <w:pPr>
              <w:spacing w:line="360" w:lineRule="auto"/>
              <w:ind w:firstLine="48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lang w:eastAsia="zh-CN"/>
              </w:rPr>
              <w:t>（</w:t>
            </w:r>
            <w:r>
              <w:rPr>
                <w:rFonts w:hint="default" w:ascii="Times New Roman" w:hAnsi="Times New Roman" w:cs="Times New Roman"/>
                <w:spacing w:val="11"/>
                <w:position w:val="0"/>
                <w:sz w:val="24"/>
                <w:u w:val="single" w:color="auto"/>
                <w:lang w:val="en-US" w:eastAsia="zh-CN"/>
              </w:rPr>
              <w:t>3）</w:t>
            </w:r>
            <w:r>
              <w:rPr>
                <w:rFonts w:hint="default" w:ascii="Times New Roman" w:hAnsi="Times New Roman" w:cs="Times New Roman"/>
                <w:spacing w:val="11"/>
                <w:position w:val="0"/>
                <w:sz w:val="24"/>
                <w:u w:val="single" w:color="auto"/>
              </w:rPr>
              <w:t>复垦方向的选择</w:t>
            </w:r>
          </w:p>
          <w:p w14:paraId="5219B932">
            <w:pPr>
              <w:widowControl/>
              <w:spacing w:line="360" w:lineRule="auto"/>
              <w:ind w:firstLine="524" w:firstLineChars="200"/>
              <w:jc w:val="left"/>
              <w:rPr>
                <w:rFonts w:hint="default" w:ascii="Times New Roman" w:hAnsi="Times New Roman" w:cs="Times New Roman"/>
                <w:spacing w:val="11"/>
                <w:kern w:val="0"/>
                <w:position w:val="0"/>
                <w:sz w:val="24"/>
                <w:u w:val="single" w:color="auto"/>
                <w:lang w:bidi="ar"/>
              </w:rPr>
            </w:pPr>
            <w:r>
              <w:rPr>
                <w:rFonts w:hint="default" w:ascii="Times New Roman" w:hAnsi="Times New Roman" w:cs="Times New Roman"/>
                <w:spacing w:val="11"/>
                <w:kern w:val="0"/>
                <w:position w:val="0"/>
                <w:sz w:val="24"/>
                <w:u w:val="single" w:color="auto"/>
                <w:lang w:bidi="ar"/>
              </w:rPr>
              <w:t>矿山开采过程中及开采完毕后，根据土地复垦适宜性评价，结合国土空间规划、地质环境条件类型和开采规模，根据走访调查当地居民及村委会意愿，排土场（Fs）复垦为林地，工业广场（Gy）、矿部及生活区（KB）拆除后复垦为旱地。因地制宜，露采场台阶平台复垦为灌木林地、斜坡复垦为草地，坡底底盘复垦成</w:t>
            </w:r>
            <w:r>
              <w:rPr>
                <w:rFonts w:hint="default" w:ascii="Times New Roman" w:hAnsi="Times New Roman" w:cs="Times New Roman"/>
                <w:spacing w:val="11"/>
                <w:kern w:val="0"/>
                <w:position w:val="0"/>
                <w:sz w:val="24"/>
                <w:u w:val="single" w:color="auto"/>
                <w:lang w:eastAsia="zh-CN" w:bidi="ar"/>
              </w:rPr>
              <w:t>林地</w:t>
            </w:r>
            <w:r>
              <w:rPr>
                <w:rFonts w:hint="default" w:ascii="Times New Roman" w:hAnsi="Times New Roman" w:cs="Times New Roman"/>
                <w:spacing w:val="11"/>
                <w:kern w:val="0"/>
                <w:position w:val="0"/>
                <w:sz w:val="24"/>
                <w:u w:val="single" w:color="auto"/>
                <w:lang w:bidi="ar"/>
              </w:rPr>
              <w:t>，矿山公路保留作为养护耕作道路。总体定位以恢复生态系统为主</w:t>
            </w:r>
            <w:r>
              <w:rPr>
                <w:rFonts w:hint="eastAsia" w:cs="Times New Roman"/>
                <w:spacing w:val="11"/>
                <w:kern w:val="0"/>
                <w:position w:val="0"/>
                <w:sz w:val="24"/>
                <w:u w:val="single" w:color="auto"/>
                <w:lang w:eastAsia="zh-CN" w:bidi="ar"/>
              </w:rPr>
              <w:t>。</w:t>
            </w:r>
          </w:p>
          <w:p w14:paraId="14053529">
            <w:pPr>
              <w:widowControl/>
              <w:spacing w:line="360" w:lineRule="auto"/>
              <w:ind w:firstLine="524" w:firstLineChars="200"/>
              <w:jc w:val="left"/>
              <w:rPr>
                <w:rFonts w:hint="default" w:ascii="Times New Roman" w:hAnsi="Times New Roman" w:cs="Times New Roman"/>
                <w:spacing w:val="11"/>
                <w:kern w:val="0"/>
                <w:position w:val="0"/>
                <w:sz w:val="24"/>
                <w:u w:val="single" w:color="auto"/>
                <w:lang w:bidi="ar"/>
              </w:rPr>
            </w:pPr>
            <w:r>
              <w:rPr>
                <w:rFonts w:hint="default" w:ascii="Times New Roman" w:hAnsi="Times New Roman" w:cs="Times New Roman"/>
                <w:spacing w:val="11"/>
                <w:kern w:val="0"/>
                <w:position w:val="0"/>
                <w:sz w:val="24"/>
                <w:u w:val="single" w:color="auto"/>
                <w:lang w:bidi="ar"/>
              </w:rPr>
              <w:t>矿山开采完毕后，结合国土空间规划、地质环境条件类型和开采规模，根据当地居民意愿，保留原有露采场及边坡，因地制宜，露采场台阶</w:t>
            </w:r>
            <w:r>
              <w:rPr>
                <w:rFonts w:hint="default" w:ascii="Times New Roman" w:hAnsi="Times New Roman" w:cs="Times New Roman"/>
                <w:spacing w:val="11"/>
                <w:kern w:val="0"/>
                <w:position w:val="0"/>
                <w:sz w:val="24"/>
                <w:u w:val="single" w:color="auto"/>
                <w:lang w:val="en-US" w:eastAsia="zh-CN" w:bidi="ar"/>
              </w:rPr>
              <w:t>和</w:t>
            </w:r>
            <w:r>
              <w:rPr>
                <w:rFonts w:hint="default" w:ascii="Times New Roman" w:hAnsi="Times New Roman" w:cs="Times New Roman"/>
                <w:spacing w:val="11"/>
                <w:kern w:val="0"/>
                <w:position w:val="0"/>
                <w:sz w:val="24"/>
                <w:u w:val="single" w:color="auto"/>
                <w:lang w:bidi="ar"/>
              </w:rPr>
              <w:t>斜坡复垦为草地，总体定位以恢复植被生态为主。</w:t>
            </w:r>
          </w:p>
          <w:p w14:paraId="283B7EF8">
            <w:pPr>
              <w:widowControl/>
              <w:spacing w:line="360" w:lineRule="auto"/>
              <w:ind w:firstLine="524" w:firstLineChars="200"/>
              <w:jc w:val="left"/>
              <w:rPr>
                <w:rFonts w:hint="default" w:ascii="Times New Roman" w:hAnsi="Times New Roman" w:cs="Times New Roman"/>
                <w:spacing w:val="11"/>
                <w:kern w:val="0"/>
                <w:position w:val="0"/>
                <w:sz w:val="24"/>
                <w:u w:val="single" w:color="auto"/>
                <w:lang w:bidi="ar"/>
              </w:rPr>
            </w:pPr>
            <w:r>
              <w:rPr>
                <w:rFonts w:hint="default" w:ascii="Times New Roman" w:hAnsi="Times New Roman" w:cs="Times New Roman"/>
                <w:spacing w:val="11"/>
                <w:kern w:val="0"/>
                <w:position w:val="0"/>
                <w:sz w:val="24"/>
                <w:u w:val="single" w:color="auto"/>
                <w:lang w:bidi="ar"/>
              </w:rPr>
              <w:t>根据开发利用方案，矿山采用露天开采，露采场开采台阶斜面坡度达</w:t>
            </w:r>
            <w:r>
              <w:rPr>
                <w:rFonts w:hint="default" w:ascii="Times New Roman" w:hAnsi="Times New Roman" w:cs="Times New Roman"/>
                <w:spacing w:val="11"/>
                <w:kern w:val="0"/>
                <w:position w:val="0"/>
                <w:sz w:val="24"/>
                <w:u w:val="single" w:color="auto"/>
                <w:lang w:val="en-US" w:eastAsia="zh-CN" w:bidi="ar"/>
              </w:rPr>
              <w:t>30~</w:t>
            </w:r>
            <w:r>
              <w:rPr>
                <w:rFonts w:hint="default" w:ascii="Times New Roman" w:hAnsi="Times New Roman" w:cs="Times New Roman"/>
                <w:spacing w:val="11"/>
                <w:kern w:val="0"/>
                <w:position w:val="0"/>
                <w:sz w:val="24"/>
                <w:u w:val="single" w:color="auto"/>
                <w:lang w:bidi="ar"/>
              </w:rPr>
              <w:t>6</w:t>
            </w:r>
            <w:r>
              <w:rPr>
                <w:rFonts w:hint="default" w:ascii="Times New Roman" w:hAnsi="Times New Roman" w:cs="Times New Roman"/>
                <w:spacing w:val="11"/>
                <w:kern w:val="0"/>
                <w:position w:val="0"/>
                <w:sz w:val="24"/>
                <w:u w:val="single" w:color="auto"/>
                <w:lang w:val="en-US" w:eastAsia="zh-CN" w:bidi="ar"/>
              </w:rPr>
              <w:t>5</w:t>
            </w:r>
            <w:r>
              <w:rPr>
                <w:rFonts w:hint="default" w:ascii="Times New Roman" w:hAnsi="Times New Roman" w:cs="Times New Roman"/>
                <w:spacing w:val="11"/>
                <w:kern w:val="0"/>
                <w:position w:val="0"/>
                <w:sz w:val="24"/>
                <w:u w:val="single" w:color="auto"/>
                <w:lang w:bidi="ar"/>
              </w:rPr>
              <w:t>°，无法覆土，采用在斜面坡脚种植攀爬性藤类对斜面进行绿化。</w:t>
            </w:r>
          </w:p>
          <w:p w14:paraId="6D6D1092">
            <w:pPr>
              <w:widowControl/>
              <w:spacing w:line="360" w:lineRule="auto"/>
              <w:ind w:firstLine="524" w:firstLineChars="200"/>
              <w:jc w:val="left"/>
              <w:rPr>
                <w:rFonts w:hint="default" w:ascii="Times New Roman" w:hAnsi="Times New Roman" w:cs="Times New Roman"/>
                <w:spacing w:val="11"/>
                <w:kern w:val="0"/>
                <w:position w:val="0"/>
                <w:sz w:val="24"/>
                <w:u w:val="single" w:color="auto"/>
                <w:lang w:bidi="ar"/>
              </w:rPr>
            </w:pPr>
            <w:r>
              <w:rPr>
                <w:rFonts w:hint="default" w:ascii="Times New Roman" w:hAnsi="Times New Roman" w:cs="Times New Roman"/>
                <w:spacing w:val="11"/>
                <w:kern w:val="0"/>
                <w:position w:val="0"/>
                <w:sz w:val="24"/>
                <w:u w:val="single" w:color="auto"/>
                <w:lang w:bidi="ar"/>
              </w:rPr>
              <w:t>因此，本方案设计将露采场开采台阶平台复垦为</w:t>
            </w:r>
            <w:r>
              <w:rPr>
                <w:rFonts w:hint="default" w:ascii="Times New Roman" w:hAnsi="Times New Roman" w:cs="Times New Roman"/>
                <w:spacing w:val="11"/>
                <w:kern w:val="0"/>
                <w:position w:val="0"/>
                <w:sz w:val="24"/>
                <w:u w:val="single" w:color="auto"/>
                <w:lang w:val="en-US" w:eastAsia="zh-CN" w:bidi="ar"/>
              </w:rPr>
              <w:t>草</w:t>
            </w:r>
            <w:r>
              <w:rPr>
                <w:rFonts w:hint="default" w:ascii="Times New Roman" w:hAnsi="Times New Roman" w:cs="Times New Roman"/>
                <w:spacing w:val="11"/>
                <w:kern w:val="0"/>
                <w:position w:val="0"/>
                <w:sz w:val="24"/>
                <w:u w:val="single" w:color="auto"/>
                <w:lang w:bidi="ar"/>
              </w:rPr>
              <w:t>地</w:t>
            </w:r>
            <w:r>
              <w:rPr>
                <w:rFonts w:hint="default" w:ascii="Times New Roman" w:hAnsi="Times New Roman" w:cs="Times New Roman"/>
                <w:spacing w:val="11"/>
                <w:kern w:val="0"/>
                <w:position w:val="0"/>
                <w:sz w:val="24"/>
                <w:u w:val="single" w:color="auto"/>
                <w:lang w:eastAsia="zh-CN" w:bidi="ar"/>
              </w:rPr>
              <w:t>，</w:t>
            </w:r>
            <w:r>
              <w:rPr>
                <w:rFonts w:hint="default" w:ascii="Times New Roman" w:hAnsi="Times New Roman" w:cs="Times New Roman"/>
                <w:spacing w:val="11"/>
                <w:kern w:val="0"/>
                <w:position w:val="0"/>
                <w:sz w:val="24"/>
                <w:u w:val="single" w:color="auto"/>
                <w:lang w:bidi="ar"/>
              </w:rPr>
              <w:t>开采台阶斜坡栽种攀爬性藤类复垦成草地</w:t>
            </w:r>
            <w:r>
              <w:rPr>
                <w:rFonts w:hint="default" w:ascii="Times New Roman" w:hAnsi="Times New Roman" w:cs="Times New Roman"/>
                <w:spacing w:val="11"/>
                <w:kern w:val="0"/>
                <w:position w:val="0"/>
                <w:sz w:val="24"/>
                <w:u w:val="single" w:color="auto"/>
                <w:lang w:eastAsia="zh-CN" w:bidi="ar"/>
              </w:rPr>
              <w:t>，</w:t>
            </w:r>
            <w:r>
              <w:rPr>
                <w:rFonts w:hint="default" w:ascii="Times New Roman" w:hAnsi="Times New Roman" w:cs="Times New Roman"/>
                <w:spacing w:val="11"/>
                <w:kern w:val="0"/>
                <w:position w:val="0"/>
                <w:sz w:val="24"/>
                <w:u w:val="single" w:color="auto"/>
                <w:lang w:bidi="ar"/>
              </w:rPr>
              <w:t>排土场复垦为林地；</w:t>
            </w:r>
            <w:r>
              <w:rPr>
                <w:rFonts w:hint="default" w:ascii="Times New Roman" w:hAnsi="Times New Roman" w:cs="Times New Roman"/>
                <w:spacing w:val="11"/>
                <w:kern w:val="0"/>
                <w:position w:val="0"/>
                <w:sz w:val="24"/>
                <w:u w:val="single" w:color="auto"/>
                <w:lang w:val="en-US" w:eastAsia="zh-CN" w:bidi="ar"/>
              </w:rPr>
              <w:t>矿山建筑石料生产工业广场复垦为林地</w:t>
            </w:r>
            <w:r>
              <w:rPr>
                <w:rFonts w:hint="default" w:ascii="Times New Roman" w:hAnsi="Times New Roman" w:cs="Times New Roman"/>
                <w:spacing w:val="11"/>
                <w:kern w:val="0"/>
                <w:position w:val="0"/>
                <w:sz w:val="24"/>
                <w:u w:val="single" w:color="auto"/>
                <w:lang w:bidi="ar"/>
              </w:rPr>
              <w:t>。</w:t>
            </w:r>
          </w:p>
          <w:p w14:paraId="306A83D5">
            <w:pPr>
              <w:widowControl/>
              <w:spacing w:line="360" w:lineRule="auto"/>
              <w:ind w:firstLine="524" w:firstLineChars="200"/>
              <w:jc w:val="left"/>
              <w:rPr>
                <w:rFonts w:hint="default" w:ascii="Times New Roman" w:hAnsi="Times New Roman" w:cs="Times New Roman"/>
                <w:spacing w:val="11"/>
                <w:kern w:val="0"/>
                <w:position w:val="0"/>
                <w:sz w:val="24"/>
                <w:u w:val="single" w:color="auto"/>
                <w:lang w:bidi="ar"/>
              </w:rPr>
            </w:pPr>
            <w:r>
              <w:rPr>
                <w:rFonts w:hint="default" w:ascii="Times New Roman" w:hAnsi="Times New Roman" w:cs="Times New Roman"/>
                <w:spacing w:val="11"/>
                <w:kern w:val="0"/>
                <w:position w:val="0"/>
                <w:sz w:val="24"/>
                <w:u w:val="single" w:color="auto"/>
                <w:lang w:bidi="ar"/>
              </w:rPr>
              <w:t>综上所述，复垦方向初步确定为林地和草地</w:t>
            </w:r>
            <w:r>
              <w:rPr>
                <w:rFonts w:hint="default" w:ascii="Times New Roman" w:hAnsi="Times New Roman" w:cs="Times New Roman"/>
                <w:spacing w:val="11"/>
                <w:kern w:val="0"/>
                <w:position w:val="0"/>
                <w:sz w:val="24"/>
                <w:u w:val="single" w:color="auto"/>
                <w:lang w:eastAsia="zh-CN" w:bidi="ar"/>
              </w:rPr>
              <w:t>，</w:t>
            </w:r>
            <w:r>
              <w:rPr>
                <w:rFonts w:hint="default" w:ascii="Times New Roman" w:hAnsi="Times New Roman" w:cs="Times New Roman"/>
                <w:spacing w:val="11"/>
                <w:kern w:val="0"/>
                <w:position w:val="0"/>
                <w:sz w:val="24"/>
                <w:u w:val="single" w:color="auto"/>
                <w:lang w:val="en-US" w:eastAsia="zh-CN" w:bidi="ar"/>
              </w:rPr>
              <w:t>详见下表</w:t>
            </w:r>
            <w:r>
              <w:rPr>
                <w:rFonts w:hint="default" w:ascii="Times New Roman" w:hAnsi="Times New Roman" w:cs="Times New Roman"/>
                <w:spacing w:val="11"/>
                <w:kern w:val="0"/>
                <w:position w:val="0"/>
                <w:sz w:val="24"/>
                <w:u w:val="single" w:color="auto"/>
                <w:lang w:bidi="ar"/>
              </w:rPr>
              <w:t>。</w:t>
            </w:r>
          </w:p>
          <w:p w14:paraId="17BAFD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pacing w:val="11"/>
                <w:kern w:val="0"/>
                <w:position w:val="0"/>
                <w:sz w:val="21"/>
                <w:szCs w:val="21"/>
                <w:u w:val="single" w:color="auto"/>
                <w:lang w:val="en-US" w:eastAsia="zh-CN" w:bidi="ar"/>
              </w:rPr>
            </w:pPr>
            <w:r>
              <w:rPr>
                <w:rFonts w:hint="default" w:ascii="Times New Roman" w:hAnsi="Times New Roman" w:cs="Times New Roman"/>
                <w:b/>
                <w:bCs/>
                <w:spacing w:val="11"/>
                <w:kern w:val="0"/>
                <w:position w:val="0"/>
                <w:sz w:val="21"/>
                <w:szCs w:val="21"/>
                <w:u w:val="single" w:color="auto"/>
                <w:lang w:val="en-US" w:eastAsia="zh-CN" w:bidi="ar"/>
              </w:rPr>
              <w:t>表5-1  复垦土地的适宜性评价结果及复垦方向一览表</w:t>
            </w:r>
          </w:p>
          <w:tbl>
            <w:tblPr>
              <w:tblStyle w:val="33"/>
              <w:tblW w:w="80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4"/>
              <w:gridCol w:w="585"/>
              <w:gridCol w:w="1595"/>
              <w:gridCol w:w="484"/>
              <w:gridCol w:w="484"/>
              <w:gridCol w:w="484"/>
              <w:gridCol w:w="489"/>
              <w:gridCol w:w="999"/>
              <w:gridCol w:w="860"/>
              <w:gridCol w:w="1288"/>
            </w:tblGrid>
            <w:tr w14:paraId="637AB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9" w:type="pct"/>
                  <w:gridSpan w:val="2"/>
                  <w:vMerge w:val="restart"/>
                  <w:tcBorders>
                    <w:tl2br w:val="nil"/>
                    <w:tr2bl w:val="nil"/>
                  </w:tcBorders>
                  <w:vAlign w:val="center"/>
                </w:tcPr>
                <w:p w14:paraId="33027C2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bookmarkStart w:id="70" w:name="_Hlk121350350"/>
                  <w:r>
                    <w:rPr>
                      <w:rFonts w:hint="default" w:ascii="Times New Roman" w:hAnsi="Times New Roman" w:eastAsia="宋体" w:cs="Times New Roman"/>
                      <w:spacing w:val="11"/>
                      <w:kern w:val="0"/>
                      <w:position w:val="0"/>
                      <w:sz w:val="21"/>
                      <w:szCs w:val="21"/>
                      <w:u w:val="single" w:color="auto"/>
                      <w:lang w:bidi="ar"/>
                    </w:rPr>
                    <w:t>评价单元</w:t>
                  </w:r>
                </w:p>
                <w:p w14:paraId="773066D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（复垦对象）</w:t>
                  </w:r>
                </w:p>
              </w:tc>
              <w:tc>
                <w:tcPr>
                  <w:tcW w:w="992" w:type="pct"/>
                  <w:vMerge w:val="restart"/>
                  <w:tcBorders>
                    <w:tl2br w:val="nil"/>
                    <w:tr2bl w:val="nil"/>
                  </w:tcBorders>
                  <w:vAlign w:val="center"/>
                </w:tcPr>
                <w:p w14:paraId="206B592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破坏前土地类型</w:t>
                  </w:r>
                </w:p>
              </w:tc>
              <w:tc>
                <w:tcPr>
                  <w:tcW w:w="1208" w:type="pct"/>
                  <w:gridSpan w:val="4"/>
                  <w:tcBorders>
                    <w:tl2br w:val="nil"/>
                    <w:tr2bl w:val="nil"/>
                  </w:tcBorders>
                  <w:vAlign w:val="center"/>
                </w:tcPr>
                <w:p w14:paraId="174BB5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适宜性等级</w:t>
                  </w:r>
                </w:p>
              </w:tc>
              <w:tc>
                <w:tcPr>
                  <w:tcW w:w="621" w:type="pct"/>
                  <w:vMerge w:val="restart"/>
                  <w:tcBorders>
                    <w:tl2br w:val="nil"/>
                    <w:tr2bl w:val="nil"/>
                  </w:tcBorders>
                  <w:vAlign w:val="center"/>
                </w:tcPr>
                <w:p w14:paraId="5129DF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复垦后土地类型</w:t>
                  </w:r>
                </w:p>
              </w:tc>
              <w:tc>
                <w:tcPr>
                  <w:tcW w:w="535" w:type="pct"/>
                  <w:vMerge w:val="restart"/>
                  <w:tcBorders>
                    <w:tl2br w:val="nil"/>
                    <w:tr2bl w:val="nil"/>
                  </w:tcBorders>
                  <w:vAlign w:val="center"/>
                </w:tcPr>
                <w:p w14:paraId="6B73D7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面积(hm2)</w:t>
                  </w:r>
                </w:p>
              </w:tc>
              <w:tc>
                <w:tcPr>
                  <w:tcW w:w="801" w:type="pct"/>
                  <w:vMerge w:val="restart"/>
                  <w:tcBorders>
                    <w:tl2br w:val="nil"/>
                    <w:tr2bl w:val="nil"/>
                  </w:tcBorders>
                  <w:vAlign w:val="center"/>
                </w:tcPr>
                <w:p w14:paraId="4DA6FF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复垦单元编号</w:t>
                  </w:r>
                </w:p>
              </w:tc>
            </w:tr>
            <w:tr w14:paraId="56C8C4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9" w:type="pct"/>
                  <w:gridSpan w:val="2"/>
                  <w:vMerge w:val="continue"/>
                  <w:tcBorders>
                    <w:tl2br w:val="nil"/>
                    <w:tr2bl w:val="nil"/>
                  </w:tcBorders>
                  <w:vAlign w:val="center"/>
                </w:tcPr>
                <w:p w14:paraId="3611E6F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992" w:type="pct"/>
                  <w:vMerge w:val="continue"/>
                  <w:tcBorders>
                    <w:tl2br w:val="nil"/>
                    <w:tr2bl w:val="nil"/>
                  </w:tcBorders>
                  <w:vAlign w:val="center"/>
                </w:tcPr>
                <w:p w14:paraId="49BEFD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301" w:type="pct"/>
                  <w:tcBorders>
                    <w:tl2br w:val="nil"/>
                    <w:tr2bl w:val="nil"/>
                  </w:tcBorders>
                  <w:vAlign w:val="center"/>
                </w:tcPr>
                <w:p w14:paraId="4EF668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水田</w:t>
                  </w:r>
                </w:p>
              </w:tc>
              <w:tc>
                <w:tcPr>
                  <w:tcW w:w="301" w:type="pct"/>
                  <w:tcBorders>
                    <w:tl2br w:val="nil"/>
                    <w:tr2bl w:val="nil"/>
                  </w:tcBorders>
                  <w:vAlign w:val="center"/>
                </w:tcPr>
                <w:p w14:paraId="6EBD9DA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旱地</w:t>
                  </w:r>
                </w:p>
              </w:tc>
              <w:tc>
                <w:tcPr>
                  <w:tcW w:w="301" w:type="pct"/>
                  <w:tcBorders>
                    <w:tl2br w:val="nil"/>
                    <w:tr2bl w:val="nil"/>
                  </w:tcBorders>
                  <w:vAlign w:val="center"/>
                </w:tcPr>
                <w:p w14:paraId="1D3B5AF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草地</w:t>
                  </w:r>
                </w:p>
              </w:tc>
              <w:tc>
                <w:tcPr>
                  <w:tcW w:w="304" w:type="pct"/>
                  <w:tcBorders>
                    <w:tl2br w:val="nil"/>
                    <w:tr2bl w:val="nil"/>
                  </w:tcBorders>
                  <w:vAlign w:val="center"/>
                </w:tcPr>
                <w:p w14:paraId="108847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林地</w:t>
                  </w:r>
                </w:p>
              </w:tc>
              <w:tc>
                <w:tcPr>
                  <w:tcW w:w="621" w:type="pct"/>
                  <w:vMerge w:val="continue"/>
                  <w:tcBorders>
                    <w:tl2br w:val="nil"/>
                    <w:tr2bl w:val="nil"/>
                  </w:tcBorders>
                  <w:vAlign w:val="center"/>
                </w:tcPr>
                <w:p w14:paraId="372DF4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535" w:type="pct"/>
                  <w:vMerge w:val="continue"/>
                  <w:tcBorders>
                    <w:tl2br w:val="nil"/>
                    <w:tr2bl w:val="nil"/>
                  </w:tcBorders>
                  <w:vAlign w:val="center"/>
                </w:tcPr>
                <w:p w14:paraId="710378B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801" w:type="pct"/>
                  <w:vMerge w:val="continue"/>
                  <w:tcBorders>
                    <w:tl2br w:val="nil"/>
                    <w:tr2bl w:val="nil"/>
                  </w:tcBorders>
                  <w:vAlign w:val="center"/>
                </w:tcPr>
                <w:p w14:paraId="54E2DC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r>
            <w:tr w14:paraId="1CFD5C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5" w:type="pct"/>
                  <w:vMerge w:val="restart"/>
                  <w:tcBorders>
                    <w:tl2br w:val="nil"/>
                    <w:tr2bl w:val="nil"/>
                  </w:tcBorders>
                  <w:vAlign w:val="center"/>
                </w:tcPr>
                <w:p w14:paraId="50F3B5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露采场</w:t>
                  </w:r>
                </w:p>
              </w:tc>
              <w:tc>
                <w:tcPr>
                  <w:tcW w:w="364" w:type="pct"/>
                  <w:vMerge w:val="restart"/>
                  <w:tcBorders>
                    <w:tl2br w:val="nil"/>
                    <w:tr2bl w:val="nil"/>
                  </w:tcBorders>
                  <w:vAlign w:val="center"/>
                </w:tcPr>
                <w:p w14:paraId="634946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Lc</w:t>
                  </w:r>
                </w:p>
              </w:tc>
              <w:tc>
                <w:tcPr>
                  <w:tcW w:w="992" w:type="pct"/>
                  <w:vMerge w:val="restart"/>
                  <w:tcBorders>
                    <w:tl2br w:val="nil"/>
                    <w:tr2bl w:val="nil"/>
                  </w:tcBorders>
                  <w:vAlign w:val="center"/>
                </w:tcPr>
                <w:p w14:paraId="0E4129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林地、采矿用地</w:t>
                  </w:r>
                </w:p>
              </w:tc>
              <w:tc>
                <w:tcPr>
                  <w:tcW w:w="301" w:type="pct"/>
                  <w:vMerge w:val="restart"/>
                  <w:tcBorders>
                    <w:tl2br w:val="nil"/>
                    <w:tr2bl w:val="nil"/>
                  </w:tcBorders>
                  <w:vAlign w:val="center"/>
                </w:tcPr>
                <w:p w14:paraId="261C5A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4</w:t>
                  </w:r>
                </w:p>
              </w:tc>
              <w:tc>
                <w:tcPr>
                  <w:tcW w:w="301" w:type="pct"/>
                  <w:vMerge w:val="restart"/>
                  <w:tcBorders>
                    <w:tl2br w:val="nil"/>
                    <w:tr2bl w:val="nil"/>
                  </w:tcBorders>
                  <w:vAlign w:val="center"/>
                </w:tcPr>
                <w:p w14:paraId="1448D9A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2</w:t>
                  </w:r>
                </w:p>
              </w:tc>
              <w:tc>
                <w:tcPr>
                  <w:tcW w:w="301" w:type="pct"/>
                  <w:vMerge w:val="restart"/>
                  <w:tcBorders>
                    <w:tl2br w:val="nil"/>
                    <w:tr2bl w:val="nil"/>
                  </w:tcBorders>
                  <w:vAlign w:val="center"/>
                </w:tcPr>
                <w:p w14:paraId="3171C8B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2</w:t>
                  </w:r>
                </w:p>
              </w:tc>
              <w:tc>
                <w:tcPr>
                  <w:tcW w:w="304" w:type="pct"/>
                  <w:vMerge w:val="restart"/>
                  <w:tcBorders>
                    <w:tl2br w:val="nil"/>
                    <w:tr2bl w:val="nil"/>
                  </w:tcBorders>
                  <w:vAlign w:val="center"/>
                </w:tcPr>
                <w:p w14:paraId="1E521A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2</w:t>
                  </w:r>
                </w:p>
              </w:tc>
              <w:tc>
                <w:tcPr>
                  <w:tcW w:w="621" w:type="pct"/>
                  <w:tcBorders>
                    <w:tl2br w:val="nil"/>
                    <w:tr2bl w:val="nil"/>
                  </w:tcBorders>
                  <w:vAlign w:val="center"/>
                </w:tcPr>
                <w:p w14:paraId="0A322B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kern w:val="0"/>
                      <w:position w:val="0"/>
                      <w:sz w:val="21"/>
                      <w:szCs w:val="21"/>
                      <w:u w:val="single" w:color="auto"/>
                      <w:lang w:eastAsia="zh-CN" w:bidi="ar"/>
                    </w:rPr>
                  </w:pPr>
                  <w:r>
                    <w:rPr>
                      <w:rFonts w:hint="eastAsia" w:ascii="Times New Roman" w:hAnsi="Times New Roman" w:eastAsia="宋体" w:cs="Times New Roman"/>
                      <w:spacing w:val="11"/>
                      <w:kern w:val="0"/>
                      <w:position w:val="0"/>
                      <w:sz w:val="21"/>
                      <w:szCs w:val="21"/>
                      <w:u w:val="single" w:color="auto"/>
                      <w:lang w:eastAsia="zh-CN" w:bidi="ar"/>
                    </w:rPr>
                    <w:t>林地</w:t>
                  </w:r>
                </w:p>
              </w:tc>
              <w:tc>
                <w:tcPr>
                  <w:tcW w:w="535" w:type="pct"/>
                  <w:tcBorders>
                    <w:tl2br w:val="nil"/>
                    <w:tr2bl w:val="nil"/>
                  </w:tcBorders>
                  <w:vAlign w:val="center"/>
                </w:tcPr>
                <w:p w14:paraId="0A7934D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4.2721</w:t>
                  </w:r>
                </w:p>
              </w:tc>
              <w:tc>
                <w:tcPr>
                  <w:tcW w:w="801" w:type="pct"/>
                  <w:vMerge w:val="restart"/>
                  <w:tcBorders>
                    <w:tl2br w:val="nil"/>
                    <w:tr2bl w:val="nil"/>
                  </w:tcBorders>
                  <w:vAlign w:val="center"/>
                </w:tcPr>
                <w:p w14:paraId="0C1D466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F</w:t>
                  </w:r>
                  <w:r>
                    <w:rPr>
                      <w:rFonts w:hint="default" w:ascii="Times New Roman" w:hAnsi="Times New Roman" w:eastAsia="宋体" w:cs="Times New Roman"/>
                      <w:spacing w:val="11"/>
                      <w:kern w:val="0"/>
                      <w:position w:val="0"/>
                      <w:sz w:val="21"/>
                      <w:szCs w:val="21"/>
                      <w:u w:val="single" w:color="auto"/>
                      <w:lang w:bidi="ar"/>
                    </w:rPr>
                    <w:t>K1</w:t>
                  </w:r>
                </w:p>
                <w:p w14:paraId="2C137E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注：草地为斜坡面积</w:t>
                  </w:r>
                </w:p>
              </w:tc>
            </w:tr>
            <w:tr w14:paraId="51DE2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5" w:type="pct"/>
                  <w:vMerge w:val="continue"/>
                  <w:tcBorders>
                    <w:tl2br w:val="nil"/>
                    <w:tr2bl w:val="nil"/>
                  </w:tcBorders>
                  <w:vAlign w:val="center"/>
                </w:tcPr>
                <w:p w14:paraId="0E1D52D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364" w:type="pct"/>
                  <w:vMerge w:val="continue"/>
                  <w:tcBorders>
                    <w:tl2br w:val="nil"/>
                    <w:tr2bl w:val="nil"/>
                  </w:tcBorders>
                  <w:vAlign w:val="center"/>
                </w:tcPr>
                <w:p w14:paraId="423B174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992" w:type="pct"/>
                  <w:vMerge w:val="continue"/>
                  <w:tcBorders>
                    <w:tl2br w:val="nil"/>
                    <w:tr2bl w:val="nil"/>
                  </w:tcBorders>
                  <w:vAlign w:val="center"/>
                </w:tcPr>
                <w:p w14:paraId="355758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301" w:type="pct"/>
                  <w:vMerge w:val="continue"/>
                  <w:tcBorders>
                    <w:tl2br w:val="nil"/>
                    <w:tr2bl w:val="nil"/>
                  </w:tcBorders>
                  <w:vAlign w:val="center"/>
                </w:tcPr>
                <w:p w14:paraId="15512F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301" w:type="pct"/>
                  <w:vMerge w:val="continue"/>
                  <w:tcBorders>
                    <w:tl2br w:val="nil"/>
                    <w:tr2bl w:val="nil"/>
                  </w:tcBorders>
                  <w:vAlign w:val="center"/>
                </w:tcPr>
                <w:p w14:paraId="1E55D3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301" w:type="pct"/>
                  <w:vMerge w:val="continue"/>
                  <w:tcBorders>
                    <w:tl2br w:val="nil"/>
                    <w:tr2bl w:val="nil"/>
                  </w:tcBorders>
                  <w:vAlign w:val="center"/>
                </w:tcPr>
                <w:p w14:paraId="44C4D11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304" w:type="pct"/>
                  <w:vMerge w:val="continue"/>
                  <w:tcBorders>
                    <w:tl2br w:val="nil"/>
                    <w:tr2bl w:val="nil"/>
                  </w:tcBorders>
                  <w:vAlign w:val="center"/>
                </w:tcPr>
                <w:p w14:paraId="21CFDB2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621" w:type="pct"/>
                  <w:tcBorders>
                    <w:tl2br w:val="nil"/>
                    <w:tr2bl w:val="nil"/>
                  </w:tcBorders>
                  <w:vAlign w:val="center"/>
                </w:tcPr>
                <w:p w14:paraId="041670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灌木林地</w:t>
                  </w:r>
                </w:p>
              </w:tc>
              <w:tc>
                <w:tcPr>
                  <w:tcW w:w="535" w:type="pct"/>
                  <w:tcBorders>
                    <w:tl2br w:val="nil"/>
                    <w:tr2bl w:val="nil"/>
                  </w:tcBorders>
                  <w:vAlign w:val="center"/>
                </w:tcPr>
                <w:p w14:paraId="482518B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0.6799</w:t>
                  </w:r>
                </w:p>
              </w:tc>
              <w:tc>
                <w:tcPr>
                  <w:tcW w:w="801" w:type="pct"/>
                  <w:vMerge w:val="continue"/>
                  <w:tcBorders>
                    <w:tl2br w:val="nil"/>
                    <w:tr2bl w:val="nil"/>
                  </w:tcBorders>
                  <w:vAlign w:val="center"/>
                </w:tcPr>
                <w:p w14:paraId="46E57D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r>
            <w:tr w14:paraId="5FCF4D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5" w:type="pct"/>
                  <w:vMerge w:val="continue"/>
                  <w:tcBorders>
                    <w:tl2br w:val="nil"/>
                    <w:tr2bl w:val="nil"/>
                  </w:tcBorders>
                  <w:vAlign w:val="center"/>
                </w:tcPr>
                <w:p w14:paraId="5543D9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364" w:type="pct"/>
                  <w:vMerge w:val="continue"/>
                  <w:tcBorders>
                    <w:tl2br w:val="nil"/>
                    <w:tr2bl w:val="nil"/>
                  </w:tcBorders>
                  <w:vAlign w:val="center"/>
                </w:tcPr>
                <w:p w14:paraId="62E564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992" w:type="pct"/>
                  <w:vMerge w:val="continue"/>
                  <w:tcBorders>
                    <w:tl2br w:val="nil"/>
                    <w:tr2bl w:val="nil"/>
                  </w:tcBorders>
                  <w:vAlign w:val="center"/>
                </w:tcPr>
                <w:p w14:paraId="017DAA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301" w:type="pct"/>
                  <w:vMerge w:val="continue"/>
                  <w:tcBorders>
                    <w:tl2br w:val="nil"/>
                    <w:tr2bl w:val="nil"/>
                  </w:tcBorders>
                  <w:vAlign w:val="center"/>
                </w:tcPr>
                <w:p w14:paraId="25985E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301" w:type="pct"/>
                  <w:vMerge w:val="continue"/>
                  <w:tcBorders>
                    <w:tl2br w:val="nil"/>
                    <w:tr2bl w:val="nil"/>
                  </w:tcBorders>
                  <w:vAlign w:val="center"/>
                </w:tcPr>
                <w:p w14:paraId="0EF933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301" w:type="pct"/>
                  <w:vMerge w:val="continue"/>
                  <w:tcBorders>
                    <w:tl2br w:val="nil"/>
                    <w:tr2bl w:val="nil"/>
                  </w:tcBorders>
                  <w:vAlign w:val="center"/>
                </w:tcPr>
                <w:p w14:paraId="7D94215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304" w:type="pct"/>
                  <w:vMerge w:val="continue"/>
                  <w:tcBorders>
                    <w:tl2br w:val="nil"/>
                    <w:tr2bl w:val="nil"/>
                  </w:tcBorders>
                  <w:vAlign w:val="center"/>
                </w:tcPr>
                <w:p w14:paraId="7A16CC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621" w:type="pct"/>
                  <w:tcBorders>
                    <w:tl2br w:val="nil"/>
                    <w:tr2bl w:val="nil"/>
                  </w:tcBorders>
                  <w:vAlign w:val="center"/>
                </w:tcPr>
                <w:p w14:paraId="241FC73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草地</w:t>
                  </w:r>
                </w:p>
              </w:tc>
              <w:tc>
                <w:tcPr>
                  <w:tcW w:w="535" w:type="pct"/>
                  <w:tcBorders>
                    <w:tl2br w:val="nil"/>
                    <w:tr2bl w:val="nil"/>
                  </w:tcBorders>
                  <w:vAlign w:val="center"/>
                </w:tcPr>
                <w:p w14:paraId="0AF83C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2.9966</w:t>
                  </w:r>
                </w:p>
              </w:tc>
              <w:tc>
                <w:tcPr>
                  <w:tcW w:w="801" w:type="pct"/>
                  <w:vMerge w:val="continue"/>
                  <w:tcBorders>
                    <w:tl2br w:val="nil"/>
                    <w:tr2bl w:val="nil"/>
                  </w:tcBorders>
                  <w:vAlign w:val="center"/>
                </w:tcPr>
                <w:p w14:paraId="2CADD5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r>
            <w:tr w14:paraId="05A9F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75" w:type="pct"/>
                  <w:tcBorders>
                    <w:tl2br w:val="nil"/>
                    <w:tr2bl w:val="nil"/>
                  </w:tcBorders>
                  <w:vAlign w:val="center"/>
                </w:tcPr>
                <w:p w14:paraId="436347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排土场区</w:t>
                  </w:r>
                </w:p>
              </w:tc>
              <w:tc>
                <w:tcPr>
                  <w:tcW w:w="364" w:type="pct"/>
                  <w:tcBorders>
                    <w:tl2br w:val="nil"/>
                    <w:tr2bl w:val="nil"/>
                  </w:tcBorders>
                  <w:vAlign w:val="center"/>
                </w:tcPr>
                <w:p w14:paraId="5B671B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Fs</w:t>
                  </w:r>
                </w:p>
              </w:tc>
              <w:tc>
                <w:tcPr>
                  <w:tcW w:w="992" w:type="pct"/>
                  <w:tcBorders>
                    <w:tl2br w:val="nil"/>
                    <w:tr2bl w:val="nil"/>
                  </w:tcBorders>
                  <w:vAlign w:val="center"/>
                </w:tcPr>
                <w:p w14:paraId="35E5865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林地、草地</w:t>
                  </w:r>
                </w:p>
              </w:tc>
              <w:tc>
                <w:tcPr>
                  <w:tcW w:w="301" w:type="pct"/>
                  <w:tcBorders>
                    <w:tl2br w:val="nil"/>
                    <w:tr2bl w:val="nil"/>
                  </w:tcBorders>
                  <w:vAlign w:val="center"/>
                </w:tcPr>
                <w:p w14:paraId="330CEC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4</w:t>
                  </w:r>
                </w:p>
              </w:tc>
              <w:tc>
                <w:tcPr>
                  <w:tcW w:w="301" w:type="pct"/>
                  <w:tcBorders>
                    <w:tl2br w:val="nil"/>
                    <w:tr2bl w:val="nil"/>
                  </w:tcBorders>
                  <w:vAlign w:val="center"/>
                </w:tcPr>
                <w:p w14:paraId="2DFD63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2</w:t>
                  </w:r>
                </w:p>
              </w:tc>
              <w:tc>
                <w:tcPr>
                  <w:tcW w:w="301" w:type="pct"/>
                  <w:tcBorders>
                    <w:tl2br w:val="nil"/>
                    <w:tr2bl w:val="nil"/>
                  </w:tcBorders>
                  <w:vAlign w:val="center"/>
                </w:tcPr>
                <w:p w14:paraId="55FCB0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2</w:t>
                  </w:r>
                </w:p>
              </w:tc>
              <w:tc>
                <w:tcPr>
                  <w:tcW w:w="304" w:type="pct"/>
                  <w:tcBorders>
                    <w:tl2br w:val="nil"/>
                    <w:tr2bl w:val="nil"/>
                  </w:tcBorders>
                  <w:vAlign w:val="center"/>
                </w:tcPr>
                <w:p w14:paraId="359D28B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2</w:t>
                  </w:r>
                </w:p>
              </w:tc>
              <w:tc>
                <w:tcPr>
                  <w:tcW w:w="621" w:type="pct"/>
                  <w:tcBorders>
                    <w:tl2br w:val="nil"/>
                    <w:tr2bl w:val="nil"/>
                  </w:tcBorders>
                  <w:vAlign w:val="center"/>
                </w:tcPr>
                <w:p w14:paraId="2324C5C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林地</w:t>
                  </w:r>
                </w:p>
              </w:tc>
              <w:tc>
                <w:tcPr>
                  <w:tcW w:w="535" w:type="pct"/>
                  <w:tcBorders>
                    <w:tl2br w:val="nil"/>
                    <w:tr2bl w:val="nil"/>
                  </w:tcBorders>
                  <w:vAlign w:val="center"/>
                </w:tcPr>
                <w:p w14:paraId="6FA95F8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0.7199</w:t>
                  </w:r>
                </w:p>
              </w:tc>
              <w:tc>
                <w:tcPr>
                  <w:tcW w:w="801" w:type="pct"/>
                  <w:tcBorders>
                    <w:tl2br w:val="nil"/>
                    <w:tr2bl w:val="nil"/>
                  </w:tcBorders>
                  <w:vAlign w:val="center"/>
                </w:tcPr>
                <w:p w14:paraId="48D463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F</w:t>
                  </w:r>
                  <w:r>
                    <w:rPr>
                      <w:rFonts w:hint="default" w:ascii="Times New Roman" w:hAnsi="Times New Roman" w:eastAsia="宋体" w:cs="Times New Roman"/>
                      <w:spacing w:val="11"/>
                      <w:kern w:val="0"/>
                      <w:position w:val="0"/>
                      <w:sz w:val="21"/>
                      <w:szCs w:val="21"/>
                      <w:u w:val="single" w:color="auto"/>
                      <w:lang w:bidi="ar"/>
                    </w:rPr>
                    <w:t>K2</w:t>
                  </w:r>
                </w:p>
              </w:tc>
            </w:tr>
            <w:tr w14:paraId="672BF1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5" w:type="pct"/>
                  <w:tcBorders>
                    <w:tl2br w:val="nil"/>
                    <w:tr2bl w:val="nil"/>
                  </w:tcBorders>
                  <w:vAlign w:val="center"/>
                </w:tcPr>
                <w:p w14:paraId="3838E0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矿山工业广场</w:t>
                  </w:r>
                </w:p>
              </w:tc>
              <w:tc>
                <w:tcPr>
                  <w:tcW w:w="364" w:type="pct"/>
                  <w:tcBorders>
                    <w:tl2br w:val="nil"/>
                    <w:tr2bl w:val="nil"/>
                  </w:tcBorders>
                  <w:vAlign w:val="center"/>
                </w:tcPr>
                <w:p w14:paraId="61EF89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G</w:t>
                  </w:r>
                  <w:r>
                    <w:rPr>
                      <w:rFonts w:hint="default" w:ascii="Times New Roman" w:hAnsi="Times New Roman" w:eastAsia="宋体" w:cs="Times New Roman"/>
                      <w:spacing w:val="11"/>
                      <w:kern w:val="0"/>
                      <w:position w:val="0"/>
                      <w:sz w:val="21"/>
                      <w:szCs w:val="21"/>
                      <w:u w:val="single" w:color="auto"/>
                      <w:lang w:bidi="ar"/>
                    </w:rPr>
                    <w:t>y</w:t>
                  </w:r>
                </w:p>
              </w:tc>
              <w:tc>
                <w:tcPr>
                  <w:tcW w:w="992" w:type="pct"/>
                  <w:tcBorders>
                    <w:tl2br w:val="nil"/>
                    <w:tr2bl w:val="nil"/>
                  </w:tcBorders>
                  <w:vAlign w:val="center"/>
                </w:tcPr>
                <w:p w14:paraId="0DD3084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林地、采矿用地</w:t>
                  </w:r>
                </w:p>
              </w:tc>
              <w:tc>
                <w:tcPr>
                  <w:tcW w:w="301" w:type="pct"/>
                  <w:tcBorders>
                    <w:tl2br w:val="nil"/>
                    <w:tr2bl w:val="nil"/>
                  </w:tcBorders>
                  <w:vAlign w:val="center"/>
                </w:tcPr>
                <w:p w14:paraId="48B03F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4</w:t>
                  </w:r>
                </w:p>
              </w:tc>
              <w:tc>
                <w:tcPr>
                  <w:tcW w:w="301" w:type="pct"/>
                  <w:tcBorders>
                    <w:tl2br w:val="nil"/>
                    <w:tr2bl w:val="nil"/>
                  </w:tcBorders>
                  <w:vAlign w:val="center"/>
                </w:tcPr>
                <w:p w14:paraId="0B3DE04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3</w:t>
                  </w:r>
                </w:p>
              </w:tc>
              <w:tc>
                <w:tcPr>
                  <w:tcW w:w="301" w:type="pct"/>
                  <w:tcBorders>
                    <w:tl2br w:val="nil"/>
                    <w:tr2bl w:val="nil"/>
                  </w:tcBorders>
                  <w:vAlign w:val="center"/>
                </w:tcPr>
                <w:p w14:paraId="2C3F137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2</w:t>
                  </w:r>
                </w:p>
              </w:tc>
              <w:tc>
                <w:tcPr>
                  <w:tcW w:w="304" w:type="pct"/>
                  <w:tcBorders>
                    <w:tl2br w:val="nil"/>
                    <w:tr2bl w:val="nil"/>
                  </w:tcBorders>
                  <w:vAlign w:val="center"/>
                </w:tcPr>
                <w:p w14:paraId="7A13E2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2</w:t>
                  </w:r>
                </w:p>
              </w:tc>
              <w:tc>
                <w:tcPr>
                  <w:tcW w:w="621" w:type="pct"/>
                  <w:tcBorders>
                    <w:tl2br w:val="nil"/>
                    <w:tr2bl w:val="nil"/>
                  </w:tcBorders>
                  <w:vAlign w:val="center"/>
                </w:tcPr>
                <w:p w14:paraId="282597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旱地</w:t>
                  </w:r>
                </w:p>
              </w:tc>
              <w:tc>
                <w:tcPr>
                  <w:tcW w:w="535" w:type="pct"/>
                  <w:tcBorders>
                    <w:tl2br w:val="nil"/>
                    <w:tr2bl w:val="nil"/>
                  </w:tcBorders>
                  <w:vAlign w:val="center"/>
                </w:tcPr>
                <w:p w14:paraId="3C6563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0.8373</w:t>
                  </w:r>
                </w:p>
              </w:tc>
              <w:tc>
                <w:tcPr>
                  <w:tcW w:w="801" w:type="pct"/>
                  <w:tcBorders>
                    <w:tl2br w:val="nil"/>
                    <w:tr2bl w:val="nil"/>
                  </w:tcBorders>
                  <w:vAlign w:val="center"/>
                </w:tcPr>
                <w:p w14:paraId="6A0937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F</w:t>
                  </w:r>
                  <w:r>
                    <w:rPr>
                      <w:rFonts w:hint="default" w:ascii="Times New Roman" w:hAnsi="Times New Roman" w:eastAsia="宋体" w:cs="Times New Roman"/>
                      <w:spacing w:val="11"/>
                      <w:kern w:val="0"/>
                      <w:position w:val="0"/>
                      <w:sz w:val="21"/>
                      <w:szCs w:val="21"/>
                      <w:u w:val="single" w:color="auto"/>
                      <w:lang w:bidi="ar"/>
                    </w:rPr>
                    <w:t>K3</w:t>
                  </w:r>
                </w:p>
              </w:tc>
            </w:tr>
            <w:tr w14:paraId="41257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75" w:type="pct"/>
                  <w:tcBorders>
                    <w:tl2br w:val="nil"/>
                    <w:tr2bl w:val="nil"/>
                  </w:tcBorders>
                  <w:vAlign w:val="center"/>
                </w:tcPr>
                <w:p w14:paraId="0714005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矿部及生活区</w:t>
                  </w:r>
                </w:p>
              </w:tc>
              <w:tc>
                <w:tcPr>
                  <w:tcW w:w="364" w:type="pct"/>
                  <w:tcBorders>
                    <w:tl2br w:val="nil"/>
                    <w:tr2bl w:val="nil"/>
                  </w:tcBorders>
                  <w:vAlign w:val="center"/>
                </w:tcPr>
                <w:p w14:paraId="38239E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K</w:t>
                  </w:r>
                  <w:r>
                    <w:rPr>
                      <w:rFonts w:hint="default" w:ascii="Times New Roman" w:hAnsi="Times New Roman" w:eastAsia="宋体" w:cs="Times New Roman"/>
                      <w:spacing w:val="11"/>
                      <w:kern w:val="0"/>
                      <w:position w:val="0"/>
                      <w:sz w:val="21"/>
                      <w:szCs w:val="21"/>
                      <w:u w:val="single" w:color="auto"/>
                      <w:lang w:bidi="ar"/>
                    </w:rPr>
                    <w:t>B</w:t>
                  </w:r>
                </w:p>
              </w:tc>
              <w:tc>
                <w:tcPr>
                  <w:tcW w:w="992" w:type="pct"/>
                  <w:tcBorders>
                    <w:tl2br w:val="nil"/>
                    <w:tr2bl w:val="nil"/>
                  </w:tcBorders>
                  <w:vAlign w:val="center"/>
                </w:tcPr>
                <w:p w14:paraId="7F2F92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林地、农村道路</w:t>
                  </w:r>
                </w:p>
              </w:tc>
              <w:tc>
                <w:tcPr>
                  <w:tcW w:w="301" w:type="pct"/>
                  <w:tcBorders>
                    <w:tl2br w:val="nil"/>
                    <w:tr2bl w:val="nil"/>
                  </w:tcBorders>
                  <w:vAlign w:val="center"/>
                </w:tcPr>
                <w:p w14:paraId="06CA2A4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4</w:t>
                  </w:r>
                </w:p>
              </w:tc>
              <w:tc>
                <w:tcPr>
                  <w:tcW w:w="301" w:type="pct"/>
                  <w:tcBorders>
                    <w:tl2br w:val="nil"/>
                    <w:tr2bl w:val="nil"/>
                  </w:tcBorders>
                  <w:vAlign w:val="center"/>
                </w:tcPr>
                <w:p w14:paraId="3A7E05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3</w:t>
                  </w:r>
                </w:p>
              </w:tc>
              <w:tc>
                <w:tcPr>
                  <w:tcW w:w="301" w:type="pct"/>
                  <w:tcBorders>
                    <w:tl2br w:val="nil"/>
                    <w:tr2bl w:val="nil"/>
                  </w:tcBorders>
                  <w:vAlign w:val="center"/>
                </w:tcPr>
                <w:p w14:paraId="528F477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2</w:t>
                  </w:r>
                </w:p>
              </w:tc>
              <w:tc>
                <w:tcPr>
                  <w:tcW w:w="304" w:type="pct"/>
                  <w:tcBorders>
                    <w:tl2br w:val="nil"/>
                    <w:tr2bl w:val="nil"/>
                  </w:tcBorders>
                  <w:vAlign w:val="center"/>
                </w:tcPr>
                <w:p w14:paraId="7A63A3D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2</w:t>
                  </w:r>
                </w:p>
              </w:tc>
              <w:tc>
                <w:tcPr>
                  <w:tcW w:w="621" w:type="pct"/>
                  <w:tcBorders>
                    <w:tl2br w:val="nil"/>
                    <w:tr2bl w:val="nil"/>
                  </w:tcBorders>
                  <w:vAlign w:val="center"/>
                </w:tcPr>
                <w:p w14:paraId="02F5107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旱地</w:t>
                  </w:r>
                </w:p>
              </w:tc>
              <w:tc>
                <w:tcPr>
                  <w:tcW w:w="535" w:type="pct"/>
                  <w:tcBorders>
                    <w:tl2br w:val="nil"/>
                    <w:tr2bl w:val="nil"/>
                  </w:tcBorders>
                  <w:vAlign w:val="center"/>
                </w:tcPr>
                <w:p w14:paraId="3445E0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0</w:t>
                  </w:r>
                  <w:r>
                    <w:rPr>
                      <w:rFonts w:hint="default" w:ascii="Times New Roman" w:hAnsi="Times New Roman" w:eastAsia="宋体" w:cs="Times New Roman"/>
                      <w:spacing w:val="11"/>
                      <w:kern w:val="0"/>
                      <w:position w:val="0"/>
                      <w:sz w:val="21"/>
                      <w:szCs w:val="21"/>
                      <w:u w:val="single" w:color="auto"/>
                      <w:lang w:bidi="ar"/>
                    </w:rPr>
                    <w:t>.4405</w:t>
                  </w:r>
                </w:p>
              </w:tc>
              <w:tc>
                <w:tcPr>
                  <w:tcW w:w="801" w:type="pct"/>
                  <w:tcBorders>
                    <w:tl2br w:val="nil"/>
                    <w:tr2bl w:val="nil"/>
                  </w:tcBorders>
                  <w:vAlign w:val="center"/>
                </w:tcPr>
                <w:p w14:paraId="48AF161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F</w:t>
                  </w:r>
                  <w:r>
                    <w:rPr>
                      <w:rFonts w:hint="default" w:ascii="Times New Roman" w:hAnsi="Times New Roman" w:eastAsia="宋体" w:cs="Times New Roman"/>
                      <w:spacing w:val="11"/>
                      <w:kern w:val="0"/>
                      <w:position w:val="0"/>
                      <w:sz w:val="21"/>
                      <w:szCs w:val="21"/>
                      <w:u w:val="single" w:color="auto"/>
                      <w:lang w:bidi="ar"/>
                    </w:rPr>
                    <w:t>K4</w:t>
                  </w:r>
                </w:p>
              </w:tc>
            </w:tr>
            <w:tr w14:paraId="7A372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5" w:type="pct"/>
                  <w:vMerge w:val="restart"/>
                  <w:tcBorders>
                    <w:tl2br w:val="nil"/>
                    <w:tr2bl w:val="nil"/>
                  </w:tcBorders>
                  <w:vAlign w:val="center"/>
                </w:tcPr>
                <w:p w14:paraId="7B00BF2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矿山公路</w:t>
                  </w:r>
                  <w:r>
                    <w:rPr>
                      <w:rFonts w:hint="eastAsia" w:ascii="Times New Roman" w:hAnsi="Times New Roman" w:eastAsia="宋体" w:cs="Times New Roman"/>
                      <w:spacing w:val="11"/>
                      <w:kern w:val="0"/>
                      <w:position w:val="0"/>
                      <w:sz w:val="21"/>
                      <w:szCs w:val="21"/>
                      <w:u w:val="single" w:color="auto"/>
                      <w:lang w:bidi="ar"/>
                    </w:rPr>
                    <w:t>区</w:t>
                  </w:r>
                </w:p>
              </w:tc>
              <w:tc>
                <w:tcPr>
                  <w:tcW w:w="364" w:type="pct"/>
                  <w:tcBorders>
                    <w:tl2br w:val="nil"/>
                    <w:tr2bl w:val="nil"/>
                  </w:tcBorders>
                  <w:vAlign w:val="center"/>
                </w:tcPr>
                <w:p w14:paraId="4F617D3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L</w:t>
                  </w:r>
                  <w:r>
                    <w:rPr>
                      <w:rFonts w:hint="default" w:ascii="Times New Roman" w:hAnsi="Times New Roman" w:eastAsia="宋体" w:cs="Times New Roman"/>
                      <w:spacing w:val="11"/>
                      <w:kern w:val="0"/>
                      <w:position w:val="0"/>
                      <w:sz w:val="21"/>
                      <w:szCs w:val="21"/>
                      <w:u w:val="single" w:color="auto"/>
                      <w:lang w:bidi="ar"/>
                    </w:rPr>
                    <w:t>1</w:t>
                  </w:r>
                </w:p>
              </w:tc>
              <w:tc>
                <w:tcPr>
                  <w:tcW w:w="992" w:type="pct"/>
                  <w:tcBorders>
                    <w:tl2br w:val="nil"/>
                    <w:tr2bl w:val="nil"/>
                  </w:tcBorders>
                  <w:vAlign w:val="center"/>
                </w:tcPr>
                <w:p w14:paraId="5EE527A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林地、采矿用地、农村道路</w:t>
                  </w:r>
                </w:p>
              </w:tc>
              <w:tc>
                <w:tcPr>
                  <w:tcW w:w="301" w:type="pct"/>
                  <w:tcBorders>
                    <w:tl2br w:val="nil"/>
                    <w:tr2bl w:val="nil"/>
                  </w:tcBorders>
                  <w:vAlign w:val="center"/>
                </w:tcPr>
                <w:p w14:paraId="7D5AD1D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4</w:t>
                  </w:r>
                </w:p>
              </w:tc>
              <w:tc>
                <w:tcPr>
                  <w:tcW w:w="301" w:type="pct"/>
                  <w:tcBorders>
                    <w:tl2br w:val="nil"/>
                    <w:tr2bl w:val="nil"/>
                  </w:tcBorders>
                  <w:vAlign w:val="center"/>
                </w:tcPr>
                <w:p w14:paraId="19E5A6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3</w:t>
                  </w:r>
                </w:p>
              </w:tc>
              <w:tc>
                <w:tcPr>
                  <w:tcW w:w="301" w:type="pct"/>
                  <w:tcBorders>
                    <w:tl2br w:val="nil"/>
                    <w:tr2bl w:val="nil"/>
                  </w:tcBorders>
                  <w:vAlign w:val="center"/>
                </w:tcPr>
                <w:p w14:paraId="1F31456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2</w:t>
                  </w:r>
                </w:p>
              </w:tc>
              <w:tc>
                <w:tcPr>
                  <w:tcW w:w="304" w:type="pct"/>
                  <w:tcBorders>
                    <w:tl2br w:val="nil"/>
                    <w:tr2bl w:val="nil"/>
                  </w:tcBorders>
                  <w:vAlign w:val="center"/>
                </w:tcPr>
                <w:p w14:paraId="57030F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2</w:t>
                  </w:r>
                </w:p>
              </w:tc>
              <w:tc>
                <w:tcPr>
                  <w:tcW w:w="621" w:type="pct"/>
                  <w:tcBorders>
                    <w:tl2br w:val="nil"/>
                    <w:tr2bl w:val="nil"/>
                  </w:tcBorders>
                  <w:vAlign w:val="center"/>
                </w:tcPr>
                <w:p w14:paraId="2ED6A2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保留</w:t>
                  </w:r>
                </w:p>
              </w:tc>
              <w:tc>
                <w:tcPr>
                  <w:tcW w:w="535" w:type="pct"/>
                  <w:tcBorders>
                    <w:tl2br w:val="nil"/>
                    <w:tr2bl w:val="nil"/>
                  </w:tcBorders>
                  <w:vAlign w:val="center"/>
                </w:tcPr>
                <w:p w14:paraId="3DEE04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0</w:t>
                  </w:r>
                  <w:r>
                    <w:rPr>
                      <w:rFonts w:hint="default" w:ascii="Times New Roman" w:hAnsi="Times New Roman" w:eastAsia="宋体" w:cs="Times New Roman"/>
                      <w:spacing w:val="11"/>
                      <w:kern w:val="0"/>
                      <w:position w:val="0"/>
                      <w:sz w:val="21"/>
                      <w:szCs w:val="21"/>
                      <w:u w:val="single" w:color="auto"/>
                      <w:lang w:bidi="ar"/>
                    </w:rPr>
                    <w:t>.2428</w:t>
                  </w:r>
                </w:p>
              </w:tc>
              <w:tc>
                <w:tcPr>
                  <w:tcW w:w="801" w:type="pct"/>
                  <w:vMerge w:val="restart"/>
                  <w:tcBorders>
                    <w:tl2br w:val="nil"/>
                    <w:tr2bl w:val="nil"/>
                  </w:tcBorders>
                  <w:vAlign w:val="center"/>
                </w:tcPr>
                <w:p w14:paraId="388081C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F</w:t>
                  </w:r>
                  <w:r>
                    <w:rPr>
                      <w:rFonts w:hint="default" w:ascii="Times New Roman" w:hAnsi="Times New Roman" w:eastAsia="宋体" w:cs="Times New Roman"/>
                      <w:spacing w:val="11"/>
                      <w:kern w:val="0"/>
                      <w:position w:val="0"/>
                      <w:sz w:val="21"/>
                      <w:szCs w:val="21"/>
                      <w:u w:val="single" w:color="auto"/>
                      <w:lang w:bidi="ar"/>
                    </w:rPr>
                    <w:t>K5</w:t>
                  </w:r>
                </w:p>
              </w:tc>
            </w:tr>
            <w:tr w14:paraId="340A7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5" w:type="pct"/>
                  <w:vMerge w:val="continue"/>
                  <w:tcBorders>
                    <w:tl2br w:val="nil"/>
                    <w:tr2bl w:val="nil"/>
                  </w:tcBorders>
                  <w:vAlign w:val="center"/>
                </w:tcPr>
                <w:p w14:paraId="3F95D4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364" w:type="pct"/>
                  <w:tcBorders>
                    <w:tl2br w:val="nil"/>
                    <w:tr2bl w:val="nil"/>
                  </w:tcBorders>
                  <w:vAlign w:val="center"/>
                </w:tcPr>
                <w:p w14:paraId="1F1451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L</w:t>
                  </w:r>
                  <w:r>
                    <w:rPr>
                      <w:rFonts w:hint="default" w:ascii="Times New Roman" w:hAnsi="Times New Roman" w:eastAsia="宋体" w:cs="Times New Roman"/>
                      <w:spacing w:val="11"/>
                      <w:kern w:val="0"/>
                      <w:position w:val="0"/>
                      <w:sz w:val="21"/>
                      <w:szCs w:val="21"/>
                      <w:u w:val="single" w:color="auto"/>
                      <w:lang w:bidi="ar"/>
                    </w:rPr>
                    <w:t>2</w:t>
                  </w:r>
                </w:p>
              </w:tc>
              <w:tc>
                <w:tcPr>
                  <w:tcW w:w="992" w:type="pct"/>
                  <w:tcBorders>
                    <w:tl2br w:val="nil"/>
                    <w:tr2bl w:val="nil"/>
                  </w:tcBorders>
                  <w:vAlign w:val="center"/>
                </w:tcPr>
                <w:p w14:paraId="458A6F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林地、采矿用地</w:t>
                  </w:r>
                </w:p>
              </w:tc>
              <w:tc>
                <w:tcPr>
                  <w:tcW w:w="301" w:type="pct"/>
                  <w:tcBorders>
                    <w:tl2br w:val="nil"/>
                    <w:tr2bl w:val="nil"/>
                  </w:tcBorders>
                  <w:vAlign w:val="center"/>
                </w:tcPr>
                <w:p w14:paraId="172581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4</w:t>
                  </w:r>
                </w:p>
              </w:tc>
              <w:tc>
                <w:tcPr>
                  <w:tcW w:w="301" w:type="pct"/>
                  <w:tcBorders>
                    <w:tl2br w:val="nil"/>
                    <w:tr2bl w:val="nil"/>
                  </w:tcBorders>
                  <w:vAlign w:val="center"/>
                </w:tcPr>
                <w:p w14:paraId="5287B5B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3</w:t>
                  </w:r>
                </w:p>
              </w:tc>
              <w:tc>
                <w:tcPr>
                  <w:tcW w:w="301" w:type="pct"/>
                  <w:tcBorders>
                    <w:tl2br w:val="nil"/>
                    <w:tr2bl w:val="nil"/>
                  </w:tcBorders>
                  <w:vAlign w:val="center"/>
                </w:tcPr>
                <w:p w14:paraId="52243E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2</w:t>
                  </w:r>
                </w:p>
              </w:tc>
              <w:tc>
                <w:tcPr>
                  <w:tcW w:w="304" w:type="pct"/>
                  <w:tcBorders>
                    <w:tl2br w:val="nil"/>
                    <w:tr2bl w:val="nil"/>
                  </w:tcBorders>
                  <w:vAlign w:val="center"/>
                </w:tcPr>
                <w:p w14:paraId="2AFC90F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2</w:t>
                  </w:r>
                </w:p>
              </w:tc>
              <w:tc>
                <w:tcPr>
                  <w:tcW w:w="621" w:type="pct"/>
                  <w:tcBorders>
                    <w:tl2br w:val="nil"/>
                    <w:tr2bl w:val="nil"/>
                  </w:tcBorders>
                  <w:vAlign w:val="center"/>
                </w:tcPr>
                <w:p w14:paraId="4D178EB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保留</w:t>
                  </w:r>
                </w:p>
              </w:tc>
              <w:tc>
                <w:tcPr>
                  <w:tcW w:w="535" w:type="pct"/>
                  <w:tcBorders>
                    <w:tl2br w:val="nil"/>
                    <w:tr2bl w:val="nil"/>
                  </w:tcBorders>
                  <w:vAlign w:val="center"/>
                </w:tcPr>
                <w:p w14:paraId="2C1799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0.0</w:t>
                  </w:r>
                  <w:r>
                    <w:rPr>
                      <w:rFonts w:hint="default" w:ascii="Times New Roman" w:hAnsi="Times New Roman" w:eastAsia="宋体" w:cs="Times New Roman"/>
                      <w:spacing w:val="11"/>
                      <w:kern w:val="0"/>
                      <w:position w:val="0"/>
                      <w:sz w:val="21"/>
                      <w:szCs w:val="21"/>
                      <w:u w:val="single" w:color="auto"/>
                      <w:lang w:bidi="ar"/>
                    </w:rPr>
                    <w:t>431</w:t>
                  </w:r>
                </w:p>
              </w:tc>
              <w:tc>
                <w:tcPr>
                  <w:tcW w:w="801" w:type="pct"/>
                  <w:vMerge w:val="continue"/>
                  <w:tcBorders>
                    <w:tl2br w:val="nil"/>
                    <w:tr2bl w:val="nil"/>
                  </w:tcBorders>
                  <w:vAlign w:val="center"/>
                </w:tcPr>
                <w:p w14:paraId="41FB1C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r>
            <w:tr w14:paraId="50B559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0" w:type="pct"/>
                  <w:gridSpan w:val="7"/>
                  <w:vMerge w:val="restart"/>
                  <w:tcBorders>
                    <w:tl2br w:val="nil"/>
                    <w:tr2bl w:val="nil"/>
                  </w:tcBorders>
                  <w:vAlign w:val="center"/>
                </w:tcPr>
                <w:p w14:paraId="0088608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合计</w:t>
                  </w:r>
                </w:p>
              </w:tc>
              <w:tc>
                <w:tcPr>
                  <w:tcW w:w="621" w:type="pct"/>
                  <w:tcBorders>
                    <w:tl2br w:val="nil"/>
                    <w:tr2bl w:val="nil"/>
                  </w:tcBorders>
                  <w:vAlign w:val="center"/>
                </w:tcPr>
                <w:p w14:paraId="29346E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旱地</w:t>
                  </w:r>
                </w:p>
              </w:tc>
              <w:tc>
                <w:tcPr>
                  <w:tcW w:w="535" w:type="pct"/>
                  <w:tcBorders>
                    <w:tl2br w:val="nil"/>
                    <w:tr2bl w:val="nil"/>
                  </w:tcBorders>
                  <w:vAlign w:val="center"/>
                </w:tcPr>
                <w:p w14:paraId="1D42E2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1.2778</w:t>
                  </w:r>
                </w:p>
              </w:tc>
              <w:tc>
                <w:tcPr>
                  <w:tcW w:w="801" w:type="pct"/>
                  <w:vMerge w:val="restart"/>
                  <w:tcBorders>
                    <w:tl2br w:val="nil"/>
                    <w:tr2bl w:val="nil"/>
                  </w:tcBorders>
                  <w:vAlign w:val="center"/>
                </w:tcPr>
                <w:p w14:paraId="5C5D870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r>
            <w:tr w14:paraId="66B4B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0" w:type="pct"/>
                  <w:gridSpan w:val="7"/>
                  <w:vMerge w:val="continue"/>
                  <w:tcBorders>
                    <w:tl2br w:val="nil"/>
                    <w:tr2bl w:val="nil"/>
                  </w:tcBorders>
                  <w:vAlign w:val="center"/>
                </w:tcPr>
                <w:p w14:paraId="24735DC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621" w:type="pct"/>
                  <w:tcBorders>
                    <w:tl2br w:val="nil"/>
                    <w:tr2bl w:val="nil"/>
                  </w:tcBorders>
                  <w:vAlign w:val="center"/>
                </w:tcPr>
                <w:p w14:paraId="28C6D1E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林地</w:t>
                  </w:r>
                </w:p>
              </w:tc>
              <w:tc>
                <w:tcPr>
                  <w:tcW w:w="535" w:type="pct"/>
                  <w:tcBorders>
                    <w:tl2br w:val="nil"/>
                    <w:tr2bl w:val="nil"/>
                  </w:tcBorders>
                  <w:vAlign w:val="center"/>
                </w:tcPr>
                <w:p w14:paraId="4986C0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5.6719</w:t>
                  </w:r>
                </w:p>
              </w:tc>
              <w:tc>
                <w:tcPr>
                  <w:tcW w:w="801" w:type="pct"/>
                  <w:vMerge w:val="continue"/>
                  <w:tcBorders>
                    <w:tl2br w:val="nil"/>
                    <w:tr2bl w:val="nil"/>
                  </w:tcBorders>
                  <w:vAlign w:val="center"/>
                </w:tcPr>
                <w:p w14:paraId="4B2533D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r>
            <w:tr w14:paraId="567CA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0" w:type="pct"/>
                  <w:gridSpan w:val="7"/>
                  <w:vMerge w:val="continue"/>
                  <w:tcBorders>
                    <w:tl2br w:val="nil"/>
                    <w:tr2bl w:val="nil"/>
                  </w:tcBorders>
                  <w:vAlign w:val="center"/>
                </w:tcPr>
                <w:p w14:paraId="026264E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621" w:type="pct"/>
                  <w:tcBorders>
                    <w:tl2br w:val="nil"/>
                    <w:tr2bl w:val="nil"/>
                  </w:tcBorders>
                  <w:vAlign w:val="center"/>
                </w:tcPr>
                <w:p w14:paraId="391B07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草地</w:t>
                  </w:r>
                </w:p>
              </w:tc>
              <w:tc>
                <w:tcPr>
                  <w:tcW w:w="535" w:type="pct"/>
                  <w:tcBorders>
                    <w:tl2br w:val="nil"/>
                    <w:tr2bl w:val="nil"/>
                  </w:tcBorders>
                  <w:vAlign w:val="center"/>
                </w:tcPr>
                <w:p w14:paraId="117028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2.9966</w:t>
                  </w:r>
                </w:p>
              </w:tc>
              <w:tc>
                <w:tcPr>
                  <w:tcW w:w="801" w:type="pct"/>
                  <w:vMerge w:val="continue"/>
                  <w:tcBorders>
                    <w:tl2br w:val="nil"/>
                    <w:tr2bl w:val="nil"/>
                  </w:tcBorders>
                  <w:vAlign w:val="center"/>
                </w:tcPr>
                <w:p w14:paraId="0B80BC8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r>
            <w:tr w14:paraId="27410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0" w:type="pct"/>
                  <w:gridSpan w:val="7"/>
                  <w:vMerge w:val="continue"/>
                  <w:tcBorders>
                    <w:tl2br w:val="nil"/>
                    <w:tr2bl w:val="nil"/>
                  </w:tcBorders>
                  <w:vAlign w:val="center"/>
                </w:tcPr>
                <w:p w14:paraId="3FB280A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c>
                <w:tcPr>
                  <w:tcW w:w="621" w:type="pct"/>
                  <w:tcBorders>
                    <w:tl2br w:val="nil"/>
                    <w:tr2bl w:val="nil"/>
                  </w:tcBorders>
                  <w:vAlign w:val="center"/>
                </w:tcPr>
                <w:p w14:paraId="4C5408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eastAsia" w:ascii="Times New Roman" w:hAnsi="Times New Roman" w:eastAsia="宋体" w:cs="Times New Roman"/>
                      <w:spacing w:val="11"/>
                      <w:kern w:val="0"/>
                      <w:position w:val="0"/>
                      <w:sz w:val="21"/>
                      <w:szCs w:val="21"/>
                      <w:u w:val="single" w:color="auto"/>
                      <w:lang w:bidi="ar"/>
                    </w:rPr>
                    <w:t>保留</w:t>
                  </w:r>
                </w:p>
              </w:tc>
              <w:tc>
                <w:tcPr>
                  <w:tcW w:w="535" w:type="pct"/>
                  <w:tcBorders>
                    <w:tl2br w:val="nil"/>
                    <w:tr2bl w:val="nil"/>
                  </w:tcBorders>
                  <w:vAlign w:val="center"/>
                </w:tcPr>
                <w:p w14:paraId="4C37904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r>
                    <w:rPr>
                      <w:rFonts w:hint="default" w:ascii="Times New Roman" w:hAnsi="Times New Roman" w:eastAsia="宋体" w:cs="Times New Roman"/>
                      <w:spacing w:val="11"/>
                      <w:kern w:val="0"/>
                      <w:position w:val="0"/>
                      <w:sz w:val="21"/>
                      <w:szCs w:val="21"/>
                      <w:u w:val="single" w:color="auto"/>
                      <w:lang w:bidi="ar"/>
                    </w:rPr>
                    <w:t>0.2859</w:t>
                  </w:r>
                </w:p>
              </w:tc>
              <w:tc>
                <w:tcPr>
                  <w:tcW w:w="801" w:type="pct"/>
                  <w:vMerge w:val="continue"/>
                  <w:tcBorders>
                    <w:tl2br w:val="nil"/>
                    <w:tr2bl w:val="nil"/>
                  </w:tcBorders>
                  <w:vAlign w:val="center"/>
                </w:tcPr>
                <w:p w14:paraId="7DF326B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 w:val="21"/>
                      <w:szCs w:val="21"/>
                      <w:u w:val="single" w:color="auto"/>
                      <w:lang w:bidi="ar"/>
                    </w:rPr>
                  </w:pPr>
                </w:p>
              </w:tc>
            </w:tr>
            <w:bookmarkEnd w:id="70"/>
          </w:tbl>
          <w:p w14:paraId="5103AE03">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textAlignment w:val="auto"/>
              <w:rPr>
                <w:rFonts w:hint="default" w:ascii="Times New Roman" w:hAnsi="Times New Roman" w:cs="Times New Roman"/>
                <w:spacing w:val="11"/>
                <w:position w:val="0"/>
                <w:sz w:val="24"/>
                <w:u w:val="single" w:color="auto"/>
                <w:lang w:eastAsia="zh-CN"/>
              </w:rPr>
            </w:pPr>
            <w:r>
              <w:rPr>
                <w:rFonts w:hint="default" w:ascii="Times New Roman" w:hAnsi="Times New Roman" w:cs="Times New Roman"/>
                <w:spacing w:val="11"/>
                <w:position w:val="0"/>
                <w:sz w:val="24"/>
                <w:u w:val="single" w:color="auto"/>
                <w:lang w:eastAsia="zh-CN"/>
              </w:rPr>
              <w:t>根据开发利用方案，矿山采用山坡台阶式露天开采，露采场开采台阶斜面坡度达65°，无法覆土，采用在斜面坡顶和坡脚种植攀爬性藤类，并配合坡面挂爬藤网对斜面进行绿化。</w:t>
            </w:r>
          </w:p>
          <w:p w14:paraId="7F30D3B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spacing w:val="11"/>
                <w:position w:val="0"/>
                <w:sz w:val="24"/>
                <w:u w:val="single" w:color="auto"/>
                <w:lang w:eastAsia="zh-CN"/>
              </w:rPr>
            </w:pPr>
            <w:r>
              <w:rPr>
                <w:rFonts w:hint="default" w:ascii="Times New Roman" w:hAnsi="Times New Roman" w:cs="Times New Roman"/>
                <w:spacing w:val="11"/>
                <w:position w:val="0"/>
                <w:sz w:val="24"/>
                <w:u w:val="single" w:color="auto"/>
                <w:lang w:eastAsia="zh-CN"/>
              </w:rPr>
              <w:t>矿山在开拓开采过程中开挖公路，进矿主干道留作日后复垦管护道路及未来旱地区生产便道。</w:t>
            </w:r>
          </w:p>
          <w:p w14:paraId="6A82C0B9">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spacing w:val="11"/>
                <w:position w:val="0"/>
                <w:sz w:val="24"/>
                <w:u w:val="single" w:color="auto"/>
                <w:lang w:eastAsia="zh-CN"/>
              </w:rPr>
            </w:pPr>
            <w:r>
              <w:rPr>
                <w:rFonts w:hint="default" w:ascii="Times New Roman" w:hAnsi="Times New Roman" w:cs="Times New Roman"/>
                <w:spacing w:val="11"/>
                <w:position w:val="0"/>
                <w:sz w:val="24"/>
                <w:u w:val="single" w:color="auto"/>
                <w:lang w:eastAsia="zh-CN"/>
              </w:rPr>
              <w:t>综上所述，本方案设计将原排土场复垦成旱地；露采场（Lc）开采台阶平台复垦为林地；开采台阶斜坡坡顶和坡底栽种攀爬性藤类+PE爬藤网修复成草地，底盘复垦为林地，可种植油茶树等经济作物；工业广场及矿部地面建设区复垦为旱地，排土场复垦为林地，矿山公路进矿主干道保留不复垦，文锋岭矿区建筑石料用灰岩矿土地复垦方向初步确定为旱地、林地、草地</w:t>
            </w:r>
            <w:r>
              <w:rPr>
                <w:rFonts w:hint="eastAsia" w:cs="Times New Roman"/>
                <w:spacing w:val="11"/>
                <w:position w:val="0"/>
                <w:sz w:val="24"/>
                <w:u w:val="single" w:color="auto"/>
                <w:lang w:eastAsia="zh-CN"/>
              </w:rPr>
              <w:t>。</w:t>
            </w:r>
          </w:p>
          <w:p w14:paraId="2372F86C">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lang w:eastAsia="zh-CN"/>
              </w:rPr>
              <w:t>（</w:t>
            </w:r>
            <w:r>
              <w:rPr>
                <w:rFonts w:hint="default" w:ascii="Times New Roman" w:hAnsi="Times New Roman" w:cs="Times New Roman"/>
                <w:spacing w:val="11"/>
                <w:position w:val="0"/>
                <w:sz w:val="24"/>
                <w:u w:val="single" w:color="auto"/>
                <w:lang w:val="en-US" w:eastAsia="zh-CN"/>
              </w:rPr>
              <w:t>4）</w:t>
            </w:r>
            <w:r>
              <w:rPr>
                <w:rFonts w:hint="default" w:ascii="Times New Roman" w:hAnsi="Times New Roman" w:cs="Times New Roman"/>
                <w:spacing w:val="11"/>
                <w:position w:val="0"/>
                <w:sz w:val="24"/>
                <w:u w:val="single" w:color="auto"/>
              </w:rPr>
              <w:t>土地复垦质量控制标准</w:t>
            </w:r>
          </w:p>
          <w:p w14:paraId="616DABF5">
            <w:pPr>
              <w:spacing w:line="360" w:lineRule="auto"/>
              <w:ind w:firstLine="480"/>
              <w:rPr>
                <w:rFonts w:hint="eastAsia" w:ascii="Times New Roman" w:hAnsi="Times New Roman" w:eastAsia="宋体" w:cs="Times New Roman"/>
                <w:spacing w:val="11"/>
                <w:position w:val="0"/>
                <w:sz w:val="24"/>
                <w:u w:val="single" w:color="auto"/>
                <w:lang w:eastAsia="zh-CN"/>
              </w:rPr>
            </w:pPr>
            <w:r>
              <w:rPr>
                <w:rFonts w:hint="default" w:ascii="Times New Roman" w:hAnsi="Times New Roman" w:cs="Times New Roman"/>
                <w:spacing w:val="11"/>
                <w:position w:val="0"/>
                <w:sz w:val="24"/>
                <w:u w:val="single" w:color="auto"/>
              </w:rPr>
              <w:t>根据《土地复垦质量控制标准》（TD/T1036-2013）中附录D.8的规定，结合本矿山情况，本方案采用的旱地、林地和草地复垦质量控制标准见</w:t>
            </w:r>
            <w:r>
              <w:rPr>
                <w:rFonts w:hint="eastAsia" w:cs="Times New Roman"/>
                <w:spacing w:val="11"/>
                <w:position w:val="0"/>
                <w:sz w:val="24"/>
                <w:u w:val="single" w:color="auto"/>
                <w:lang w:val="en-US" w:eastAsia="zh-CN"/>
              </w:rPr>
              <w:t>下</w:t>
            </w:r>
            <w:r>
              <w:rPr>
                <w:rFonts w:hint="default" w:ascii="Times New Roman" w:hAnsi="Times New Roman" w:cs="Times New Roman"/>
                <w:spacing w:val="11"/>
                <w:position w:val="0"/>
                <w:sz w:val="24"/>
                <w:u w:val="single" w:color="auto"/>
              </w:rPr>
              <w:t>表</w:t>
            </w:r>
            <w:r>
              <w:rPr>
                <w:rFonts w:hint="eastAsia" w:cs="Times New Roman"/>
                <w:spacing w:val="11"/>
                <w:position w:val="0"/>
                <w:sz w:val="24"/>
                <w:u w:val="single" w:color="auto"/>
                <w:lang w:eastAsia="zh-CN"/>
              </w:rPr>
              <w:t>。</w:t>
            </w:r>
          </w:p>
          <w:p w14:paraId="381C267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pacing w:val="11"/>
                <w:kern w:val="0"/>
                <w:position w:val="0"/>
                <w:sz w:val="21"/>
                <w:szCs w:val="21"/>
                <w:u w:val="single" w:color="auto"/>
                <w:lang w:val="en-US" w:eastAsia="zh-CN" w:bidi="ar"/>
              </w:rPr>
            </w:pPr>
            <w:r>
              <w:rPr>
                <w:rFonts w:hint="default" w:ascii="Times New Roman" w:hAnsi="Times New Roman" w:eastAsia="宋体" w:cs="Times New Roman"/>
                <w:b/>
                <w:bCs/>
                <w:spacing w:val="11"/>
                <w:kern w:val="0"/>
                <w:position w:val="0"/>
                <w:sz w:val="21"/>
                <w:szCs w:val="21"/>
                <w:u w:val="single" w:color="auto"/>
                <w:lang w:val="en-US" w:eastAsia="zh-CN" w:bidi="ar"/>
              </w:rPr>
              <w:t>表5-</w:t>
            </w:r>
            <w:r>
              <w:rPr>
                <w:rFonts w:hint="eastAsia" w:ascii="Times New Roman" w:hAnsi="Times New Roman" w:eastAsia="宋体" w:cs="Times New Roman"/>
                <w:b/>
                <w:bCs/>
                <w:spacing w:val="11"/>
                <w:kern w:val="0"/>
                <w:position w:val="0"/>
                <w:sz w:val="21"/>
                <w:szCs w:val="21"/>
                <w:u w:val="single" w:color="auto"/>
                <w:lang w:val="en-US" w:eastAsia="zh-CN" w:bidi="ar"/>
              </w:rPr>
              <w:t>2</w:t>
            </w:r>
            <w:r>
              <w:rPr>
                <w:rFonts w:hint="default" w:ascii="Times New Roman" w:hAnsi="Times New Roman" w:eastAsia="宋体" w:cs="Times New Roman"/>
                <w:b/>
                <w:bCs/>
                <w:spacing w:val="11"/>
                <w:kern w:val="0"/>
                <w:position w:val="0"/>
                <w:sz w:val="21"/>
                <w:szCs w:val="21"/>
                <w:u w:val="single" w:color="auto"/>
                <w:lang w:val="en-US" w:eastAsia="zh-CN" w:bidi="ar"/>
              </w:rPr>
              <w:t xml:space="preserve">  土地复垦质量控制标准</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5"/>
              <w:gridCol w:w="797"/>
              <w:gridCol w:w="1071"/>
              <w:gridCol w:w="1868"/>
              <w:gridCol w:w="1867"/>
              <w:gridCol w:w="1631"/>
            </w:tblGrid>
            <w:tr w14:paraId="35FF6A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91" w:type="pct"/>
                  <w:gridSpan w:val="2"/>
                  <w:tcBorders>
                    <w:tl2br w:val="nil"/>
                    <w:tr2bl w:val="nil"/>
                  </w:tcBorders>
                  <w:vAlign w:val="center"/>
                </w:tcPr>
                <w:p w14:paraId="647693CE">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复垦方向</w:t>
                  </w:r>
                </w:p>
              </w:tc>
              <w:tc>
                <w:tcPr>
                  <w:tcW w:w="667" w:type="pct"/>
                  <w:tcBorders>
                    <w:tl2br w:val="nil"/>
                    <w:tr2bl w:val="nil"/>
                  </w:tcBorders>
                  <w:vAlign w:val="center"/>
                </w:tcPr>
                <w:p w14:paraId="36B12FAB">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指标类型</w:t>
                  </w:r>
                </w:p>
              </w:tc>
              <w:tc>
                <w:tcPr>
                  <w:tcW w:w="1163" w:type="pct"/>
                  <w:tcBorders>
                    <w:tl2br w:val="nil"/>
                    <w:tr2bl w:val="nil"/>
                  </w:tcBorders>
                  <w:vAlign w:val="center"/>
                </w:tcPr>
                <w:p w14:paraId="24E30F27">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基本指标</w:t>
                  </w:r>
                </w:p>
              </w:tc>
              <w:tc>
                <w:tcPr>
                  <w:tcW w:w="1162" w:type="pct"/>
                  <w:tcBorders>
                    <w:tl2br w:val="nil"/>
                    <w:tr2bl w:val="nil"/>
                  </w:tcBorders>
                  <w:vAlign w:val="center"/>
                </w:tcPr>
                <w:p w14:paraId="1C47B9C7">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国家控制标准</w:t>
                  </w:r>
                </w:p>
              </w:tc>
              <w:tc>
                <w:tcPr>
                  <w:tcW w:w="1014" w:type="pct"/>
                  <w:tcBorders>
                    <w:tl2br w:val="nil"/>
                    <w:tr2bl w:val="nil"/>
                  </w:tcBorders>
                  <w:vAlign w:val="center"/>
                </w:tcPr>
                <w:p w14:paraId="307838ED">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项目区控制标准</w:t>
                  </w:r>
                </w:p>
              </w:tc>
            </w:tr>
            <w:tr w14:paraId="042C2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restart"/>
                  <w:tcBorders>
                    <w:tl2br w:val="nil"/>
                    <w:tr2bl w:val="nil"/>
                  </w:tcBorders>
                  <w:vAlign w:val="center"/>
                </w:tcPr>
                <w:p w14:paraId="5C847521">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耕地</w:t>
                  </w:r>
                </w:p>
              </w:tc>
              <w:tc>
                <w:tcPr>
                  <w:tcW w:w="495" w:type="pct"/>
                  <w:vMerge w:val="restart"/>
                  <w:tcBorders>
                    <w:tl2br w:val="nil"/>
                    <w:tr2bl w:val="nil"/>
                  </w:tcBorders>
                  <w:vAlign w:val="center"/>
                </w:tcPr>
                <w:p w14:paraId="30EB4818">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旱地</w:t>
                  </w:r>
                </w:p>
              </w:tc>
              <w:tc>
                <w:tcPr>
                  <w:tcW w:w="667" w:type="pct"/>
                  <w:tcBorders>
                    <w:tl2br w:val="nil"/>
                    <w:tr2bl w:val="nil"/>
                  </w:tcBorders>
                  <w:vAlign w:val="center"/>
                </w:tcPr>
                <w:p w14:paraId="4480FF02">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地形</w:t>
                  </w:r>
                </w:p>
              </w:tc>
              <w:tc>
                <w:tcPr>
                  <w:tcW w:w="1163" w:type="pct"/>
                  <w:tcBorders>
                    <w:tl2br w:val="nil"/>
                    <w:tr2bl w:val="nil"/>
                  </w:tcBorders>
                  <w:vAlign w:val="center"/>
                </w:tcPr>
                <w:p w14:paraId="40532D31">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田面坡度/（°）</w:t>
                  </w:r>
                </w:p>
              </w:tc>
              <w:tc>
                <w:tcPr>
                  <w:tcW w:w="1162" w:type="pct"/>
                  <w:tcBorders>
                    <w:tl2br w:val="nil"/>
                    <w:tr2bl w:val="nil"/>
                  </w:tcBorders>
                  <w:vAlign w:val="center"/>
                </w:tcPr>
                <w:p w14:paraId="5D84C9AC">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≤15</w:t>
                  </w:r>
                </w:p>
              </w:tc>
              <w:tc>
                <w:tcPr>
                  <w:tcW w:w="1014" w:type="pct"/>
                  <w:tcBorders>
                    <w:tl2br w:val="nil"/>
                    <w:tr2bl w:val="nil"/>
                  </w:tcBorders>
                  <w:vAlign w:val="center"/>
                </w:tcPr>
                <w:p w14:paraId="7EE70704">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≤10</w:t>
                  </w:r>
                </w:p>
              </w:tc>
            </w:tr>
            <w:tr w14:paraId="786CE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6AF0B6C4">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07F10B79">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restart"/>
                  <w:tcBorders>
                    <w:tl2br w:val="nil"/>
                    <w:tr2bl w:val="nil"/>
                  </w:tcBorders>
                  <w:vAlign w:val="center"/>
                </w:tcPr>
                <w:p w14:paraId="53E40488">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土壤质量</w:t>
                  </w:r>
                </w:p>
              </w:tc>
              <w:tc>
                <w:tcPr>
                  <w:tcW w:w="1163" w:type="pct"/>
                  <w:tcBorders>
                    <w:tl2br w:val="nil"/>
                    <w:tr2bl w:val="nil"/>
                  </w:tcBorders>
                  <w:vAlign w:val="center"/>
                </w:tcPr>
                <w:p w14:paraId="5B0EE410">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有效土层厚度/cm</w:t>
                  </w:r>
                </w:p>
              </w:tc>
              <w:tc>
                <w:tcPr>
                  <w:tcW w:w="1162" w:type="pct"/>
                  <w:tcBorders>
                    <w:tl2br w:val="nil"/>
                    <w:tr2bl w:val="nil"/>
                  </w:tcBorders>
                  <w:vAlign w:val="center"/>
                </w:tcPr>
                <w:p w14:paraId="328B340A">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≥50</w:t>
                  </w:r>
                </w:p>
              </w:tc>
              <w:tc>
                <w:tcPr>
                  <w:tcW w:w="1014" w:type="pct"/>
                  <w:tcBorders>
                    <w:tl2br w:val="nil"/>
                    <w:tr2bl w:val="nil"/>
                  </w:tcBorders>
                  <w:vAlign w:val="center"/>
                </w:tcPr>
                <w:p w14:paraId="151B6154">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80</w:t>
                  </w:r>
                </w:p>
              </w:tc>
            </w:tr>
            <w:tr w14:paraId="3F3F1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6C891D92">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399F42A4">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continue"/>
                  <w:tcBorders>
                    <w:tl2br w:val="nil"/>
                    <w:tr2bl w:val="nil"/>
                  </w:tcBorders>
                  <w:vAlign w:val="center"/>
                </w:tcPr>
                <w:p w14:paraId="16B9D1EE">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163" w:type="pct"/>
                  <w:tcBorders>
                    <w:tl2br w:val="nil"/>
                    <w:tr2bl w:val="nil"/>
                  </w:tcBorders>
                  <w:vAlign w:val="center"/>
                </w:tcPr>
                <w:p w14:paraId="6232956D">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土壤容重/（g/cm</w:t>
                  </w:r>
                  <w:r>
                    <w:rPr>
                      <w:rFonts w:hint="default" w:ascii="Times New Roman" w:hAnsi="Times New Roman" w:eastAsia="宋体" w:cs="Times New Roman"/>
                      <w:color w:val="auto"/>
                      <w:sz w:val="21"/>
                      <w:szCs w:val="21"/>
                      <w:u w:val="single" w:color="auto"/>
                      <w:vertAlign w:val="superscript"/>
                    </w:rPr>
                    <w:t>3</w:t>
                  </w:r>
                  <w:r>
                    <w:rPr>
                      <w:rFonts w:hint="default" w:ascii="Times New Roman" w:hAnsi="Times New Roman" w:eastAsia="宋体" w:cs="Times New Roman"/>
                      <w:color w:val="auto"/>
                      <w:sz w:val="21"/>
                      <w:szCs w:val="21"/>
                      <w:u w:val="single" w:color="auto"/>
                    </w:rPr>
                    <w:t>）</w:t>
                  </w:r>
                </w:p>
              </w:tc>
              <w:tc>
                <w:tcPr>
                  <w:tcW w:w="1162" w:type="pct"/>
                  <w:tcBorders>
                    <w:tl2br w:val="nil"/>
                    <w:tr2bl w:val="nil"/>
                  </w:tcBorders>
                  <w:vAlign w:val="center"/>
                </w:tcPr>
                <w:p w14:paraId="0EB3676C">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≤1.4</w:t>
                  </w:r>
                </w:p>
              </w:tc>
              <w:tc>
                <w:tcPr>
                  <w:tcW w:w="1014" w:type="pct"/>
                  <w:tcBorders>
                    <w:tl2br w:val="nil"/>
                    <w:tr2bl w:val="nil"/>
                  </w:tcBorders>
                  <w:vAlign w:val="center"/>
                </w:tcPr>
                <w:p w14:paraId="51E529D6">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≤1.4</w:t>
                  </w:r>
                </w:p>
              </w:tc>
            </w:tr>
            <w:tr w14:paraId="5C95C6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6A7EEE2A">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2946B485">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continue"/>
                  <w:tcBorders>
                    <w:tl2br w:val="nil"/>
                    <w:tr2bl w:val="nil"/>
                  </w:tcBorders>
                  <w:vAlign w:val="center"/>
                </w:tcPr>
                <w:p w14:paraId="5E741563">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163" w:type="pct"/>
                  <w:tcBorders>
                    <w:tl2br w:val="nil"/>
                    <w:tr2bl w:val="nil"/>
                  </w:tcBorders>
                  <w:vAlign w:val="center"/>
                </w:tcPr>
                <w:p w14:paraId="388BABD3">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土壤质地</w:t>
                  </w:r>
                </w:p>
              </w:tc>
              <w:tc>
                <w:tcPr>
                  <w:tcW w:w="1162" w:type="pct"/>
                  <w:tcBorders>
                    <w:tl2br w:val="nil"/>
                    <w:tr2bl w:val="nil"/>
                  </w:tcBorders>
                  <w:vAlign w:val="center"/>
                </w:tcPr>
                <w:p w14:paraId="673B4574">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砂质壤土至壤质粘土</w:t>
                  </w:r>
                </w:p>
              </w:tc>
              <w:tc>
                <w:tcPr>
                  <w:tcW w:w="1014" w:type="pct"/>
                  <w:tcBorders>
                    <w:tl2br w:val="nil"/>
                    <w:tr2bl w:val="nil"/>
                  </w:tcBorders>
                  <w:vAlign w:val="center"/>
                </w:tcPr>
                <w:p w14:paraId="33F9BD1C">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砂质壤土至壤质粘土</w:t>
                  </w:r>
                </w:p>
              </w:tc>
            </w:tr>
            <w:tr w14:paraId="46AFD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17021812">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298938EC">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continue"/>
                  <w:tcBorders>
                    <w:tl2br w:val="nil"/>
                    <w:tr2bl w:val="nil"/>
                  </w:tcBorders>
                  <w:vAlign w:val="center"/>
                </w:tcPr>
                <w:p w14:paraId="44BDBA36">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163" w:type="pct"/>
                  <w:tcBorders>
                    <w:tl2br w:val="nil"/>
                    <w:tr2bl w:val="nil"/>
                  </w:tcBorders>
                  <w:vAlign w:val="center"/>
                </w:tcPr>
                <w:p w14:paraId="05357714">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砾石含量/﹪</w:t>
                  </w:r>
                </w:p>
              </w:tc>
              <w:tc>
                <w:tcPr>
                  <w:tcW w:w="1162" w:type="pct"/>
                  <w:tcBorders>
                    <w:tl2br w:val="nil"/>
                    <w:tr2bl w:val="nil"/>
                  </w:tcBorders>
                  <w:vAlign w:val="center"/>
                </w:tcPr>
                <w:p w14:paraId="16537EFB">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≤5</w:t>
                  </w:r>
                </w:p>
              </w:tc>
              <w:tc>
                <w:tcPr>
                  <w:tcW w:w="1014" w:type="pct"/>
                  <w:tcBorders>
                    <w:tl2br w:val="nil"/>
                    <w:tr2bl w:val="nil"/>
                  </w:tcBorders>
                  <w:vAlign w:val="center"/>
                </w:tcPr>
                <w:p w14:paraId="634045FE">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≤5</w:t>
                  </w:r>
                </w:p>
              </w:tc>
            </w:tr>
            <w:tr w14:paraId="6F8ACD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07831D96">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2641ED1F">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continue"/>
                  <w:tcBorders>
                    <w:tl2br w:val="nil"/>
                    <w:tr2bl w:val="nil"/>
                  </w:tcBorders>
                  <w:vAlign w:val="center"/>
                </w:tcPr>
                <w:p w14:paraId="0CA35F74">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163" w:type="pct"/>
                  <w:tcBorders>
                    <w:tl2br w:val="nil"/>
                    <w:tr2bl w:val="nil"/>
                  </w:tcBorders>
                  <w:vAlign w:val="center"/>
                </w:tcPr>
                <w:p w14:paraId="2896774F">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pH值</w:t>
                  </w:r>
                </w:p>
              </w:tc>
              <w:tc>
                <w:tcPr>
                  <w:tcW w:w="1162" w:type="pct"/>
                  <w:tcBorders>
                    <w:tl2br w:val="nil"/>
                    <w:tr2bl w:val="nil"/>
                  </w:tcBorders>
                  <w:vAlign w:val="center"/>
                </w:tcPr>
                <w:p w14:paraId="7581843A">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5.5-8.0</w:t>
                  </w:r>
                </w:p>
              </w:tc>
              <w:tc>
                <w:tcPr>
                  <w:tcW w:w="1014" w:type="pct"/>
                  <w:tcBorders>
                    <w:tl2br w:val="nil"/>
                    <w:tr2bl w:val="nil"/>
                  </w:tcBorders>
                  <w:vAlign w:val="center"/>
                </w:tcPr>
                <w:p w14:paraId="34CC487E">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6.0-8.5</w:t>
                  </w:r>
                </w:p>
              </w:tc>
            </w:tr>
            <w:tr w14:paraId="12522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3D5A644E">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615D5559">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continue"/>
                  <w:tcBorders>
                    <w:tl2br w:val="nil"/>
                    <w:tr2bl w:val="nil"/>
                  </w:tcBorders>
                  <w:vAlign w:val="center"/>
                </w:tcPr>
                <w:p w14:paraId="2E94B14F">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163" w:type="pct"/>
                  <w:tcBorders>
                    <w:tl2br w:val="nil"/>
                    <w:tr2bl w:val="nil"/>
                  </w:tcBorders>
                  <w:vAlign w:val="center"/>
                </w:tcPr>
                <w:p w14:paraId="03D4D528">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有机质/﹪</w:t>
                  </w:r>
                </w:p>
              </w:tc>
              <w:tc>
                <w:tcPr>
                  <w:tcW w:w="1162" w:type="pct"/>
                  <w:tcBorders>
                    <w:tl2br w:val="nil"/>
                    <w:tr2bl w:val="nil"/>
                  </w:tcBorders>
                  <w:vAlign w:val="center"/>
                </w:tcPr>
                <w:p w14:paraId="17D4E23F">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≥1</w:t>
                  </w:r>
                </w:p>
              </w:tc>
              <w:tc>
                <w:tcPr>
                  <w:tcW w:w="1014" w:type="pct"/>
                  <w:tcBorders>
                    <w:tl2br w:val="nil"/>
                    <w:tr2bl w:val="nil"/>
                  </w:tcBorders>
                  <w:vAlign w:val="center"/>
                </w:tcPr>
                <w:p w14:paraId="7EDDE689">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≥1</w:t>
                  </w:r>
                </w:p>
              </w:tc>
            </w:tr>
            <w:tr w14:paraId="1F67F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55F18707">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35EC535C">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continue"/>
                  <w:tcBorders>
                    <w:tl2br w:val="nil"/>
                    <w:tr2bl w:val="nil"/>
                  </w:tcBorders>
                  <w:vAlign w:val="center"/>
                </w:tcPr>
                <w:p w14:paraId="3C389616">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163" w:type="pct"/>
                  <w:tcBorders>
                    <w:tl2br w:val="nil"/>
                    <w:tr2bl w:val="nil"/>
                  </w:tcBorders>
                  <w:vAlign w:val="center"/>
                </w:tcPr>
                <w:p w14:paraId="216F8768">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电导率/（ds/m）</w:t>
                  </w:r>
                </w:p>
              </w:tc>
              <w:tc>
                <w:tcPr>
                  <w:tcW w:w="1162" w:type="pct"/>
                  <w:tcBorders>
                    <w:tl2br w:val="nil"/>
                    <w:tr2bl w:val="nil"/>
                  </w:tcBorders>
                  <w:vAlign w:val="center"/>
                </w:tcPr>
                <w:p w14:paraId="04EE56D2">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≤2</w:t>
                  </w:r>
                </w:p>
              </w:tc>
              <w:tc>
                <w:tcPr>
                  <w:tcW w:w="1014" w:type="pct"/>
                  <w:tcBorders>
                    <w:tl2br w:val="nil"/>
                    <w:tr2bl w:val="nil"/>
                  </w:tcBorders>
                  <w:vAlign w:val="center"/>
                </w:tcPr>
                <w:p w14:paraId="5D1B0F1E">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≤2</w:t>
                  </w:r>
                </w:p>
              </w:tc>
            </w:tr>
            <w:tr w14:paraId="28486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5423E245">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25E2DE7A">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restart"/>
                  <w:tcBorders>
                    <w:tl2br w:val="nil"/>
                    <w:tr2bl w:val="nil"/>
                  </w:tcBorders>
                  <w:vAlign w:val="center"/>
                </w:tcPr>
                <w:p w14:paraId="37E7B434">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配套设施</w:t>
                  </w:r>
                </w:p>
              </w:tc>
              <w:tc>
                <w:tcPr>
                  <w:tcW w:w="1163" w:type="pct"/>
                  <w:tcBorders>
                    <w:tl2br w:val="nil"/>
                    <w:tr2bl w:val="nil"/>
                  </w:tcBorders>
                  <w:vAlign w:val="center"/>
                </w:tcPr>
                <w:p w14:paraId="518FFAEC">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排水</w:t>
                  </w:r>
                </w:p>
              </w:tc>
              <w:tc>
                <w:tcPr>
                  <w:tcW w:w="1162" w:type="pct"/>
                  <w:vMerge w:val="restart"/>
                  <w:tcBorders>
                    <w:tl2br w:val="nil"/>
                    <w:tr2bl w:val="nil"/>
                  </w:tcBorders>
                  <w:vAlign w:val="center"/>
                </w:tcPr>
                <w:p w14:paraId="2DA411AE">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达到当地各行业工程建设标准要求</w:t>
                  </w:r>
                </w:p>
              </w:tc>
              <w:tc>
                <w:tcPr>
                  <w:tcW w:w="1014" w:type="pct"/>
                  <w:vMerge w:val="restart"/>
                  <w:tcBorders>
                    <w:tl2br w:val="nil"/>
                    <w:tr2bl w:val="nil"/>
                  </w:tcBorders>
                  <w:vAlign w:val="center"/>
                </w:tcPr>
                <w:p w14:paraId="166530D7">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达到当地各行业工程建设标准要求</w:t>
                  </w:r>
                </w:p>
              </w:tc>
            </w:tr>
            <w:tr w14:paraId="31517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61666E70">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313083BB">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continue"/>
                  <w:tcBorders>
                    <w:tl2br w:val="nil"/>
                    <w:tr2bl w:val="nil"/>
                  </w:tcBorders>
                  <w:vAlign w:val="center"/>
                </w:tcPr>
                <w:p w14:paraId="0B64961E">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163" w:type="pct"/>
                  <w:tcBorders>
                    <w:tl2br w:val="nil"/>
                    <w:tr2bl w:val="nil"/>
                  </w:tcBorders>
                  <w:vAlign w:val="center"/>
                </w:tcPr>
                <w:p w14:paraId="0B2F4432">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道路</w:t>
                  </w:r>
                </w:p>
              </w:tc>
              <w:tc>
                <w:tcPr>
                  <w:tcW w:w="1162" w:type="pct"/>
                  <w:vMerge w:val="continue"/>
                  <w:tcBorders>
                    <w:tl2br w:val="nil"/>
                    <w:tr2bl w:val="nil"/>
                  </w:tcBorders>
                  <w:vAlign w:val="center"/>
                </w:tcPr>
                <w:p w14:paraId="6D0CB0D3">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014" w:type="pct"/>
                  <w:vMerge w:val="continue"/>
                  <w:tcBorders>
                    <w:tl2br w:val="nil"/>
                    <w:tr2bl w:val="nil"/>
                  </w:tcBorders>
                  <w:vAlign w:val="center"/>
                </w:tcPr>
                <w:p w14:paraId="04C010C1">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r>
            <w:tr w14:paraId="11CDEF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37E9C43A">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4A24A798">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continue"/>
                  <w:tcBorders>
                    <w:tl2br w:val="nil"/>
                    <w:tr2bl w:val="nil"/>
                  </w:tcBorders>
                  <w:vAlign w:val="center"/>
                </w:tcPr>
                <w:p w14:paraId="6586ADF9">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163" w:type="pct"/>
                  <w:tcBorders>
                    <w:tl2br w:val="nil"/>
                    <w:tr2bl w:val="nil"/>
                  </w:tcBorders>
                  <w:vAlign w:val="center"/>
                </w:tcPr>
                <w:p w14:paraId="0BF12AF7">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林网</w:t>
                  </w:r>
                </w:p>
              </w:tc>
              <w:tc>
                <w:tcPr>
                  <w:tcW w:w="1162" w:type="pct"/>
                  <w:vMerge w:val="continue"/>
                  <w:tcBorders>
                    <w:tl2br w:val="nil"/>
                    <w:tr2bl w:val="nil"/>
                  </w:tcBorders>
                  <w:vAlign w:val="center"/>
                </w:tcPr>
                <w:p w14:paraId="472AEE82">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014" w:type="pct"/>
                  <w:vMerge w:val="continue"/>
                  <w:tcBorders>
                    <w:tl2br w:val="nil"/>
                    <w:tr2bl w:val="nil"/>
                  </w:tcBorders>
                  <w:vAlign w:val="center"/>
                </w:tcPr>
                <w:p w14:paraId="57D0EDFD">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r>
            <w:tr w14:paraId="6A6C8F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72881F4C">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5152D0D3">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tcBorders>
                    <w:tl2br w:val="nil"/>
                    <w:tr2bl w:val="nil"/>
                  </w:tcBorders>
                  <w:vAlign w:val="center"/>
                </w:tcPr>
                <w:p w14:paraId="63B7336C">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生产力水平</w:t>
                  </w:r>
                </w:p>
              </w:tc>
              <w:tc>
                <w:tcPr>
                  <w:tcW w:w="1163" w:type="pct"/>
                  <w:tcBorders>
                    <w:tl2br w:val="nil"/>
                    <w:tr2bl w:val="nil"/>
                  </w:tcBorders>
                  <w:vAlign w:val="center"/>
                </w:tcPr>
                <w:p w14:paraId="46D74248">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产量/（kg/hm</w:t>
                  </w:r>
                  <w:r>
                    <w:rPr>
                      <w:rFonts w:hint="default" w:ascii="Times New Roman" w:hAnsi="Times New Roman" w:eastAsia="宋体" w:cs="Times New Roman"/>
                      <w:color w:val="auto"/>
                      <w:sz w:val="21"/>
                      <w:szCs w:val="21"/>
                      <w:u w:val="single" w:color="auto"/>
                      <w:vertAlign w:val="superscript"/>
                    </w:rPr>
                    <w:t>2</w:t>
                  </w:r>
                  <w:r>
                    <w:rPr>
                      <w:rFonts w:hint="default" w:ascii="Times New Roman" w:hAnsi="Times New Roman" w:eastAsia="宋体" w:cs="Times New Roman"/>
                      <w:color w:val="auto"/>
                      <w:sz w:val="21"/>
                      <w:szCs w:val="21"/>
                      <w:u w:val="single" w:color="auto"/>
                    </w:rPr>
                    <w:t>）</w:t>
                  </w:r>
                </w:p>
              </w:tc>
              <w:tc>
                <w:tcPr>
                  <w:tcW w:w="1162" w:type="pct"/>
                  <w:tcBorders>
                    <w:tl2br w:val="nil"/>
                    <w:tr2bl w:val="nil"/>
                  </w:tcBorders>
                  <w:vAlign w:val="center"/>
                </w:tcPr>
                <w:p w14:paraId="3898E8A3">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三年后达到周边地区同等土地利用类型水平</w:t>
                  </w:r>
                </w:p>
              </w:tc>
              <w:tc>
                <w:tcPr>
                  <w:tcW w:w="1014" w:type="pct"/>
                  <w:tcBorders>
                    <w:tl2br w:val="nil"/>
                    <w:tr2bl w:val="nil"/>
                  </w:tcBorders>
                  <w:vAlign w:val="center"/>
                </w:tcPr>
                <w:p w14:paraId="1AE0255C">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三年后达到周边地区同等土地利用类型水平</w:t>
                  </w:r>
                </w:p>
              </w:tc>
            </w:tr>
            <w:tr w14:paraId="31A817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restart"/>
                  <w:tcBorders>
                    <w:tl2br w:val="nil"/>
                    <w:tr2bl w:val="nil"/>
                  </w:tcBorders>
                  <w:vAlign w:val="center"/>
                </w:tcPr>
                <w:p w14:paraId="1F0D7767">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林地</w:t>
                  </w:r>
                </w:p>
              </w:tc>
              <w:tc>
                <w:tcPr>
                  <w:tcW w:w="495" w:type="pct"/>
                  <w:vMerge w:val="restart"/>
                  <w:tcBorders>
                    <w:tl2br w:val="nil"/>
                    <w:tr2bl w:val="nil"/>
                  </w:tcBorders>
                  <w:vAlign w:val="center"/>
                </w:tcPr>
                <w:p w14:paraId="590927A8">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有</w:t>
                  </w:r>
                </w:p>
                <w:p w14:paraId="472A2B79">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林地</w:t>
                  </w:r>
                </w:p>
              </w:tc>
              <w:tc>
                <w:tcPr>
                  <w:tcW w:w="667" w:type="pct"/>
                  <w:vMerge w:val="restart"/>
                  <w:tcBorders>
                    <w:tl2br w:val="nil"/>
                    <w:tr2bl w:val="nil"/>
                  </w:tcBorders>
                  <w:vAlign w:val="center"/>
                </w:tcPr>
                <w:p w14:paraId="182D90E6">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土壤</w:t>
                  </w:r>
                </w:p>
                <w:p w14:paraId="1F362311">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质量</w:t>
                  </w:r>
                </w:p>
              </w:tc>
              <w:tc>
                <w:tcPr>
                  <w:tcW w:w="1163" w:type="pct"/>
                  <w:tcBorders>
                    <w:tl2br w:val="nil"/>
                    <w:tr2bl w:val="nil"/>
                  </w:tcBorders>
                  <w:vAlign w:val="center"/>
                </w:tcPr>
                <w:p w14:paraId="7070339D">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有效土层厚度/cm</w:t>
                  </w:r>
                </w:p>
              </w:tc>
              <w:tc>
                <w:tcPr>
                  <w:tcW w:w="1162" w:type="pct"/>
                  <w:tcBorders>
                    <w:tl2br w:val="nil"/>
                    <w:tr2bl w:val="nil"/>
                  </w:tcBorders>
                  <w:vAlign w:val="center"/>
                </w:tcPr>
                <w:p w14:paraId="0F6B5131">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≥30</w:t>
                  </w:r>
                </w:p>
              </w:tc>
              <w:tc>
                <w:tcPr>
                  <w:tcW w:w="1014" w:type="pct"/>
                  <w:tcBorders>
                    <w:tl2br w:val="nil"/>
                    <w:tr2bl w:val="nil"/>
                  </w:tcBorders>
                  <w:vAlign w:val="center"/>
                </w:tcPr>
                <w:p w14:paraId="4B1E0D95">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≥50</w:t>
                  </w:r>
                </w:p>
              </w:tc>
            </w:tr>
            <w:tr w14:paraId="0C2FD5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03C3FFFA">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3F2D48F4">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continue"/>
                  <w:tcBorders>
                    <w:tl2br w:val="nil"/>
                    <w:tr2bl w:val="nil"/>
                  </w:tcBorders>
                  <w:vAlign w:val="center"/>
                </w:tcPr>
                <w:p w14:paraId="53B913B3">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163" w:type="pct"/>
                  <w:tcBorders>
                    <w:tl2br w:val="nil"/>
                    <w:tr2bl w:val="nil"/>
                  </w:tcBorders>
                  <w:vAlign w:val="center"/>
                </w:tcPr>
                <w:p w14:paraId="190A5D89">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土壤容重/（g/cm</w:t>
                  </w:r>
                  <w:r>
                    <w:rPr>
                      <w:rFonts w:hint="default" w:ascii="Times New Roman" w:hAnsi="Times New Roman" w:eastAsia="宋体" w:cs="Times New Roman"/>
                      <w:color w:val="auto"/>
                      <w:sz w:val="21"/>
                      <w:szCs w:val="21"/>
                      <w:u w:val="single" w:color="auto"/>
                      <w:vertAlign w:val="superscript"/>
                    </w:rPr>
                    <w:t>3</w:t>
                  </w:r>
                  <w:r>
                    <w:rPr>
                      <w:rFonts w:hint="default" w:ascii="Times New Roman" w:hAnsi="Times New Roman" w:eastAsia="宋体" w:cs="Times New Roman"/>
                      <w:color w:val="auto"/>
                      <w:sz w:val="21"/>
                      <w:szCs w:val="21"/>
                      <w:u w:val="single" w:color="auto"/>
                    </w:rPr>
                    <w:t>）</w:t>
                  </w:r>
                </w:p>
              </w:tc>
              <w:tc>
                <w:tcPr>
                  <w:tcW w:w="1162" w:type="pct"/>
                  <w:tcBorders>
                    <w:tl2br w:val="nil"/>
                    <w:tr2bl w:val="nil"/>
                  </w:tcBorders>
                  <w:vAlign w:val="center"/>
                </w:tcPr>
                <w:p w14:paraId="3842C027">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≤1.5</w:t>
                  </w:r>
                </w:p>
              </w:tc>
              <w:tc>
                <w:tcPr>
                  <w:tcW w:w="1014" w:type="pct"/>
                  <w:tcBorders>
                    <w:tl2br w:val="nil"/>
                    <w:tr2bl w:val="nil"/>
                  </w:tcBorders>
                  <w:vAlign w:val="center"/>
                </w:tcPr>
                <w:p w14:paraId="017ABA48">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≤1.5</w:t>
                  </w:r>
                </w:p>
              </w:tc>
            </w:tr>
            <w:tr w14:paraId="4804A6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53EE094F">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56F8E184">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continue"/>
                  <w:tcBorders>
                    <w:tl2br w:val="nil"/>
                    <w:tr2bl w:val="nil"/>
                  </w:tcBorders>
                  <w:vAlign w:val="center"/>
                </w:tcPr>
                <w:p w14:paraId="43DC5726">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163" w:type="pct"/>
                  <w:tcBorders>
                    <w:tl2br w:val="nil"/>
                    <w:tr2bl w:val="nil"/>
                  </w:tcBorders>
                  <w:vAlign w:val="center"/>
                </w:tcPr>
                <w:p w14:paraId="5B32D924">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土壤质地</w:t>
                  </w:r>
                </w:p>
              </w:tc>
              <w:tc>
                <w:tcPr>
                  <w:tcW w:w="1162" w:type="pct"/>
                  <w:tcBorders>
                    <w:tl2br w:val="nil"/>
                    <w:tr2bl w:val="nil"/>
                  </w:tcBorders>
                  <w:vAlign w:val="center"/>
                </w:tcPr>
                <w:p w14:paraId="04DB0C79">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砂土至壤质粘土</w:t>
                  </w:r>
                </w:p>
              </w:tc>
              <w:tc>
                <w:tcPr>
                  <w:tcW w:w="1014" w:type="pct"/>
                  <w:tcBorders>
                    <w:tl2br w:val="nil"/>
                    <w:tr2bl w:val="nil"/>
                  </w:tcBorders>
                  <w:vAlign w:val="center"/>
                </w:tcPr>
                <w:p w14:paraId="1CD4B8B7">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砂土至壤质粘土</w:t>
                  </w:r>
                </w:p>
              </w:tc>
            </w:tr>
            <w:tr w14:paraId="471BAB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95" w:type="pct"/>
                  <w:vMerge w:val="continue"/>
                  <w:tcBorders>
                    <w:tl2br w:val="nil"/>
                    <w:tr2bl w:val="nil"/>
                  </w:tcBorders>
                  <w:vAlign w:val="center"/>
                </w:tcPr>
                <w:p w14:paraId="5EC9B8AF">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5B986C82">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continue"/>
                  <w:tcBorders>
                    <w:tl2br w:val="nil"/>
                    <w:tr2bl w:val="nil"/>
                  </w:tcBorders>
                  <w:vAlign w:val="center"/>
                </w:tcPr>
                <w:p w14:paraId="13154C62">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163" w:type="pct"/>
                  <w:tcBorders>
                    <w:tl2br w:val="nil"/>
                    <w:tr2bl w:val="nil"/>
                  </w:tcBorders>
                  <w:vAlign w:val="center"/>
                </w:tcPr>
                <w:p w14:paraId="6DDDD1D8">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砾石含量/%</w:t>
                  </w:r>
                </w:p>
              </w:tc>
              <w:tc>
                <w:tcPr>
                  <w:tcW w:w="1162" w:type="pct"/>
                  <w:tcBorders>
                    <w:tl2br w:val="nil"/>
                    <w:tr2bl w:val="nil"/>
                  </w:tcBorders>
                  <w:vAlign w:val="center"/>
                </w:tcPr>
                <w:p w14:paraId="7FD36319">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≤50</w:t>
                  </w:r>
                </w:p>
              </w:tc>
              <w:tc>
                <w:tcPr>
                  <w:tcW w:w="1014" w:type="pct"/>
                  <w:tcBorders>
                    <w:tl2br w:val="nil"/>
                    <w:tr2bl w:val="nil"/>
                  </w:tcBorders>
                  <w:vAlign w:val="center"/>
                </w:tcPr>
                <w:p w14:paraId="7BD0DDCD">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≤20</w:t>
                  </w:r>
                </w:p>
              </w:tc>
            </w:tr>
            <w:tr w14:paraId="5F583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12BECCD6">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0B501312">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continue"/>
                  <w:tcBorders>
                    <w:tl2br w:val="nil"/>
                    <w:tr2bl w:val="nil"/>
                  </w:tcBorders>
                  <w:vAlign w:val="center"/>
                </w:tcPr>
                <w:p w14:paraId="67880E99">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163" w:type="pct"/>
                  <w:tcBorders>
                    <w:tl2br w:val="nil"/>
                    <w:tr2bl w:val="nil"/>
                  </w:tcBorders>
                  <w:vAlign w:val="center"/>
                </w:tcPr>
                <w:p w14:paraId="647866A5">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pH值</w:t>
                  </w:r>
                </w:p>
              </w:tc>
              <w:tc>
                <w:tcPr>
                  <w:tcW w:w="1162" w:type="pct"/>
                  <w:tcBorders>
                    <w:tl2br w:val="nil"/>
                    <w:tr2bl w:val="nil"/>
                  </w:tcBorders>
                  <w:vAlign w:val="center"/>
                </w:tcPr>
                <w:p w14:paraId="203EB17C">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5.0～8.0</w:t>
                  </w:r>
                </w:p>
              </w:tc>
              <w:tc>
                <w:tcPr>
                  <w:tcW w:w="1014" w:type="pct"/>
                  <w:tcBorders>
                    <w:tl2br w:val="nil"/>
                    <w:tr2bl w:val="nil"/>
                  </w:tcBorders>
                  <w:vAlign w:val="center"/>
                </w:tcPr>
                <w:p w14:paraId="52316A38">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5.5～8.0</w:t>
                  </w:r>
                </w:p>
              </w:tc>
            </w:tr>
            <w:tr w14:paraId="21AEF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95" w:type="pct"/>
                  <w:vMerge w:val="continue"/>
                  <w:tcBorders>
                    <w:tl2br w:val="nil"/>
                    <w:tr2bl w:val="nil"/>
                  </w:tcBorders>
                  <w:vAlign w:val="center"/>
                </w:tcPr>
                <w:p w14:paraId="19AB8006">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3D90B4DA">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continue"/>
                  <w:tcBorders>
                    <w:tl2br w:val="nil"/>
                    <w:tr2bl w:val="nil"/>
                  </w:tcBorders>
                  <w:vAlign w:val="center"/>
                </w:tcPr>
                <w:p w14:paraId="253D44A7">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163" w:type="pct"/>
                  <w:tcBorders>
                    <w:tl2br w:val="nil"/>
                    <w:tr2bl w:val="nil"/>
                  </w:tcBorders>
                  <w:vAlign w:val="center"/>
                </w:tcPr>
                <w:p w14:paraId="0183A6E1">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有机质/%</w:t>
                  </w:r>
                </w:p>
              </w:tc>
              <w:tc>
                <w:tcPr>
                  <w:tcW w:w="1162" w:type="pct"/>
                  <w:tcBorders>
                    <w:tl2br w:val="nil"/>
                    <w:tr2bl w:val="nil"/>
                  </w:tcBorders>
                  <w:vAlign w:val="center"/>
                </w:tcPr>
                <w:p w14:paraId="7B08AC1D">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≥1</w:t>
                  </w:r>
                </w:p>
              </w:tc>
              <w:tc>
                <w:tcPr>
                  <w:tcW w:w="1014" w:type="pct"/>
                  <w:tcBorders>
                    <w:tl2br w:val="nil"/>
                    <w:tr2bl w:val="nil"/>
                  </w:tcBorders>
                  <w:vAlign w:val="center"/>
                </w:tcPr>
                <w:p w14:paraId="1B2F1D1F">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≥1</w:t>
                  </w:r>
                </w:p>
              </w:tc>
            </w:tr>
            <w:tr w14:paraId="6B0238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3C0C1C3A">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063A7A65">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tcBorders>
                    <w:tl2br w:val="nil"/>
                    <w:tr2bl w:val="nil"/>
                  </w:tcBorders>
                  <w:vAlign w:val="center"/>
                </w:tcPr>
                <w:p w14:paraId="2DEF0056">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配套设施</w:t>
                  </w:r>
                </w:p>
              </w:tc>
              <w:tc>
                <w:tcPr>
                  <w:tcW w:w="1163" w:type="pct"/>
                  <w:tcBorders>
                    <w:tl2br w:val="nil"/>
                    <w:tr2bl w:val="nil"/>
                  </w:tcBorders>
                  <w:vAlign w:val="center"/>
                </w:tcPr>
                <w:p w14:paraId="277E71B3">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道路</w:t>
                  </w:r>
                </w:p>
              </w:tc>
              <w:tc>
                <w:tcPr>
                  <w:tcW w:w="2177" w:type="pct"/>
                  <w:gridSpan w:val="2"/>
                  <w:tcBorders>
                    <w:tl2br w:val="nil"/>
                    <w:tr2bl w:val="nil"/>
                  </w:tcBorders>
                  <w:vAlign w:val="center"/>
                </w:tcPr>
                <w:p w14:paraId="03CEEC76">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达到当地本行业工程建设标准要求</w:t>
                  </w:r>
                </w:p>
              </w:tc>
            </w:tr>
            <w:tr w14:paraId="6C1BC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445A4143">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5E55E4BA">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restart"/>
                  <w:tcBorders>
                    <w:tl2br w:val="nil"/>
                    <w:tr2bl w:val="nil"/>
                  </w:tcBorders>
                  <w:vAlign w:val="center"/>
                </w:tcPr>
                <w:p w14:paraId="517B5FD4">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生产力</w:t>
                  </w:r>
                </w:p>
                <w:p w14:paraId="63A49472">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水平</w:t>
                  </w:r>
                </w:p>
              </w:tc>
              <w:tc>
                <w:tcPr>
                  <w:tcW w:w="1163" w:type="pct"/>
                  <w:tcBorders>
                    <w:tl2br w:val="nil"/>
                    <w:tr2bl w:val="nil"/>
                  </w:tcBorders>
                  <w:vAlign w:val="center"/>
                </w:tcPr>
                <w:p w14:paraId="4DF23412">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定植密度/（株/hm</w:t>
                  </w:r>
                  <w:r>
                    <w:rPr>
                      <w:rFonts w:hint="default" w:ascii="Times New Roman" w:hAnsi="Times New Roman" w:eastAsia="宋体" w:cs="Times New Roman"/>
                      <w:color w:val="auto"/>
                      <w:sz w:val="21"/>
                      <w:szCs w:val="21"/>
                      <w:u w:val="single" w:color="auto"/>
                      <w:vertAlign w:val="superscript"/>
                    </w:rPr>
                    <w:t>2</w:t>
                  </w:r>
                  <w:r>
                    <w:rPr>
                      <w:rFonts w:hint="default" w:ascii="Times New Roman" w:hAnsi="Times New Roman" w:eastAsia="宋体" w:cs="Times New Roman"/>
                      <w:color w:val="auto"/>
                      <w:sz w:val="21"/>
                      <w:szCs w:val="21"/>
                      <w:u w:val="single" w:color="auto"/>
                    </w:rPr>
                    <w:t>）</w:t>
                  </w:r>
                </w:p>
              </w:tc>
              <w:tc>
                <w:tcPr>
                  <w:tcW w:w="2177" w:type="pct"/>
                  <w:gridSpan w:val="2"/>
                  <w:tcBorders>
                    <w:tl2br w:val="nil"/>
                    <w:tr2bl w:val="nil"/>
                  </w:tcBorders>
                  <w:vAlign w:val="center"/>
                </w:tcPr>
                <w:p w14:paraId="4B0E416D">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满足《造林作业设计规程》（LY/T 1607）要求</w:t>
                  </w:r>
                </w:p>
              </w:tc>
            </w:tr>
            <w:tr w14:paraId="7FD30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1965DF31">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3C50CC2B">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continue"/>
                  <w:tcBorders>
                    <w:tl2br w:val="nil"/>
                    <w:tr2bl w:val="nil"/>
                  </w:tcBorders>
                  <w:vAlign w:val="center"/>
                </w:tcPr>
                <w:p w14:paraId="715AC078">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163" w:type="pct"/>
                  <w:tcBorders>
                    <w:tl2br w:val="nil"/>
                    <w:tr2bl w:val="nil"/>
                  </w:tcBorders>
                  <w:vAlign w:val="center"/>
                </w:tcPr>
                <w:p w14:paraId="69571C79">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郁闭度</w:t>
                  </w:r>
                </w:p>
              </w:tc>
              <w:tc>
                <w:tcPr>
                  <w:tcW w:w="1162" w:type="pct"/>
                  <w:tcBorders>
                    <w:tl2br w:val="nil"/>
                    <w:tr2bl w:val="nil"/>
                  </w:tcBorders>
                  <w:vAlign w:val="center"/>
                </w:tcPr>
                <w:p w14:paraId="02E57C52">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≥0.35</w:t>
                  </w:r>
                </w:p>
              </w:tc>
              <w:tc>
                <w:tcPr>
                  <w:tcW w:w="1014" w:type="pct"/>
                  <w:tcBorders>
                    <w:tl2br w:val="nil"/>
                    <w:tr2bl w:val="nil"/>
                  </w:tcBorders>
                  <w:vAlign w:val="center"/>
                </w:tcPr>
                <w:p w14:paraId="68A132DB">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≥0.35，多年后≥0.75</w:t>
                  </w:r>
                </w:p>
              </w:tc>
            </w:tr>
            <w:tr w14:paraId="2A310F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restart"/>
                  <w:tcBorders>
                    <w:tl2br w:val="nil"/>
                    <w:tr2bl w:val="nil"/>
                  </w:tcBorders>
                  <w:vAlign w:val="center"/>
                </w:tcPr>
                <w:p w14:paraId="3C4BC297">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草地</w:t>
                  </w:r>
                </w:p>
              </w:tc>
              <w:tc>
                <w:tcPr>
                  <w:tcW w:w="495" w:type="pct"/>
                  <w:vMerge w:val="restart"/>
                  <w:tcBorders>
                    <w:tl2br w:val="nil"/>
                    <w:tr2bl w:val="nil"/>
                  </w:tcBorders>
                  <w:vAlign w:val="center"/>
                </w:tcPr>
                <w:p w14:paraId="045EA102">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其他</w:t>
                  </w:r>
                </w:p>
                <w:p w14:paraId="706CF568">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草地</w:t>
                  </w:r>
                </w:p>
              </w:tc>
              <w:tc>
                <w:tcPr>
                  <w:tcW w:w="667" w:type="pct"/>
                  <w:vMerge w:val="restart"/>
                  <w:tcBorders>
                    <w:tl2br w:val="nil"/>
                    <w:tr2bl w:val="nil"/>
                  </w:tcBorders>
                  <w:vAlign w:val="center"/>
                </w:tcPr>
                <w:p w14:paraId="5CF088BE">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土壤</w:t>
                  </w:r>
                </w:p>
                <w:p w14:paraId="164D2FCA">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质量</w:t>
                  </w:r>
                </w:p>
              </w:tc>
              <w:tc>
                <w:tcPr>
                  <w:tcW w:w="1163" w:type="pct"/>
                  <w:tcBorders>
                    <w:tl2br w:val="nil"/>
                    <w:tr2bl w:val="nil"/>
                  </w:tcBorders>
                  <w:vAlign w:val="center"/>
                </w:tcPr>
                <w:p w14:paraId="346BC8AB">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有效土层厚度/cm</w:t>
                  </w:r>
                </w:p>
              </w:tc>
              <w:tc>
                <w:tcPr>
                  <w:tcW w:w="1162" w:type="pct"/>
                  <w:tcBorders>
                    <w:tl2br w:val="nil"/>
                    <w:tr2bl w:val="nil"/>
                  </w:tcBorders>
                  <w:vAlign w:val="center"/>
                </w:tcPr>
                <w:p w14:paraId="24AC59A7">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≥20</w:t>
                  </w:r>
                </w:p>
              </w:tc>
              <w:tc>
                <w:tcPr>
                  <w:tcW w:w="1014" w:type="pct"/>
                  <w:tcBorders>
                    <w:tl2br w:val="nil"/>
                    <w:tr2bl w:val="nil"/>
                  </w:tcBorders>
                  <w:vAlign w:val="center"/>
                </w:tcPr>
                <w:p w14:paraId="1416B717">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≥30</w:t>
                  </w:r>
                </w:p>
              </w:tc>
            </w:tr>
            <w:tr w14:paraId="4A5D9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4A4CA7D3">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69B89195">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continue"/>
                  <w:tcBorders>
                    <w:tl2br w:val="nil"/>
                    <w:tr2bl w:val="nil"/>
                  </w:tcBorders>
                  <w:vAlign w:val="center"/>
                </w:tcPr>
                <w:p w14:paraId="47EFD3E7">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163" w:type="pct"/>
                  <w:tcBorders>
                    <w:tl2br w:val="nil"/>
                    <w:tr2bl w:val="nil"/>
                  </w:tcBorders>
                  <w:vAlign w:val="center"/>
                </w:tcPr>
                <w:p w14:paraId="31F9D70A">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土壤容重/（g/cm</w:t>
                  </w:r>
                  <w:r>
                    <w:rPr>
                      <w:rFonts w:hint="default" w:ascii="Times New Roman" w:hAnsi="Times New Roman" w:eastAsia="宋体" w:cs="Times New Roman"/>
                      <w:color w:val="auto"/>
                      <w:sz w:val="21"/>
                      <w:szCs w:val="21"/>
                      <w:u w:val="single" w:color="auto"/>
                      <w:vertAlign w:val="superscript"/>
                    </w:rPr>
                    <w:t>3</w:t>
                  </w:r>
                  <w:r>
                    <w:rPr>
                      <w:rFonts w:hint="default" w:ascii="Times New Roman" w:hAnsi="Times New Roman" w:eastAsia="宋体" w:cs="Times New Roman"/>
                      <w:color w:val="auto"/>
                      <w:sz w:val="21"/>
                      <w:szCs w:val="21"/>
                      <w:u w:val="single" w:color="auto"/>
                    </w:rPr>
                    <w:t>）</w:t>
                  </w:r>
                </w:p>
              </w:tc>
              <w:tc>
                <w:tcPr>
                  <w:tcW w:w="1162" w:type="pct"/>
                  <w:tcBorders>
                    <w:tl2br w:val="nil"/>
                    <w:tr2bl w:val="nil"/>
                  </w:tcBorders>
                  <w:vAlign w:val="center"/>
                </w:tcPr>
                <w:p w14:paraId="6228882F">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≤1.45</w:t>
                  </w:r>
                </w:p>
              </w:tc>
              <w:tc>
                <w:tcPr>
                  <w:tcW w:w="1014" w:type="pct"/>
                  <w:tcBorders>
                    <w:tl2br w:val="nil"/>
                    <w:tr2bl w:val="nil"/>
                  </w:tcBorders>
                  <w:vAlign w:val="center"/>
                </w:tcPr>
                <w:p w14:paraId="7D5275D8">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≤1.45</w:t>
                  </w:r>
                </w:p>
              </w:tc>
            </w:tr>
            <w:tr w14:paraId="3C880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710B30E9">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5653F03C">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continue"/>
                  <w:tcBorders>
                    <w:tl2br w:val="nil"/>
                    <w:tr2bl w:val="nil"/>
                  </w:tcBorders>
                  <w:vAlign w:val="center"/>
                </w:tcPr>
                <w:p w14:paraId="5A77557F">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163" w:type="pct"/>
                  <w:tcBorders>
                    <w:tl2br w:val="nil"/>
                    <w:tr2bl w:val="nil"/>
                  </w:tcBorders>
                  <w:vAlign w:val="center"/>
                </w:tcPr>
                <w:p w14:paraId="3903A586">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土壤质地</w:t>
                  </w:r>
                </w:p>
              </w:tc>
              <w:tc>
                <w:tcPr>
                  <w:tcW w:w="1162" w:type="pct"/>
                  <w:tcBorders>
                    <w:tl2br w:val="nil"/>
                    <w:tr2bl w:val="nil"/>
                  </w:tcBorders>
                  <w:vAlign w:val="center"/>
                </w:tcPr>
                <w:p w14:paraId="20576BD1">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砂土至壤质粘土</w:t>
                  </w:r>
                </w:p>
              </w:tc>
              <w:tc>
                <w:tcPr>
                  <w:tcW w:w="1014" w:type="pct"/>
                  <w:tcBorders>
                    <w:tl2br w:val="nil"/>
                    <w:tr2bl w:val="nil"/>
                  </w:tcBorders>
                  <w:vAlign w:val="center"/>
                </w:tcPr>
                <w:p w14:paraId="1218B31A">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砂质壤土至壤质粘土</w:t>
                  </w:r>
                </w:p>
              </w:tc>
            </w:tr>
            <w:tr w14:paraId="06CE33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6CBDF3EC">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3ABFE1A3">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continue"/>
                  <w:tcBorders>
                    <w:tl2br w:val="nil"/>
                    <w:tr2bl w:val="nil"/>
                  </w:tcBorders>
                  <w:vAlign w:val="center"/>
                </w:tcPr>
                <w:p w14:paraId="58B1A5AC">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163" w:type="pct"/>
                  <w:tcBorders>
                    <w:tl2br w:val="nil"/>
                    <w:tr2bl w:val="nil"/>
                  </w:tcBorders>
                  <w:vAlign w:val="center"/>
                </w:tcPr>
                <w:p w14:paraId="0A83E243">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砾石含量/%</w:t>
                  </w:r>
                </w:p>
              </w:tc>
              <w:tc>
                <w:tcPr>
                  <w:tcW w:w="1162" w:type="pct"/>
                  <w:tcBorders>
                    <w:tl2br w:val="nil"/>
                    <w:tr2bl w:val="nil"/>
                  </w:tcBorders>
                  <w:vAlign w:val="center"/>
                </w:tcPr>
                <w:p w14:paraId="3DDCCC30">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≤50</w:t>
                  </w:r>
                </w:p>
              </w:tc>
              <w:tc>
                <w:tcPr>
                  <w:tcW w:w="1014" w:type="pct"/>
                  <w:tcBorders>
                    <w:tl2br w:val="nil"/>
                    <w:tr2bl w:val="nil"/>
                  </w:tcBorders>
                  <w:vAlign w:val="center"/>
                </w:tcPr>
                <w:p w14:paraId="71085240">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≤15</w:t>
                  </w:r>
                </w:p>
              </w:tc>
            </w:tr>
            <w:tr w14:paraId="3FA1B3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13BB464D">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1DB3D65D">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continue"/>
                  <w:tcBorders>
                    <w:tl2br w:val="nil"/>
                    <w:tr2bl w:val="nil"/>
                  </w:tcBorders>
                  <w:vAlign w:val="center"/>
                </w:tcPr>
                <w:p w14:paraId="7D580957">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163" w:type="pct"/>
                  <w:tcBorders>
                    <w:tl2br w:val="nil"/>
                    <w:tr2bl w:val="nil"/>
                  </w:tcBorders>
                  <w:vAlign w:val="center"/>
                </w:tcPr>
                <w:p w14:paraId="3DAE25D6">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pH值</w:t>
                  </w:r>
                </w:p>
              </w:tc>
              <w:tc>
                <w:tcPr>
                  <w:tcW w:w="1162" w:type="pct"/>
                  <w:tcBorders>
                    <w:tl2br w:val="nil"/>
                    <w:tr2bl w:val="nil"/>
                  </w:tcBorders>
                  <w:vAlign w:val="center"/>
                </w:tcPr>
                <w:p w14:paraId="67DD8D11">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5.0～8.0</w:t>
                  </w:r>
                </w:p>
              </w:tc>
              <w:tc>
                <w:tcPr>
                  <w:tcW w:w="1014" w:type="pct"/>
                  <w:tcBorders>
                    <w:tl2br w:val="nil"/>
                    <w:tr2bl w:val="nil"/>
                  </w:tcBorders>
                  <w:vAlign w:val="center"/>
                </w:tcPr>
                <w:p w14:paraId="79EAFDD1">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5.5～8.0</w:t>
                  </w:r>
                </w:p>
              </w:tc>
            </w:tr>
            <w:tr w14:paraId="22D66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55FEC193">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1B07073C">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continue"/>
                  <w:tcBorders>
                    <w:tl2br w:val="nil"/>
                    <w:tr2bl w:val="nil"/>
                  </w:tcBorders>
                  <w:vAlign w:val="center"/>
                </w:tcPr>
                <w:p w14:paraId="252EB13E">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163" w:type="pct"/>
                  <w:tcBorders>
                    <w:tl2br w:val="nil"/>
                    <w:tr2bl w:val="nil"/>
                  </w:tcBorders>
                  <w:vAlign w:val="center"/>
                </w:tcPr>
                <w:p w14:paraId="2FF9D194">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有机质/%</w:t>
                  </w:r>
                </w:p>
              </w:tc>
              <w:tc>
                <w:tcPr>
                  <w:tcW w:w="1162" w:type="pct"/>
                  <w:tcBorders>
                    <w:tl2br w:val="nil"/>
                    <w:tr2bl w:val="nil"/>
                  </w:tcBorders>
                  <w:vAlign w:val="center"/>
                </w:tcPr>
                <w:p w14:paraId="223EAD53">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≥1</w:t>
                  </w:r>
                </w:p>
              </w:tc>
              <w:tc>
                <w:tcPr>
                  <w:tcW w:w="1014" w:type="pct"/>
                  <w:tcBorders>
                    <w:tl2br w:val="nil"/>
                    <w:tr2bl w:val="nil"/>
                  </w:tcBorders>
                  <w:vAlign w:val="center"/>
                </w:tcPr>
                <w:p w14:paraId="30590B63">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≥1</w:t>
                  </w:r>
                </w:p>
              </w:tc>
            </w:tr>
            <w:tr w14:paraId="6EB15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4E1BF2E0">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050BB6D0">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restart"/>
                  <w:tcBorders>
                    <w:tl2br w:val="nil"/>
                    <w:tr2bl w:val="nil"/>
                  </w:tcBorders>
                  <w:vAlign w:val="center"/>
                </w:tcPr>
                <w:p w14:paraId="21CA13B1">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配套</w:t>
                  </w:r>
                </w:p>
                <w:p w14:paraId="4CB33969">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设施</w:t>
                  </w:r>
                </w:p>
              </w:tc>
              <w:tc>
                <w:tcPr>
                  <w:tcW w:w="1163" w:type="pct"/>
                  <w:tcBorders>
                    <w:tl2br w:val="nil"/>
                    <w:tr2bl w:val="nil"/>
                  </w:tcBorders>
                  <w:vAlign w:val="center"/>
                </w:tcPr>
                <w:p w14:paraId="7D51BE8C">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灌 溉</w:t>
                  </w:r>
                </w:p>
              </w:tc>
              <w:tc>
                <w:tcPr>
                  <w:tcW w:w="2177" w:type="pct"/>
                  <w:gridSpan w:val="2"/>
                  <w:vMerge w:val="restart"/>
                  <w:tcBorders>
                    <w:tl2br w:val="nil"/>
                    <w:tr2bl w:val="nil"/>
                  </w:tcBorders>
                  <w:vAlign w:val="center"/>
                </w:tcPr>
                <w:p w14:paraId="48638CDB">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达到当地本行业工程建设标准要求</w:t>
                  </w:r>
                </w:p>
              </w:tc>
            </w:tr>
            <w:tr w14:paraId="60CE5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362AC6C6">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587B6457">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continue"/>
                  <w:tcBorders>
                    <w:tl2br w:val="nil"/>
                    <w:tr2bl w:val="nil"/>
                  </w:tcBorders>
                  <w:vAlign w:val="center"/>
                </w:tcPr>
                <w:p w14:paraId="2E9CEBBC">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163" w:type="pct"/>
                  <w:tcBorders>
                    <w:tl2br w:val="nil"/>
                    <w:tr2bl w:val="nil"/>
                  </w:tcBorders>
                  <w:vAlign w:val="center"/>
                </w:tcPr>
                <w:p w14:paraId="58B110BA">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道 路</w:t>
                  </w:r>
                </w:p>
              </w:tc>
              <w:tc>
                <w:tcPr>
                  <w:tcW w:w="2177" w:type="pct"/>
                  <w:gridSpan w:val="2"/>
                  <w:vMerge w:val="continue"/>
                  <w:tcBorders>
                    <w:tl2br w:val="nil"/>
                    <w:tr2bl w:val="nil"/>
                  </w:tcBorders>
                  <w:vAlign w:val="center"/>
                </w:tcPr>
                <w:p w14:paraId="3154C61F">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r>
            <w:tr w14:paraId="55778A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495" w:type="pct"/>
                  <w:vMerge w:val="continue"/>
                  <w:tcBorders>
                    <w:tl2br w:val="nil"/>
                    <w:tr2bl w:val="nil"/>
                  </w:tcBorders>
                  <w:vAlign w:val="center"/>
                </w:tcPr>
                <w:p w14:paraId="5D33D874">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43D2EB97">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restart"/>
                  <w:tcBorders>
                    <w:tl2br w:val="nil"/>
                    <w:tr2bl w:val="nil"/>
                  </w:tcBorders>
                  <w:vAlign w:val="center"/>
                </w:tcPr>
                <w:p w14:paraId="090DBD96">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生产力</w:t>
                  </w:r>
                </w:p>
                <w:p w14:paraId="1E6213BB">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水平</w:t>
                  </w:r>
                </w:p>
              </w:tc>
              <w:tc>
                <w:tcPr>
                  <w:tcW w:w="1163" w:type="pct"/>
                  <w:tcBorders>
                    <w:tl2br w:val="nil"/>
                    <w:tr2bl w:val="nil"/>
                  </w:tcBorders>
                  <w:vAlign w:val="center"/>
                </w:tcPr>
                <w:p w14:paraId="7106E765">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覆盖率/%</w:t>
                  </w:r>
                </w:p>
              </w:tc>
              <w:tc>
                <w:tcPr>
                  <w:tcW w:w="1162" w:type="pct"/>
                  <w:tcBorders>
                    <w:tl2br w:val="nil"/>
                    <w:tr2bl w:val="nil"/>
                  </w:tcBorders>
                  <w:vAlign w:val="center"/>
                </w:tcPr>
                <w:p w14:paraId="45F54821">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≥40</w:t>
                  </w:r>
                </w:p>
              </w:tc>
              <w:tc>
                <w:tcPr>
                  <w:tcW w:w="1014" w:type="pct"/>
                  <w:tcBorders>
                    <w:tl2br w:val="nil"/>
                    <w:tr2bl w:val="nil"/>
                  </w:tcBorders>
                  <w:vAlign w:val="center"/>
                </w:tcPr>
                <w:p w14:paraId="51387465">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≥50</w:t>
                  </w:r>
                </w:p>
              </w:tc>
            </w:tr>
            <w:tr w14:paraId="1B5E7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Borders>
                    <w:tl2br w:val="nil"/>
                    <w:tr2bl w:val="nil"/>
                  </w:tcBorders>
                  <w:vAlign w:val="center"/>
                </w:tcPr>
                <w:p w14:paraId="195A777A">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495" w:type="pct"/>
                  <w:vMerge w:val="continue"/>
                  <w:tcBorders>
                    <w:tl2br w:val="nil"/>
                    <w:tr2bl w:val="nil"/>
                  </w:tcBorders>
                  <w:vAlign w:val="center"/>
                </w:tcPr>
                <w:p w14:paraId="15485D18">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667" w:type="pct"/>
                  <w:vMerge w:val="continue"/>
                  <w:tcBorders>
                    <w:tl2br w:val="nil"/>
                    <w:tr2bl w:val="nil"/>
                  </w:tcBorders>
                  <w:vAlign w:val="center"/>
                </w:tcPr>
                <w:p w14:paraId="0660A9E8">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p>
              </w:tc>
              <w:tc>
                <w:tcPr>
                  <w:tcW w:w="1163" w:type="pct"/>
                  <w:tcBorders>
                    <w:tl2br w:val="nil"/>
                    <w:tr2bl w:val="nil"/>
                  </w:tcBorders>
                  <w:vAlign w:val="center"/>
                </w:tcPr>
                <w:p w14:paraId="204D0C05">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产量/（Kg/hm</w:t>
                  </w:r>
                  <w:r>
                    <w:rPr>
                      <w:rFonts w:hint="default" w:ascii="Times New Roman" w:hAnsi="Times New Roman" w:eastAsia="宋体" w:cs="Times New Roman"/>
                      <w:color w:val="auto"/>
                      <w:sz w:val="21"/>
                      <w:szCs w:val="21"/>
                      <w:u w:val="single" w:color="auto"/>
                      <w:vertAlign w:val="superscript"/>
                    </w:rPr>
                    <w:t>2</w:t>
                  </w:r>
                  <w:r>
                    <w:rPr>
                      <w:rFonts w:hint="default" w:ascii="Times New Roman" w:hAnsi="Times New Roman" w:eastAsia="宋体" w:cs="Times New Roman"/>
                      <w:color w:val="auto"/>
                      <w:sz w:val="21"/>
                      <w:szCs w:val="21"/>
                      <w:u w:val="single" w:color="auto"/>
                    </w:rPr>
                    <w:t>）</w:t>
                  </w:r>
                </w:p>
              </w:tc>
              <w:tc>
                <w:tcPr>
                  <w:tcW w:w="2177" w:type="pct"/>
                  <w:gridSpan w:val="2"/>
                  <w:tcBorders>
                    <w:tl2br w:val="nil"/>
                    <w:tr2bl w:val="nil"/>
                  </w:tcBorders>
                  <w:vAlign w:val="center"/>
                </w:tcPr>
                <w:p w14:paraId="3BD43647">
                  <w:pPr>
                    <w:pStyle w:val="1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三年后达到周边地区同等土地利用类型水平</w:t>
                  </w:r>
                </w:p>
              </w:tc>
            </w:tr>
          </w:tbl>
          <w:p w14:paraId="730A5B75">
            <w:pPr>
              <w:spacing w:line="360" w:lineRule="auto"/>
              <w:ind w:firstLine="480"/>
              <w:rPr>
                <w:rFonts w:hint="default" w:ascii="Times New Roman" w:hAnsi="Times New Roman" w:cs="Times New Roman"/>
                <w:spacing w:val="11"/>
                <w:position w:val="0"/>
                <w:sz w:val="24"/>
                <w:u w:val="single" w:color="auto"/>
              </w:rPr>
            </w:pPr>
            <w:r>
              <w:rPr>
                <w:rFonts w:hint="default" w:ascii="Times New Roman" w:hAnsi="Times New Roman" w:cs="Times New Roman"/>
                <w:spacing w:val="11"/>
                <w:position w:val="0"/>
                <w:sz w:val="24"/>
                <w:u w:val="single" w:color="auto"/>
                <w:lang w:eastAsia="zh-CN"/>
              </w:rPr>
              <w:t>（</w:t>
            </w:r>
            <w:r>
              <w:rPr>
                <w:rFonts w:hint="default" w:ascii="Times New Roman" w:hAnsi="Times New Roman" w:cs="Times New Roman"/>
                <w:spacing w:val="11"/>
                <w:position w:val="0"/>
                <w:sz w:val="24"/>
                <w:u w:val="single" w:color="auto"/>
                <w:lang w:val="en-US" w:eastAsia="zh-CN"/>
              </w:rPr>
              <w:t>5）</w:t>
            </w:r>
            <w:r>
              <w:rPr>
                <w:rFonts w:hint="default" w:ascii="Times New Roman" w:hAnsi="Times New Roman" w:cs="Times New Roman"/>
                <w:spacing w:val="11"/>
                <w:position w:val="0"/>
                <w:sz w:val="24"/>
                <w:u w:val="single" w:color="auto"/>
              </w:rPr>
              <w:t>复垦植被的选择</w:t>
            </w:r>
          </w:p>
          <w:p w14:paraId="66DEDE59">
            <w:pPr>
              <w:widowControl/>
              <w:spacing w:line="360" w:lineRule="auto"/>
              <w:ind w:firstLine="524" w:firstLineChars="200"/>
              <w:jc w:val="both"/>
              <w:rPr>
                <w:rFonts w:hint="default" w:ascii="Times New Roman" w:hAnsi="Times New Roman" w:cs="Times New Roman"/>
                <w:spacing w:val="11"/>
                <w:kern w:val="0"/>
                <w:position w:val="0"/>
                <w:sz w:val="24"/>
                <w:u w:val="single" w:color="auto"/>
                <w:lang w:bidi="ar"/>
              </w:rPr>
            </w:pPr>
            <w:r>
              <w:rPr>
                <w:rFonts w:hint="default" w:ascii="Times New Roman" w:hAnsi="Times New Roman" w:cs="Times New Roman"/>
                <w:spacing w:val="11"/>
                <w:kern w:val="0"/>
                <w:position w:val="0"/>
                <w:sz w:val="24"/>
                <w:u w:val="single" w:color="auto"/>
                <w:lang w:bidi="ar"/>
              </w:rPr>
              <w:t>通过本项目区林地植被分布实地考察，本方案林地优先采用乡土树种，乔木为</w:t>
            </w:r>
            <w:r>
              <w:rPr>
                <w:rFonts w:hint="default" w:ascii="Times New Roman" w:hAnsi="Times New Roman" w:cs="Times New Roman"/>
                <w:spacing w:val="11"/>
                <w:kern w:val="0"/>
                <w:position w:val="0"/>
                <w:sz w:val="24"/>
                <w:u w:val="single" w:color="auto"/>
                <w:lang w:eastAsia="zh-CN" w:bidi="ar"/>
              </w:rPr>
              <w:t>油茶树</w:t>
            </w:r>
            <w:r>
              <w:rPr>
                <w:rFonts w:hint="default" w:ascii="Times New Roman" w:hAnsi="Times New Roman" w:cs="Times New Roman"/>
                <w:spacing w:val="11"/>
                <w:kern w:val="0"/>
                <w:position w:val="0"/>
                <w:sz w:val="24"/>
                <w:u w:val="single" w:color="auto"/>
                <w:lang w:bidi="ar"/>
              </w:rPr>
              <w:t>，能适应本地区环境，长势良好。遵循“灌</w:t>
            </w:r>
            <w:r>
              <w:rPr>
                <w:rFonts w:hint="eastAsia" w:cs="Times New Roman"/>
                <w:spacing w:val="11"/>
                <w:kern w:val="0"/>
                <w:position w:val="0"/>
                <w:sz w:val="24"/>
                <w:u w:val="single" w:color="auto"/>
                <w:lang w:val="en-US" w:eastAsia="zh-CN" w:bidi="ar"/>
              </w:rPr>
              <w:t>-</w:t>
            </w:r>
            <w:r>
              <w:rPr>
                <w:rFonts w:hint="default" w:ascii="Times New Roman" w:hAnsi="Times New Roman" w:cs="Times New Roman"/>
                <w:spacing w:val="11"/>
                <w:kern w:val="0"/>
                <w:position w:val="0"/>
                <w:sz w:val="24"/>
                <w:u w:val="single" w:color="auto"/>
                <w:lang w:bidi="ar"/>
              </w:rPr>
              <w:t>草”相结合的标准要求，本次树种采用</w:t>
            </w:r>
            <w:r>
              <w:rPr>
                <w:rFonts w:hint="default" w:ascii="Times New Roman" w:hAnsi="Times New Roman" w:cs="Times New Roman"/>
                <w:spacing w:val="11"/>
                <w:kern w:val="0"/>
                <w:position w:val="0"/>
                <w:sz w:val="24"/>
                <w:u w:val="single" w:color="auto"/>
                <w:lang w:eastAsia="zh-CN" w:bidi="ar"/>
              </w:rPr>
              <w:t>油茶树</w:t>
            </w:r>
            <w:r>
              <w:rPr>
                <w:rFonts w:hint="default" w:ascii="Times New Roman" w:hAnsi="Times New Roman" w:cs="Times New Roman"/>
                <w:spacing w:val="11"/>
                <w:kern w:val="0"/>
                <w:position w:val="0"/>
                <w:sz w:val="24"/>
                <w:u w:val="single" w:color="auto"/>
                <w:lang w:bidi="ar"/>
              </w:rPr>
              <w:t>，</w:t>
            </w:r>
            <w:r>
              <w:rPr>
                <w:rFonts w:hint="default" w:ascii="Times New Roman" w:hAnsi="Times New Roman" w:cs="Times New Roman"/>
                <w:spacing w:val="11"/>
                <w:kern w:val="0"/>
                <w:position w:val="0"/>
                <w:sz w:val="24"/>
                <w:u w:val="single" w:color="auto"/>
                <w:lang w:eastAsia="zh-CN" w:bidi="ar"/>
              </w:rPr>
              <w:t>油茶树高度</w:t>
            </w:r>
            <w:r>
              <w:rPr>
                <w:rFonts w:hint="default" w:ascii="Times New Roman" w:hAnsi="Times New Roman" w:cs="Times New Roman"/>
                <w:spacing w:val="11"/>
                <w:kern w:val="0"/>
                <w:position w:val="0"/>
                <w:sz w:val="24"/>
                <w:u w:val="single" w:color="auto"/>
                <w:lang w:val="en-US" w:eastAsia="zh-CN" w:bidi="ar"/>
              </w:rPr>
              <w:t>30~50</w:t>
            </w:r>
            <w:r>
              <w:rPr>
                <w:rFonts w:hint="default" w:ascii="Times New Roman" w:hAnsi="Times New Roman" w:cs="Times New Roman"/>
                <w:spacing w:val="11"/>
                <w:kern w:val="0"/>
                <w:position w:val="0"/>
                <w:sz w:val="24"/>
                <w:u w:val="single" w:color="auto"/>
                <w:lang w:bidi="ar"/>
              </w:rPr>
              <w:t>cm，胸径：1.0-1.5cm</w:t>
            </w:r>
            <w:r>
              <w:rPr>
                <w:rFonts w:hint="default" w:ascii="Times New Roman" w:hAnsi="Times New Roman" w:cs="Times New Roman"/>
                <w:spacing w:val="11"/>
                <w:kern w:val="0"/>
                <w:position w:val="0"/>
                <w:sz w:val="24"/>
                <w:u w:val="single" w:color="auto"/>
                <w:lang w:eastAsia="zh-CN" w:bidi="ar"/>
              </w:rPr>
              <w:t>，</w:t>
            </w:r>
            <w:r>
              <w:rPr>
                <w:rFonts w:hint="default" w:ascii="Times New Roman" w:hAnsi="Times New Roman" w:cs="Times New Roman"/>
                <w:spacing w:val="11"/>
                <w:kern w:val="0"/>
                <w:position w:val="0"/>
                <w:sz w:val="24"/>
                <w:u w:val="single" w:color="auto"/>
                <w:lang w:bidi="ar"/>
              </w:rPr>
              <w:t>带土球苗。草籽采用高羊茅、百喜草、狗牙根混播，播种量为20Kg/hm</w:t>
            </w:r>
            <w:r>
              <w:rPr>
                <w:rFonts w:hint="default" w:ascii="Times New Roman" w:hAnsi="Times New Roman" w:cs="Times New Roman"/>
                <w:spacing w:val="11"/>
                <w:kern w:val="0"/>
                <w:position w:val="0"/>
                <w:sz w:val="24"/>
                <w:u w:val="single" w:color="auto"/>
                <w:vertAlign w:val="superscript"/>
                <w:lang w:bidi="ar"/>
              </w:rPr>
              <w:t>2</w:t>
            </w:r>
            <w:r>
              <w:rPr>
                <w:rFonts w:hint="default" w:ascii="Times New Roman" w:hAnsi="Times New Roman" w:cs="Times New Roman"/>
                <w:spacing w:val="11"/>
                <w:kern w:val="0"/>
                <w:position w:val="0"/>
                <w:sz w:val="24"/>
                <w:u w:val="single" w:color="auto"/>
                <w:lang w:bidi="ar"/>
              </w:rPr>
              <w:t xml:space="preserve">，配比为3:3:4，播种方式为直接撒播。 </w:t>
            </w:r>
          </w:p>
          <w:p w14:paraId="0D7AC064">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26" w:firstLineChars="200"/>
              <w:jc w:val="left"/>
              <w:textAlignment w:val="auto"/>
              <w:rPr>
                <w:rFonts w:hint="default" w:ascii="Times New Roman" w:hAnsi="Times New Roman" w:cs="Times New Roman"/>
                <w:b/>
                <w:bCs/>
                <w:spacing w:val="11"/>
                <w:kern w:val="0"/>
                <w:position w:val="0"/>
                <w:sz w:val="24"/>
                <w:u w:val="none" w:color="auto"/>
                <w:lang w:bidi="ar"/>
              </w:rPr>
            </w:pPr>
            <w:r>
              <w:rPr>
                <w:rFonts w:hint="default" w:ascii="Times New Roman" w:hAnsi="Times New Roman" w:cs="Times New Roman"/>
                <w:b/>
                <w:bCs/>
                <w:spacing w:val="11"/>
                <w:kern w:val="0"/>
                <w:position w:val="0"/>
                <w:sz w:val="24"/>
                <w:u w:val="none" w:color="auto"/>
                <w:lang w:val="en-US" w:eastAsia="zh-CN" w:bidi="ar"/>
              </w:rPr>
              <w:t>7、土地</w:t>
            </w:r>
            <w:r>
              <w:rPr>
                <w:rFonts w:hint="default" w:ascii="Times New Roman" w:hAnsi="Times New Roman" w:cs="Times New Roman"/>
                <w:b/>
                <w:bCs/>
                <w:spacing w:val="11"/>
                <w:kern w:val="0"/>
                <w:position w:val="0"/>
                <w:sz w:val="24"/>
                <w:u w:val="none" w:color="auto"/>
                <w:lang w:bidi="ar"/>
              </w:rPr>
              <w:t>复垦</w:t>
            </w:r>
          </w:p>
          <w:p w14:paraId="48D6830A">
            <w:pPr>
              <w:keepNext w:val="0"/>
              <w:keepLines w:val="0"/>
              <w:pageBreakBefore w:val="0"/>
              <w:kinsoku/>
              <w:wordWrap/>
              <w:overflowPunct/>
              <w:topLinePunct w:val="0"/>
              <w:autoSpaceDE/>
              <w:autoSpaceDN/>
              <w:bidi w:val="0"/>
              <w:adjustRightInd/>
              <w:snapToGrid/>
              <w:spacing w:line="360" w:lineRule="auto"/>
              <w:ind w:firstLine="524" w:firstLineChars="200"/>
              <w:textAlignment w:val="auto"/>
              <w:rPr>
                <w:rFonts w:hint="default" w:ascii="Times New Roman" w:hAnsi="Times New Roman" w:eastAsia="宋体" w:cs="Times New Roman"/>
                <w:spacing w:val="11"/>
                <w:position w:val="0"/>
                <w:sz w:val="24"/>
                <w:szCs w:val="24"/>
                <w:u w:val="none" w:color="auto"/>
              </w:rPr>
            </w:pPr>
            <w:r>
              <w:rPr>
                <w:rFonts w:hint="default" w:ascii="Times New Roman" w:hAnsi="Times New Roman" w:eastAsia="宋体" w:cs="Times New Roman"/>
                <w:spacing w:val="11"/>
                <w:position w:val="0"/>
                <w:sz w:val="24"/>
                <w:szCs w:val="24"/>
                <w:u w:val="none" w:color="auto"/>
              </w:rPr>
              <w:t>应严格按照《土地复垦规定》（中华人民共和国国务院1989年1月1日令）和《关于加强生产建设项目土地复垦的通知》（国土发[2006]225号）的相关要求，遵</w:t>
            </w:r>
            <w:r>
              <w:rPr>
                <w:rFonts w:hint="eastAsia" w:ascii="宋体" w:hAnsi="宋体" w:eastAsia="宋体" w:cs="宋体"/>
                <w:spacing w:val="11"/>
                <w:position w:val="0"/>
                <w:sz w:val="24"/>
                <w:szCs w:val="24"/>
                <w:u w:val="none" w:color="auto"/>
              </w:rPr>
              <w:t>循“谁破坏，谁复垦”的原</w:t>
            </w:r>
            <w:r>
              <w:rPr>
                <w:rFonts w:hint="default" w:ascii="Times New Roman" w:hAnsi="Times New Roman" w:eastAsia="宋体" w:cs="Times New Roman"/>
                <w:spacing w:val="11"/>
                <w:position w:val="0"/>
                <w:sz w:val="24"/>
                <w:szCs w:val="24"/>
                <w:u w:val="none" w:color="auto"/>
              </w:rPr>
              <w:t>则，业主单位要切实做好土地复垦工作。本矿山目前已编制完成《湖南省新田县文锋岭矿区建筑石料用灰岩矿矿山生态保护修复方案》，应严格按照生态修复方案进行土地复垦。</w:t>
            </w:r>
          </w:p>
          <w:p w14:paraId="737D165A">
            <w:pPr>
              <w:keepNext w:val="0"/>
              <w:keepLines w:val="0"/>
              <w:pageBreakBefore w:val="0"/>
              <w:kinsoku/>
              <w:wordWrap/>
              <w:overflowPunct/>
              <w:topLinePunct w:val="0"/>
              <w:autoSpaceDE/>
              <w:autoSpaceDN/>
              <w:bidi w:val="0"/>
              <w:adjustRightInd/>
              <w:snapToGrid/>
              <w:spacing w:line="360" w:lineRule="auto"/>
              <w:ind w:firstLine="524" w:firstLineChars="200"/>
              <w:textAlignment w:val="auto"/>
              <w:rPr>
                <w:rFonts w:hint="default" w:ascii="Times New Roman" w:hAnsi="Times New Roman" w:eastAsia="宋体" w:cs="Times New Roman"/>
                <w:spacing w:val="11"/>
                <w:position w:val="0"/>
                <w:sz w:val="24"/>
                <w:szCs w:val="24"/>
                <w:u w:val="none" w:color="auto"/>
              </w:rPr>
            </w:pPr>
            <w:r>
              <w:rPr>
                <w:rFonts w:hint="default" w:ascii="Times New Roman" w:hAnsi="Times New Roman" w:eastAsia="宋体" w:cs="Times New Roman"/>
                <w:spacing w:val="11"/>
                <w:position w:val="0"/>
                <w:sz w:val="24"/>
                <w:szCs w:val="24"/>
                <w:u w:val="none" w:color="auto"/>
              </w:rPr>
              <w:t>①做到边开采边复垦，按照开采计划，将先采完的采区及平台进行生态恢复，减少开采过程中的生态影响。</w:t>
            </w:r>
          </w:p>
          <w:p w14:paraId="44AE3992">
            <w:pPr>
              <w:keepNext w:val="0"/>
              <w:keepLines w:val="0"/>
              <w:pageBreakBefore w:val="0"/>
              <w:kinsoku/>
              <w:wordWrap/>
              <w:overflowPunct/>
              <w:topLinePunct w:val="0"/>
              <w:autoSpaceDE/>
              <w:autoSpaceDN/>
              <w:bidi w:val="0"/>
              <w:adjustRightInd/>
              <w:snapToGrid/>
              <w:spacing w:line="360" w:lineRule="auto"/>
              <w:ind w:firstLine="524" w:firstLineChars="200"/>
              <w:textAlignment w:val="auto"/>
              <w:rPr>
                <w:rFonts w:hint="default" w:ascii="Times New Roman" w:hAnsi="Times New Roman" w:eastAsia="宋体" w:cs="Times New Roman"/>
                <w:spacing w:val="11"/>
                <w:position w:val="0"/>
                <w:sz w:val="24"/>
                <w:szCs w:val="24"/>
                <w:u w:val="none" w:color="auto"/>
              </w:rPr>
            </w:pPr>
            <w:r>
              <w:rPr>
                <w:rFonts w:hint="default" w:ascii="Times New Roman" w:hAnsi="Times New Roman" w:eastAsia="宋体" w:cs="Times New Roman"/>
                <w:spacing w:val="11"/>
                <w:position w:val="0"/>
                <w:sz w:val="24"/>
                <w:szCs w:val="24"/>
                <w:u w:val="none" w:color="auto"/>
              </w:rPr>
              <w:t>②复垦时尽量保持原有的耕作形式，保证原有耕地质量不降低；原本是岩石裸露的荒地可恢复为林地或草地，改善当地的生态环境。</w:t>
            </w:r>
          </w:p>
          <w:p w14:paraId="259A3B75">
            <w:pPr>
              <w:keepNext w:val="0"/>
              <w:keepLines w:val="0"/>
              <w:pageBreakBefore w:val="0"/>
              <w:kinsoku/>
              <w:wordWrap/>
              <w:overflowPunct/>
              <w:topLinePunct w:val="0"/>
              <w:autoSpaceDE/>
              <w:autoSpaceDN/>
              <w:bidi w:val="0"/>
              <w:adjustRightInd/>
              <w:snapToGrid/>
              <w:spacing w:line="360" w:lineRule="auto"/>
              <w:ind w:firstLine="524" w:firstLineChars="200"/>
              <w:textAlignment w:val="auto"/>
              <w:rPr>
                <w:rFonts w:hint="default" w:ascii="Times New Roman" w:hAnsi="Times New Roman" w:eastAsia="宋体" w:cs="Times New Roman"/>
                <w:spacing w:val="11"/>
                <w:position w:val="0"/>
                <w:sz w:val="24"/>
                <w:szCs w:val="24"/>
                <w:u w:val="none" w:color="auto"/>
              </w:rPr>
            </w:pPr>
            <w:r>
              <w:rPr>
                <w:rFonts w:hint="default" w:ascii="Times New Roman" w:hAnsi="Times New Roman" w:eastAsia="宋体" w:cs="Times New Roman"/>
                <w:spacing w:val="11"/>
                <w:position w:val="0"/>
                <w:sz w:val="24"/>
                <w:szCs w:val="24"/>
                <w:u w:val="none" w:color="auto"/>
              </w:rPr>
              <w:t>③建设单位应成立专门的土地复垦部门，复垦所需专项资金由建设单位作为运行费用列出，做到专款专用。</w:t>
            </w:r>
          </w:p>
          <w:p w14:paraId="0C78ADE7">
            <w:pPr>
              <w:keepNext w:val="0"/>
              <w:keepLines w:val="0"/>
              <w:pageBreakBefore w:val="0"/>
              <w:kinsoku/>
              <w:wordWrap/>
              <w:overflowPunct/>
              <w:topLinePunct w:val="0"/>
              <w:autoSpaceDE/>
              <w:autoSpaceDN/>
              <w:bidi w:val="0"/>
              <w:adjustRightInd/>
              <w:snapToGrid/>
              <w:spacing w:line="360" w:lineRule="auto"/>
              <w:ind w:firstLine="524" w:firstLineChars="200"/>
              <w:textAlignment w:val="auto"/>
              <w:rPr>
                <w:rFonts w:hint="default" w:ascii="Times New Roman" w:hAnsi="Times New Roman" w:eastAsia="宋体" w:cs="Times New Roman"/>
                <w:spacing w:val="11"/>
                <w:position w:val="0"/>
                <w:sz w:val="24"/>
                <w:szCs w:val="24"/>
                <w:u w:val="none" w:color="auto"/>
              </w:rPr>
            </w:pPr>
            <w:r>
              <w:rPr>
                <w:rFonts w:hint="default" w:ascii="Times New Roman" w:hAnsi="Times New Roman" w:eastAsia="宋体" w:cs="Times New Roman"/>
                <w:spacing w:val="11"/>
                <w:position w:val="0"/>
                <w:sz w:val="24"/>
                <w:szCs w:val="24"/>
                <w:u w:val="none" w:color="auto"/>
              </w:rPr>
              <w:t>④在还林还草时尽量选用本地种且保持和周围景观、物种的一致性。</w:t>
            </w:r>
          </w:p>
          <w:p w14:paraId="4DEA8086">
            <w:pPr>
              <w:adjustRightInd w:val="0"/>
              <w:snapToGrid w:val="0"/>
              <w:spacing w:line="360" w:lineRule="auto"/>
              <w:outlineLvl w:val="1"/>
              <w:rPr>
                <w:rFonts w:hint="default" w:ascii="Times New Roman" w:hAnsi="Times New Roman" w:eastAsia="宋体" w:cs="Times New Roman"/>
                <w:b/>
                <w:spacing w:val="11"/>
                <w:position w:val="0"/>
                <w:sz w:val="24"/>
                <w:u w:val="none" w:color="auto"/>
                <w:lang w:eastAsia="zh-CN"/>
              </w:rPr>
            </w:pPr>
            <w:bookmarkStart w:id="71" w:name="_Toc17379"/>
            <w:r>
              <w:rPr>
                <w:rFonts w:hint="default" w:ascii="Times New Roman" w:hAnsi="Times New Roman" w:cs="Times New Roman"/>
                <w:b/>
                <w:spacing w:val="11"/>
                <w:position w:val="0"/>
                <w:sz w:val="24"/>
                <w:u w:val="none" w:color="auto"/>
              </w:rPr>
              <w:t>闭矿期生态环境保护措施</w:t>
            </w:r>
            <w:r>
              <w:rPr>
                <w:rFonts w:hint="default" w:ascii="Times New Roman" w:hAnsi="Times New Roman" w:cs="Times New Roman"/>
                <w:b/>
                <w:spacing w:val="11"/>
                <w:position w:val="0"/>
                <w:sz w:val="24"/>
                <w:u w:val="none" w:color="auto"/>
                <w:lang w:eastAsia="zh-CN"/>
              </w:rPr>
              <w:t>：</w:t>
            </w:r>
            <w:bookmarkEnd w:id="71"/>
          </w:p>
          <w:p w14:paraId="3EA5F0A1">
            <w:pPr>
              <w:adjustRightInd w:val="0"/>
              <w:snapToGrid w:val="0"/>
              <w:spacing w:line="360" w:lineRule="auto"/>
              <w:ind w:firstLine="524" w:firstLineChars="200"/>
              <w:outlineLvl w:val="1"/>
              <w:rPr>
                <w:rFonts w:hint="default" w:ascii="Times New Roman" w:hAnsi="Times New Roman" w:cs="Times New Roman"/>
                <w:spacing w:val="11"/>
                <w:position w:val="0"/>
                <w:sz w:val="24"/>
                <w:u w:val="none" w:color="auto"/>
              </w:rPr>
            </w:pPr>
            <w:bookmarkStart w:id="72" w:name="_Toc3744"/>
            <w:r>
              <w:rPr>
                <w:rFonts w:hint="default" w:ascii="Times New Roman" w:hAnsi="Times New Roman" w:cs="Times New Roman"/>
                <w:spacing w:val="11"/>
                <w:position w:val="0"/>
                <w:sz w:val="24"/>
                <w:u w:val="none" w:color="auto"/>
              </w:rPr>
              <w:t>项目露天开场主要为林地，建设中对环境造成不同程度的影响，矿山关闭时，若不进行有效的管理和治理，将会加剧和形成一些环境问题，主要有：</w:t>
            </w:r>
            <w:bookmarkEnd w:id="72"/>
          </w:p>
          <w:p w14:paraId="4BA282B5">
            <w:pPr>
              <w:adjustRightInd w:val="0"/>
              <w:snapToGrid w:val="0"/>
              <w:spacing w:line="360" w:lineRule="auto"/>
              <w:ind w:firstLine="524" w:firstLineChars="200"/>
              <w:outlineLvl w:val="1"/>
              <w:rPr>
                <w:rFonts w:hint="default" w:ascii="Times New Roman" w:hAnsi="Times New Roman" w:cs="Times New Roman"/>
                <w:spacing w:val="11"/>
                <w:position w:val="0"/>
                <w:sz w:val="24"/>
                <w:u w:val="none" w:color="auto"/>
              </w:rPr>
            </w:pPr>
            <w:bookmarkStart w:id="73" w:name="_Toc27100"/>
            <w:r>
              <w:rPr>
                <w:rFonts w:hint="default" w:ascii="Times New Roman" w:hAnsi="Times New Roman" w:cs="Times New Roman"/>
                <w:spacing w:val="11"/>
                <w:position w:val="0"/>
                <w:sz w:val="24"/>
                <w:u w:val="none" w:color="auto"/>
              </w:rPr>
              <w:t>（1）由于采矿活动对岩石的稳定性造成一定的影响，局部地段可能会发生小型边坡崩滑等地质灾害以及采矿活动易造成地表开裂。</w:t>
            </w:r>
            <w:bookmarkEnd w:id="73"/>
          </w:p>
          <w:p w14:paraId="1B03C0B8">
            <w:pPr>
              <w:adjustRightInd w:val="0"/>
              <w:snapToGrid w:val="0"/>
              <w:spacing w:line="360" w:lineRule="auto"/>
              <w:ind w:firstLine="524" w:firstLineChars="200"/>
              <w:outlineLvl w:val="1"/>
              <w:rPr>
                <w:rFonts w:hint="default" w:ascii="Times New Roman" w:hAnsi="Times New Roman" w:cs="Times New Roman"/>
                <w:spacing w:val="11"/>
                <w:position w:val="0"/>
                <w:sz w:val="24"/>
                <w:u w:val="none" w:color="auto"/>
              </w:rPr>
            </w:pPr>
            <w:bookmarkStart w:id="74" w:name="_Toc14780"/>
            <w:r>
              <w:rPr>
                <w:rFonts w:hint="default" w:ascii="Times New Roman" w:hAnsi="Times New Roman" w:cs="Times New Roman"/>
                <w:spacing w:val="11"/>
                <w:position w:val="0"/>
                <w:sz w:val="24"/>
                <w:u w:val="none" w:color="auto"/>
              </w:rPr>
              <w:t>（2）采场、排土场裸露，地表疏松，在地表径流和降雨影响下，易形成水土流失，且水土流失程度较开采前大大加重。</w:t>
            </w:r>
            <w:bookmarkEnd w:id="74"/>
          </w:p>
          <w:p w14:paraId="2FA6BE0D">
            <w:pPr>
              <w:adjustRightInd w:val="0"/>
              <w:snapToGrid w:val="0"/>
              <w:spacing w:line="360" w:lineRule="auto"/>
              <w:ind w:firstLine="524" w:firstLineChars="20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矿山服务期满后，需另行编制生态恢复方案，按有关规定进行生态治理，植物资源、自然景观将得到部分恢复。主要是对采场的生态治理，且矿山生态治理资金应从工程营运开始时就要有所规划，安排落实措施，在收益中逐年留取适当资金作为矿山服务期满后的生态治理资金。</w:t>
            </w:r>
          </w:p>
          <w:p w14:paraId="7CA972A3">
            <w:pPr>
              <w:adjustRightInd w:val="0"/>
              <w:snapToGrid w:val="0"/>
              <w:spacing w:line="360" w:lineRule="auto"/>
              <w:ind w:firstLine="524" w:firstLineChars="20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按照边开采边恢复、终止采矿活动时必须完成恢复治理的原则，要做到预防为主，针对存在的问题，制定出预防措施，对生产中出现的问题要及时采取相应的措施予以解决，达到防灾、减灾的目的。矿山采区退役后必须按照矿山安全、水土保持、地质恢复、环境保护工作的有关规定拆除无用的地面建筑物，受破坏的地表尽量恢复原貌等工作。在采矿场营运期已进行了一些生态恢复的基础工作，闭矿后要做的主要工作就是全场修整、表土覆盖、植被绿化等。</w:t>
            </w:r>
          </w:p>
          <w:p w14:paraId="0BF3EB05">
            <w:pPr>
              <w:tabs>
                <w:tab w:val="left" w:pos="0"/>
              </w:tabs>
              <w:adjustRightInd w:val="0"/>
              <w:snapToGrid w:val="0"/>
              <w:spacing w:line="360" w:lineRule="auto"/>
              <w:ind w:firstLine="524" w:firstLineChars="20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首先，对形成的采坑进行</w:t>
            </w:r>
            <w:r>
              <w:rPr>
                <w:rFonts w:hint="default" w:ascii="Times New Roman" w:hAnsi="Times New Roman" w:cs="Times New Roman"/>
                <w:spacing w:val="11"/>
                <w:position w:val="0"/>
                <w:sz w:val="24"/>
                <w:u w:val="none" w:color="auto"/>
                <w:lang w:val="en-GB"/>
              </w:rPr>
              <w:t>调整边坡角、</w:t>
            </w:r>
            <w:r>
              <w:rPr>
                <w:rFonts w:hint="default" w:ascii="Times New Roman" w:hAnsi="Times New Roman" w:cs="Times New Roman"/>
                <w:spacing w:val="11"/>
                <w:position w:val="0"/>
                <w:sz w:val="24"/>
                <w:u w:val="none" w:color="auto"/>
              </w:rPr>
              <w:t>削坡处理、开采境界外修建截水沟等方式，保证采场边坡的稳定性。对可能出现的滑坡、崩塌、泥石流相应的位置设置有多种文字的警示标志和围栏，防止人、畜误入。拆除矿山生产、生活设施，全场整理，恢复地表原貌。加固边坡稳定性，防止滑塌伤害人、畜或野生动物。</w:t>
            </w:r>
          </w:p>
          <w:p w14:paraId="7E71FC3B">
            <w:pPr>
              <w:adjustRightInd w:val="0"/>
              <w:snapToGrid w:val="0"/>
              <w:spacing w:line="360" w:lineRule="auto"/>
              <w:ind w:firstLine="524" w:firstLineChars="200"/>
              <w:rPr>
                <w:rFonts w:hint="default" w:ascii="Times New Roman" w:hAnsi="Times New Roman" w:cs="Times New Roman"/>
                <w:b/>
                <w:spacing w:val="11"/>
                <w:position w:val="0"/>
                <w:sz w:val="24"/>
                <w:u w:val="none" w:color="auto"/>
                <w:lang w:val="en-GB"/>
              </w:rPr>
            </w:pPr>
            <w:r>
              <w:rPr>
                <w:rFonts w:hint="default" w:ascii="Times New Roman" w:hAnsi="Times New Roman" w:cs="Times New Roman"/>
                <w:spacing w:val="11"/>
                <w:position w:val="0"/>
                <w:sz w:val="24"/>
                <w:u w:val="none" w:color="auto"/>
              </w:rPr>
              <w:t>预留矿山复垦费用，</w:t>
            </w:r>
            <w:r>
              <w:rPr>
                <w:rFonts w:hint="default" w:ascii="Times New Roman" w:hAnsi="Times New Roman" w:cs="Times New Roman"/>
                <w:spacing w:val="11"/>
                <w:kern w:val="0"/>
                <w:position w:val="0"/>
                <w:sz w:val="24"/>
                <w:u w:val="none" w:color="auto"/>
              </w:rPr>
              <w:t>建设单位必须留有足够的资金用以矿山开采期满后的生态工程建设工作，使被挖损的和堆填的土地尽量恢复其本来功能，使矿山开发对区域生态的影响控制在可接受的范围内，保持区域生态环境的平衡。</w:t>
            </w:r>
          </w:p>
          <w:p w14:paraId="3C6A1208">
            <w:pPr>
              <w:adjustRightInd w:val="0"/>
              <w:snapToGrid w:val="0"/>
              <w:spacing w:line="360" w:lineRule="auto"/>
              <w:ind w:firstLine="42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矿山服务期满后，建设单位还应对废弃的办公生活用房及其它地面建筑进行拆除，并进行相应的植被恢复工作，恢复所占土地植被。</w:t>
            </w:r>
          </w:p>
          <w:p w14:paraId="643CBD75">
            <w:pPr>
              <w:adjustRightInd w:val="0"/>
              <w:snapToGrid w:val="0"/>
              <w:spacing w:line="360" w:lineRule="auto"/>
              <w:ind w:firstLine="42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①总体要求：对露天开采的矿体要在开采活动结束前向主管部门提出关闭矿山申请和地质报告，按照批准的关闭矿山报告，完成有关的水土保持、土地复垦或缴清土地复垦和环境保护的有关费用，确实落实工程环境影响报告表和水土保持方案中的工程措施和生物措施，及时恢复适宜地方生长的农作物及经济林，控制泥石流、滑坡等不利因素发生，减少因工程占地给农业、林业生产带来的经济损失。</w:t>
            </w:r>
          </w:p>
          <w:p w14:paraId="1A0163B6">
            <w:pPr>
              <w:adjustRightInd w:val="0"/>
              <w:snapToGrid w:val="0"/>
              <w:spacing w:line="360" w:lineRule="auto"/>
              <w:ind w:firstLine="42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②开采区：按设计要求进行绿化和种植经济林。该矿区可种植适宜当地生长的经济林。</w:t>
            </w:r>
          </w:p>
          <w:p w14:paraId="10E13D38">
            <w:pPr>
              <w:adjustRightInd w:val="0"/>
              <w:snapToGrid w:val="0"/>
              <w:spacing w:line="360" w:lineRule="auto"/>
              <w:ind w:firstLine="42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③矿山运输道路：以人工恢复为主，辅以自然恢复。行道树应以人工恢复为主，边坡植被以自然恢复为主。</w:t>
            </w:r>
          </w:p>
          <w:p w14:paraId="7E60154E">
            <w:pPr>
              <w:adjustRightInd w:val="0"/>
              <w:snapToGrid w:val="0"/>
              <w:spacing w:line="360" w:lineRule="auto"/>
              <w:ind w:firstLine="420"/>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④加强矿山的管理：矿山的生态恢复是采掘行业环境保护工作的重要内容之一，企业领导一定要将矿山的生态恢复工作落到实处。</w:t>
            </w:r>
          </w:p>
          <w:p w14:paraId="2361F1F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spacing w:val="11"/>
                <w:position w:val="0"/>
                <w:sz w:val="24"/>
                <w:u w:val="none" w:color="auto"/>
              </w:rPr>
            </w:pPr>
            <w:r>
              <w:rPr>
                <w:rFonts w:hint="default" w:ascii="Times New Roman" w:hAnsi="Times New Roman" w:cs="Times New Roman"/>
                <w:spacing w:val="11"/>
                <w:position w:val="0"/>
                <w:sz w:val="24"/>
                <w:u w:val="none" w:color="auto"/>
              </w:rPr>
              <w:t>⑤矿山复垦费用：《土地复垦规定》第十六条指出：基本建设过程中破坏的土地，土地复垦费用和土地损失补偿费从基本建设投资中列支；生产过程中破坏的土地，土地复垦费用从企业更新改造资金和生产发展基金中列支。</w:t>
            </w:r>
          </w:p>
          <w:p w14:paraId="75C875C1">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outlineLvl w:val="1"/>
              <w:rPr>
                <w:rFonts w:hint="default" w:ascii="Times New Roman" w:hAnsi="Times New Roman" w:cs="Times New Roman"/>
                <w:b/>
                <w:spacing w:val="11"/>
                <w:position w:val="0"/>
                <w:sz w:val="24"/>
                <w:u w:val="none" w:color="auto"/>
                <w:lang w:val="en-GB"/>
              </w:rPr>
            </w:pPr>
            <w:bookmarkStart w:id="75" w:name="_Toc10643"/>
            <w:r>
              <w:rPr>
                <w:rFonts w:hint="default" w:ascii="Times New Roman" w:hAnsi="Times New Roman" w:cs="Times New Roman"/>
                <w:b/>
                <w:spacing w:val="11"/>
                <w:position w:val="0"/>
                <w:sz w:val="24"/>
                <w:u w:val="none" w:color="auto"/>
                <w:lang w:val="en-GB"/>
              </w:rPr>
              <w:t>复垦可行性分析</w:t>
            </w:r>
            <w:bookmarkEnd w:id="75"/>
          </w:p>
          <w:p w14:paraId="4FCBEB3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u w:val="none" w:color="auto"/>
                <w:lang w:val="en-US" w:eastAsia="zh-CN"/>
              </w:rPr>
            </w:pPr>
            <w:r>
              <w:rPr>
                <w:rFonts w:hint="default" w:ascii="Times New Roman" w:hAnsi="Times New Roman" w:eastAsia="宋体" w:cs="Times New Roman"/>
                <w:spacing w:val="11"/>
                <w:position w:val="0"/>
                <w:sz w:val="24"/>
                <w:u w:val="none" w:color="auto"/>
              </w:rPr>
              <w:t>项目生态修复工程主要为监测和闭坑后对场地复垦等，矿山建设、生产期间和闭坑后设置的生态修复工程工艺简单，难度小，场区土地复垦较适宜；按上述工程实施后，矿区环境会得到及时治理和恢复。矿区生态修复技术上可行。预期矿山按照本方案实施生态保护修复后的各场地安全稳定，对人类和动植物无威胁；对周边环境不产生污染；复垦方向与周边自然环境和景观相协调；恢复了土地基本功能，因地制宜地实现土地可持续利用。通过矿山生态修复形成了绿色经济产业链，持续带动地方经济发展，还给群众另一座绿水青山、金山银山。复垦方案切实可行。</w:t>
            </w:r>
          </w:p>
        </w:tc>
      </w:tr>
      <w:tr w14:paraId="7904A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45" w:hRule="atLeast"/>
          <w:jc w:val="center"/>
        </w:trPr>
        <w:tc>
          <w:tcPr>
            <w:tcW w:w="733" w:type="dxa"/>
            <w:tcBorders>
              <w:tl2br w:val="nil"/>
              <w:tr2bl w:val="nil"/>
            </w:tcBorders>
            <w:noWrap w:val="0"/>
            <w:vAlign w:val="center"/>
          </w:tcPr>
          <w:p w14:paraId="1DA844EA">
            <w:pPr>
              <w:keepNext w:val="0"/>
              <w:keepLines w:val="0"/>
              <w:pageBreakBefore w:val="0"/>
              <w:kinsoku/>
              <w:wordWrap/>
              <w:overflowPunct/>
              <w:topLinePunct w:val="0"/>
              <w:bidi w:val="0"/>
              <w:adjustRightInd w:val="0"/>
              <w:snapToGrid w:val="0"/>
              <w:spacing w:line="360" w:lineRule="auto"/>
              <w:ind w:left="0"/>
              <w:jc w:val="center"/>
              <w:rPr>
                <w:rFonts w:hint="default" w:ascii="Times New Roman" w:hAnsi="Times New Roman" w:eastAsia="宋体" w:cs="Times New Roman"/>
                <w:bCs/>
                <w:color w:val="auto"/>
                <w:spacing w:val="11"/>
                <w:position w:val="0"/>
                <w:sz w:val="24"/>
                <w:szCs w:val="24"/>
                <w:u w:val="none" w:color="auto"/>
              </w:rPr>
            </w:pPr>
            <w:r>
              <w:rPr>
                <w:rFonts w:hint="default" w:ascii="Times New Roman" w:hAnsi="Times New Roman" w:eastAsia="宋体" w:cs="Times New Roman"/>
                <w:bCs/>
                <w:color w:val="000000"/>
                <w:spacing w:val="11"/>
                <w:position w:val="0"/>
                <w:sz w:val="24"/>
                <w:szCs w:val="24"/>
                <w:u w:val="none" w:color="auto"/>
              </w:rPr>
              <w:t>其他</w:t>
            </w:r>
          </w:p>
        </w:tc>
        <w:tc>
          <w:tcPr>
            <w:tcW w:w="8246" w:type="dxa"/>
            <w:tcBorders>
              <w:tl2br w:val="nil"/>
              <w:tr2bl w:val="nil"/>
            </w:tcBorders>
            <w:noWrap w:val="0"/>
            <w:vAlign w:val="top"/>
          </w:tcPr>
          <w:p w14:paraId="52F9C863">
            <w:pPr>
              <w:pStyle w:val="19"/>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firstLine="482"/>
              <w:textAlignment w:val="auto"/>
              <w:rPr>
                <w:rFonts w:hint="default" w:ascii="Times New Roman" w:hAnsi="Times New Roman" w:cs="Times New Roman"/>
                <w:b/>
                <w:bCs/>
                <w:spacing w:val="11"/>
                <w:position w:val="0"/>
                <w:sz w:val="24"/>
                <w:szCs w:val="20"/>
              </w:rPr>
            </w:pPr>
            <w:r>
              <w:rPr>
                <w:rFonts w:hint="default" w:ascii="Times New Roman" w:hAnsi="Times New Roman" w:eastAsia="宋体" w:cs="Times New Roman"/>
                <w:b/>
                <w:color w:val="000000"/>
                <w:spacing w:val="11"/>
                <w:position w:val="0"/>
                <w:sz w:val="24"/>
                <w:szCs w:val="24"/>
                <w:highlight w:val="none"/>
                <w:u w:val="none" w:color="auto"/>
                <w:lang w:val="en-US" w:eastAsia="zh-CN"/>
              </w:rPr>
              <w:t>1、</w:t>
            </w:r>
            <w:r>
              <w:rPr>
                <w:rFonts w:hint="default" w:ascii="Times New Roman" w:hAnsi="Times New Roman" w:cs="Times New Roman"/>
                <w:b/>
                <w:bCs/>
                <w:spacing w:val="11"/>
                <w:position w:val="0"/>
                <w:sz w:val="24"/>
                <w:szCs w:val="20"/>
              </w:rPr>
              <w:t>环境管理与监测</w:t>
            </w:r>
          </w:p>
          <w:p w14:paraId="6EFFC028">
            <w:pPr>
              <w:keepNext w:val="0"/>
              <w:keepLines w:val="0"/>
              <w:pageBreakBefore w:val="0"/>
              <w:kinsoku/>
              <w:wordWrap/>
              <w:overflowPunct/>
              <w:topLinePunct w:val="0"/>
              <w:bidi w:val="0"/>
              <w:adjustRightInd w:val="0"/>
              <w:snapToGrid w:val="0"/>
              <w:spacing w:line="360" w:lineRule="auto"/>
              <w:ind w:left="0" w:firstLine="524" w:firstLineChars="200"/>
              <w:outlineLvl w:val="1"/>
              <w:rPr>
                <w:rFonts w:hint="default" w:ascii="Times New Roman" w:hAnsi="Times New Roman" w:eastAsia="宋体" w:cs="Times New Roman"/>
                <w:b w:val="0"/>
                <w:bCs/>
                <w:spacing w:val="11"/>
                <w:position w:val="0"/>
                <w:sz w:val="24"/>
                <w:szCs w:val="24"/>
              </w:rPr>
            </w:pPr>
            <w:bookmarkStart w:id="76" w:name="_Toc28444"/>
            <w:r>
              <w:rPr>
                <w:rFonts w:hint="default" w:ascii="Times New Roman" w:hAnsi="Times New Roman" w:eastAsia="宋体" w:cs="Times New Roman"/>
                <w:b w:val="0"/>
                <w:bCs/>
                <w:spacing w:val="11"/>
                <w:position w:val="0"/>
                <w:sz w:val="24"/>
                <w:szCs w:val="24"/>
                <w:lang w:eastAsia="zh-CN"/>
              </w:rPr>
              <w:t>（</w:t>
            </w:r>
            <w:r>
              <w:rPr>
                <w:rFonts w:hint="default" w:ascii="Times New Roman" w:hAnsi="Times New Roman" w:eastAsia="宋体" w:cs="Times New Roman"/>
                <w:b w:val="0"/>
                <w:bCs/>
                <w:spacing w:val="11"/>
                <w:position w:val="0"/>
                <w:sz w:val="24"/>
                <w:szCs w:val="24"/>
                <w:lang w:val="en-US" w:eastAsia="zh-CN"/>
              </w:rPr>
              <w:t>1</w:t>
            </w:r>
            <w:r>
              <w:rPr>
                <w:rFonts w:hint="default" w:ascii="Times New Roman" w:hAnsi="Times New Roman" w:eastAsia="宋体" w:cs="Times New Roman"/>
                <w:b w:val="0"/>
                <w:bCs/>
                <w:spacing w:val="11"/>
                <w:position w:val="0"/>
                <w:sz w:val="24"/>
                <w:szCs w:val="24"/>
                <w:lang w:eastAsia="zh-CN"/>
              </w:rPr>
              <w:t>）</w:t>
            </w:r>
            <w:r>
              <w:rPr>
                <w:rFonts w:hint="default" w:ascii="Times New Roman" w:hAnsi="Times New Roman" w:eastAsia="宋体" w:cs="Times New Roman"/>
                <w:b w:val="0"/>
                <w:bCs/>
                <w:spacing w:val="11"/>
                <w:position w:val="0"/>
                <w:sz w:val="24"/>
                <w:szCs w:val="24"/>
              </w:rPr>
              <w:t>环境管理</w:t>
            </w:r>
            <w:bookmarkEnd w:id="76"/>
          </w:p>
          <w:p w14:paraId="307A1A67">
            <w:pPr>
              <w:keepNext w:val="0"/>
              <w:keepLines w:val="0"/>
              <w:pageBreakBefore w:val="0"/>
              <w:kinsoku/>
              <w:wordWrap/>
              <w:overflowPunct/>
              <w:topLinePunct w:val="0"/>
              <w:bidi w:val="0"/>
              <w:adjustRightInd w:val="0"/>
              <w:snapToGrid w:val="0"/>
              <w:spacing w:line="360" w:lineRule="auto"/>
              <w:ind w:left="0" w:firstLine="524" w:firstLineChars="200"/>
              <w:rPr>
                <w:rFonts w:hint="default" w:ascii="Times New Roman" w:hAnsi="Times New Roman" w:eastAsia="宋体" w:cs="Times New Roman"/>
                <w:b w:val="0"/>
                <w:bCs/>
                <w:spacing w:val="11"/>
                <w:position w:val="0"/>
                <w:sz w:val="24"/>
                <w:szCs w:val="24"/>
              </w:rPr>
            </w:pPr>
            <w:r>
              <w:rPr>
                <w:rFonts w:hint="default" w:ascii="Times New Roman" w:hAnsi="Times New Roman" w:eastAsia="宋体" w:cs="Times New Roman"/>
                <w:b w:val="0"/>
                <w:bCs/>
                <w:spacing w:val="11"/>
                <w:position w:val="0"/>
                <w:sz w:val="24"/>
                <w:szCs w:val="24"/>
              </w:rPr>
              <w:t>为有效地防止本项目对自然环境及环境质量的影响，企业应加强该项目环境保护管理工作，设置专门的环保机构，配备专业的环保管理人员，负责工程运行过程中的环境管理工作及监测计划；并根据环境影响报告中提出的环保措施及实际造成的环境影响，详细制定本工程环境保护规章制度。</w:t>
            </w:r>
          </w:p>
          <w:p w14:paraId="71F226B5">
            <w:pPr>
              <w:keepNext w:val="0"/>
              <w:keepLines w:val="0"/>
              <w:pageBreakBefore w:val="0"/>
              <w:kinsoku/>
              <w:wordWrap/>
              <w:overflowPunct/>
              <w:topLinePunct w:val="0"/>
              <w:bidi w:val="0"/>
              <w:adjustRightInd w:val="0"/>
              <w:snapToGrid w:val="0"/>
              <w:spacing w:line="360" w:lineRule="auto"/>
              <w:ind w:left="0" w:firstLine="524" w:firstLineChars="200"/>
              <w:outlineLvl w:val="2"/>
              <w:rPr>
                <w:rFonts w:hint="default" w:ascii="Times New Roman" w:hAnsi="Times New Roman" w:eastAsia="宋体" w:cs="Times New Roman"/>
                <w:b w:val="0"/>
                <w:bCs/>
                <w:spacing w:val="11"/>
                <w:position w:val="0"/>
                <w:sz w:val="24"/>
                <w:szCs w:val="24"/>
              </w:rPr>
            </w:pPr>
            <w:r>
              <w:rPr>
                <w:rFonts w:hint="default" w:ascii="Times New Roman" w:hAnsi="Times New Roman" w:eastAsia="宋体" w:cs="Times New Roman"/>
                <w:b w:val="0"/>
                <w:bCs/>
                <w:spacing w:val="11"/>
                <w:position w:val="0"/>
                <w:sz w:val="24"/>
                <w:szCs w:val="24"/>
                <w:lang w:eastAsia="zh-CN"/>
              </w:rPr>
              <w:t>（</w:t>
            </w:r>
            <w:r>
              <w:rPr>
                <w:rFonts w:hint="default" w:ascii="Times New Roman" w:hAnsi="Times New Roman" w:eastAsia="宋体" w:cs="Times New Roman"/>
                <w:b w:val="0"/>
                <w:bCs/>
                <w:spacing w:val="11"/>
                <w:position w:val="0"/>
                <w:sz w:val="24"/>
                <w:szCs w:val="24"/>
                <w:lang w:val="en-US" w:eastAsia="zh-CN"/>
              </w:rPr>
              <w:t>2）</w:t>
            </w:r>
            <w:r>
              <w:rPr>
                <w:rFonts w:hint="default" w:ascii="Times New Roman" w:hAnsi="Times New Roman" w:eastAsia="宋体" w:cs="Times New Roman"/>
                <w:b w:val="0"/>
                <w:bCs/>
                <w:spacing w:val="11"/>
                <w:position w:val="0"/>
                <w:sz w:val="24"/>
                <w:szCs w:val="24"/>
              </w:rPr>
              <w:t>环境管理机构</w:t>
            </w:r>
          </w:p>
          <w:p w14:paraId="6C8420B2">
            <w:pPr>
              <w:pStyle w:val="19"/>
              <w:keepNext w:val="0"/>
              <w:keepLines w:val="0"/>
              <w:pageBreakBefore w:val="0"/>
              <w:kinsoku/>
              <w:wordWrap/>
              <w:overflowPunct/>
              <w:topLinePunct w:val="0"/>
              <w:bidi w:val="0"/>
              <w:adjustRightInd w:val="0"/>
              <w:snapToGrid w:val="0"/>
              <w:spacing w:line="360" w:lineRule="auto"/>
              <w:ind w:left="0" w:firstLine="524" w:firstLineChars="200"/>
              <w:rPr>
                <w:rFonts w:hint="default" w:ascii="Times New Roman" w:hAnsi="Times New Roman" w:eastAsia="宋体" w:cs="Times New Roman"/>
                <w:b w:val="0"/>
                <w:bCs/>
                <w:spacing w:val="11"/>
                <w:position w:val="0"/>
                <w:sz w:val="24"/>
                <w:szCs w:val="24"/>
              </w:rPr>
            </w:pPr>
            <w:r>
              <w:rPr>
                <w:rFonts w:hint="default" w:ascii="Times New Roman" w:hAnsi="Times New Roman" w:eastAsia="宋体" w:cs="Times New Roman"/>
                <w:b w:val="0"/>
                <w:bCs/>
                <w:spacing w:val="11"/>
                <w:position w:val="0"/>
                <w:sz w:val="24"/>
                <w:szCs w:val="24"/>
              </w:rPr>
              <w:t>本项目环境管理的实施单位是</w:t>
            </w:r>
            <w:r>
              <w:rPr>
                <w:rFonts w:hint="default" w:ascii="Times New Roman" w:hAnsi="Times New Roman" w:eastAsia="宋体" w:cs="Times New Roman"/>
                <w:b w:val="0"/>
                <w:bCs/>
                <w:spacing w:val="11"/>
                <w:position w:val="0"/>
                <w:sz w:val="24"/>
                <w:szCs w:val="24"/>
                <w:lang w:val="en-US" w:eastAsia="zh-CN"/>
              </w:rPr>
              <w:t>建设单位</w:t>
            </w:r>
            <w:r>
              <w:rPr>
                <w:rFonts w:hint="default" w:ascii="Times New Roman" w:hAnsi="Times New Roman" w:eastAsia="宋体" w:cs="Times New Roman"/>
                <w:b w:val="0"/>
                <w:bCs/>
                <w:spacing w:val="11"/>
                <w:position w:val="0"/>
                <w:sz w:val="24"/>
                <w:szCs w:val="24"/>
              </w:rPr>
              <w:t>。项目法人是环境管理的第一责任人。建议建设单位安排有1名专职环境管理人员，在项目法人的领导下负责项目环境管理工作，协调解决生产过程的环境问题。</w:t>
            </w:r>
          </w:p>
          <w:p w14:paraId="0D88B9A2">
            <w:pPr>
              <w:keepNext w:val="0"/>
              <w:keepLines w:val="0"/>
              <w:pageBreakBefore w:val="0"/>
              <w:kinsoku/>
              <w:wordWrap/>
              <w:overflowPunct/>
              <w:topLinePunct w:val="0"/>
              <w:bidi w:val="0"/>
              <w:adjustRightInd w:val="0"/>
              <w:snapToGrid w:val="0"/>
              <w:spacing w:line="360" w:lineRule="auto"/>
              <w:ind w:left="0" w:firstLine="524" w:firstLineChars="200"/>
              <w:outlineLvl w:val="2"/>
              <w:rPr>
                <w:rFonts w:hint="default" w:ascii="Times New Roman" w:hAnsi="Times New Roman" w:eastAsia="宋体" w:cs="Times New Roman"/>
                <w:b w:val="0"/>
                <w:bCs/>
                <w:spacing w:val="11"/>
                <w:position w:val="0"/>
                <w:sz w:val="24"/>
                <w:szCs w:val="24"/>
              </w:rPr>
            </w:pPr>
            <w:r>
              <w:rPr>
                <w:rFonts w:hint="default" w:ascii="Times New Roman" w:hAnsi="Times New Roman" w:eastAsia="宋体" w:cs="Times New Roman"/>
                <w:b w:val="0"/>
                <w:bCs/>
                <w:spacing w:val="11"/>
                <w:position w:val="0"/>
                <w:sz w:val="24"/>
                <w:szCs w:val="24"/>
                <w:lang w:eastAsia="zh-CN"/>
              </w:rPr>
              <w:t>（</w:t>
            </w:r>
            <w:r>
              <w:rPr>
                <w:rFonts w:hint="default" w:ascii="Times New Roman" w:hAnsi="Times New Roman" w:eastAsia="宋体" w:cs="Times New Roman"/>
                <w:b w:val="0"/>
                <w:bCs/>
                <w:spacing w:val="11"/>
                <w:position w:val="0"/>
                <w:sz w:val="24"/>
                <w:szCs w:val="24"/>
                <w:lang w:val="en-US" w:eastAsia="zh-CN"/>
              </w:rPr>
              <w:t>3）</w:t>
            </w:r>
            <w:r>
              <w:rPr>
                <w:rFonts w:hint="default" w:ascii="Times New Roman" w:hAnsi="Times New Roman" w:eastAsia="宋体" w:cs="Times New Roman"/>
                <w:b w:val="0"/>
                <w:bCs/>
                <w:spacing w:val="11"/>
                <w:position w:val="0"/>
                <w:sz w:val="24"/>
                <w:szCs w:val="24"/>
              </w:rPr>
              <w:t>环境管理工作职责</w:t>
            </w:r>
          </w:p>
          <w:p w14:paraId="43DBFB15">
            <w:pPr>
              <w:keepNext w:val="0"/>
              <w:keepLines w:val="0"/>
              <w:pageBreakBefore w:val="0"/>
              <w:kinsoku/>
              <w:wordWrap/>
              <w:overflowPunct/>
              <w:topLinePunct w:val="0"/>
              <w:bidi w:val="0"/>
              <w:adjustRightInd w:val="0"/>
              <w:snapToGrid w:val="0"/>
              <w:spacing w:line="360" w:lineRule="auto"/>
              <w:ind w:left="0" w:firstLine="524" w:firstLineChars="200"/>
              <w:rPr>
                <w:rFonts w:hint="default" w:ascii="Times New Roman" w:hAnsi="Times New Roman" w:eastAsia="宋体" w:cs="Times New Roman"/>
                <w:b/>
                <w:spacing w:val="11"/>
                <w:position w:val="0"/>
                <w:sz w:val="24"/>
                <w:szCs w:val="24"/>
              </w:rPr>
            </w:pPr>
            <w:r>
              <w:rPr>
                <w:rFonts w:hint="default" w:ascii="Times New Roman" w:hAnsi="Times New Roman" w:eastAsia="宋体" w:cs="Times New Roman"/>
                <w:spacing w:val="11"/>
                <w:position w:val="0"/>
                <w:sz w:val="24"/>
                <w:szCs w:val="24"/>
              </w:rPr>
              <w:t>1）执行国家、地方和行业环保部门的环境保护要求。</w:t>
            </w:r>
          </w:p>
          <w:p w14:paraId="30161F45">
            <w:pPr>
              <w:keepNext w:val="0"/>
              <w:keepLines w:val="0"/>
              <w:pageBreakBefore w:val="0"/>
              <w:kinsoku/>
              <w:wordWrap/>
              <w:overflowPunct/>
              <w:topLinePunct w:val="0"/>
              <w:bidi w:val="0"/>
              <w:adjustRightInd w:val="0"/>
              <w:snapToGrid w:val="0"/>
              <w:spacing w:line="360" w:lineRule="auto"/>
              <w:ind w:left="0" w:firstLine="524" w:firstLineChars="200"/>
              <w:rPr>
                <w:rFonts w:hint="default" w:ascii="Times New Roman" w:hAnsi="Times New Roman" w:eastAsia="宋体" w:cs="Times New Roman"/>
                <w:spacing w:val="11"/>
                <w:position w:val="0"/>
                <w:sz w:val="24"/>
                <w:szCs w:val="24"/>
              </w:rPr>
            </w:pPr>
            <w:r>
              <w:rPr>
                <w:rFonts w:hint="default" w:ascii="Times New Roman" w:hAnsi="Times New Roman" w:eastAsia="宋体" w:cs="Times New Roman"/>
                <w:spacing w:val="11"/>
                <w:position w:val="0"/>
                <w:sz w:val="24"/>
                <w:szCs w:val="24"/>
              </w:rPr>
              <w:t>2）制定和完善本工程生产期环境保护规章制度。</w:t>
            </w:r>
          </w:p>
          <w:p w14:paraId="1F8A5F7E">
            <w:pPr>
              <w:keepNext w:val="0"/>
              <w:keepLines w:val="0"/>
              <w:pageBreakBefore w:val="0"/>
              <w:kinsoku/>
              <w:wordWrap/>
              <w:overflowPunct/>
              <w:topLinePunct w:val="0"/>
              <w:bidi w:val="0"/>
              <w:adjustRightInd w:val="0"/>
              <w:snapToGrid w:val="0"/>
              <w:spacing w:line="360" w:lineRule="auto"/>
              <w:ind w:left="0" w:firstLine="524" w:firstLineChars="200"/>
              <w:rPr>
                <w:rFonts w:hint="default" w:ascii="Times New Roman" w:hAnsi="Times New Roman" w:eastAsia="宋体" w:cs="Times New Roman"/>
                <w:spacing w:val="11"/>
                <w:position w:val="0"/>
                <w:sz w:val="24"/>
                <w:szCs w:val="24"/>
              </w:rPr>
            </w:pPr>
            <w:r>
              <w:rPr>
                <w:rFonts w:hint="default" w:ascii="Times New Roman" w:hAnsi="Times New Roman" w:eastAsia="宋体" w:cs="Times New Roman"/>
                <w:spacing w:val="11"/>
                <w:position w:val="0"/>
                <w:sz w:val="24"/>
                <w:szCs w:val="24"/>
              </w:rPr>
              <w:t>3）落实“三同时”制度，对环保设施进行检查和维护。</w:t>
            </w:r>
          </w:p>
          <w:p w14:paraId="3ECCFDDC">
            <w:pPr>
              <w:keepNext w:val="0"/>
              <w:keepLines w:val="0"/>
              <w:pageBreakBefore w:val="0"/>
              <w:kinsoku/>
              <w:wordWrap/>
              <w:overflowPunct/>
              <w:topLinePunct w:val="0"/>
              <w:bidi w:val="0"/>
              <w:adjustRightInd w:val="0"/>
              <w:snapToGrid w:val="0"/>
              <w:spacing w:line="360" w:lineRule="auto"/>
              <w:ind w:left="0" w:firstLine="524" w:firstLineChars="200"/>
              <w:rPr>
                <w:rFonts w:hint="default" w:ascii="Times New Roman" w:hAnsi="Times New Roman" w:eastAsia="宋体" w:cs="Times New Roman"/>
                <w:spacing w:val="11"/>
                <w:position w:val="0"/>
                <w:sz w:val="24"/>
                <w:szCs w:val="24"/>
              </w:rPr>
            </w:pPr>
            <w:r>
              <w:rPr>
                <w:rFonts w:hint="default" w:ascii="Times New Roman" w:hAnsi="Times New Roman" w:eastAsia="宋体" w:cs="Times New Roman"/>
                <w:spacing w:val="11"/>
                <w:position w:val="0"/>
                <w:sz w:val="24"/>
                <w:szCs w:val="24"/>
              </w:rPr>
              <w:t>4）协助当地环保部门开展环境保护工作，处理与工程有关的环境问题。</w:t>
            </w:r>
          </w:p>
          <w:p w14:paraId="505D4889">
            <w:pPr>
              <w:keepNext w:val="0"/>
              <w:keepLines w:val="0"/>
              <w:pageBreakBefore w:val="0"/>
              <w:kinsoku/>
              <w:wordWrap/>
              <w:overflowPunct/>
              <w:topLinePunct w:val="0"/>
              <w:bidi w:val="0"/>
              <w:adjustRightInd w:val="0"/>
              <w:snapToGrid w:val="0"/>
              <w:spacing w:line="360" w:lineRule="auto"/>
              <w:ind w:left="0" w:firstLine="524" w:firstLineChars="200"/>
              <w:rPr>
                <w:rFonts w:hint="default" w:ascii="Times New Roman" w:hAnsi="Times New Roman" w:eastAsia="宋体" w:cs="Times New Roman"/>
                <w:spacing w:val="11"/>
                <w:position w:val="0"/>
                <w:sz w:val="24"/>
                <w:szCs w:val="24"/>
              </w:rPr>
            </w:pPr>
            <w:r>
              <w:rPr>
                <w:rFonts w:hint="default" w:ascii="Times New Roman" w:hAnsi="Times New Roman" w:eastAsia="宋体" w:cs="Times New Roman"/>
                <w:spacing w:val="11"/>
                <w:position w:val="0"/>
                <w:sz w:val="24"/>
                <w:szCs w:val="24"/>
              </w:rPr>
              <w:t>5）掌握工程区环境状况，对污染物排放和生态破坏情况进行统计。</w:t>
            </w:r>
          </w:p>
          <w:p w14:paraId="4F941272">
            <w:pPr>
              <w:keepNext w:val="0"/>
              <w:keepLines w:val="0"/>
              <w:pageBreakBefore w:val="0"/>
              <w:kinsoku/>
              <w:wordWrap/>
              <w:overflowPunct/>
              <w:topLinePunct w:val="0"/>
              <w:bidi w:val="0"/>
              <w:adjustRightInd w:val="0"/>
              <w:snapToGrid w:val="0"/>
              <w:spacing w:line="360" w:lineRule="auto"/>
              <w:ind w:left="0" w:firstLine="524" w:firstLineChars="200"/>
              <w:rPr>
                <w:rFonts w:hint="default" w:ascii="Times New Roman" w:hAnsi="Times New Roman" w:eastAsia="宋体" w:cs="Times New Roman"/>
                <w:spacing w:val="11"/>
                <w:position w:val="0"/>
                <w:sz w:val="24"/>
                <w:szCs w:val="24"/>
              </w:rPr>
            </w:pPr>
            <w:r>
              <w:rPr>
                <w:rFonts w:hint="default" w:ascii="Times New Roman" w:hAnsi="Times New Roman" w:eastAsia="宋体" w:cs="Times New Roman"/>
                <w:spacing w:val="11"/>
                <w:position w:val="0"/>
                <w:sz w:val="24"/>
                <w:szCs w:val="24"/>
              </w:rPr>
              <w:t>6）积累、保存、管理与本工程环境保护有关的资料、文件。</w:t>
            </w:r>
          </w:p>
          <w:p w14:paraId="3A85D9F4">
            <w:pPr>
              <w:keepNext w:val="0"/>
              <w:keepLines w:val="0"/>
              <w:pageBreakBefore w:val="0"/>
              <w:kinsoku/>
              <w:wordWrap/>
              <w:overflowPunct/>
              <w:topLinePunct w:val="0"/>
              <w:bidi w:val="0"/>
              <w:adjustRightInd w:val="0"/>
              <w:snapToGrid w:val="0"/>
              <w:spacing w:line="360" w:lineRule="auto"/>
              <w:ind w:left="0" w:firstLine="524" w:firstLineChars="200"/>
              <w:rPr>
                <w:rFonts w:hint="default" w:ascii="Times New Roman" w:hAnsi="Times New Roman" w:eastAsia="宋体" w:cs="Times New Roman"/>
                <w:spacing w:val="11"/>
                <w:position w:val="0"/>
                <w:sz w:val="24"/>
                <w:szCs w:val="24"/>
              </w:rPr>
            </w:pPr>
            <w:r>
              <w:rPr>
                <w:rFonts w:hint="default" w:ascii="Times New Roman" w:hAnsi="Times New Roman" w:eastAsia="宋体" w:cs="Times New Roman"/>
                <w:spacing w:val="11"/>
                <w:position w:val="0"/>
                <w:sz w:val="24"/>
                <w:szCs w:val="24"/>
              </w:rPr>
              <w:t>7）做好生产人员的环保宣传和教育工作。</w:t>
            </w:r>
          </w:p>
          <w:p w14:paraId="6F1BE6A4">
            <w:pPr>
              <w:pStyle w:val="76"/>
              <w:keepNext w:val="0"/>
              <w:keepLines w:val="0"/>
              <w:pageBreakBefore w:val="0"/>
              <w:tabs>
                <w:tab w:val="left" w:pos="1877"/>
              </w:tabs>
              <w:kinsoku/>
              <w:wordWrap/>
              <w:overflowPunct/>
              <w:topLinePunct w:val="0"/>
              <w:autoSpaceDE/>
              <w:autoSpaceDN/>
              <w:bidi w:val="0"/>
              <w:adjustRightInd w:val="0"/>
              <w:snapToGrid w:val="0"/>
              <w:spacing w:before="0" w:after="0" w:line="360" w:lineRule="auto"/>
              <w:ind w:left="0" w:right="0" w:firstLine="480"/>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（4）营运期环境管理</w:t>
            </w:r>
          </w:p>
          <w:p w14:paraId="111EEFC0">
            <w:pPr>
              <w:pStyle w:val="76"/>
              <w:keepNext w:val="0"/>
              <w:keepLines w:val="0"/>
              <w:pageBreakBefore w:val="0"/>
              <w:tabs>
                <w:tab w:val="left" w:pos="1877"/>
              </w:tabs>
              <w:kinsoku/>
              <w:wordWrap/>
              <w:overflowPunct/>
              <w:topLinePunct w:val="0"/>
              <w:autoSpaceDE/>
              <w:autoSpaceDN/>
              <w:bidi w:val="0"/>
              <w:adjustRightInd w:val="0"/>
              <w:snapToGrid w:val="0"/>
              <w:spacing w:before="0" w:after="0" w:line="360" w:lineRule="auto"/>
              <w:ind w:left="0" w:right="0" w:firstLine="480"/>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 xml:space="preserve">营运期的环境管理的重点是各项环境保护措施的落实和维护，建议重点做好以下工作。 </w:t>
            </w:r>
          </w:p>
          <w:p w14:paraId="6F15CBCC">
            <w:pPr>
              <w:pStyle w:val="76"/>
              <w:keepNext w:val="0"/>
              <w:keepLines w:val="0"/>
              <w:pageBreakBefore w:val="0"/>
              <w:widowControl/>
              <w:numPr>
                <w:ilvl w:val="0"/>
                <w:numId w:val="0"/>
              </w:numPr>
              <w:tabs>
                <w:tab w:val="left" w:pos="1877"/>
              </w:tabs>
              <w:kinsoku/>
              <w:wordWrap/>
              <w:overflowPunct/>
              <w:topLinePunct w:val="0"/>
              <w:autoSpaceDE/>
              <w:autoSpaceDN/>
              <w:bidi w:val="0"/>
              <w:adjustRightInd w:val="0"/>
              <w:snapToGrid w:val="0"/>
              <w:spacing w:before="0" w:after="0" w:line="360" w:lineRule="auto"/>
              <w:ind w:left="0" w:right="0" w:rightChars="0"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1）针对采矿区、仓储区分别制定操作规章制度，应包括具体操作流程、安全规范、环保要求等，对于原料、半成品和成品堆放区应做到分类分区存放、对于厂区的主要生产单元、仓储单元和环保单元，应设置醒目标识标牌，厂区管理建议按照“6S精益管理”方法进行。</w:t>
            </w:r>
          </w:p>
          <w:p w14:paraId="76869CDF">
            <w:pPr>
              <w:pStyle w:val="76"/>
              <w:keepNext w:val="0"/>
              <w:keepLines w:val="0"/>
              <w:pageBreakBefore w:val="0"/>
              <w:widowControl/>
              <w:tabs>
                <w:tab w:val="left" w:pos="1877"/>
              </w:tabs>
              <w:kinsoku/>
              <w:wordWrap/>
              <w:overflowPunct/>
              <w:topLinePunct w:val="0"/>
              <w:autoSpaceDE/>
              <w:autoSpaceDN/>
              <w:bidi w:val="0"/>
              <w:adjustRightInd w:val="0"/>
              <w:snapToGrid w:val="0"/>
              <w:spacing w:before="0" w:after="0" w:line="360" w:lineRule="auto"/>
              <w:ind w:left="0" w:right="0"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2）做好风险防范设施的运行管理和维护，保证运行效果。</w:t>
            </w:r>
          </w:p>
          <w:p w14:paraId="0CA36409">
            <w:pPr>
              <w:pStyle w:val="15"/>
              <w:keepNext w:val="0"/>
              <w:keepLines w:val="0"/>
              <w:pageBreakBefore w:val="0"/>
              <w:widowControl w:val="0"/>
              <w:kinsoku/>
              <w:wordWrap/>
              <w:overflowPunct/>
              <w:topLinePunct w:val="0"/>
              <w:autoSpaceDE/>
              <w:autoSpaceDN/>
              <w:bidi w:val="0"/>
              <w:adjustRightInd w:val="0"/>
              <w:snapToGrid w:val="0"/>
              <w:spacing w:line="360" w:lineRule="auto"/>
              <w:ind w:left="0"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3）项目产生的固体废物</w:t>
            </w:r>
            <w:r>
              <w:rPr>
                <w:rFonts w:hint="default" w:ascii="Times New Roman" w:hAnsi="Times New Roman" w:eastAsia="宋体" w:cs="Times New Roman"/>
                <w:color w:val="000000"/>
                <w:spacing w:val="11"/>
                <w:position w:val="0"/>
                <w:sz w:val="24"/>
                <w:szCs w:val="24"/>
                <w:u w:val="none" w:color="auto"/>
                <w:lang w:val="en-US" w:eastAsia="zh-CN"/>
              </w:rPr>
              <w:t>集中</w:t>
            </w: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收集并</w:t>
            </w:r>
            <w:r>
              <w:rPr>
                <w:rFonts w:hint="default" w:ascii="Times New Roman" w:hAnsi="Times New Roman" w:eastAsia="宋体" w:cs="Times New Roman"/>
                <w:color w:val="000000"/>
                <w:spacing w:val="11"/>
                <w:position w:val="0"/>
                <w:sz w:val="24"/>
                <w:szCs w:val="24"/>
                <w:u w:val="none" w:color="auto"/>
                <w:lang w:val="en-US" w:eastAsia="zh-CN"/>
              </w:rPr>
              <w:t>送到</w:t>
            </w: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相应部门妥善处理。</w:t>
            </w:r>
          </w:p>
          <w:p w14:paraId="01A62EB1">
            <w:pPr>
              <w:pStyle w:val="15"/>
              <w:keepNext w:val="0"/>
              <w:keepLines w:val="0"/>
              <w:pageBreakBefore w:val="0"/>
              <w:widowControl w:val="0"/>
              <w:kinsoku/>
              <w:wordWrap/>
              <w:overflowPunct/>
              <w:topLinePunct w:val="0"/>
              <w:autoSpaceDE/>
              <w:autoSpaceDN/>
              <w:bidi w:val="0"/>
              <w:adjustRightInd w:val="0"/>
              <w:snapToGrid w:val="0"/>
              <w:spacing w:line="360" w:lineRule="auto"/>
              <w:ind w:left="0"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4）做好废水</w:t>
            </w:r>
            <w:r>
              <w:rPr>
                <w:rFonts w:hint="default" w:ascii="Times New Roman" w:hAnsi="Times New Roman" w:eastAsia="宋体" w:cs="Times New Roman"/>
                <w:color w:val="000000"/>
                <w:spacing w:val="11"/>
                <w:position w:val="0"/>
                <w:sz w:val="24"/>
                <w:szCs w:val="24"/>
                <w:u w:val="none" w:color="auto"/>
                <w:lang w:val="en-US" w:eastAsia="zh-CN"/>
              </w:rPr>
              <w:t>处理</w:t>
            </w: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 xml:space="preserve">设施的运行管理和维护，保证运行效果。 </w:t>
            </w:r>
          </w:p>
          <w:p w14:paraId="213A0F99">
            <w:pPr>
              <w:pStyle w:val="15"/>
              <w:keepNext w:val="0"/>
              <w:keepLines w:val="0"/>
              <w:pageBreakBefore w:val="0"/>
              <w:widowControl w:val="0"/>
              <w:kinsoku/>
              <w:wordWrap/>
              <w:overflowPunct/>
              <w:topLinePunct w:val="0"/>
              <w:autoSpaceDE/>
              <w:autoSpaceDN/>
              <w:bidi w:val="0"/>
              <w:adjustRightInd w:val="0"/>
              <w:snapToGrid w:val="0"/>
              <w:spacing w:line="360" w:lineRule="auto"/>
              <w:ind w:left="0"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5）要做好绿化的建设和维护工作。绿色植物不仅能涵养水分，保持水土，而且能挡尘降噪，调节小气候，有利于改善生态环境。绿化要及时进行，绿化面积要达标。在营运期要做好绿化花草树木的管理工作。勤浇水、勤施肥，勤治虫，勤补种和更换花草，保证绿化成功率，并不断地提高绿化的档次。</w:t>
            </w:r>
          </w:p>
          <w:p w14:paraId="1A1157FF">
            <w:pPr>
              <w:pStyle w:val="77"/>
              <w:keepNext w:val="0"/>
              <w:keepLines w:val="0"/>
              <w:pageBreakBefore w:val="0"/>
              <w:kinsoku/>
              <w:wordWrap/>
              <w:overflowPunct/>
              <w:topLinePunct w:val="0"/>
              <w:autoSpaceDE/>
              <w:autoSpaceDN/>
              <w:bidi w:val="0"/>
              <w:adjustRightInd w:val="0"/>
              <w:snapToGrid w:val="0"/>
              <w:spacing w:line="360" w:lineRule="auto"/>
              <w:ind w:left="0" w:right="0" w:firstLine="524" w:firstLineChars="200"/>
              <w:textAlignment w:val="baseline"/>
              <w:rPr>
                <w:rFonts w:hint="default" w:ascii="Times New Roman" w:hAnsi="Times New Roman" w:eastAsia="宋体" w:cs="Times New Roman"/>
                <w:spacing w:val="11"/>
                <w:position w:val="0"/>
                <w:sz w:val="24"/>
                <w:szCs w:val="26"/>
              </w:rPr>
            </w:pPr>
            <w:r>
              <w:rPr>
                <w:rFonts w:hint="default" w:ascii="Times New Roman" w:hAnsi="Times New Roman" w:eastAsia="宋体" w:cs="Times New Roman"/>
                <w:spacing w:val="11"/>
                <w:position w:val="0"/>
                <w:sz w:val="24"/>
                <w:szCs w:val="26"/>
              </w:rPr>
              <w:t>根据矿山具体情况，本评价初步制定了其环境保护管理计划见</w:t>
            </w:r>
            <w:r>
              <w:rPr>
                <w:rFonts w:hint="default" w:ascii="Times New Roman" w:hAnsi="Times New Roman" w:eastAsia="宋体" w:cs="Times New Roman"/>
                <w:spacing w:val="11"/>
                <w:position w:val="0"/>
                <w:sz w:val="24"/>
                <w:szCs w:val="26"/>
                <w:lang w:val="en-US" w:eastAsia="zh-CN"/>
              </w:rPr>
              <w:t>下</w:t>
            </w:r>
            <w:r>
              <w:rPr>
                <w:rFonts w:hint="default" w:ascii="Times New Roman" w:hAnsi="Times New Roman" w:eastAsia="宋体" w:cs="Times New Roman"/>
                <w:spacing w:val="11"/>
                <w:position w:val="0"/>
                <w:sz w:val="24"/>
                <w:szCs w:val="26"/>
              </w:rPr>
              <w:t>表</w:t>
            </w:r>
            <w:r>
              <w:rPr>
                <w:rFonts w:hint="default" w:ascii="Times New Roman" w:hAnsi="Times New Roman" w:eastAsia="宋体" w:cs="Times New Roman"/>
                <w:spacing w:val="11"/>
                <w:position w:val="0"/>
                <w:sz w:val="24"/>
                <w:szCs w:val="26"/>
                <w:lang w:val="en-US" w:eastAsia="zh-CN"/>
              </w:rPr>
              <w:t>5-</w:t>
            </w:r>
            <w:r>
              <w:rPr>
                <w:rFonts w:hint="eastAsia" w:cs="Times New Roman"/>
                <w:spacing w:val="11"/>
                <w:position w:val="0"/>
                <w:sz w:val="24"/>
                <w:szCs w:val="26"/>
                <w:lang w:val="en-US" w:eastAsia="zh-CN"/>
              </w:rPr>
              <w:t>3</w:t>
            </w:r>
            <w:r>
              <w:rPr>
                <w:rFonts w:hint="default" w:ascii="Times New Roman" w:hAnsi="Times New Roman" w:eastAsia="宋体" w:cs="Times New Roman"/>
                <w:spacing w:val="11"/>
                <w:position w:val="0"/>
                <w:sz w:val="24"/>
                <w:szCs w:val="26"/>
              </w:rPr>
              <w:t>。</w:t>
            </w:r>
          </w:p>
          <w:p w14:paraId="52F31DD6">
            <w:pPr>
              <w:pStyle w:val="17"/>
              <w:keepNext w:val="0"/>
              <w:keepLines w:val="0"/>
              <w:pageBreakBefore w:val="0"/>
              <w:kinsoku/>
              <w:wordWrap/>
              <w:overflowPunct/>
              <w:topLinePunct w:val="0"/>
              <w:autoSpaceDE/>
              <w:autoSpaceDN/>
              <w:bidi w:val="0"/>
              <w:adjustRightInd w:val="0"/>
              <w:snapToGrid w:val="0"/>
              <w:spacing w:before="0" w:after="0" w:line="240" w:lineRule="auto"/>
              <w:ind w:left="0" w:right="0"/>
              <w:jc w:val="center"/>
              <w:rPr>
                <w:rFonts w:hint="default" w:ascii="Times New Roman" w:hAnsi="Times New Roman" w:eastAsia="宋体" w:cs="Times New Roman"/>
                <w:b/>
                <w:spacing w:val="11"/>
                <w:position w:val="0"/>
                <w:sz w:val="21"/>
                <w:szCs w:val="21"/>
                <w:u w:val="none"/>
              </w:rPr>
            </w:pPr>
            <w:r>
              <w:rPr>
                <w:rFonts w:hint="default" w:ascii="Times New Roman" w:hAnsi="Times New Roman" w:eastAsia="宋体" w:cs="Times New Roman"/>
                <w:b/>
                <w:spacing w:val="11"/>
                <w:position w:val="0"/>
                <w:sz w:val="21"/>
                <w:szCs w:val="21"/>
                <w:u w:val="none"/>
              </w:rPr>
              <w:t>表5-</w:t>
            </w:r>
            <w:r>
              <w:rPr>
                <w:rFonts w:hint="eastAsia" w:cs="Times New Roman"/>
                <w:b/>
                <w:spacing w:val="11"/>
                <w:position w:val="0"/>
                <w:sz w:val="21"/>
                <w:szCs w:val="21"/>
                <w:u w:val="none"/>
                <w:lang w:val="en-US" w:eastAsia="zh-CN"/>
              </w:rPr>
              <w:t>3</w:t>
            </w:r>
            <w:r>
              <w:rPr>
                <w:rFonts w:hint="default" w:ascii="Times New Roman" w:hAnsi="Times New Roman" w:eastAsia="宋体" w:cs="Times New Roman"/>
                <w:b/>
                <w:spacing w:val="11"/>
                <w:position w:val="0"/>
                <w:sz w:val="21"/>
                <w:szCs w:val="21"/>
                <w:u w:val="none"/>
              </w:rPr>
              <w:t xml:space="preserve">  环境管理任务计划表</w:t>
            </w:r>
          </w:p>
          <w:tbl>
            <w:tblPr>
              <w:tblStyle w:val="32"/>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0"/>
              <w:gridCol w:w="7078"/>
            </w:tblGrid>
            <w:tr w14:paraId="1843B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23" w:type="dxa"/>
                  <w:tcBorders>
                    <w:tl2br w:val="nil"/>
                    <w:tr2bl w:val="nil"/>
                  </w:tcBorders>
                  <w:noWrap w:val="0"/>
                  <w:vAlign w:val="center"/>
                </w:tcPr>
                <w:p w14:paraId="060D6793">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position w:val="0"/>
                      <w:szCs w:val="21"/>
                      <w:u w:val="none"/>
                    </w:rPr>
                    <w:t>阶 段</w:t>
                  </w:r>
                </w:p>
              </w:tc>
              <w:tc>
                <w:tcPr>
                  <w:tcW w:w="7755" w:type="dxa"/>
                  <w:tcBorders>
                    <w:tl2br w:val="nil"/>
                    <w:tr2bl w:val="nil"/>
                  </w:tcBorders>
                  <w:noWrap w:val="0"/>
                  <w:vAlign w:val="center"/>
                </w:tcPr>
                <w:p w14:paraId="20168D3B">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position w:val="0"/>
                      <w:szCs w:val="21"/>
                      <w:u w:val="none"/>
                    </w:rPr>
                    <w:t>环境管理主要任务内容</w:t>
                  </w:r>
                </w:p>
              </w:tc>
            </w:tr>
            <w:tr w14:paraId="5DA867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dxa"/>
                  <w:tcBorders>
                    <w:tl2br w:val="nil"/>
                    <w:tr2bl w:val="nil"/>
                  </w:tcBorders>
                  <w:noWrap w:val="0"/>
                  <w:vAlign w:val="center"/>
                </w:tcPr>
                <w:p w14:paraId="44E109D6">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position w:val="0"/>
                      <w:szCs w:val="21"/>
                      <w:u w:val="none"/>
                    </w:rPr>
                    <w:t>施工期</w:t>
                  </w:r>
                </w:p>
              </w:tc>
              <w:tc>
                <w:tcPr>
                  <w:tcW w:w="7755" w:type="dxa"/>
                  <w:tcBorders>
                    <w:tl2br w:val="nil"/>
                    <w:tr2bl w:val="nil"/>
                  </w:tcBorders>
                  <w:noWrap w:val="0"/>
                  <w:vAlign w:val="center"/>
                </w:tcPr>
                <w:p w14:paraId="5E759C4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kern w:val="2"/>
                      <w:position w:val="0"/>
                      <w:sz w:val="21"/>
                      <w:szCs w:val="21"/>
                      <w:lang w:val="en-US" w:eastAsia="zh-CN" w:bidi="ar-SA"/>
                    </w:rPr>
                    <w:t>①</w:t>
                  </w:r>
                  <w:r>
                    <w:rPr>
                      <w:rFonts w:hint="default" w:ascii="Times New Roman" w:hAnsi="Times New Roman" w:eastAsia="宋体" w:cs="Times New Roman"/>
                      <w:spacing w:val="11"/>
                      <w:position w:val="0"/>
                      <w:szCs w:val="21"/>
                      <w:u w:val="none"/>
                    </w:rPr>
                    <w:t>废石运输排土场，土石分区堆存，及时用于恢复边坡台阶。</w:t>
                  </w:r>
                </w:p>
                <w:p w14:paraId="15CD8F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kern w:val="2"/>
                      <w:position w:val="0"/>
                      <w:sz w:val="21"/>
                      <w:szCs w:val="21"/>
                      <w:lang w:val="en-US" w:eastAsia="zh-CN" w:bidi="ar-SA"/>
                    </w:rPr>
                    <w:t>②</w:t>
                  </w:r>
                  <w:r>
                    <w:rPr>
                      <w:rFonts w:hint="default" w:ascii="Times New Roman" w:hAnsi="Times New Roman" w:eastAsia="宋体" w:cs="Times New Roman"/>
                      <w:spacing w:val="11"/>
                      <w:position w:val="0"/>
                      <w:szCs w:val="21"/>
                      <w:u w:val="none"/>
                    </w:rPr>
                    <w:t>施工废水主要是车辆轮胎清洗废水，经沉砂池处理后用于施工场地洒水抑尘，不外排。</w:t>
                  </w:r>
                </w:p>
                <w:p w14:paraId="191B26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kern w:val="2"/>
                      <w:position w:val="0"/>
                      <w:sz w:val="21"/>
                      <w:szCs w:val="21"/>
                      <w:lang w:val="en-US" w:eastAsia="zh-CN" w:bidi="ar-SA"/>
                    </w:rPr>
                    <w:t>③</w:t>
                  </w:r>
                  <w:r>
                    <w:rPr>
                      <w:rFonts w:hint="default" w:ascii="Times New Roman" w:hAnsi="Times New Roman" w:eastAsia="宋体" w:cs="Times New Roman"/>
                      <w:bCs/>
                      <w:spacing w:val="11"/>
                      <w:position w:val="0"/>
                      <w:szCs w:val="21"/>
                      <w:u w:val="none"/>
                    </w:rPr>
                    <w:t>施工人员生活污水依托租赁民房旱厕进行处理后农用，不外排</w:t>
                  </w:r>
                  <w:r>
                    <w:rPr>
                      <w:rFonts w:hint="default" w:ascii="Times New Roman" w:hAnsi="Times New Roman" w:eastAsia="宋体" w:cs="Times New Roman"/>
                      <w:spacing w:val="11"/>
                      <w:position w:val="0"/>
                      <w:szCs w:val="21"/>
                      <w:u w:val="none"/>
                    </w:rPr>
                    <w:t>；</w:t>
                  </w:r>
                </w:p>
                <w:p w14:paraId="55E3F7B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kern w:val="2"/>
                      <w:position w:val="0"/>
                      <w:sz w:val="21"/>
                      <w:szCs w:val="21"/>
                      <w:lang w:val="en-US" w:eastAsia="zh-CN" w:bidi="ar-SA"/>
                    </w:rPr>
                    <w:t>④</w:t>
                  </w:r>
                  <w:r>
                    <w:rPr>
                      <w:rFonts w:hint="default" w:ascii="Times New Roman" w:hAnsi="Times New Roman" w:eastAsia="宋体" w:cs="Times New Roman"/>
                      <w:spacing w:val="11"/>
                      <w:position w:val="0"/>
                      <w:szCs w:val="21"/>
                      <w:u w:val="none"/>
                    </w:rPr>
                    <w:t>施工期严格管理，易扬撒物料密闭运输，施工场区有针对性的洒水抑尘，文明施工；</w:t>
                  </w:r>
                </w:p>
                <w:p w14:paraId="1092E6C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kern w:val="2"/>
                      <w:position w:val="0"/>
                      <w:sz w:val="21"/>
                      <w:szCs w:val="21"/>
                      <w:lang w:val="en-US" w:eastAsia="zh-CN" w:bidi="ar-SA"/>
                    </w:rPr>
                    <w:t>⑤</w:t>
                  </w:r>
                  <w:r>
                    <w:rPr>
                      <w:rFonts w:hint="default" w:ascii="Times New Roman" w:hAnsi="Times New Roman" w:eastAsia="宋体" w:cs="Times New Roman"/>
                      <w:spacing w:val="11"/>
                      <w:position w:val="0"/>
                      <w:szCs w:val="21"/>
                      <w:u w:val="none"/>
                    </w:rPr>
                    <w:t>合理安排施工时间，优化设备布局，运输车辆限速、禁鸣，高噪声设备设置在临时设备房内或离声环境敏感目标较远的区段；</w:t>
                  </w:r>
                </w:p>
                <w:p w14:paraId="51866E8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kern w:val="2"/>
                      <w:position w:val="0"/>
                      <w:sz w:val="21"/>
                      <w:szCs w:val="21"/>
                      <w:lang w:val="en-US" w:eastAsia="zh-CN" w:bidi="ar-SA"/>
                    </w:rPr>
                    <w:t>⑥</w:t>
                  </w:r>
                  <w:r>
                    <w:rPr>
                      <w:rFonts w:hint="default" w:ascii="Times New Roman" w:hAnsi="Times New Roman" w:eastAsia="宋体" w:cs="Times New Roman"/>
                      <w:spacing w:val="11"/>
                      <w:position w:val="0"/>
                      <w:szCs w:val="21"/>
                      <w:u w:val="none"/>
                    </w:rPr>
                    <w:t>生活垃圾集中收集后交环卫部门统一处置；</w:t>
                  </w:r>
                </w:p>
                <w:p w14:paraId="0F8E8E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kern w:val="2"/>
                      <w:position w:val="0"/>
                      <w:sz w:val="21"/>
                      <w:szCs w:val="21"/>
                      <w:lang w:val="en-US" w:eastAsia="zh-CN" w:bidi="ar-SA"/>
                    </w:rPr>
                    <w:t>⑦</w:t>
                  </w:r>
                  <w:r>
                    <w:rPr>
                      <w:rFonts w:hint="default" w:ascii="Times New Roman" w:hAnsi="Times New Roman" w:eastAsia="宋体" w:cs="Times New Roman"/>
                      <w:spacing w:val="11"/>
                      <w:position w:val="0"/>
                      <w:szCs w:val="21"/>
                      <w:u w:val="none"/>
                    </w:rPr>
                    <w:t>建筑垃圾用于施工期矿区道路的建设；</w:t>
                  </w:r>
                </w:p>
                <w:p w14:paraId="225D33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kern w:val="2"/>
                      <w:position w:val="0"/>
                      <w:sz w:val="21"/>
                      <w:szCs w:val="21"/>
                      <w:lang w:val="en-US" w:eastAsia="zh-CN" w:bidi="ar-SA"/>
                    </w:rPr>
                    <w:t>⑧</w:t>
                  </w:r>
                  <w:r>
                    <w:rPr>
                      <w:rFonts w:hint="default" w:ascii="Times New Roman" w:hAnsi="Times New Roman" w:eastAsia="宋体" w:cs="Times New Roman"/>
                      <w:spacing w:val="11"/>
                      <w:position w:val="0"/>
                      <w:szCs w:val="21"/>
                      <w:u w:val="none"/>
                    </w:rPr>
                    <w:t>监督使用环保、优质材料；</w:t>
                  </w:r>
                </w:p>
              </w:tc>
            </w:tr>
            <w:tr w14:paraId="1C5B7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2" w:hRule="atLeast"/>
                <w:jc w:val="center"/>
              </w:trPr>
              <w:tc>
                <w:tcPr>
                  <w:tcW w:w="923" w:type="dxa"/>
                  <w:tcBorders>
                    <w:tl2br w:val="nil"/>
                    <w:tr2bl w:val="nil"/>
                  </w:tcBorders>
                  <w:noWrap w:val="0"/>
                  <w:vAlign w:val="center"/>
                </w:tcPr>
                <w:p w14:paraId="332906DC">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position w:val="0"/>
                      <w:szCs w:val="21"/>
                      <w:u w:val="none"/>
                    </w:rPr>
                    <w:t>运营期</w:t>
                  </w:r>
                </w:p>
              </w:tc>
              <w:tc>
                <w:tcPr>
                  <w:tcW w:w="7755" w:type="dxa"/>
                  <w:tcBorders>
                    <w:tl2br w:val="nil"/>
                    <w:tr2bl w:val="nil"/>
                  </w:tcBorders>
                  <w:noWrap w:val="0"/>
                  <w:vAlign w:val="center"/>
                </w:tcPr>
                <w:p w14:paraId="4E386C20">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position w:val="0"/>
                      <w:szCs w:val="21"/>
                      <w:u w:val="none"/>
                    </w:rPr>
                    <w:t>①贯彻执行国家、地方及产业政策相关环境保护法律法规和标准，完善和落实各项环保手续；</w:t>
                  </w:r>
                </w:p>
                <w:p w14:paraId="62426641">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position w:val="0"/>
                      <w:szCs w:val="21"/>
                      <w:u w:val="none"/>
                    </w:rPr>
                    <w:t>②制定并严格执行各项生产环境管理规章制度，对各项污染治理设施建立操作、维护和检修规程，落实岗位责任制，保证生产正常运行；</w:t>
                  </w:r>
                </w:p>
                <w:p w14:paraId="43802073">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position w:val="0"/>
                      <w:szCs w:val="21"/>
                      <w:u w:val="none"/>
                    </w:rPr>
                    <w:t>③建立定期环境监测制度，加强环境监督、检查；申报排污许可证，建立环保设施运行卡，对环保设施定期进行检查和维护；</w:t>
                  </w:r>
                </w:p>
                <w:p w14:paraId="76505D7B">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position w:val="0"/>
                      <w:szCs w:val="21"/>
                      <w:u w:val="none"/>
                    </w:rPr>
                    <w:t>④按照环境管理监测计划开展定期、不定期环境与污染源监测，发现问题及时处理；</w:t>
                  </w:r>
                </w:p>
                <w:p w14:paraId="630AED3B">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position w:val="0"/>
                      <w:szCs w:val="21"/>
                      <w:u w:val="none"/>
                    </w:rPr>
                    <w:t>⑤设立环境监理机构，明确其职能，资金落实到位，落实生态影响防护与恢复的监督管理措施。</w:t>
                  </w:r>
                </w:p>
                <w:p w14:paraId="22BF5A34">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position w:val="0"/>
                      <w:szCs w:val="21"/>
                      <w:u w:val="none"/>
                    </w:rPr>
                    <w:t>⑥完善矿区环境管理目标与任务，落实矿区污染防治及生态保护恢复方案，配合地方环保部门制定区域环境综合整治规划；加强国家环保政策宣传，提高员工环保意识，提升企业环境管理水平。</w:t>
                  </w:r>
                </w:p>
              </w:tc>
            </w:tr>
            <w:tr w14:paraId="71E7C5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923" w:type="dxa"/>
                  <w:tcBorders>
                    <w:tl2br w:val="nil"/>
                    <w:tr2bl w:val="nil"/>
                  </w:tcBorders>
                  <w:noWrap w:val="0"/>
                  <w:vAlign w:val="center"/>
                </w:tcPr>
                <w:p w14:paraId="666C4021">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position w:val="0"/>
                      <w:szCs w:val="21"/>
                      <w:u w:val="none"/>
                    </w:rPr>
                    <w:t>管理工作重点</w:t>
                  </w:r>
                </w:p>
              </w:tc>
              <w:tc>
                <w:tcPr>
                  <w:tcW w:w="7755" w:type="dxa"/>
                  <w:tcBorders>
                    <w:tl2br w:val="nil"/>
                    <w:tr2bl w:val="nil"/>
                  </w:tcBorders>
                  <w:noWrap w:val="0"/>
                  <w:vAlign w:val="center"/>
                </w:tcPr>
                <w:p w14:paraId="035DDA4D">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position w:val="0"/>
                      <w:szCs w:val="21"/>
                      <w:u w:val="none"/>
                    </w:rPr>
                    <w:t>①加强污染源监控与管理，保证废水全部不外排，表土全部利用；</w:t>
                  </w:r>
                </w:p>
                <w:p w14:paraId="1F492ED6">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position w:val="0"/>
                      <w:szCs w:val="21"/>
                      <w:u w:val="none"/>
                    </w:rPr>
                    <w:t>②坚持“预防为主、防治结合、综合治理”的原则，强化环境管理力度；</w:t>
                  </w:r>
                </w:p>
                <w:p w14:paraId="3132A86B">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hint="default" w:ascii="Times New Roman" w:hAnsi="Times New Roman" w:eastAsia="宋体" w:cs="Times New Roman"/>
                      <w:spacing w:val="11"/>
                      <w:position w:val="0"/>
                      <w:szCs w:val="21"/>
                      <w:u w:val="none"/>
                    </w:rPr>
                  </w:pPr>
                  <w:r>
                    <w:rPr>
                      <w:rFonts w:hint="default" w:ascii="Times New Roman" w:hAnsi="Times New Roman" w:eastAsia="宋体" w:cs="Times New Roman"/>
                      <w:spacing w:val="11"/>
                      <w:position w:val="0"/>
                      <w:szCs w:val="21"/>
                      <w:u w:val="none"/>
                    </w:rPr>
                    <w:t>③严格控制生产全过程废气、噪声和固废排放，保护矿区生态环境。</w:t>
                  </w:r>
                </w:p>
              </w:tc>
            </w:tr>
          </w:tbl>
          <w:p w14:paraId="754F0874">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non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（2）环保设施标识标牌</w:t>
            </w:r>
          </w:p>
          <w:p w14:paraId="16718B37">
            <w:pPr>
              <w:keepNext w:val="0"/>
              <w:keepLines w:val="0"/>
              <w:pageBreakBefore w:val="0"/>
              <w:widowControl w:val="0"/>
              <w:kinsoku/>
              <w:wordWrap/>
              <w:overflowPunct/>
              <w:topLinePunct w:val="0"/>
              <w:autoSpaceDE/>
              <w:autoSpaceDN/>
              <w:bidi w:val="0"/>
              <w:adjustRightInd w:val="0"/>
              <w:snapToGrid w:val="0"/>
              <w:spacing w:line="360" w:lineRule="auto"/>
              <w:ind w:lef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标志牌的设置应按《环境保护图形标志</w:t>
            </w:r>
            <w:r>
              <w:rPr>
                <w:rFonts w:hint="default" w:ascii="Times New Roman" w:hAnsi="Times New Roman" w:eastAsia="宋体" w:cs="Times New Roman"/>
                <w:color w:val="000000"/>
                <w:spacing w:val="11"/>
                <w:position w:val="0"/>
                <w:sz w:val="24"/>
                <w:szCs w:val="24"/>
                <w:u w:val="none" w:color="auto"/>
                <w:lang w:val="en-US" w:eastAsia="zh-CN"/>
              </w:rPr>
              <w:t>-</w:t>
            </w:r>
            <w:r>
              <w:rPr>
                <w:rFonts w:hint="default" w:ascii="Times New Roman" w:hAnsi="Times New Roman" w:eastAsia="宋体" w:cs="Times New Roman"/>
                <w:color w:val="000000"/>
                <w:spacing w:val="11"/>
                <w:position w:val="0"/>
                <w:sz w:val="24"/>
                <w:szCs w:val="24"/>
                <w:u w:val="none" w:color="auto"/>
              </w:rPr>
              <w:t>排放口（源）》（GB15562.1-1995、GB15562.2-1995）</w:t>
            </w:r>
            <w:r>
              <w:rPr>
                <w:rFonts w:hint="default" w:ascii="Times New Roman" w:hAnsi="Times New Roman" w:eastAsia="宋体" w:cs="Times New Roman"/>
                <w:color w:val="000000"/>
                <w:spacing w:val="11"/>
                <w:position w:val="0"/>
                <w:sz w:val="24"/>
                <w:szCs w:val="24"/>
                <w:u w:val="none" w:color="auto"/>
                <w:lang w:val="en-US" w:eastAsia="zh-CN"/>
              </w:rPr>
              <w:t>、《危险废物识别标志设置技术规范》</w:t>
            </w:r>
            <w:r>
              <w:rPr>
                <w:rFonts w:hint="default" w:ascii="Times New Roman" w:hAnsi="Times New Roman" w:eastAsia="宋体" w:cs="Times New Roman"/>
                <w:color w:val="000000"/>
                <w:spacing w:val="11"/>
                <w:position w:val="0"/>
                <w:sz w:val="24"/>
                <w:szCs w:val="24"/>
                <w:u w:val="none" w:color="auto"/>
                <w:lang w:val="en-US" w:eastAsia="zh-CN"/>
              </w:rPr>
              <w:fldChar w:fldCharType="begin"/>
            </w:r>
            <w:r>
              <w:rPr>
                <w:rFonts w:hint="default" w:ascii="Times New Roman" w:hAnsi="Times New Roman" w:eastAsia="宋体" w:cs="Times New Roman"/>
                <w:color w:val="000000"/>
                <w:spacing w:val="11"/>
                <w:position w:val="0"/>
                <w:sz w:val="24"/>
                <w:szCs w:val="24"/>
                <w:u w:val="none" w:color="auto"/>
                <w:lang w:val="en-US" w:eastAsia="zh-CN"/>
              </w:rPr>
              <w:instrText xml:space="preserve"> HYPERLINK "https://www.mee.gov.cn/ywgz/fgbz/bz/bzwb/gthw/wxfwjbffbz/202302/W020230224650971041729.pdf" </w:instrText>
            </w:r>
            <w:r>
              <w:rPr>
                <w:rFonts w:hint="default" w:ascii="Times New Roman" w:hAnsi="Times New Roman" w:eastAsia="宋体" w:cs="Times New Roman"/>
                <w:color w:val="000000"/>
                <w:spacing w:val="11"/>
                <w:position w:val="0"/>
                <w:sz w:val="24"/>
                <w:szCs w:val="24"/>
                <w:u w:val="none" w:color="auto"/>
                <w:lang w:val="en-US" w:eastAsia="zh-CN"/>
              </w:rPr>
              <w:fldChar w:fldCharType="separate"/>
            </w:r>
            <w:r>
              <w:rPr>
                <w:rFonts w:hint="default" w:ascii="Times New Roman" w:hAnsi="Times New Roman" w:eastAsia="宋体" w:cs="Times New Roman"/>
                <w:color w:val="000000"/>
                <w:spacing w:val="11"/>
                <w:position w:val="0"/>
                <w:sz w:val="24"/>
                <w:szCs w:val="24"/>
                <w:u w:val="none" w:color="auto"/>
                <w:lang w:val="en-US" w:eastAsia="zh-CN"/>
              </w:rPr>
              <w:t>（HJ 1276-2022）</w:t>
            </w:r>
            <w:r>
              <w:rPr>
                <w:rFonts w:hint="default" w:ascii="Times New Roman" w:hAnsi="Times New Roman" w:eastAsia="宋体" w:cs="Times New Roman"/>
                <w:color w:val="000000"/>
                <w:spacing w:val="11"/>
                <w:position w:val="0"/>
                <w:sz w:val="24"/>
                <w:szCs w:val="24"/>
                <w:u w:val="none" w:color="auto"/>
                <w:lang w:val="en-US" w:eastAsia="zh-CN"/>
              </w:rPr>
              <w:fldChar w:fldCharType="end"/>
            </w:r>
            <w:r>
              <w:rPr>
                <w:rFonts w:hint="default" w:ascii="Times New Roman" w:hAnsi="Times New Roman" w:eastAsia="宋体" w:cs="Times New Roman"/>
                <w:color w:val="000000"/>
                <w:spacing w:val="11"/>
                <w:position w:val="0"/>
                <w:sz w:val="24"/>
                <w:szCs w:val="24"/>
                <w:u w:val="none" w:color="auto"/>
              </w:rPr>
              <w:t>的规定执行。标志牌必须保持清晰、完整，当发现有损坏或颜色有变化，应及时修复或更换。</w:t>
            </w:r>
          </w:p>
          <w:p w14:paraId="48FCB1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bCs/>
                <w:color w:val="auto"/>
                <w:spacing w:val="11"/>
                <w:position w:val="0"/>
                <w:sz w:val="21"/>
                <w:szCs w:val="21"/>
                <w:highlight w:val="none"/>
                <w:u w:val="none" w:color="auto"/>
                <w:lang w:eastAsia="zh-CN"/>
              </w:rPr>
            </w:pPr>
            <w:r>
              <w:rPr>
                <w:rFonts w:hint="default" w:ascii="Times New Roman" w:hAnsi="Times New Roman" w:cs="Times New Roman"/>
                <w:b/>
                <w:bCs/>
                <w:color w:val="auto"/>
                <w:spacing w:val="11"/>
                <w:position w:val="0"/>
                <w:sz w:val="21"/>
                <w:szCs w:val="21"/>
                <w:highlight w:val="none"/>
                <w:u w:val="none" w:color="auto"/>
                <w:lang w:eastAsia="zh-CN"/>
              </w:rPr>
              <w:t>表</w:t>
            </w:r>
            <w:r>
              <w:rPr>
                <w:rFonts w:hint="default" w:ascii="Times New Roman" w:hAnsi="Times New Roman" w:cs="Times New Roman"/>
                <w:b/>
                <w:bCs/>
                <w:color w:val="auto"/>
                <w:spacing w:val="11"/>
                <w:position w:val="0"/>
                <w:sz w:val="21"/>
                <w:szCs w:val="21"/>
                <w:highlight w:val="none"/>
                <w:u w:val="none" w:color="auto"/>
                <w:lang w:val="en-US" w:eastAsia="zh-CN"/>
              </w:rPr>
              <w:t>5-</w:t>
            </w:r>
            <w:r>
              <w:rPr>
                <w:rFonts w:hint="eastAsia" w:cs="Times New Roman"/>
                <w:b/>
                <w:bCs/>
                <w:color w:val="auto"/>
                <w:spacing w:val="11"/>
                <w:position w:val="0"/>
                <w:sz w:val="21"/>
                <w:szCs w:val="21"/>
                <w:highlight w:val="none"/>
                <w:u w:val="none" w:color="auto"/>
                <w:lang w:val="en-US" w:eastAsia="zh-CN"/>
              </w:rPr>
              <w:t>4</w:t>
            </w:r>
            <w:r>
              <w:rPr>
                <w:rFonts w:hint="default" w:ascii="Times New Roman" w:hAnsi="Times New Roman" w:cs="Times New Roman"/>
                <w:b/>
                <w:bCs/>
                <w:color w:val="auto"/>
                <w:spacing w:val="11"/>
                <w:position w:val="0"/>
                <w:sz w:val="21"/>
                <w:szCs w:val="21"/>
                <w:highlight w:val="none"/>
                <w:u w:val="none" w:color="auto"/>
                <w:lang w:eastAsia="zh-CN"/>
              </w:rPr>
              <w:t xml:space="preserve"> 环境保护图形符号一览表</w:t>
            </w:r>
          </w:p>
          <w:tbl>
            <w:tblPr>
              <w:tblStyle w:val="32"/>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320"/>
              <w:gridCol w:w="566"/>
              <w:gridCol w:w="874"/>
              <w:gridCol w:w="1012"/>
              <w:gridCol w:w="361"/>
              <w:gridCol w:w="1525"/>
              <w:gridCol w:w="13"/>
              <w:gridCol w:w="1873"/>
            </w:tblGrid>
            <w:tr w14:paraId="5BFF0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tcBorders>
                    <w:tl2br w:val="nil"/>
                    <w:tr2bl w:val="nil"/>
                  </w:tcBorders>
                  <w:vAlign w:val="center"/>
                </w:tcPr>
                <w:p w14:paraId="76C5E92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lang w:eastAsia="zh-CN"/>
                    </w:rPr>
                  </w:pPr>
                  <w:r>
                    <w:rPr>
                      <w:rFonts w:hint="default" w:ascii="Times New Roman" w:hAnsi="Times New Roman" w:eastAsia="宋体" w:cs="Times New Roman"/>
                      <w:b w:val="0"/>
                      <w:bCs w:val="0"/>
                      <w:color w:val="auto"/>
                      <w:spacing w:val="11"/>
                      <w:position w:val="0"/>
                      <w:sz w:val="21"/>
                      <w:szCs w:val="21"/>
                      <w:highlight w:val="none"/>
                      <w:u w:val="none"/>
                      <w:lang w:val="en-US" w:eastAsia="zh-CN"/>
                    </w:rPr>
                    <w:t>类别</w:t>
                  </w:r>
                </w:p>
              </w:tc>
              <w:tc>
                <w:tcPr>
                  <w:tcW w:w="1175" w:type="pct"/>
                  <w:gridSpan w:val="2"/>
                  <w:tcBorders>
                    <w:tl2br w:val="nil"/>
                    <w:tr2bl w:val="nil"/>
                  </w:tcBorders>
                  <w:vAlign w:val="center"/>
                </w:tcPr>
                <w:p w14:paraId="708DB56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rPr>
                  </w:pPr>
                  <w:r>
                    <w:rPr>
                      <w:rFonts w:hint="default" w:ascii="Times New Roman" w:hAnsi="Times New Roman" w:eastAsia="宋体" w:cs="Times New Roman"/>
                      <w:b w:val="0"/>
                      <w:bCs w:val="0"/>
                      <w:color w:val="auto"/>
                      <w:spacing w:val="11"/>
                      <w:position w:val="0"/>
                      <w:sz w:val="21"/>
                      <w:szCs w:val="21"/>
                      <w:highlight w:val="none"/>
                      <w:u w:val="none"/>
                    </w:rPr>
                    <w:t>废气排放口</w:t>
                  </w:r>
                </w:p>
              </w:tc>
              <w:tc>
                <w:tcPr>
                  <w:tcW w:w="1175" w:type="pct"/>
                  <w:gridSpan w:val="2"/>
                  <w:tcBorders>
                    <w:tl2br w:val="nil"/>
                    <w:tr2bl w:val="nil"/>
                  </w:tcBorders>
                  <w:vAlign w:val="center"/>
                </w:tcPr>
                <w:p w14:paraId="08D649A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rPr>
                  </w:pPr>
                  <w:r>
                    <w:rPr>
                      <w:rFonts w:hint="default" w:ascii="Times New Roman" w:hAnsi="Times New Roman" w:eastAsia="宋体" w:cs="Times New Roman"/>
                      <w:b w:val="0"/>
                      <w:bCs w:val="0"/>
                      <w:color w:val="auto"/>
                      <w:spacing w:val="11"/>
                      <w:position w:val="0"/>
                      <w:sz w:val="21"/>
                      <w:szCs w:val="21"/>
                      <w:highlight w:val="none"/>
                      <w:u w:val="none"/>
                    </w:rPr>
                    <w:t>噪声源</w:t>
                  </w:r>
                </w:p>
              </w:tc>
              <w:tc>
                <w:tcPr>
                  <w:tcW w:w="1175" w:type="pct"/>
                  <w:gridSpan w:val="2"/>
                  <w:tcBorders>
                    <w:tl2br w:val="nil"/>
                    <w:tr2bl w:val="nil"/>
                  </w:tcBorders>
                  <w:vAlign w:val="center"/>
                </w:tcPr>
                <w:p w14:paraId="0A609D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lang w:val="en-US" w:eastAsia="zh-CN"/>
                    </w:rPr>
                  </w:pPr>
                  <w:r>
                    <w:rPr>
                      <w:rFonts w:hint="default" w:ascii="Times New Roman" w:hAnsi="Times New Roman" w:eastAsia="宋体" w:cs="Times New Roman"/>
                      <w:b w:val="0"/>
                      <w:bCs w:val="0"/>
                      <w:color w:val="auto"/>
                      <w:spacing w:val="11"/>
                      <w:position w:val="0"/>
                      <w:sz w:val="21"/>
                      <w:szCs w:val="21"/>
                      <w:highlight w:val="none"/>
                      <w:u w:val="none"/>
                      <w:lang w:val="en-US" w:eastAsia="zh-CN"/>
                    </w:rPr>
                    <w:t>固体废物堆场</w:t>
                  </w:r>
                </w:p>
              </w:tc>
              <w:tc>
                <w:tcPr>
                  <w:tcW w:w="1175" w:type="pct"/>
                  <w:gridSpan w:val="2"/>
                  <w:tcBorders>
                    <w:tl2br w:val="nil"/>
                    <w:tr2bl w:val="nil"/>
                  </w:tcBorders>
                  <w:vAlign w:val="center"/>
                </w:tcPr>
                <w:p w14:paraId="568265C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lang w:val="en-US" w:eastAsia="zh-CN"/>
                    </w:rPr>
                  </w:pPr>
                  <w:r>
                    <w:rPr>
                      <w:rFonts w:hint="default" w:ascii="Times New Roman" w:hAnsi="Times New Roman" w:eastAsia="宋体" w:cs="Times New Roman"/>
                      <w:b w:val="0"/>
                      <w:bCs w:val="0"/>
                      <w:color w:val="auto"/>
                      <w:spacing w:val="11"/>
                      <w:position w:val="0"/>
                      <w:sz w:val="21"/>
                      <w:szCs w:val="21"/>
                      <w:highlight w:val="none"/>
                      <w:u w:val="none"/>
                      <w:lang w:val="en-US" w:eastAsia="zh-CN"/>
                    </w:rPr>
                    <w:t>危险废物贮存设施标志的样式</w:t>
                  </w:r>
                </w:p>
              </w:tc>
            </w:tr>
            <w:tr w14:paraId="5A3F2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tcBorders>
                    <w:tl2br w:val="nil"/>
                    <w:tr2bl w:val="nil"/>
                  </w:tcBorders>
                  <w:vAlign w:val="center"/>
                </w:tcPr>
                <w:p w14:paraId="798EB4A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none"/>
                      <w:lang w:val="en-US" w:eastAsia="zh-CN"/>
                    </w:rPr>
                  </w:pPr>
                  <w:r>
                    <w:rPr>
                      <w:rFonts w:hint="default" w:ascii="Times New Roman" w:hAnsi="Times New Roman" w:eastAsia="宋体" w:cs="Times New Roman"/>
                      <w:color w:val="auto"/>
                      <w:spacing w:val="11"/>
                      <w:position w:val="0"/>
                      <w:sz w:val="21"/>
                      <w:szCs w:val="21"/>
                      <w:highlight w:val="none"/>
                      <w:u w:val="none"/>
                      <w:lang w:val="en-US" w:eastAsia="zh-CN"/>
                    </w:rPr>
                    <w:t>提示图形符号</w:t>
                  </w:r>
                </w:p>
              </w:tc>
              <w:tc>
                <w:tcPr>
                  <w:tcW w:w="1175" w:type="pct"/>
                  <w:gridSpan w:val="2"/>
                  <w:tcBorders>
                    <w:tl2br w:val="nil"/>
                    <w:tr2bl w:val="nil"/>
                  </w:tcBorders>
                  <w:vAlign w:val="center"/>
                </w:tcPr>
                <w:p w14:paraId="592533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rPr>
                    <w:drawing>
                      <wp:inline distT="0" distB="0" distL="0" distR="0">
                        <wp:extent cx="818515" cy="780415"/>
                        <wp:effectExtent l="0" t="0" r="4445" b="12065"/>
                        <wp:docPr id="44" name="图片 89"/>
                        <wp:cNvGraphicFramePr/>
                        <a:graphic xmlns:a="http://schemas.openxmlformats.org/drawingml/2006/main">
                          <a:graphicData uri="http://schemas.openxmlformats.org/drawingml/2006/picture">
                            <pic:pic xmlns:pic="http://schemas.openxmlformats.org/drawingml/2006/picture">
                              <pic:nvPicPr>
                                <pic:cNvPr id="44" name="图片 89"/>
                                <pic:cNvPicPr/>
                              </pic:nvPicPr>
                              <pic:blipFill>
                                <a:blip r:embed="rId20">
                                  <a:extLst>
                                    <a:ext uri="{28A0092B-C50C-407E-A947-70E740481C1C}">
                                      <a14:useLocalDpi xmlns:a14="http://schemas.microsoft.com/office/drawing/2010/main" val="0"/>
                                    </a:ext>
                                  </a:extLst>
                                </a:blip>
                                <a:srcRect/>
                                <a:stretch>
                                  <a:fillRect/>
                                </a:stretch>
                              </pic:blipFill>
                              <pic:spPr>
                                <a:xfrm>
                                  <a:off x="0" y="0"/>
                                  <a:ext cx="818515" cy="780415"/>
                                </a:xfrm>
                                <a:prstGeom prst="rect">
                                  <a:avLst/>
                                </a:prstGeom>
                                <a:noFill/>
                                <a:ln>
                                  <a:noFill/>
                                </a:ln>
                              </pic:spPr>
                            </pic:pic>
                          </a:graphicData>
                        </a:graphic>
                      </wp:inline>
                    </w:drawing>
                  </w:r>
                </w:p>
              </w:tc>
              <w:tc>
                <w:tcPr>
                  <w:tcW w:w="1175" w:type="pct"/>
                  <w:gridSpan w:val="2"/>
                  <w:tcBorders>
                    <w:tl2br w:val="nil"/>
                    <w:tr2bl w:val="nil"/>
                  </w:tcBorders>
                  <w:vAlign w:val="center"/>
                </w:tcPr>
                <w:p w14:paraId="7019E62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rPr>
                    <w:drawing>
                      <wp:inline distT="0" distB="0" distL="0" distR="0">
                        <wp:extent cx="827405" cy="741680"/>
                        <wp:effectExtent l="0" t="0" r="10795" b="5080"/>
                        <wp:docPr id="45" name="图片 93"/>
                        <wp:cNvGraphicFramePr/>
                        <a:graphic xmlns:a="http://schemas.openxmlformats.org/drawingml/2006/main">
                          <a:graphicData uri="http://schemas.openxmlformats.org/drawingml/2006/picture">
                            <pic:pic xmlns:pic="http://schemas.openxmlformats.org/drawingml/2006/picture">
                              <pic:nvPicPr>
                                <pic:cNvPr id="45" name="图片 93"/>
                                <pic:cNvPicPr/>
                              </pic:nvPicPr>
                              <pic:blipFill>
                                <a:blip r:embed="rId21">
                                  <a:extLst>
                                    <a:ext uri="{28A0092B-C50C-407E-A947-70E740481C1C}">
                                      <a14:useLocalDpi xmlns:a14="http://schemas.microsoft.com/office/drawing/2010/main" val="0"/>
                                    </a:ext>
                                  </a:extLst>
                                </a:blip>
                                <a:srcRect/>
                                <a:stretch>
                                  <a:fillRect/>
                                </a:stretch>
                              </pic:blipFill>
                              <pic:spPr>
                                <a:xfrm>
                                  <a:off x="0" y="0"/>
                                  <a:ext cx="827405" cy="741680"/>
                                </a:xfrm>
                                <a:prstGeom prst="rect">
                                  <a:avLst/>
                                </a:prstGeom>
                                <a:noFill/>
                                <a:ln>
                                  <a:noFill/>
                                </a:ln>
                              </pic:spPr>
                            </pic:pic>
                          </a:graphicData>
                        </a:graphic>
                      </wp:inline>
                    </w:drawing>
                  </w:r>
                </w:p>
              </w:tc>
              <w:tc>
                <w:tcPr>
                  <w:tcW w:w="1175" w:type="pct"/>
                  <w:gridSpan w:val="2"/>
                  <w:tcBorders>
                    <w:tl2br w:val="nil"/>
                    <w:tr2bl w:val="nil"/>
                  </w:tcBorders>
                  <w:vAlign w:val="center"/>
                </w:tcPr>
                <w:p w14:paraId="07B6EF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rPr>
                    <w:drawing>
                      <wp:inline distT="0" distB="0" distL="0" distR="0">
                        <wp:extent cx="901700" cy="732790"/>
                        <wp:effectExtent l="0" t="0" r="12700" b="13970"/>
                        <wp:docPr id="28" name="图片 91"/>
                        <wp:cNvGraphicFramePr/>
                        <a:graphic xmlns:a="http://schemas.openxmlformats.org/drawingml/2006/main">
                          <a:graphicData uri="http://schemas.openxmlformats.org/drawingml/2006/picture">
                            <pic:pic xmlns:pic="http://schemas.openxmlformats.org/drawingml/2006/picture">
                              <pic:nvPicPr>
                                <pic:cNvPr id="28" name="图片 91"/>
                                <pic:cNvPicPr/>
                              </pic:nvPicPr>
                              <pic:blipFill>
                                <a:blip r:embed="rId22">
                                  <a:extLst>
                                    <a:ext uri="{28A0092B-C50C-407E-A947-70E740481C1C}">
                                      <a14:useLocalDpi xmlns:a14="http://schemas.microsoft.com/office/drawing/2010/main" val="0"/>
                                    </a:ext>
                                  </a:extLst>
                                </a:blip>
                                <a:srcRect/>
                                <a:stretch>
                                  <a:fillRect/>
                                </a:stretch>
                              </pic:blipFill>
                              <pic:spPr>
                                <a:xfrm>
                                  <a:off x="0" y="0"/>
                                  <a:ext cx="901700" cy="732790"/>
                                </a:xfrm>
                                <a:prstGeom prst="rect">
                                  <a:avLst/>
                                </a:prstGeom>
                                <a:noFill/>
                                <a:ln>
                                  <a:noFill/>
                                </a:ln>
                              </pic:spPr>
                            </pic:pic>
                          </a:graphicData>
                        </a:graphic>
                      </wp:inline>
                    </w:drawing>
                  </w:r>
                </w:p>
              </w:tc>
              <w:tc>
                <w:tcPr>
                  <w:tcW w:w="1175" w:type="pct"/>
                  <w:gridSpan w:val="2"/>
                  <w:tcBorders>
                    <w:tl2br w:val="nil"/>
                    <w:tr2bl w:val="nil"/>
                  </w:tcBorders>
                  <w:vAlign w:val="center"/>
                </w:tcPr>
                <w:p w14:paraId="64453F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none"/>
                      <w:lang w:eastAsia="zh-CN"/>
                    </w:rPr>
                  </w:pPr>
                  <w:r>
                    <w:rPr>
                      <w:rFonts w:hint="default" w:ascii="Times New Roman" w:hAnsi="Times New Roman" w:eastAsia="宋体" w:cs="Times New Roman"/>
                      <w:color w:val="auto"/>
                      <w:spacing w:val="11"/>
                      <w:position w:val="0"/>
                      <w:sz w:val="21"/>
                      <w:szCs w:val="21"/>
                      <w:highlight w:val="none"/>
                      <w:u w:val="none"/>
                      <w:lang w:eastAsia="zh-CN"/>
                    </w:rPr>
                    <w:drawing>
                      <wp:inline distT="0" distB="0" distL="114300" distR="114300">
                        <wp:extent cx="1119505" cy="710565"/>
                        <wp:effectExtent l="0" t="0" r="8255" b="5715"/>
                        <wp:docPr id="39" name="图片 39" descr="W02023051559122187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W020230515591221879653"/>
                                <pic:cNvPicPr>
                                  <a:picLocks noChangeAspect="1"/>
                                </pic:cNvPicPr>
                              </pic:nvPicPr>
                              <pic:blipFill>
                                <a:blip r:embed="rId23"/>
                                <a:stretch>
                                  <a:fillRect/>
                                </a:stretch>
                              </pic:blipFill>
                              <pic:spPr>
                                <a:xfrm>
                                  <a:off x="0" y="0"/>
                                  <a:ext cx="1119505" cy="710565"/>
                                </a:xfrm>
                                <a:prstGeom prst="rect">
                                  <a:avLst/>
                                </a:prstGeom>
                              </pic:spPr>
                            </pic:pic>
                          </a:graphicData>
                        </a:graphic>
                      </wp:inline>
                    </w:drawing>
                  </w:r>
                </w:p>
              </w:tc>
            </w:tr>
            <w:tr w14:paraId="666E22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vMerge w:val="restart"/>
                  <w:tcBorders>
                    <w:tl2br w:val="nil"/>
                    <w:tr2bl w:val="nil"/>
                  </w:tcBorders>
                  <w:shd w:val="clear" w:color="auto" w:fill="auto"/>
                  <w:vAlign w:val="center"/>
                </w:tcPr>
                <w:p w14:paraId="7A950C7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lang w:val="en-US" w:eastAsia="zh-CN" w:bidi="ar-SA"/>
                    </w:rPr>
                  </w:pPr>
                  <w:r>
                    <w:rPr>
                      <w:rFonts w:hint="default" w:ascii="Times New Roman" w:hAnsi="Times New Roman" w:eastAsia="宋体" w:cs="Times New Roman"/>
                      <w:color w:val="auto"/>
                      <w:spacing w:val="11"/>
                      <w:position w:val="0"/>
                      <w:sz w:val="21"/>
                      <w:szCs w:val="21"/>
                      <w:highlight w:val="none"/>
                      <w:u w:val="none"/>
                      <w:lang w:val="en-US" w:eastAsia="zh-CN"/>
                    </w:rPr>
                    <w:t>警告图形符号</w:t>
                  </w:r>
                </w:p>
              </w:tc>
              <w:tc>
                <w:tcPr>
                  <w:tcW w:w="822" w:type="pct"/>
                  <w:tcBorders>
                    <w:tl2br w:val="nil"/>
                    <w:tr2bl w:val="nil"/>
                  </w:tcBorders>
                  <w:shd w:val="clear" w:color="auto" w:fill="auto"/>
                  <w:vAlign w:val="center"/>
                </w:tcPr>
                <w:p w14:paraId="04D446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lang w:val="en-US" w:eastAsia="zh-CN" w:bidi="ar-SA"/>
                    </w:rPr>
                  </w:pPr>
                  <w:r>
                    <w:rPr>
                      <w:rFonts w:hint="default" w:ascii="Times New Roman" w:hAnsi="Times New Roman" w:eastAsia="宋体" w:cs="Times New Roman"/>
                      <w:color w:val="auto"/>
                      <w:spacing w:val="11"/>
                      <w:kern w:val="2"/>
                      <w:position w:val="0"/>
                      <w:sz w:val="21"/>
                      <w:szCs w:val="21"/>
                      <w:highlight w:val="none"/>
                      <w:u w:val="none"/>
                      <w:lang w:val="en-US" w:eastAsia="zh-CN" w:bidi="ar-SA"/>
                    </w:rPr>
                    <w:drawing>
                      <wp:inline distT="0" distB="0" distL="114300" distR="114300">
                        <wp:extent cx="886460" cy="895985"/>
                        <wp:effectExtent l="0" t="0" r="12700" b="3175"/>
                        <wp:docPr id="46" name="图片 46" descr="W02023051559121951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W020230515591219515222"/>
                                <pic:cNvPicPr>
                                  <a:picLocks noChangeAspect="1"/>
                                </pic:cNvPicPr>
                              </pic:nvPicPr>
                              <pic:blipFill>
                                <a:blip r:embed="rId24"/>
                                <a:stretch>
                                  <a:fillRect/>
                                </a:stretch>
                              </pic:blipFill>
                              <pic:spPr>
                                <a:xfrm>
                                  <a:off x="0" y="0"/>
                                  <a:ext cx="886460" cy="895985"/>
                                </a:xfrm>
                                <a:prstGeom prst="rect">
                                  <a:avLst/>
                                </a:prstGeom>
                              </pic:spPr>
                            </pic:pic>
                          </a:graphicData>
                        </a:graphic>
                      </wp:inline>
                    </w:drawing>
                  </w:r>
                </w:p>
              </w:tc>
              <w:tc>
                <w:tcPr>
                  <w:tcW w:w="897" w:type="pct"/>
                  <w:gridSpan w:val="2"/>
                  <w:tcBorders>
                    <w:tl2br w:val="nil"/>
                    <w:tr2bl w:val="nil"/>
                  </w:tcBorders>
                  <w:shd w:val="clear" w:color="auto" w:fill="auto"/>
                  <w:vAlign w:val="center"/>
                </w:tcPr>
                <w:p w14:paraId="6AD8D8E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lang w:val="en-US" w:eastAsia="zh-CN" w:bidi="ar-SA"/>
                    </w:rPr>
                  </w:pPr>
                  <w:r>
                    <w:rPr>
                      <w:rFonts w:hint="default" w:ascii="Times New Roman" w:hAnsi="Times New Roman" w:eastAsia="宋体" w:cs="Times New Roman"/>
                      <w:color w:val="auto"/>
                      <w:spacing w:val="11"/>
                      <w:kern w:val="2"/>
                      <w:position w:val="0"/>
                      <w:sz w:val="21"/>
                      <w:szCs w:val="21"/>
                      <w:highlight w:val="none"/>
                      <w:u w:val="none"/>
                      <w:lang w:val="en-US" w:eastAsia="zh-CN" w:bidi="ar-SA"/>
                    </w:rPr>
                    <w:drawing>
                      <wp:inline distT="0" distB="0" distL="114300" distR="114300">
                        <wp:extent cx="805815" cy="879475"/>
                        <wp:effectExtent l="0" t="0" r="1905" b="4445"/>
                        <wp:docPr id="47" name="图片 47" descr="W02023051559121997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W020230515591219973538"/>
                                <pic:cNvPicPr>
                                  <a:picLocks noChangeAspect="1"/>
                                </pic:cNvPicPr>
                              </pic:nvPicPr>
                              <pic:blipFill>
                                <a:blip r:embed="rId25"/>
                                <a:srcRect l="26836" r="24833"/>
                                <a:stretch>
                                  <a:fillRect/>
                                </a:stretch>
                              </pic:blipFill>
                              <pic:spPr>
                                <a:xfrm>
                                  <a:off x="0" y="0"/>
                                  <a:ext cx="805815" cy="879475"/>
                                </a:xfrm>
                                <a:prstGeom prst="rect">
                                  <a:avLst/>
                                </a:prstGeom>
                              </pic:spPr>
                            </pic:pic>
                          </a:graphicData>
                        </a:graphic>
                      </wp:inline>
                    </w:drawing>
                  </w:r>
                </w:p>
              </w:tc>
              <w:tc>
                <w:tcPr>
                  <w:tcW w:w="855" w:type="pct"/>
                  <w:gridSpan w:val="2"/>
                  <w:tcBorders>
                    <w:tl2br w:val="nil"/>
                    <w:tr2bl w:val="nil"/>
                  </w:tcBorders>
                  <w:shd w:val="clear" w:color="auto" w:fill="auto"/>
                  <w:vAlign w:val="center"/>
                </w:tcPr>
                <w:p w14:paraId="589466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lang w:val="en-US" w:eastAsia="zh-CN" w:bidi="ar-SA"/>
                    </w:rPr>
                  </w:pPr>
                  <w:r>
                    <w:rPr>
                      <w:rFonts w:hint="default" w:ascii="Times New Roman" w:hAnsi="Times New Roman" w:eastAsia="宋体" w:cs="Times New Roman"/>
                      <w:color w:val="auto"/>
                      <w:spacing w:val="11"/>
                      <w:kern w:val="2"/>
                      <w:position w:val="0"/>
                      <w:sz w:val="21"/>
                      <w:szCs w:val="21"/>
                      <w:u w:val="none"/>
                      <w:lang w:val="en-US" w:eastAsia="zh-CN" w:bidi="ar-SA"/>
                    </w:rPr>
                    <w:drawing>
                      <wp:inline distT="0" distB="0" distL="114300" distR="114300">
                        <wp:extent cx="846455" cy="857250"/>
                        <wp:effectExtent l="0" t="0" r="0" b="0"/>
                        <wp:docPr id="30" name="图片 30" descr="W02023051559122012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020230515591220127780"/>
                                <pic:cNvPicPr>
                                  <a:picLocks noChangeAspect="1"/>
                                </pic:cNvPicPr>
                              </pic:nvPicPr>
                              <pic:blipFill>
                                <a:blip r:embed="rId26"/>
                                <a:srcRect l="9690" t="6639" r="4088"/>
                                <a:stretch>
                                  <a:fillRect/>
                                </a:stretch>
                              </pic:blipFill>
                              <pic:spPr>
                                <a:xfrm>
                                  <a:off x="0" y="0"/>
                                  <a:ext cx="846455" cy="857250"/>
                                </a:xfrm>
                                <a:prstGeom prst="rect">
                                  <a:avLst/>
                                </a:prstGeom>
                              </pic:spPr>
                            </pic:pic>
                          </a:graphicData>
                        </a:graphic>
                      </wp:inline>
                    </w:drawing>
                  </w:r>
                </w:p>
              </w:tc>
              <w:tc>
                <w:tcPr>
                  <w:tcW w:w="958" w:type="pct"/>
                  <w:gridSpan w:val="2"/>
                  <w:tcBorders>
                    <w:tl2br w:val="nil"/>
                    <w:tr2bl w:val="nil"/>
                  </w:tcBorders>
                  <w:shd w:val="clear" w:color="auto" w:fill="auto"/>
                  <w:vAlign w:val="center"/>
                </w:tcPr>
                <w:p w14:paraId="6480F5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lang w:val="en-US" w:eastAsia="zh-CN" w:bidi="ar-SA"/>
                    </w:rPr>
                  </w:pPr>
                  <w:r>
                    <w:rPr>
                      <w:rFonts w:hint="default" w:ascii="Times New Roman" w:hAnsi="Times New Roman" w:eastAsia="宋体" w:cs="Times New Roman"/>
                      <w:color w:val="auto"/>
                      <w:spacing w:val="11"/>
                      <w:kern w:val="2"/>
                      <w:position w:val="0"/>
                      <w:sz w:val="21"/>
                      <w:szCs w:val="21"/>
                      <w:highlight w:val="none"/>
                      <w:u w:val="none"/>
                      <w:lang w:val="en-US" w:eastAsia="zh-CN" w:bidi="ar-SA"/>
                    </w:rPr>
                    <w:drawing>
                      <wp:inline distT="0" distB="0" distL="114300" distR="114300">
                        <wp:extent cx="932815" cy="887095"/>
                        <wp:effectExtent l="0" t="0" r="0" b="12065"/>
                        <wp:docPr id="48" name="图片 48" descr="W02023051559122115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W020230515591221151099"/>
                                <pic:cNvPicPr>
                                  <a:picLocks noChangeAspect="1"/>
                                </pic:cNvPicPr>
                              </pic:nvPicPr>
                              <pic:blipFill>
                                <a:blip r:embed="rId27"/>
                                <a:srcRect l="23164" r="21429"/>
                                <a:stretch>
                                  <a:fillRect/>
                                </a:stretch>
                              </pic:blipFill>
                              <pic:spPr>
                                <a:xfrm>
                                  <a:off x="0" y="0"/>
                                  <a:ext cx="932815" cy="887095"/>
                                </a:xfrm>
                                <a:prstGeom prst="rect">
                                  <a:avLst/>
                                </a:prstGeom>
                              </pic:spPr>
                            </pic:pic>
                          </a:graphicData>
                        </a:graphic>
                      </wp:inline>
                    </w:drawing>
                  </w:r>
                </w:p>
              </w:tc>
              <w:tc>
                <w:tcPr>
                  <w:tcW w:w="1167" w:type="pct"/>
                  <w:tcBorders>
                    <w:tl2br w:val="nil"/>
                    <w:tr2bl w:val="nil"/>
                  </w:tcBorders>
                  <w:shd w:val="clear" w:color="auto" w:fill="auto"/>
                  <w:vAlign w:val="center"/>
                </w:tcPr>
                <w:p w14:paraId="108E17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rPr>
                    <w:drawing>
                      <wp:inline distT="0" distB="0" distL="114300" distR="114300">
                        <wp:extent cx="881380" cy="789940"/>
                        <wp:effectExtent l="0" t="0" r="2540" b="254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28"/>
                                <a:stretch>
                                  <a:fillRect/>
                                </a:stretch>
                              </pic:blipFill>
                              <pic:spPr>
                                <a:xfrm>
                                  <a:off x="0" y="0"/>
                                  <a:ext cx="881380" cy="789940"/>
                                </a:xfrm>
                                <a:prstGeom prst="rect">
                                  <a:avLst/>
                                </a:prstGeom>
                                <a:noFill/>
                                <a:ln>
                                  <a:noFill/>
                                </a:ln>
                              </pic:spPr>
                            </pic:pic>
                          </a:graphicData>
                        </a:graphic>
                      </wp:inline>
                    </w:drawing>
                  </w:r>
                </w:p>
              </w:tc>
            </w:tr>
            <w:tr w14:paraId="750090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vMerge w:val="continue"/>
                  <w:tcBorders>
                    <w:tl2br w:val="nil"/>
                    <w:tr2bl w:val="nil"/>
                  </w:tcBorders>
                  <w:shd w:val="clear" w:color="auto" w:fill="auto"/>
                  <w:vAlign w:val="center"/>
                </w:tcPr>
                <w:p w14:paraId="502472F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position w:val="0"/>
                      <w:sz w:val="21"/>
                      <w:szCs w:val="21"/>
                      <w:highlight w:val="none"/>
                      <w:u w:val="none"/>
                      <w:lang w:val="en-US" w:eastAsia="zh-CN"/>
                    </w:rPr>
                  </w:pPr>
                </w:p>
              </w:tc>
              <w:tc>
                <w:tcPr>
                  <w:tcW w:w="822" w:type="pct"/>
                  <w:tcBorders>
                    <w:tl2br w:val="nil"/>
                    <w:tr2bl w:val="nil"/>
                  </w:tcBorders>
                  <w:shd w:val="clear" w:color="auto" w:fill="auto"/>
                  <w:vAlign w:val="center"/>
                </w:tcPr>
                <w:p w14:paraId="24F10F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lang w:val="en-US" w:eastAsia="zh-CN" w:bidi="ar-SA"/>
                    </w:rPr>
                  </w:pPr>
                  <w:r>
                    <w:rPr>
                      <w:rFonts w:hint="default" w:ascii="Times New Roman" w:hAnsi="Times New Roman" w:eastAsia="宋体" w:cs="Times New Roman"/>
                      <w:color w:val="auto"/>
                      <w:spacing w:val="11"/>
                      <w:kern w:val="2"/>
                      <w:position w:val="0"/>
                      <w:sz w:val="21"/>
                      <w:szCs w:val="21"/>
                      <w:highlight w:val="none"/>
                      <w:u w:val="none"/>
                      <w:lang w:val="en-US" w:eastAsia="zh-CN" w:bidi="ar-SA"/>
                    </w:rPr>
                    <w:t>腐蚀性</w:t>
                  </w:r>
                </w:p>
              </w:tc>
              <w:tc>
                <w:tcPr>
                  <w:tcW w:w="897" w:type="pct"/>
                  <w:gridSpan w:val="2"/>
                  <w:tcBorders>
                    <w:tl2br w:val="nil"/>
                    <w:tr2bl w:val="nil"/>
                  </w:tcBorders>
                  <w:shd w:val="clear" w:color="auto" w:fill="auto"/>
                  <w:vAlign w:val="center"/>
                </w:tcPr>
                <w:p w14:paraId="3F016B0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lang w:val="en-US" w:eastAsia="zh-CN" w:bidi="ar-SA"/>
                    </w:rPr>
                  </w:pPr>
                  <w:r>
                    <w:rPr>
                      <w:rFonts w:hint="default" w:ascii="Times New Roman" w:hAnsi="Times New Roman" w:eastAsia="宋体" w:cs="Times New Roman"/>
                      <w:color w:val="auto"/>
                      <w:spacing w:val="11"/>
                      <w:kern w:val="2"/>
                      <w:position w:val="0"/>
                      <w:sz w:val="21"/>
                      <w:szCs w:val="21"/>
                      <w:highlight w:val="none"/>
                      <w:u w:val="none"/>
                      <w:lang w:val="en-US" w:eastAsia="zh-CN" w:bidi="ar-SA"/>
                    </w:rPr>
                    <w:t>毒性</w:t>
                  </w:r>
                </w:p>
              </w:tc>
              <w:tc>
                <w:tcPr>
                  <w:tcW w:w="855" w:type="pct"/>
                  <w:gridSpan w:val="2"/>
                  <w:tcBorders>
                    <w:tl2br w:val="nil"/>
                    <w:tr2bl w:val="nil"/>
                  </w:tcBorders>
                  <w:shd w:val="clear" w:color="auto" w:fill="auto"/>
                  <w:vAlign w:val="center"/>
                </w:tcPr>
                <w:p w14:paraId="6B0596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lang w:val="en-US" w:eastAsia="zh-CN" w:bidi="ar-SA"/>
                    </w:rPr>
                  </w:pPr>
                  <w:r>
                    <w:rPr>
                      <w:rFonts w:hint="default" w:ascii="Times New Roman" w:hAnsi="Times New Roman" w:eastAsia="宋体" w:cs="Times New Roman"/>
                      <w:color w:val="auto"/>
                      <w:spacing w:val="11"/>
                      <w:kern w:val="2"/>
                      <w:position w:val="0"/>
                      <w:sz w:val="21"/>
                      <w:szCs w:val="21"/>
                      <w:u w:val="none"/>
                      <w:lang w:val="en-US" w:eastAsia="zh-CN" w:bidi="ar-SA"/>
                    </w:rPr>
                    <w:t>易燃性</w:t>
                  </w:r>
                </w:p>
              </w:tc>
              <w:tc>
                <w:tcPr>
                  <w:tcW w:w="958" w:type="pct"/>
                  <w:gridSpan w:val="2"/>
                  <w:tcBorders>
                    <w:tl2br w:val="nil"/>
                    <w:tr2bl w:val="nil"/>
                  </w:tcBorders>
                  <w:shd w:val="clear" w:color="auto" w:fill="auto"/>
                  <w:vAlign w:val="center"/>
                </w:tcPr>
                <w:p w14:paraId="439F35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lang w:val="en-US" w:eastAsia="zh-CN" w:bidi="ar-SA"/>
                    </w:rPr>
                  </w:pPr>
                  <w:r>
                    <w:rPr>
                      <w:rFonts w:hint="default" w:ascii="Times New Roman" w:hAnsi="Times New Roman" w:eastAsia="宋体" w:cs="Times New Roman"/>
                      <w:color w:val="auto"/>
                      <w:spacing w:val="11"/>
                      <w:kern w:val="2"/>
                      <w:position w:val="0"/>
                      <w:sz w:val="21"/>
                      <w:szCs w:val="21"/>
                      <w:u w:val="none"/>
                      <w:lang w:val="en-US" w:eastAsia="zh-CN" w:bidi="ar-SA"/>
                    </w:rPr>
                    <w:t>反应性</w:t>
                  </w:r>
                </w:p>
              </w:tc>
              <w:tc>
                <w:tcPr>
                  <w:tcW w:w="1167" w:type="pct"/>
                  <w:tcBorders>
                    <w:tl2br w:val="nil"/>
                    <w:tr2bl w:val="nil"/>
                  </w:tcBorders>
                  <w:shd w:val="clear" w:color="auto" w:fill="auto"/>
                  <w:vAlign w:val="center"/>
                </w:tcPr>
                <w:p w14:paraId="2BC698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rPr>
                    <w:t>危险废物贮存、处置场的警告</w:t>
                  </w:r>
                </w:p>
              </w:tc>
            </w:tr>
          </w:tbl>
          <w:p w14:paraId="3343A9DD">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firstLine="524" w:firstLineChars="200"/>
              <w:jc w:val="left"/>
              <w:textAlignment w:val="auto"/>
              <w:rPr>
                <w:rFonts w:hint="default" w:ascii="Times New Roman" w:hAnsi="Times New Roman" w:eastAsia="宋体" w:cs="Times New Roman"/>
                <w:b w:val="0"/>
                <w:bCs/>
                <w:color w:val="000000"/>
                <w:spacing w:val="11"/>
                <w:position w:val="0"/>
                <w:sz w:val="24"/>
                <w:szCs w:val="24"/>
                <w:u w:val="none" w:color="auto"/>
              </w:rPr>
            </w:pPr>
            <w:r>
              <w:rPr>
                <w:rFonts w:hint="default" w:ascii="Times New Roman" w:hAnsi="Times New Roman" w:eastAsia="宋体" w:cs="Times New Roman"/>
                <w:b w:val="0"/>
                <w:bCs/>
                <w:color w:val="000000"/>
                <w:spacing w:val="11"/>
                <w:position w:val="0"/>
                <w:sz w:val="24"/>
                <w:szCs w:val="24"/>
                <w:u w:val="none" w:color="auto"/>
                <w:lang w:eastAsia="zh-CN"/>
              </w:rPr>
              <w:t>（</w:t>
            </w:r>
            <w:r>
              <w:rPr>
                <w:rFonts w:hint="default" w:ascii="Times New Roman" w:hAnsi="Times New Roman" w:eastAsia="宋体" w:cs="Times New Roman"/>
                <w:b w:val="0"/>
                <w:bCs/>
                <w:color w:val="000000"/>
                <w:spacing w:val="11"/>
                <w:position w:val="0"/>
                <w:sz w:val="24"/>
                <w:szCs w:val="24"/>
                <w:u w:val="none" w:color="auto"/>
                <w:lang w:val="en-US" w:eastAsia="zh-CN"/>
              </w:rPr>
              <w:t>3</w:t>
            </w:r>
            <w:r>
              <w:rPr>
                <w:rFonts w:hint="default" w:ascii="Times New Roman" w:hAnsi="Times New Roman" w:eastAsia="宋体" w:cs="Times New Roman"/>
                <w:b w:val="0"/>
                <w:bCs/>
                <w:color w:val="000000"/>
                <w:spacing w:val="11"/>
                <w:position w:val="0"/>
                <w:sz w:val="24"/>
                <w:szCs w:val="24"/>
                <w:u w:val="none" w:color="auto"/>
                <w:lang w:eastAsia="zh-CN"/>
              </w:rPr>
              <w:t>）</w:t>
            </w:r>
            <w:r>
              <w:rPr>
                <w:rFonts w:hint="default" w:ascii="Times New Roman" w:hAnsi="Times New Roman" w:eastAsia="宋体" w:cs="Times New Roman"/>
                <w:b w:val="0"/>
                <w:bCs/>
                <w:color w:val="000000"/>
                <w:spacing w:val="11"/>
                <w:position w:val="0"/>
                <w:sz w:val="24"/>
                <w:szCs w:val="24"/>
                <w:u w:val="none" w:color="auto"/>
              </w:rPr>
              <w:t>环境监测计划</w:t>
            </w:r>
          </w:p>
          <w:p w14:paraId="605696F2">
            <w:pPr>
              <w:pStyle w:val="15"/>
              <w:keepNext w:val="0"/>
              <w:keepLines w:val="0"/>
              <w:pageBreakBefore w:val="0"/>
              <w:widowControl w:val="0"/>
              <w:kinsoku/>
              <w:wordWrap/>
              <w:overflowPunct/>
              <w:topLinePunct w:val="0"/>
              <w:bidi w:val="0"/>
              <w:adjustRightInd w:val="0"/>
              <w:snapToGrid w:val="0"/>
              <w:spacing w:line="360" w:lineRule="auto"/>
              <w:ind w:left="0" w:firstLine="524" w:firstLineChars="200"/>
              <w:textAlignment w:val="auto"/>
              <w:rPr>
                <w:rFonts w:hint="default" w:ascii="Times New Roman" w:hAnsi="Times New Roman" w:eastAsia="宋体" w:cs="Times New Roman"/>
                <w:b w:val="0"/>
                <w:bCs/>
                <w:color w:val="000000"/>
                <w:spacing w:val="11"/>
                <w:position w:val="0"/>
                <w:sz w:val="24"/>
                <w:szCs w:val="24"/>
                <w:u w:val="none" w:color="auto"/>
                <w:lang w:val="en-US" w:eastAsia="zh-CN"/>
              </w:rPr>
            </w:pPr>
            <w:r>
              <w:rPr>
                <w:rFonts w:hint="default" w:ascii="Times New Roman" w:hAnsi="Times New Roman" w:eastAsia="宋体" w:cs="Times New Roman"/>
                <w:b w:val="0"/>
                <w:bCs/>
                <w:color w:val="000000"/>
                <w:spacing w:val="11"/>
                <w:position w:val="0"/>
                <w:sz w:val="24"/>
                <w:szCs w:val="24"/>
                <w:u w:val="none" w:color="auto"/>
                <w:lang w:val="en-US" w:eastAsia="zh-CN"/>
              </w:rPr>
              <w:t>营运期废气、噪声污染物监测参照下表5-</w:t>
            </w:r>
            <w:r>
              <w:rPr>
                <w:rFonts w:hint="eastAsia" w:cs="Times New Roman"/>
                <w:b w:val="0"/>
                <w:bCs/>
                <w:color w:val="000000"/>
                <w:spacing w:val="11"/>
                <w:position w:val="0"/>
                <w:sz w:val="24"/>
                <w:szCs w:val="24"/>
                <w:u w:val="none" w:color="auto"/>
                <w:lang w:val="en-US" w:eastAsia="zh-CN"/>
              </w:rPr>
              <w:t>5</w:t>
            </w:r>
            <w:r>
              <w:rPr>
                <w:rFonts w:hint="default" w:ascii="Times New Roman" w:hAnsi="Times New Roman" w:eastAsia="宋体" w:cs="Times New Roman"/>
                <w:b w:val="0"/>
                <w:bCs/>
                <w:color w:val="000000"/>
                <w:spacing w:val="11"/>
                <w:position w:val="0"/>
                <w:sz w:val="24"/>
                <w:szCs w:val="24"/>
                <w:u w:val="none" w:color="auto"/>
                <w:lang w:val="en-US" w:eastAsia="zh-CN"/>
              </w:rPr>
              <w:t>、表5-</w:t>
            </w:r>
            <w:r>
              <w:rPr>
                <w:rFonts w:hint="eastAsia" w:cs="Times New Roman"/>
                <w:b w:val="0"/>
                <w:bCs/>
                <w:color w:val="000000"/>
                <w:spacing w:val="11"/>
                <w:position w:val="0"/>
                <w:sz w:val="24"/>
                <w:szCs w:val="24"/>
                <w:u w:val="none" w:color="auto"/>
                <w:lang w:val="en-US" w:eastAsia="zh-CN"/>
              </w:rPr>
              <w:t>6</w:t>
            </w:r>
            <w:r>
              <w:rPr>
                <w:rFonts w:hint="default" w:ascii="Times New Roman" w:hAnsi="Times New Roman" w:eastAsia="宋体" w:cs="Times New Roman"/>
                <w:b w:val="0"/>
                <w:bCs/>
                <w:color w:val="000000"/>
                <w:spacing w:val="11"/>
                <w:position w:val="0"/>
                <w:sz w:val="24"/>
                <w:szCs w:val="24"/>
                <w:u w:val="none" w:color="auto"/>
                <w:lang w:val="en-US" w:eastAsia="zh-CN"/>
              </w:rPr>
              <w:t>执行。</w:t>
            </w:r>
          </w:p>
          <w:p w14:paraId="7F85D8AE">
            <w:pPr>
              <w:keepNext w:val="0"/>
              <w:keepLines w:val="0"/>
              <w:pageBreakBefore w:val="0"/>
              <w:tabs>
                <w:tab w:val="left" w:pos="1021"/>
              </w:tabs>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bCs w:val="0"/>
                <w:color w:val="000000"/>
                <w:spacing w:val="11"/>
                <w:position w:val="0"/>
                <w:sz w:val="21"/>
                <w:szCs w:val="21"/>
                <w:u w:val="none" w:color="auto"/>
                <w:lang w:val="en-US" w:eastAsia="zh-CN"/>
              </w:rPr>
            </w:pPr>
            <w:r>
              <w:rPr>
                <w:rFonts w:hint="default" w:ascii="Times New Roman" w:hAnsi="Times New Roman" w:eastAsia="宋体" w:cs="Times New Roman"/>
                <w:b/>
                <w:bCs w:val="0"/>
                <w:color w:val="000000"/>
                <w:spacing w:val="11"/>
                <w:position w:val="0"/>
                <w:sz w:val="21"/>
                <w:szCs w:val="21"/>
                <w:u w:val="none" w:color="auto"/>
              </w:rPr>
              <w:t>表</w:t>
            </w:r>
            <w:r>
              <w:rPr>
                <w:rFonts w:hint="default" w:ascii="Times New Roman" w:hAnsi="Times New Roman" w:eastAsia="宋体" w:cs="Times New Roman"/>
                <w:b/>
                <w:bCs w:val="0"/>
                <w:color w:val="000000"/>
                <w:spacing w:val="11"/>
                <w:position w:val="0"/>
                <w:sz w:val="21"/>
                <w:szCs w:val="21"/>
                <w:u w:val="none" w:color="auto"/>
                <w:lang w:val="en-US" w:eastAsia="zh-CN"/>
              </w:rPr>
              <w:t>5-</w:t>
            </w:r>
            <w:r>
              <w:rPr>
                <w:rFonts w:hint="eastAsia" w:cs="Times New Roman"/>
                <w:b/>
                <w:bCs w:val="0"/>
                <w:color w:val="000000"/>
                <w:spacing w:val="11"/>
                <w:position w:val="0"/>
                <w:sz w:val="21"/>
                <w:szCs w:val="21"/>
                <w:u w:val="none" w:color="auto"/>
                <w:lang w:val="en-US" w:eastAsia="zh-CN"/>
              </w:rPr>
              <w:t>5</w:t>
            </w:r>
            <w:r>
              <w:rPr>
                <w:rFonts w:hint="default" w:ascii="Times New Roman" w:hAnsi="Times New Roman" w:eastAsia="宋体" w:cs="Times New Roman"/>
                <w:b/>
                <w:bCs w:val="0"/>
                <w:color w:val="000000"/>
                <w:spacing w:val="11"/>
                <w:position w:val="0"/>
                <w:sz w:val="21"/>
                <w:szCs w:val="21"/>
                <w:u w:val="none" w:color="auto"/>
                <w:lang w:val="en-US" w:eastAsia="zh-CN"/>
              </w:rPr>
              <w:t xml:space="preserve">  废气</w:t>
            </w:r>
            <w:r>
              <w:rPr>
                <w:rFonts w:hint="default" w:ascii="Times New Roman" w:hAnsi="Times New Roman" w:eastAsia="宋体" w:cs="Times New Roman"/>
                <w:b/>
                <w:bCs w:val="0"/>
                <w:color w:val="000000"/>
                <w:spacing w:val="11"/>
                <w:position w:val="0"/>
                <w:sz w:val="21"/>
                <w:szCs w:val="21"/>
                <w:u w:val="none" w:color="auto"/>
              </w:rPr>
              <w:t>监测内容</w:t>
            </w:r>
            <w:r>
              <w:rPr>
                <w:rFonts w:hint="default" w:ascii="Times New Roman" w:hAnsi="Times New Roman" w:eastAsia="宋体" w:cs="Times New Roman"/>
                <w:b/>
                <w:bCs w:val="0"/>
                <w:color w:val="000000"/>
                <w:spacing w:val="11"/>
                <w:position w:val="0"/>
                <w:sz w:val="21"/>
                <w:szCs w:val="21"/>
                <w:u w:val="none" w:color="auto"/>
                <w:lang w:val="en-US" w:eastAsia="zh-CN"/>
              </w:rPr>
              <w:t>一览表</w:t>
            </w:r>
          </w:p>
          <w:tbl>
            <w:tblPr>
              <w:tblStyle w:val="32"/>
              <w:tblW w:w="78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662"/>
              <w:gridCol w:w="1590"/>
              <w:gridCol w:w="1170"/>
              <w:gridCol w:w="2355"/>
            </w:tblGrid>
            <w:tr w14:paraId="4FF6A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3" w:type="dxa"/>
                  <w:tcBorders>
                    <w:tl2br w:val="nil"/>
                    <w:tr2bl w:val="nil"/>
                  </w:tcBorders>
                  <w:noWrap w:val="0"/>
                  <w:vAlign w:val="center"/>
                </w:tcPr>
                <w:p w14:paraId="4D322ABD">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none" w:color="auto"/>
                    </w:rPr>
                  </w:pPr>
                  <w:r>
                    <w:rPr>
                      <w:rFonts w:hint="default" w:ascii="Times New Roman" w:hAnsi="Times New Roman" w:eastAsia="宋体" w:cs="Times New Roman"/>
                      <w:b w:val="0"/>
                      <w:bCs/>
                      <w:color w:val="000000"/>
                      <w:spacing w:val="11"/>
                      <w:position w:val="0"/>
                      <w:sz w:val="21"/>
                      <w:szCs w:val="21"/>
                      <w:u w:val="none" w:color="auto"/>
                    </w:rPr>
                    <w:t>监测项目</w:t>
                  </w:r>
                </w:p>
              </w:tc>
              <w:tc>
                <w:tcPr>
                  <w:tcW w:w="1662" w:type="dxa"/>
                  <w:tcBorders>
                    <w:tl2br w:val="nil"/>
                    <w:tr2bl w:val="nil"/>
                  </w:tcBorders>
                  <w:noWrap w:val="0"/>
                  <w:vAlign w:val="center"/>
                </w:tcPr>
                <w:p w14:paraId="1CB86175">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none" w:color="auto"/>
                    </w:rPr>
                  </w:pPr>
                  <w:r>
                    <w:rPr>
                      <w:rFonts w:hint="default" w:ascii="Times New Roman" w:hAnsi="Times New Roman" w:eastAsia="宋体" w:cs="Times New Roman"/>
                      <w:b w:val="0"/>
                      <w:bCs/>
                      <w:color w:val="000000"/>
                      <w:spacing w:val="11"/>
                      <w:position w:val="0"/>
                      <w:sz w:val="21"/>
                      <w:szCs w:val="21"/>
                      <w:u w:val="none" w:color="auto"/>
                    </w:rPr>
                    <w:t>监测位置</w:t>
                  </w:r>
                </w:p>
              </w:tc>
              <w:tc>
                <w:tcPr>
                  <w:tcW w:w="1590" w:type="dxa"/>
                  <w:tcBorders>
                    <w:tl2br w:val="nil"/>
                    <w:tr2bl w:val="nil"/>
                  </w:tcBorders>
                  <w:noWrap w:val="0"/>
                  <w:vAlign w:val="center"/>
                </w:tcPr>
                <w:p w14:paraId="258857D4">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none" w:color="auto"/>
                    </w:rPr>
                  </w:pPr>
                  <w:r>
                    <w:rPr>
                      <w:rFonts w:hint="default" w:ascii="Times New Roman" w:hAnsi="Times New Roman" w:eastAsia="宋体" w:cs="Times New Roman"/>
                      <w:b w:val="0"/>
                      <w:bCs/>
                      <w:color w:val="000000"/>
                      <w:spacing w:val="11"/>
                      <w:position w:val="0"/>
                      <w:sz w:val="21"/>
                      <w:szCs w:val="21"/>
                      <w:u w:val="none" w:color="auto"/>
                    </w:rPr>
                    <w:t>监测因子</w:t>
                  </w:r>
                </w:p>
              </w:tc>
              <w:tc>
                <w:tcPr>
                  <w:tcW w:w="1170" w:type="dxa"/>
                  <w:tcBorders>
                    <w:tl2br w:val="nil"/>
                    <w:tr2bl w:val="nil"/>
                  </w:tcBorders>
                  <w:noWrap w:val="0"/>
                  <w:vAlign w:val="center"/>
                </w:tcPr>
                <w:p w14:paraId="5F0FE290">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none" w:color="auto"/>
                    </w:rPr>
                  </w:pPr>
                  <w:r>
                    <w:rPr>
                      <w:rFonts w:hint="default" w:ascii="Times New Roman" w:hAnsi="Times New Roman" w:eastAsia="宋体" w:cs="Times New Roman"/>
                      <w:b w:val="0"/>
                      <w:bCs/>
                      <w:color w:val="000000"/>
                      <w:spacing w:val="11"/>
                      <w:position w:val="0"/>
                      <w:sz w:val="21"/>
                      <w:szCs w:val="21"/>
                      <w:u w:val="none" w:color="auto"/>
                    </w:rPr>
                    <w:t>监测频次</w:t>
                  </w:r>
                </w:p>
              </w:tc>
              <w:tc>
                <w:tcPr>
                  <w:tcW w:w="2355" w:type="dxa"/>
                  <w:tcBorders>
                    <w:tl2br w:val="nil"/>
                    <w:tr2bl w:val="nil"/>
                  </w:tcBorders>
                  <w:noWrap w:val="0"/>
                  <w:vAlign w:val="center"/>
                </w:tcPr>
                <w:p w14:paraId="1A50DC1C">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none" w:color="auto"/>
                      <w:lang w:val="en-US" w:eastAsia="zh-CN"/>
                    </w:rPr>
                  </w:pPr>
                  <w:r>
                    <w:rPr>
                      <w:rFonts w:hint="default" w:ascii="Times New Roman" w:hAnsi="Times New Roman" w:eastAsia="宋体" w:cs="Times New Roman"/>
                      <w:b w:val="0"/>
                      <w:bCs/>
                      <w:color w:val="000000"/>
                      <w:spacing w:val="11"/>
                      <w:position w:val="0"/>
                      <w:sz w:val="21"/>
                      <w:szCs w:val="21"/>
                      <w:u w:val="none" w:color="auto"/>
                      <w:lang w:val="en-US" w:eastAsia="zh-CN"/>
                    </w:rPr>
                    <w:t>执行标准</w:t>
                  </w:r>
                </w:p>
              </w:tc>
            </w:tr>
            <w:tr w14:paraId="703F1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3" w:type="dxa"/>
                  <w:vMerge w:val="restart"/>
                  <w:tcBorders>
                    <w:tl2br w:val="nil"/>
                    <w:tr2bl w:val="nil"/>
                  </w:tcBorders>
                  <w:noWrap w:val="0"/>
                  <w:vAlign w:val="center"/>
                </w:tcPr>
                <w:p w14:paraId="0E7D4A08">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none" w:color="auto"/>
                      <w:lang w:val="en-US" w:eastAsia="zh-CN"/>
                    </w:rPr>
                  </w:pPr>
                  <w:r>
                    <w:rPr>
                      <w:rFonts w:hint="default" w:ascii="Times New Roman" w:hAnsi="Times New Roman" w:eastAsia="宋体" w:cs="Times New Roman"/>
                      <w:b w:val="0"/>
                      <w:bCs/>
                      <w:color w:val="000000"/>
                      <w:spacing w:val="11"/>
                      <w:position w:val="0"/>
                      <w:sz w:val="21"/>
                      <w:szCs w:val="21"/>
                      <w:u w:val="none" w:color="auto"/>
                      <w:lang w:val="en-US" w:eastAsia="zh-CN"/>
                    </w:rPr>
                    <w:t>废气</w:t>
                  </w:r>
                </w:p>
              </w:tc>
              <w:tc>
                <w:tcPr>
                  <w:tcW w:w="1662" w:type="dxa"/>
                  <w:tcBorders>
                    <w:tl2br w:val="nil"/>
                    <w:tr2bl w:val="nil"/>
                  </w:tcBorders>
                  <w:noWrap w:val="0"/>
                  <w:vAlign w:val="center"/>
                </w:tcPr>
                <w:p w14:paraId="1584EC63">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kern w:val="0"/>
                      <w:position w:val="0"/>
                      <w:sz w:val="21"/>
                      <w:szCs w:val="21"/>
                      <w:u w:val="none" w:color="auto"/>
                      <w:lang w:val="en-US" w:eastAsia="zh-CN" w:bidi="ar-SA"/>
                    </w:rPr>
                  </w:pPr>
                  <w:r>
                    <w:rPr>
                      <w:rFonts w:hint="default" w:ascii="Times New Roman" w:hAnsi="Times New Roman" w:eastAsia="宋体" w:cs="Times New Roman"/>
                      <w:b w:val="0"/>
                      <w:bCs/>
                      <w:color w:val="000000"/>
                      <w:spacing w:val="11"/>
                      <w:position w:val="0"/>
                      <w:sz w:val="21"/>
                      <w:szCs w:val="21"/>
                      <w:u w:val="none" w:color="auto"/>
                      <w:lang w:val="en-US" w:eastAsia="zh-CN"/>
                    </w:rPr>
                    <w:t>厂界</w:t>
                  </w:r>
                  <w:r>
                    <w:rPr>
                      <w:rFonts w:hint="default" w:ascii="Times New Roman" w:hAnsi="Times New Roman" w:eastAsia="宋体" w:cs="Times New Roman"/>
                      <w:b w:val="0"/>
                      <w:bCs/>
                      <w:color w:val="000000"/>
                      <w:spacing w:val="11"/>
                      <w:position w:val="0"/>
                      <w:sz w:val="21"/>
                      <w:szCs w:val="21"/>
                      <w:u w:val="none" w:color="auto"/>
                    </w:rPr>
                    <w:t>上</w:t>
                  </w:r>
                  <w:r>
                    <w:rPr>
                      <w:rFonts w:hint="eastAsia" w:cs="Times New Roman"/>
                      <w:b w:val="0"/>
                      <w:bCs/>
                      <w:color w:val="000000"/>
                      <w:spacing w:val="11"/>
                      <w:position w:val="0"/>
                      <w:sz w:val="21"/>
                      <w:szCs w:val="21"/>
                      <w:u w:val="none" w:color="auto"/>
                      <w:lang w:val="en-US" w:eastAsia="zh-CN"/>
                    </w:rPr>
                    <w:t>风向1个点</w:t>
                  </w:r>
                  <w:r>
                    <w:rPr>
                      <w:rFonts w:hint="eastAsia" w:cs="Times New Roman"/>
                      <w:b w:val="0"/>
                      <w:bCs/>
                      <w:color w:val="000000"/>
                      <w:spacing w:val="11"/>
                      <w:position w:val="0"/>
                      <w:sz w:val="21"/>
                      <w:szCs w:val="21"/>
                      <w:u w:val="none" w:color="auto"/>
                      <w:lang w:eastAsia="zh-CN"/>
                    </w:rPr>
                    <w:t>、</w:t>
                  </w:r>
                  <w:r>
                    <w:rPr>
                      <w:rFonts w:hint="default" w:ascii="Times New Roman" w:hAnsi="Times New Roman" w:eastAsia="宋体" w:cs="Times New Roman"/>
                      <w:b w:val="0"/>
                      <w:bCs/>
                      <w:color w:val="000000"/>
                      <w:spacing w:val="11"/>
                      <w:position w:val="0"/>
                      <w:sz w:val="21"/>
                      <w:szCs w:val="21"/>
                      <w:u w:val="none" w:color="auto"/>
                    </w:rPr>
                    <w:t>下风向</w:t>
                  </w:r>
                  <w:r>
                    <w:rPr>
                      <w:rFonts w:hint="eastAsia" w:cs="Times New Roman"/>
                      <w:b w:val="0"/>
                      <w:bCs/>
                      <w:color w:val="000000"/>
                      <w:spacing w:val="11"/>
                      <w:position w:val="0"/>
                      <w:sz w:val="21"/>
                      <w:szCs w:val="21"/>
                      <w:u w:val="none" w:color="auto"/>
                      <w:lang w:val="en-US" w:eastAsia="zh-CN"/>
                    </w:rPr>
                    <w:t>3个点</w:t>
                  </w:r>
                </w:p>
              </w:tc>
              <w:tc>
                <w:tcPr>
                  <w:tcW w:w="1590" w:type="dxa"/>
                  <w:tcBorders>
                    <w:tl2br w:val="nil"/>
                    <w:tr2bl w:val="nil"/>
                  </w:tcBorders>
                  <w:noWrap w:val="0"/>
                  <w:vAlign w:val="center"/>
                </w:tcPr>
                <w:p w14:paraId="02ECF110">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position w:val="0"/>
                      <w:sz w:val="21"/>
                      <w:szCs w:val="21"/>
                      <w:u w:val="none" w:color="auto"/>
                      <w:lang w:val="en-US" w:eastAsia="zh-CN"/>
                    </w:rPr>
                  </w:pPr>
                  <w:r>
                    <w:rPr>
                      <w:rFonts w:hint="default" w:ascii="Times New Roman" w:hAnsi="Times New Roman" w:eastAsia="宋体" w:cs="Times New Roman"/>
                      <w:b w:val="0"/>
                      <w:bCs/>
                      <w:color w:val="000000"/>
                      <w:spacing w:val="11"/>
                      <w:position w:val="0"/>
                      <w:sz w:val="21"/>
                      <w:szCs w:val="21"/>
                      <w:u w:val="none" w:color="auto"/>
                    </w:rPr>
                    <w:t>颗粒物</w:t>
                  </w:r>
                </w:p>
              </w:tc>
              <w:tc>
                <w:tcPr>
                  <w:tcW w:w="1170" w:type="dxa"/>
                  <w:tcBorders>
                    <w:tl2br w:val="nil"/>
                    <w:tr2bl w:val="nil"/>
                  </w:tcBorders>
                  <w:noWrap w:val="0"/>
                  <w:vAlign w:val="center"/>
                </w:tcPr>
                <w:p w14:paraId="24D5685B">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kern w:val="0"/>
                      <w:position w:val="0"/>
                      <w:sz w:val="21"/>
                      <w:szCs w:val="21"/>
                      <w:u w:val="none" w:color="auto"/>
                      <w:lang w:val="en-US" w:eastAsia="zh-CN" w:bidi="ar-SA"/>
                    </w:rPr>
                  </w:pPr>
                  <w:r>
                    <w:rPr>
                      <w:rFonts w:hint="default" w:ascii="Times New Roman" w:hAnsi="Times New Roman" w:eastAsia="宋体" w:cs="Times New Roman"/>
                      <w:b w:val="0"/>
                      <w:bCs/>
                      <w:color w:val="000000"/>
                      <w:spacing w:val="11"/>
                      <w:position w:val="0"/>
                      <w:sz w:val="21"/>
                      <w:szCs w:val="21"/>
                      <w:u w:val="none" w:color="auto"/>
                    </w:rPr>
                    <w:t>每</w:t>
                  </w:r>
                  <w:r>
                    <w:rPr>
                      <w:rFonts w:hint="default" w:ascii="Times New Roman" w:hAnsi="Times New Roman" w:eastAsia="宋体" w:cs="Times New Roman"/>
                      <w:b w:val="0"/>
                      <w:bCs/>
                      <w:color w:val="000000"/>
                      <w:spacing w:val="11"/>
                      <w:position w:val="0"/>
                      <w:sz w:val="21"/>
                      <w:szCs w:val="21"/>
                      <w:u w:val="none" w:color="auto"/>
                      <w:lang w:val="en-US" w:eastAsia="zh-CN"/>
                    </w:rPr>
                    <w:t>年</w:t>
                  </w:r>
                  <w:r>
                    <w:rPr>
                      <w:rFonts w:hint="default" w:ascii="Times New Roman" w:hAnsi="Times New Roman" w:eastAsia="宋体" w:cs="Times New Roman"/>
                      <w:b w:val="0"/>
                      <w:bCs/>
                      <w:color w:val="000000"/>
                      <w:spacing w:val="11"/>
                      <w:position w:val="0"/>
                      <w:sz w:val="21"/>
                      <w:szCs w:val="21"/>
                      <w:u w:val="none" w:color="auto"/>
                    </w:rPr>
                    <w:t>1次</w:t>
                  </w:r>
                </w:p>
              </w:tc>
              <w:tc>
                <w:tcPr>
                  <w:tcW w:w="2355" w:type="dxa"/>
                  <w:tcBorders>
                    <w:tl2br w:val="nil"/>
                    <w:tr2bl w:val="nil"/>
                  </w:tcBorders>
                  <w:noWrap w:val="0"/>
                  <w:vAlign w:val="center"/>
                </w:tcPr>
                <w:p w14:paraId="200DA562">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position w:val="0"/>
                      <w:sz w:val="21"/>
                      <w:szCs w:val="21"/>
                      <w:u w:val="none" w:color="auto"/>
                    </w:rPr>
                  </w:pPr>
                  <w:r>
                    <w:rPr>
                      <w:rFonts w:hint="default" w:ascii="Times New Roman" w:hAnsi="Times New Roman" w:eastAsia="宋体" w:cs="Times New Roman"/>
                      <w:b w:val="0"/>
                      <w:bCs/>
                      <w:color w:val="000000"/>
                      <w:spacing w:val="11"/>
                      <w:position w:val="0"/>
                      <w:sz w:val="21"/>
                      <w:szCs w:val="21"/>
                      <w:u w:val="none" w:color="auto"/>
                    </w:rPr>
                    <w:t>《大气污染物综合排放标准》（GB16297-1996）中表2</w:t>
                  </w:r>
                  <w:r>
                    <w:rPr>
                      <w:rFonts w:hint="default" w:ascii="Times New Roman" w:hAnsi="Times New Roman" w:eastAsia="宋体" w:cs="Times New Roman"/>
                      <w:b w:val="0"/>
                      <w:bCs/>
                      <w:color w:val="000000"/>
                      <w:spacing w:val="11"/>
                      <w:position w:val="0"/>
                      <w:sz w:val="21"/>
                      <w:szCs w:val="21"/>
                      <w:u w:val="none" w:color="auto"/>
                      <w:lang w:val="en-US" w:eastAsia="zh-CN"/>
                    </w:rPr>
                    <w:t>标准限值</w:t>
                  </w:r>
                </w:p>
              </w:tc>
            </w:tr>
            <w:tr w14:paraId="496ACF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3" w:type="dxa"/>
                  <w:vMerge w:val="continue"/>
                  <w:tcBorders>
                    <w:tl2br w:val="nil"/>
                    <w:tr2bl w:val="nil"/>
                  </w:tcBorders>
                  <w:noWrap w:val="0"/>
                  <w:vAlign w:val="center"/>
                </w:tcPr>
                <w:p w14:paraId="37B23F3E">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none" w:color="auto"/>
                      <w:lang w:val="en-US" w:eastAsia="zh-CN"/>
                    </w:rPr>
                  </w:pPr>
                </w:p>
              </w:tc>
              <w:tc>
                <w:tcPr>
                  <w:tcW w:w="1662" w:type="dxa"/>
                  <w:tcBorders>
                    <w:tl2br w:val="nil"/>
                    <w:tr2bl w:val="nil"/>
                  </w:tcBorders>
                  <w:noWrap w:val="0"/>
                  <w:vAlign w:val="center"/>
                </w:tcPr>
                <w:p w14:paraId="33CB0373">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position w:val="0"/>
                      <w:sz w:val="21"/>
                      <w:szCs w:val="21"/>
                      <w:u w:val="none" w:color="auto"/>
                      <w:lang w:val="en-US" w:eastAsia="zh-CN"/>
                    </w:rPr>
                  </w:pPr>
                  <w:r>
                    <w:rPr>
                      <w:rFonts w:hint="default" w:ascii="Times New Roman" w:hAnsi="Times New Roman" w:eastAsia="宋体" w:cs="Times New Roman"/>
                      <w:b w:val="0"/>
                      <w:bCs/>
                      <w:color w:val="000000"/>
                      <w:spacing w:val="11"/>
                      <w:position w:val="0"/>
                      <w:sz w:val="21"/>
                      <w:szCs w:val="21"/>
                      <w:u w:val="none" w:color="auto"/>
                      <w:lang w:val="en-US" w:eastAsia="zh-CN"/>
                    </w:rPr>
                    <w:t>DA001、DA002</w:t>
                  </w:r>
                  <w:r>
                    <w:rPr>
                      <w:rFonts w:hint="eastAsia" w:cs="Times New Roman"/>
                      <w:b w:val="0"/>
                      <w:bCs/>
                      <w:color w:val="000000"/>
                      <w:spacing w:val="11"/>
                      <w:position w:val="0"/>
                      <w:sz w:val="21"/>
                      <w:szCs w:val="21"/>
                      <w:u w:val="none" w:color="auto"/>
                      <w:lang w:val="en-US" w:eastAsia="zh-CN"/>
                    </w:rPr>
                    <w:t>、DA003</w:t>
                  </w:r>
                  <w:r>
                    <w:rPr>
                      <w:rFonts w:hint="default" w:ascii="Times New Roman" w:hAnsi="Times New Roman" w:eastAsia="宋体" w:cs="Times New Roman"/>
                      <w:b w:val="0"/>
                      <w:bCs/>
                      <w:color w:val="000000"/>
                      <w:spacing w:val="11"/>
                      <w:position w:val="0"/>
                      <w:sz w:val="21"/>
                      <w:szCs w:val="21"/>
                      <w:u w:val="none" w:color="auto"/>
                      <w:lang w:val="en-US" w:eastAsia="zh-CN"/>
                    </w:rPr>
                    <w:t>排气筒采样孔</w:t>
                  </w:r>
                </w:p>
              </w:tc>
              <w:tc>
                <w:tcPr>
                  <w:tcW w:w="1590" w:type="dxa"/>
                  <w:tcBorders>
                    <w:tl2br w:val="nil"/>
                    <w:tr2bl w:val="nil"/>
                  </w:tcBorders>
                  <w:noWrap w:val="0"/>
                  <w:vAlign w:val="center"/>
                </w:tcPr>
                <w:p w14:paraId="569CFD59">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position w:val="0"/>
                      <w:sz w:val="21"/>
                      <w:szCs w:val="21"/>
                      <w:u w:val="none" w:color="auto"/>
                    </w:rPr>
                  </w:pPr>
                  <w:r>
                    <w:rPr>
                      <w:rFonts w:hint="default" w:ascii="Times New Roman" w:hAnsi="Times New Roman" w:eastAsia="宋体" w:cs="Times New Roman"/>
                      <w:b w:val="0"/>
                      <w:bCs/>
                      <w:color w:val="000000"/>
                      <w:spacing w:val="11"/>
                      <w:position w:val="0"/>
                      <w:sz w:val="21"/>
                      <w:szCs w:val="21"/>
                      <w:u w:val="none" w:color="auto"/>
                    </w:rPr>
                    <w:t>颗粒物</w:t>
                  </w:r>
                </w:p>
              </w:tc>
              <w:tc>
                <w:tcPr>
                  <w:tcW w:w="1170" w:type="dxa"/>
                  <w:tcBorders>
                    <w:tl2br w:val="nil"/>
                    <w:tr2bl w:val="nil"/>
                  </w:tcBorders>
                  <w:noWrap w:val="0"/>
                  <w:vAlign w:val="center"/>
                </w:tcPr>
                <w:p w14:paraId="61683894">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position w:val="0"/>
                      <w:sz w:val="21"/>
                      <w:szCs w:val="21"/>
                      <w:u w:val="none" w:color="auto"/>
                    </w:rPr>
                  </w:pPr>
                  <w:r>
                    <w:rPr>
                      <w:rFonts w:hint="default" w:ascii="Times New Roman" w:hAnsi="Times New Roman" w:eastAsia="宋体" w:cs="Times New Roman"/>
                      <w:b w:val="0"/>
                      <w:bCs/>
                      <w:color w:val="000000"/>
                      <w:spacing w:val="11"/>
                      <w:position w:val="0"/>
                      <w:sz w:val="21"/>
                      <w:szCs w:val="21"/>
                      <w:u w:val="none" w:color="auto"/>
                    </w:rPr>
                    <w:t>每</w:t>
                  </w:r>
                  <w:r>
                    <w:rPr>
                      <w:rFonts w:hint="default" w:ascii="Times New Roman" w:hAnsi="Times New Roman" w:eastAsia="宋体" w:cs="Times New Roman"/>
                      <w:b w:val="0"/>
                      <w:bCs/>
                      <w:color w:val="000000"/>
                      <w:spacing w:val="11"/>
                      <w:position w:val="0"/>
                      <w:sz w:val="21"/>
                      <w:szCs w:val="21"/>
                      <w:u w:val="none" w:color="auto"/>
                      <w:lang w:val="en-US" w:eastAsia="zh-CN"/>
                    </w:rPr>
                    <w:t>年</w:t>
                  </w:r>
                  <w:r>
                    <w:rPr>
                      <w:rFonts w:hint="default" w:ascii="Times New Roman" w:hAnsi="Times New Roman" w:eastAsia="宋体" w:cs="Times New Roman"/>
                      <w:b w:val="0"/>
                      <w:bCs/>
                      <w:color w:val="000000"/>
                      <w:spacing w:val="11"/>
                      <w:position w:val="0"/>
                      <w:sz w:val="21"/>
                      <w:szCs w:val="21"/>
                      <w:u w:val="none" w:color="auto"/>
                    </w:rPr>
                    <w:t>1次</w:t>
                  </w:r>
                </w:p>
              </w:tc>
              <w:tc>
                <w:tcPr>
                  <w:tcW w:w="2355" w:type="dxa"/>
                  <w:tcBorders>
                    <w:tl2br w:val="nil"/>
                    <w:tr2bl w:val="nil"/>
                  </w:tcBorders>
                  <w:noWrap w:val="0"/>
                  <w:vAlign w:val="center"/>
                </w:tcPr>
                <w:p w14:paraId="2301D3EC">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position w:val="0"/>
                      <w:sz w:val="21"/>
                      <w:szCs w:val="21"/>
                      <w:u w:val="none" w:color="auto"/>
                    </w:rPr>
                  </w:pPr>
                  <w:r>
                    <w:rPr>
                      <w:rFonts w:hint="default" w:ascii="Times New Roman" w:hAnsi="Times New Roman" w:eastAsia="宋体" w:cs="Times New Roman"/>
                      <w:b w:val="0"/>
                      <w:bCs/>
                      <w:color w:val="000000"/>
                      <w:spacing w:val="11"/>
                      <w:position w:val="0"/>
                      <w:sz w:val="21"/>
                      <w:szCs w:val="21"/>
                      <w:u w:val="none" w:color="auto"/>
                    </w:rPr>
                    <w:t>《大气污染物综合排放标准》（GB16297-1996）中表2</w:t>
                  </w:r>
                  <w:r>
                    <w:rPr>
                      <w:rFonts w:hint="default" w:ascii="Times New Roman" w:hAnsi="Times New Roman" w:eastAsia="宋体" w:cs="Times New Roman"/>
                      <w:b w:val="0"/>
                      <w:bCs/>
                      <w:color w:val="000000"/>
                      <w:spacing w:val="11"/>
                      <w:position w:val="0"/>
                      <w:sz w:val="21"/>
                      <w:szCs w:val="21"/>
                      <w:u w:val="none" w:color="auto"/>
                      <w:lang w:val="en-US" w:eastAsia="zh-CN"/>
                    </w:rPr>
                    <w:t>标准限值</w:t>
                  </w:r>
                </w:p>
              </w:tc>
            </w:tr>
          </w:tbl>
          <w:p w14:paraId="571CDCD7">
            <w:pPr>
              <w:keepNext w:val="0"/>
              <w:keepLines w:val="0"/>
              <w:pageBreakBefore w:val="0"/>
              <w:tabs>
                <w:tab w:val="left" w:pos="1021"/>
              </w:tabs>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bCs w:val="0"/>
                <w:color w:val="000000"/>
                <w:spacing w:val="11"/>
                <w:position w:val="0"/>
                <w:sz w:val="21"/>
                <w:szCs w:val="21"/>
                <w:u w:val="none" w:color="auto"/>
                <w:lang w:val="en-US" w:eastAsia="zh-CN"/>
              </w:rPr>
            </w:pPr>
          </w:p>
          <w:p w14:paraId="38A4CD12">
            <w:pPr>
              <w:keepNext w:val="0"/>
              <w:keepLines w:val="0"/>
              <w:pageBreakBefore w:val="0"/>
              <w:tabs>
                <w:tab w:val="left" w:pos="1021"/>
              </w:tabs>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bCs w:val="0"/>
                <w:color w:val="000000"/>
                <w:spacing w:val="11"/>
                <w:kern w:val="24"/>
                <w:position w:val="0"/>
                <w:sz w:val="21"/>
                <w:szCs w:val="21"/>
                <w:u w:val="none" w:color="auto"/>
                <w:lang w:val="en-US" w:eastAsia="zh-CN"/>
              </w:rPr>
            </w:pPr>
            <w:r>
              <w:rPr>
                <w:rFonts w:hint="default" w:ascii="Times New Roman" w:hAnsi="Times New Roman" w:eastAsia="宋体" w:cs="Times New Roman"/>
                <w:b/>
                <w:bCs w:val="0"/>
                <w:color w:val="000000"/>
                <w:spacing w:val="11"/>
                <w:position w:val="0"/>
                <w:sz w:val="21"/>
                <w:szCs w:val="21"/>
                <w:u w:val="none" w:color="auto"/>
                <w:lang w:val="en-US" w:eastAsia="zh-CN"/>
              </w:rPr>
              <w:t>表5-</w:t>
            </w:r>
            <w:r>
              <w:rPr>
                <w:rFonts w:hint="eastAsia" w:cs="Times New Roman"/>
                <w:b/>
                <w:bCs w:val="0"/>
                <w:color w:val="000000"/>
                <w:spacing w:val="11"/>
                <w:position w:val="0"/>
                <w:sz w:val="21"/>
                <w:szCs w:val="21"/>
                <w:u w:val="none" w:color="auto"/>
                <w:lang w:val="en-US" w:eastAsia="zh-CN"/>
              </w:rPr>
              <w:t>6</w:t>
            </w:r>
            <w:r>
              <w:rPr>
                <w:rFonts w:hint="default" w:ascii="Times New Roman" w:hAnsi="Times New Roman" w:eastAsia="宋体" w:cs="Times New Roman"/>
                <w:b/>
                <w:bCs w:val="0"/>
                <w:color w:val="000000"/>
                <w:spacing w:val="11"/>
                <w:position w:val="0"/>
                <w:sz w:val="21"/>
                <w:szCs w:val="21"/>
                <w:u w:val="none" w:color="auto"/>
                <w:lang w:val="en-US" w:eastAsia="zh-CN"/>
              </w:rPr>
              <w:t xml:space="preserve">  噪声</w:t>
            </w:r>
            <w:r>
              <w:rPr>
                <w:rFonts w:hint="default" w:ascii="Times New Roman" w:hAnsi="Times New Roman" w:eastAsia="宋体" w:cs="Times New Roman"/>
                <w:b/>
                <w:bCs w:val="0"/>
                <w:color w:val="000000"/>
                <w:spacing w:val="11"/>
                <w:position w:val="0"/>
                <w:sz w:val="21"/>
                <w:szCs w:val="21"/>
                <w:u w:val="none" w:color="auto"/>
              </w:rPr>
              <w:t>监测内容</w:t>
            </w:r>
            <w:r>
              <w:rPr>
                <w:rFonts w:hint="default" w:ascii="Times New Roman" w:hAnsi="Times New Roman" w:eastAsia="宋体" w:cs="Times New Roman"/>
                <w:b/>
                <w:bCs w:val="0"/>
                <w:color w:val="000000"/>
                <w:spacing w:val="11"/>
                <w:position w:val="0"/>
                <w:sz w:val="21"/>
                <w:szCs w:val="21"/>
                <w:u w:val="none" w:color="auto"/>
                <w:lang w:val="en-US" w:eastAsia="zh-CN"/>
              </w:rPr>
              <w:t>一览表</w:t>
            </w:r>
          </w:p>
          <w:tbl>
            <w:tblPr>
              <w:tblStyle w:val="32"/>
              <w:tblW w:w="78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383"/>
              <w:gridCol w:w="1149"/>
              <w:gridCol w:w="1650"/>
              <w:gridCol w:w="2595"/>
            </w:tblGrid>
            <w:tr w14:paraId="073EE3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3" w:type="dxa"/>
                  <w:tcBorders>
                    <w:tl2br w:val="nil"/>
                    <w:tr2bl w:val="nil"/>
                  </w:tcBorders>
                  <w:noWrap w:val="0"/>
                  <w:vAlign w:val="center"/>
                </w:tcPr>
                <w:p w14:paraId="73FB9633">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none" w:color="auto"/>
                    </w:rPr>
                  </w:pPr>
                  <w:r>
                    <w:rPr>
                      <w:rFonts w:hint="default" w:ascii="Times New Roman" w:hAnsi="Times New Roman" w:eastAsia="宋体" w:cs="Times New Roman"/>
                      <w:b w:val="0"/>
                      <w:bCs/>
                      <w:color w:val="000000"/>
                      <w:spacing w:val="11"/>
                      <w:position w:val="0"/>
                      <w:sz w:val="21"/>
                      <w:szCs w:val="21"/>
                      <w:u w:val="none" w:color="auto"/>
                    </w:rPr>
                    <w:t>监测项目</w:t>
                  </w:r>
                </w:p>
              </w:tc>
              <w:tc>
                <w:tcPr>
                  <w:tcW w:w="1383" w:type="dxa"/>
                  <w:tcBorders>
                    <w:tl2br w:val="nil"/>
                    <w:tr2bl w:val="nil"/>
                  </w:tcBorders>
                  <w:noWrap w:val="0"/>
                  <w:vAlign w:val="center"/>
                </w:tcPr>
                <w:p w14:paraId="561EAA03">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none" w:color="auto"/>
                    </w:rPr>
                  </w:pPr>
                  <w:r>
                    <w:rPr>
                      <w:rFonts w:hint="default" w:ascii="Times New Roman" w:hAnsi="Times New Roman" w:eastAsia="宋体" w:cs="Times New Roman"/>
                      <w:b w:val="0"/>
                      <w:bCs/>
                      <w:color w:val="000000"/>
                      <w:spacing w:val="11"/>
                      <w:position w:val="0"/>
                      <w:sz w:val="21"/>
                      <w:szCs w:val="21"/>
                      <w:u w:val="none" w:color="auto"/>
                    </w:rPr>
                    <w:t>监测位置</w:t>
                  </w:r>
                </w:p>
              </w:tc>
              <w:tc>
                <w:tcPr>
                  <w:tcW w:w="1149" w:type="dxa"/>
                  <w:tcBorders>
                    <w:tl2br w:val="nil"/>
                    <w:tr2bl w:val="nil"/>
                  </w:tcBorders>
                  <w:noWrap w:val="0"/>
                  <w:vAlign w:val="center"/>
                </w:tcPr>
                <w:p w14:paraId="3A716138">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none" w:color="auto"/>
                    </w:rPr>
                  </w:pPr>
                  <w:r>
                    <w:rPr>
                      <w:rFonts w:hint="default" w:ascii="Times New Roman" w:hAnsi="Times New Roman" w:eastAsia="宋体" w:cs="Times New Roman"/>
                      <w:b w:val="0"/>
                      <w:bCs/>
                      <w:color w:val="000000"/>
                      <w:spacing w:val="11"/>
                      <w:position w:val="0"/>
                      <w:sz w:val="21"/>
                      <w:szCs w:val="21"/>
                      <w:u w:val="none" w:color="auto"/>
                    </w:rPr>
                    <w:t>监测因子</w:t>
                  </w:r>
                </w:p>
              </w:tc>
              <w:tc>
                <w:tcPr>
                  <w:tcW w:w="1650" w:type="dxa"/>
                  <w:tcBorders>
                    <w:tl2br w:val="nil"/>
                    <w:tr2bl w:val="nil"/>
                  </w:tcBorders>
                  <w:noWrap w:val="0"/>
                  <w:vAlign w:val="center"/>
                </w:tcPr>
                <w:p w14:paraId="396987F6">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none" w:color="auto"/>
                    </w:rPr>
                  </w:pPr>
                  <w:r>
                    <w:rPr>
                      <w:rFonts w:hint="default" w:ascii="Times New Roman" w:hAnsi="Times New Roman" w:eastAsia="宋体" w:cs="Times New Roman"/>
                      <w:b w:val="0"/>
                      <w:bCs/>
                      <w:color w:val="000000"/>
                      <w:spacing w:val="11"/>
                      <w:position w:val="0"/>
                      <w:sz w:val="21"/>
                      <w:szCs w:val="21"/>
                      <w:u w:val="none" w:color="auto"/>
                    </w:rPr>
                    <w:t>监测频次</w:t>
                  </w:r>
                </w:p>
              </w:tc>
              <w:tc>
                <w:tcPr>
                  <w:tcW w:w="2595" w:type="dxa"/>
                  <w:tcBorders>
                    <w:tl2br w:val="nil"/>
                    <w:tr2bl w:val="nil"/>
                  </w:tcBorders>
                  <w:noWrap w:val="0"/>
                  <w:vAlign w:val="center"/>
                </w:tcPr>
                <w:p w14:paraId="385C63A6">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none" w:color="auto"/>
                      <w:lang w:val="en-US" w:eastAsia="zh-CN"/>
                    </w:rPr>
                  </w:pPr>
                  <w:r>
                    <w:rPr>
                      <w:rFonts w:hint="default" w:ascii="Times New Roman" w:hAnsi="Times New Roman" w:eastAsia="宋体" w:cs="Times New Roman"/>
                      <w:b w:val="0"/>
                      <w:bCs/>
                      <w:color w:val="000000"/>
                      <w:spacing w:val="11"/>
                      <w:position w:val="0"/>
                      <w:sz w:val="21"/>
                      <w:szCs w:val="21"/>
                      <w:u w:val="none" w:color="auto"/>
                      <w:lang w:val="en-US" w:eastAsia="zh-CN"/>
                    </w:rPr>
                    <w:t>执行标准</w:t>
                  </w:r>
                </w:p>
              </w:tc>
            </w:tr>
            <w:tr w14:paraId="20DF7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3" w:type="dxa"/>
                  <w:tcBorders>
                    <w:tl2br w:val="nil"/>
                    <w:tr2bl w:val="nil"/>
                  </w:tcBorders>
                  <w:noWrap w:val="0"/>
                  <w:vAlign w:val="center"/>
                </w:tcPr>
                <w:p w14:paraId="097FBD20">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none" w:color="auto"/>
                    </w:rPr>
                  </w:pPr>
                  <w:r>
                    <w:rPr>
                      <w:rFonts w:hint="default" w:ascii="Times New Roman" w:hAnsi="Times New Roman" w:eastAsia="宋体" w:cs="Times New Roman"/>
                      <w:b w:val="0"/>
                      <w:bCs/>
                      <w:color w:val="000000"/>
                      <w:spacing w:val="11"/>
                      <w:position w:val="0"/>
                      <w:sz w:val="21"/>
                      <w:szCs w:val="21"/>
                      <w:u w:val="none" w:color="auto"/>
                    </w:rPr>
                    <w:t>噪声</w:t>
                  </w:r>
                </w:p>
              </w:tc>
              <w:tc>
                <w:tcPr>
                  <w:tcW w:w="1383" w:type="dxa"/>
                  <w:tcBorders>
                    <w:tl2br w:val="nil"/>
                    <w:tr2bl w:val="nil"/>
                  </w:tcBorders>
                  <w:noWrap w:val="0"/>
                  <w:vAlign w:val="center"/>
                </w:tcPr>
                <w:p w14:paraId="0FB94207">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kern w:val="0"/>
                      <w:position w:val="0"/>
                      <w:sz w:val="21"/>
                      <w:szCs w:val="21"/>
                      <w:u w:val="none" w:color="auto"/>
                    </w:rPr>
                  </w:pPr>
                  <w:r>
                    <w:rPr>
                      <w:rFonts w:hint="eastAsia" w:cs="Times New Roman"/>
                      <w:b w:val="0"/>
                      <w:bCs/>
                      <w:color w:val="000000"/>
                      <w:spacing w:val="11"/>
                      <w:kern w:val="0"/>
                      <w:position w:val="0"/>
                      <w:sz w:val="21"/>
                      <w:szCs w:val="21"/>
                      <w:u w:val="none" w:color="auto"/>
                      <w:lang w:val="en-US" w:eastAsia="zh-CN"/>
                    </w:rPr>
                    <w:t>项目</w:t>
                  </w:r>
                  <w:r>
                    <w:rPr>
                      <w:rFonts w:hint="default" w:ascii="Times New Roman" w:hAnsi="Times New Roman" w:eastAsia="宋体" w:cs="Times New Roman"/>
                      <w:b w:val="0"/>
                      <w:bCs/>
                      <w:color w:val="000000"/>
                      <w:spacing w:val="11"/>
                      <w:kern w:val="0"/>
                      <w:position w:val="0"/>
                      <w:sz w:val="21"/>
                      <w:szCs w:val="21"/>
                      <w:u w:val="none" w:color="auto"/>
                      <w:lang w:val="en-US" w:eastAsia="zh-CN"/>
                    </w:rPr>
                    <w:t>东、南、西、北边界</w:t>
                  </w:r>
                  <w:r>
                    <w:rPr>
                      <w:rFonts w:hint="default" w:ascii="Times New Roman" w:hAnsi="Times New Roman" w:eastAsia="宋体" w:cs="Times New Roman"/>
                      <w:b w:val="0"/>
                      <w:bCs/>
                      <w:color w:val="000000"/>
                      <w:spacing w:val="11"/>
                      <w:kern w:val="0"/>
                      <w:position w:val="0"/>
                      <w:sz w:val="21"/>
                      <w:szCs w:val="21"/>
                      <w:u w:val="none" w:color="auto"/>
                    </w:rPr>
                    <w:t>外1米</w:t>
                  </w:r>
                </w:p>
              </w:tc>
              <w:tc>
                <w:tcPr>
                  <w:tcW w:w="1149" w:type="dxa"/>
                  <w:tcBorders>
                    <w:tl2br w:val="nil"/>
                    <w:tr2bl w:val="nil"/>
                  </w:tcBorders>
                  <w:noWrap w:val="0"/>
                  <w:vAlign w:val="center"/>
                </w:tcPr>
                <w:p w14:paraId="5ECE5479">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kern w:val="0"/>
                      <w:position w:val="0"/>
                      <w:sz w:val="21"/>
                      <w:szCs w:val="21"/>
                      <w:u w:val="none" w:color="auto"/>
                    </w:rPr>
                  </w:pPr>
                  <w:r>
                    <w:rPr>
                      <w:rFonts w:hint="default" w:ascii="Times New Roman" w:hAnsi="Times New Roman" w:eastAsia="宋体" w:cs="Times New Roman"/>
                      <w:b w:val="0"/>
                      <w:bCs/>
                      <w:color w:val="000000"/>
                      <w:spacing w:val="11"/>
                      <w:kern w:val="0"/>
                      <w:position w:val="0"/>
                      <w:sz w:val="21"/>
                      <w:szCs w:val="21"/>
                      <w:u w:val="none" w:color="auto"/>
                    </w:rPr>
                    <w:t>连续等效A声级</w:t>
                  </w:r>
                </w:p>
              </w:tc>
              <w:tc>
                <w:tcPr>
                  <w:tcW w:w="1650" w:type="dxa"/>
                  <w:tcBorders>
                    <w:tl2br w:val="nil"/>
                    <w:tr2bl w:val="nil"/>
                  </w:tcBorders>
                  <w:noWrap w:val="0"/>
                  <w:vAlign w:val="center"/>
                </w:tcPr>
                <w:p w14:paraId="6626B10B">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kern w:val="0"/>
                      <w:position w:val="0"/>
                      <w:sz w:val="21"/>
                      <w:szCs w:val="21"/>
                      <w:u w:val="none" w:color="auto"/>
                    </w:rPr>
                  </w:pPr>
                  <w:r>
                    <w:rPr>
                      <w:rFonts w:hint="default" w:ascii="Times New Roman" w:hAnsi="Times New Roman" w:eastAsia="宋体" w:cs="Times New Roman"/>
                      <w:b w:val="0"/>
                      <w:bCs/>
                      <w:color w:val="000000"/>
                      <w:spacing w:val="11"/>
                      <w:position w:val="0"/>
                      <w:sz w:val="21"/>
                      <w:szCs w:val="21"/>
                      <w:u w:val="none" w:color="auto"/>
                    </w:rPr>
                    <w:t>每</w:t>
                  </w:r>
                  <w:r>
                    <w:rPr>
                      <w:rFonts w:hint="default" w:ascii="Times New Roman" w:hAnsi="Times New Roman" w:cs="Times New Roman"/>
                      <w:b w:val="0"/>
                      <w:bCs/>
                      <w:color w:val="000000"/>
                      <w:spacing w:val="11"/>
                      <w:position w:val="0"/>
                      <w:sz w:val="21"/>
                      <w:szCs w:val="21"/>
                      <w:u w:val="none" w:color="auto"/>
                      <w:lang w:val="en-US" w:eastAsia="zh-CN"/>
                    </w:rPr>
                    <w:t>季度</w:t>
                  </w:r>
                  <w:r>
                    <w:rPr>
                      <w:rFonts w:hint="default" w:ascii="Times New Roman" w:hAnsi="Times New Roman" w:eastAsia="宋体" w:cs="Times New Roman"/>
                      <w:b w:val="0"/>
                      <w:bCs/>
                      <w:color w:val="000000"/>
                      <w:spacing w:val="11"/>
                      <w:position w:val="0"/>
                      <w:sz w:val="21"/>
                      <w:szCs w:val="21"/>
                      <w:u w:val="none" w:color="auto"/>
                    </w:rPr>
                    <w:t>一次，监测1天，昼间、夜间各监测1次</w:t>
                  </w:r>
                </w:p>
              </w:tc>
              <w:tc>
                <w:tcPr>
                  <w:tcW w:w="2595" w:type="dxa"/>
                  <w:tcBorders>
                    <w:tl2br w:val="nil"/>
                    <w:tr2bl w:val="nil"/>
                  </w:tcBorders>
                  <w:noWrap w:val="0"/>
                  <w:vAlign w:val="center"/>
                </w:tcPr>
                <w:p w14:paraId="36CE13F5">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none" w:color="auto"/>
                    </w:rPr>
                  </w:pPr>
                  <w:r>
                    <w:rPr>
                      <w:rFonts w:hint="default" w:ascii="Times New Roman" w:hAnsi="Times New Roman" w:eastAsia="宋体" w:cs="Times New Roman"/>
                      <w:b w:val="0"/>
                      <w:bCs/>
                      <w:color w:val="000000"/>
                      <w:spacing w:val="11"/>
                      <w:position w:val="0"/>
                      <w:sz w:val="21"/>
                      <w:szCs w:val="21"/>
                      <w:u w:val="none" w:color="auto"/>
                    </w:rPr>
                    <w:t>《工业企业厂界环境噪声排放标准》（GB12348-2008）</w:t>
                  </w:r>
                  <w:r>
                    <w:rPr>
                      <w:rFonts w:hint="default" w:ascii="Times New Roman" w:hAnsi="Times New Roman" w:eastAsia="宋体" w:cs="Times New Roman"/>
                      <w:b w:val="0"/>
                      <w:bCs/>
                      <w:color w:val="000000"/>
                      <w:spacing w:val="11"/>
                      <w:position w:val="0"/>
                      <w:sz w:val="21"/>
                      <w:szCs w:val="21"/>
                      <w:u w:val="none" w:color="auto"/>
                      <w:lang w:val="en-US" w:eastAsia="zh-CN"/>
                    </w:rPr>
                    <w:t>2</w:t>
                  </w:r>
                  <w:r>
                    <w:rPr>
                      <w:rFonts w:hint="default" w:ascii="Times New Roman" w:hAnsi="Times New Roman" w:eastAsia="宋体" w:cs="Times New Roman"/>
                      <w:b w:val="0"/>
                      <w:bCs/>
                      <w:color w:val="000000"/>
                      <w:spacing w:val="11"/>
                      <w:position w:val="0"/>
                      <w:sz w:val="21"/>
                      <w:szCs w:val="21"/>
                      <w:u w:val="none" w:color="auto"/>
                    </w:rPr>
                    <w:t>类标准</w:t>
                  </w:r>
                </w:p>
              </w:tc>
            </w:tr>
          </w:tbl>
          <w:p w14:paraId="3706261E">
            <w:pPr>
              <w:keepNext w:val="0"/>
              <w:keepLines w:val="0"/>
              <w:pageBreakBefore w:val="0"/>
              <w:kinsoku/>
              <w:wordWrap/>
              <w:overflowPunct/>
              <w:topLinePunct w:val="0"/>
              <w:bidi w:val="0"/>
              <w:adjustRightInd w:val="0"/>
              <w:snapToGrid w:val="0"/>
              <w:spacing w:line="360" w:lineRule="auto"/>
              <w:ind w:left="0"/>
              <w:rPr>
                <w:rFonts w:hint="default" w:ascii="Times New Roman" w:hAnsi="Times New Roman" w:eastAsia="宋体" w:cs="Times New Roman"/>
                <w:bCs/>
                <w:color w:val="auto"/>
                <w:spacing w:val="11"/>
                <w:position w:val="0"/>
                <w:sz w:val="24"/>
                <w:szCs w:val="24"/>
                <w:u w:val="none" w:color="auto"/>
                <w:lang w:val="en-US" w:eastAsia="zh-CN"/>
              </w:rPr>
            </w:pPr>
          </w:p>
        </w:tc>
      </w:tr>
      <w:tr w14:paraId="6D985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3" w:type="dxa"/>
            <w:tcBorders>
              <w:tl2br w:val="nil"/>
              <w:tr2bl w:val="nil"/>
            </w:tcBorders>
            <w:noWrap w:val="0"/>
            <w:vAlign w:val="center"/>
          </w:tcPr>
          <w:p w14:paraId="34DBD0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1"/>
                <w:position w:val="0"/>
                <w:sz w:val="24"/>
                <w:szCs w:val="24"/>
                <w:u w:val="none" w:color="auto"/>
              </w:rPr>
            </w:pPr>
            <w:r>
              <w:rPr>
                <w:rFonts w:hint="default" w:ascii="Times New Roman" w:hAnsi="Times New Roman" w:eastAsia="宋体" w:cs="Times New Roman"/>
                <w:bCs/>
                <w:color w:val="000000"/>
                <w:spacing w:val="11"/>
                <w:position w:val="0"/>
                <w:sz w:val="22"/>
                <w:szCs w:val="22"/>
                <w:u w:val="none" w:color="auto"/>
              </w:rPr>
              <w:t>环保投资</w:t>
            </w:r>
          </w:p>
        </w:tc>
        <w:tc>
          <w:tcPr>
            <w:tcW w:w="8246" w:type="dxa"/>
            <w:tcBorders>
              <w:tl2br w:val="nil"/>
              <w:tr2bl w:val="nil"/>
            </w:tcBorders>
            <w:noWrap w:val="0"/>
            <w:vAlign w:val="top"/>
          </w:tcPr>
          <w:p w14:paraId="7203B9AE">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524" w:firstLineChars="200"/>
              <w:textAlignment w:val="auto"/>
              <w:rPr>
                <w:rFonts w:hint="default" w:ascii="Times New Roman" w:hAnsi="Times New Roman" w:cs="Times New Roman"/>
                <w:color w:val="000000"/>
                <w:spacing w:val="11"/>
                <w:kern w:val="0"/>
                <w:position w:val="0"/>
                <w:sz w:val="24"/>
                <w:u w:val="none" w:color="auto"/>
              </w:rPr>
            </w:pPr>
            <w:r>
              <w:rPr>
                <w:rFonts w:hint="default" w:ascii="Times New Roman" w:hAnsi="Times New Roman" w:cs="Times New Roman"/>
                <w:color w:val="000000"/>
                <w:spacing w:val="11"/>
                <w:kern w:val="0"/>
                <w:position w:val="0"/>
                <w:sz w:val="24"/>
                <w:u w:val="none" w:color="auto"/>
              </w:rPr>
              <w:t>根据项目污染源产生及排放情况，建设单位计划对生产过程中产生的废水、废气、噪声和固废等采取相应的污染防治措施，并在服务期满后进行生态恢复和复垦。建设单位总</w:t>
            </w:r>
            <w:r>
              <w:rPr>
                <w:rFonts w:hint="default" w:ascii="Times New Roman" w:hAnsi="Times New Roman" w:cs="Times New Roman"/>
                <w:color w:val="000000"/>
                <w:spacing w:val="11"/>
                <w:kern w:val="0"/>
                <w:position w:val="0"/>
                <w:sz w:val="24"/>
                <w:highlight w:val="none"/>
                <w:u w:val="none" w:color="auto"/>
              </w:rPr>
              <w:t>投资约</w:t>
            </w:r>
            <w:r>
              <w:rPr>
                <w:rFonts w:hint="default" w:ascii="Times New Roman" w:hAnsi="Times New Roman" w:cs="Times New Roman"/>
                <w:color w:val="000000"/>
                <w:spacing w:val="11"/>
                <w:kern w:val="0"/>
                <w:position w:val="0"/>
                <w:sz w:val="24"/>
                <w:highlight w:val="none"/>
                <w:u w:val="none" w:color="auto"/>
                <w:lang w:val="en-US" w:eastAsia="zh-CN"/>
              </w:rPr>
              <w:t>8000</w:t>
            </w:r>
            <w:r>
              <w:rPr>
                <w:rFonts w:hint="default" w:ascii="Times New Roman" w:hAnsi="Times New Roman" w:cs="Times New Roman"/>
                <w:color w:val="000000"/>
                <w:spacing w:val="11"/>
                <w:kern w:val="0"/>
                <w:position w:val="0"/>
                <w:sz w:val="24"/>
                <w:highlight w:val="none"/>
                <w:u w:val="none" w:color="auto"/>
              </w:rPr>
              <w:t>万元，其中环保投资为</w:t>
            </w:r>
            <w:r>
              <w:rPr>
                <w:rFonts w:hint="eastAsia" w:cs="Times New Roman"/>
                <w:color w:val="000000"/>
                <w:spacing w:val="11"/>
                <w:kern w:val="0"/>
                <w:position w:val="0"/>
                <w:sz w:val="24"/>
                <w:highlight w:val="none"/>
                <w:u w:val="none" w:color="auto"/>
                <w:lang w:val="en-US" w:eastAsia="zh-CN"/>
              </w:rPr>
              <w:t>963.4</w:t>
            </w:r>
            <w:r>
              <w:rPr>
                <w:rFonts w:hint="default" w:ascii="Times New Roman" w:hAnsi="Times New Roman" w:cs="Times New Roman"/>
                <w:color w:val="000000"/>
                <w:spacing w:val="11"/>
                <w:kern w:val="0"/>
                <w:position w:val="0"/>
                <w:sz w:val="24"/>
                <w:highlight w:val="none"/>
                <w:u w:val="none" w:color="auto"/>
              </w:rPr>
              <w:t>万元，占总投资的</w:t>
            </w:r>
            <w:r>
              <w:rPr>
                <w:rFonts w:hint="eastAsia" w:cs="Times New Roman"/>
                <w:color w:val="000000"/>
                <w:spacing w:val="11"/>
                <w:kern w:val="0"/>
                <w:position w:val="0"/>
                <w:sz w:val="24"/>
                <w:highlight w:val="none"/>
                <w:u w:val="none" w:color="auto"/>
                <w:lang w:val="en-US" w:eastAsia="zh-CN"/>
              </w:rPr>
              <w:t>12.04</w:t>
            </w:r>
            <w:r>
              <w:rPr>
                <w:rFonts w:hint="default" w:ascii="Times New Roman" w:hAnsi="Times New Roman" w:cs="Times New Roman"/>
                <w:color w:val="000000"/>
                <w:spacing w:val="11"/>
                <w:kern w:val="0"/>
                <w:position w:val="0"/>
                <w:sz w:val="24"/>
                <w:highlight w:val="none"/>
                <w:u w:val="none" w:color="auto"/>
              </w:rPr>
              <w:t>%，环保治理措施及投</w:t>
            </w:r>
            <w:r>
              <w:rPr>
                <w:rFonts w:hint="default" w:ascii="Times New Roman" w:hAnsi="Times New Roman" w:cs="Times New Roman"/>
                <w:color w:val="000000"/>
                <w:spacing w:val="11"/>
                <w:kern w:val="0"/>
                <w:position w:val="0"/>
                <w:sz w:val="24"/>
                <w:u w:val="none" w:color="auto"/>
              </w:rPr>
              <w:t>资见下表</w:t>
            </w:r>
            <w:r>
              <w:rPr>
                <w:rFonts w:hint="default" w:ascii="Times New Roman" w:hAnsi="Times New Roman" w:cs="Times New Roman"/>
                <w:color w:val="000000"/>
                <w:spacing w:val="11"/>
                <w:kern w:val="0"/>
                <w:position w:val="0"/>
                <w:sz w:val="24"/>
                <w:u w:val="none" w:color="auto"/>
                <w:lang w:val="en-US" w:eastAsia="zh-CN"/>
              </w:rPr>
              <w:t>5-</w:t>
            </w:r>
            <w:r>
              <w:rPr>
                <w:rFonts w:hint="eastAsia" w:cs="Times New Roman"/>
                <w:color w:val="000000"/>
                <w:spacing w:val="11"/>
                <w:kern w:val="0"/>
                <w:position w:val="0"/>
                <w:sz w:val="24"/>
                <w:u w:val="none" w:color="auto"/>
                <w:lang w:val="en-US" w:eastAsia="zh-CN"/>
              </w:rPr>
              <w:t>7</w:t>
            </w:r>
            <w:r>
              <w:rPr>
                <w:rFonts w:hint="default" w:ascii="Times New Roman" w:hAnsi="Times New Roman" w:cs="Times New Roman"/>
                <w:color w:val="000000"/>
                <w:spacing w:val="11"/>
                <w:kern w:val="0"/>
                <w:position w:val="0"/>
                <w:sz w:val="24"/>
                <w:u w:val="none" w:color="auto"/>
              </w:rPr>
              <w:t>。</w:t>
            </w:r>
          </w:p>
          <w:p w14:paraId="45C9589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pacing w:val="11"/>
                <w:position w:val="0"/>
                <w:szCs w:val="21"/>
                <w:u w:val="none" w:color="auto"/>
              </w:rPr>
            </w:pPr>
            <w:r>
              <w:rPr>
                <w:rFonts w:hint="default" w:ascii="Times New Roman" w:hAnsi="Times New Roman" w:eastAsia="宋体" w:cs="Times New Roman"/>
                <w:b/>
                <w:bCs/>
                <w:color w:val="000000"/>
                <w:spacing w:val="11"/>
                <w:position w:val="0"/>
                <w:szCs w:val="21"/>
                <w:u w:val="none" w:color="auto"/>
              </w:rPr>
              <w:t>表</w:t>
            </w:r>
            <w:r>
              <w:rPr>
                <w:rFonts w:hint="default" w:ascii="Times New Roman" w:hAnsi="Times New Roman" w:eastAsia="宋体" w:cs="Times New Roman"/>
                <w:b/>
                <w:bCs/>
                <w:color w:val="000000"/>
                <w:spacing w:val="11"/>
                <w:position w:val="0"/>
                <w:szCs w:val="21"/>
                <w:u w:val="none" w:color="auto"/>
                <w:lang w:val="en-US" w:eastAsia="zh-CN"/>
              </w:rPr>
              <w:t>5-</w:t>
            </w:r>
            <w:r>
              <w:rPr>
                <w:rFonts w:hint="eastAsia" w:cs="Times New Roman"/>
                <w:b/>
                <w:bCs/>
                <w:color w:val="000000"/>
                <w:spacing w:val="11"/>
                <w:position w:val="0"/>
                <w:szCs w:val="21"/>
                <w:u w:val="none" w:color="auto"/>
                <w:lang w:val="en-US" w:eastAsia="zh-CN"/>
              </w:rPr>
              <w:t>7</w:t>
            </w:r>
            <w:r>
              <w:rPr>
                <w:rFonts w:hint="default" w:ascii="Times New Roman" w:hAnsi="Times New Roman" w:eastAsia="宋体" w:cs="Times New Roman"/>
                <w:b/>
                <w:bCs/>
                <w:color w:val="000000"/>
                <w:spacing w:val="11"/>
                <w:position w:val="0"/>
                <w:szCs w:val="21"/>
                <w:u w:val="none" w:color="auto"/>
                <w:lang w:val="en-US" w:eastAsia="zh-CN"/>
              </w:rPr>
              <w:t xml:space="preserve"> </w:t>
            </w:r>
            <w:r>
              <w:rPr>
                <w:rFonts w:hint="default" w:ascii="Times New Roman" w:hAnsi="Times New Roman" w:eastAsia="宋体" w:cs="Times New Roman"/>
                <w:b/>
                <w:bCs/>
                <w:color w:val="000000"/>
                <w:spacing w:val="11"/>
                <w:position w:val="0"/>
                <w:szCs w:val="21"/>
                <w:u w:val="none" w:color="auto"/>
              </w:rPr>
              <w:t xml:space="preserve"> 项目环保措施及投资一览表</w:t>
            </w:r>
          </w:p>
          <w:tbl>
            <w:tblPr>
              <w:tblStyle w:val="32"/>
              <w:tblW w:w="503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28" w:type="dxa"/>
              </w:tblCellMar>
            </w:tblPr>
            <w:tblGrid>
              <w:gridCol w:w="729"/>
              <w:gridCol w:w="619"/>
              <w:gridCol w:w="1785"/>
              <w:gridCol w:w="3282"/>
              <w:gridCol w:w="1679"/>
            </w:tblGrid>
            <w:tr w14:paraId="573F9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637" w:hRule="atLeast"/>
                <w:jc w:val="center"/>
              </w:trPr>
              <w:tc>
                <w:tcPr>
                  <w:tcW w:w="450" w:type="pct"/>
                  <w:tcBorders>
                    <w:tl2br w:val="nil"/>
                    <w:tr2bl w:val="nil"/>
                  </w:tcBorders>
                  <w:noWrap w:val="0"/>
                  <w:vAlign w:val="center"/>
                </w:tcPr>
                <w:p w14:paraId="15003C1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阶段</w:t>
                  </w:r>
                </w:p>
              </w:tc>
              <w:tc>
                <w:tcPr>
                  <w:tcW w:w="382" w:type="pct"/>
                  <w:tcBorders>
                    <w:tl2br w:val="nil"/>
                    <w:tr2bl w:val="nil"/>
                  </w:tcBorders>
                  <w:noWrap w:val="0"/>
                  <w:vAlign w:val="center"/>
                </w:tcPr>
                <w:p w14:paraId="56F7621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类别</w:t>
                  </w:r>
                </w:p>
              </w:tc>
              <w:tc>
                <w:tcPr>
                  <w:tcW w:w="1102" w:type="pct"/>
                  <w:tcBorders>
                    <w:tl2br w:val="nil"/>
                    <w:tr2bl w:val="nil"/>
                  </w:tcBorders>
                  <w:noWrap w:val="0"/>
                  <w:vAlign w:val="center"/>
                </w:tcPr>
                <w:p w14:paraId="0A05A77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污染源</w:t>
                  </w:r>
                </w:p>
              </w:tc>
              <w:tc>
                <w:tcPr>
                  <w:tcW w:w="2027" w:type="pct"/>
                  <w:tcBorders>
                    <w:tl2br w:val="nil"/>
                    <w:tr2bl w:val="nil"/>
                  </w:tcBorders>
                  <w:noWrap w:val="0"/>
                  <w:vAlign w:val="center"/>
                </w:tcPr>
                <w:p w14:paraId="33413D8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环保措施</w:t>
                  </w:r>
                </w:p>
              </w:tc>
              <w:tc>
                <w:tcPr>
                  <w:tcW w:w="1037" w:type="pct"/>
                  <w:tcBorders>
                    <w:tl2br w:val="nil"/>
                    <w:tr2bl w:val="nil"/>
                  </w:tcBorders>
                  <w:noWrap w:val="0"/>
                  <w:vAlign w:val="center"/>
                </w:tcPr>
                <w:p w14:paraId="5C5A08B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环保投资（万元）</w:t>
                  </w:r>
                </w:p>
              </w:tc>
            </w:tr>
            <w:tr w14:paraId="09EC5E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18" w:hRule="atLeast"/>
                <w:jc w:val="center"/>
              </w:trPr>
              <w:tc>
                <w:tcPr>
                  <w:tcW w:w="450" w:type="pct"/>
                  <w:vMerge w:val="restart"/>
                  <w:tcBorders>
                    <w:tl2br w:val="nil"/>
                    <w:tr2bl w:val="nil"/>
                  </w:tcBorders>
                  <w:noWrap w:val="0"/>
                  <w:vAlign w:val="center"/>
                </w:tcPr>
                <w:p w14:paraId="69067C2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施工期</w:t>
                  </w:r>
                </w:p>
              </w:tc>
              <w:tc>
                <w:tcPr>
                  <w:tcW w:w="382" w:type="pct"/>
                  <w:tcBorders>
                    <w:tl2br w:val="nil"/>
                    <w:tr2bl w:val="nil"/>
                  </w:tcBorders>
                  <w:noWrap w:val="0"/>
                  <w:vAlign w:val="center"/>
                </w:tcPr>
                <w:p w14:paraId="40CCEC9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废气</w:t>
                  </w:r>
                </w:p>
              </w:tc>
              <w:tc>
                <w:tcPr>
                  <w:tcW w:w="1102" w:type="pct"/>
                  <w:tcBorders>
                    <w:tl2br w:val="nil"/>
                    <w:tr2bl w:val="nil"/>
                  </w:tcBorders>
                  <w:noWrap w:val="0"/>
                  <w:vAlign w:val="center"/>
                </w:tcPr>
                <w:p w14:paraId="365A314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施工扬尘</w:t>
                  </w:r>
                </w:p>
              </w:tc>
              <w:tc>
                <w:tcPr>
                  <w:tcW w:w="2027" w:type="pct"/>
                  <w:tcBorders>
                    <w:tl2br w:val="nil"/>
                    <w:tr2bl w:val="nil"/>
                  </w:tcBorders>
                  <w:noWrap w:val="0"/>
                  <w:vAlign w:val="center"/>
                </w:tcPr>
                <w:p w14:paraId="510E958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洒水、防尘网</w:t>
                  </w:r>
                </w:p>
              </w:tc>
              <w:tc>
                <w:tcPr>
                  <w:tcW w:w="1037" w:type="pct"/>
                  <w:tcBorders>
                    <w:tl2br w:val="nil"/>
                    <w:tr2bl w:val="nil"/>
                  </w:tcBorders>
                  <w:noWrap w:val="0"/>
                  <w:vAlign w:val="center"/>
                </w:tcPr>
                <w:p w14:paraId="3076AB1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5</w:t>
                  </w:r>
                </w:p>
              </w:tc>
            </w:tr>
            <w:tr w14:paraId="68ACFE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18" w:hRule="atLeast"/>
                <w:jc w:val="center"/>
              </w:trPr>
              <w:tc>
                <w:tcPr>
                  <w:tcW w:w="450" w:type="pct"/>
                  <w:vMerge w:val="continue"/>
                  <w:tcBorders>
                    <w:tl2br w:val="nil"/>
                    <w:tr2bl w:val="nil"/>
                  </w:tcBorders>
                  <w:noWrap w:val="0"/>
                  <w:vAlign w:val="center"/>
                </w:tcPr>
                <w:p w14:paraId="21B489A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p>
              </w:tc>
              <w:tc>
                <w:tcPr>
                  <w:tcW w:w="382" w:type="pct"/>
                  <w:vMerge w:val="restart"/>
                  <w:tcBorders>
                    <w:tl2br w:val="nil"/>
                    <w:tr2bl w:val="nil"/>
                  </w:tcBorders>
                  <w:noWrap w:val="0"/>
                  <w:vAlign w:val="center"/>
                </w:tcPr>
                <w:p w14:paraId="24F9D57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废水</w:t>
                  </w:r>
                </w:p>
              </w:tc>
              <w:tc>
                <w:tcPr>
                  <w:tcW w:w="1102" w:type="pct"/>
                  <w:tcBorders>
                    <w:tl2br w:val="nil"/>
                    <w:tr2bl w:val="nil"/>
                  </w:tcBorders>
                  <w:noWrap w:val="0"/>
                  <w:vAlign w:val="center"/>
                </w:tcPr>
                <w:p w14:paraId="07E69DB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车辆冲洗废水</w:t>
                  </w:r>
                </w:p>
              </w:tc>
              <w:tc>
                <w:tcPr>
                  <w:tcW w:w="2027" w:type="pct"/>
                  <w:tcBorders>
                    <w:tl2br w:val="nil"/>
                    <w:tr2bl w:val="nil"/>
                  </w:tcBorders>
                  <w:noWrap w:val="0"/>
                  <w:vAlign w:val="center"/>
                </w:tcPr>
                <w:p w14:paraId="3B563B9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沉淀池</w:t>
                  </w:r>
                </w:p>
              </w:tc>
              <w:tc>
                <w:tcPr>
                  <w:tcW w:w="1037" w:type="pct"/>
                  <w:tcBorders>
                    <w:tl2br w:val="nil"/>
                    <w:tr2bl w:val="nil"/>
                  </w:tcBorders>
                  <w:noWrap w:val="0"/>
                  <w:vAlign w:val="center"/>
                </w:tcPr>
                <w:p w14:paraId="2894434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11"/>
                      <w:position w:val="0"/>
                      <w:szCs w:val="21"/>
                      <w:u w:val="none" w:color="auto"/>
                      <w:lang w:eastAsia="zh-CN"/>
                    </w:rPr>
                  </w:pPr>
                  <w:r>
                    <w:rPr>
                      <w:rFonts w:hint="default" w:ascii="Times New Roman" w:hAnsi="Times New Roman" w:cs="Times New Roman"/>
                      <w:color w:val="000000"/>
                      <w:spacing w:val="11"/>
                      <w:position w:val="0"/>
                      <w:szCs w:val="21"/>
                      <w:u w:val="none" w:color="auto"/>
                      <w:lang w:val="en-US" w:eastAsia="zh-CN"/>
                    </w:rPr>
                    <w:t>6</w:t>
                  </w:r>
                </w:p>
              </w:tc>
            </w:tr>
            <w:tr w14:paraId="3910A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18" w:hRule="atLeast"/>
                <w:jc w:val="center"/>
              </w:trPr>
              <w:tc>
                <w:tcPr>
                  <w:tcW w:w="450" w:type="pct"/>
                  <w:vMerge w:val="continue"/>
                  <w:tcBorders>
                    <w:tl2br w:val="nil"/>
                    <w:tr2bl w:val="nil"/>
                  </w:tcBorders>
                  <w:noWrap w:val="0"/>
                  <w:vAlign w:val="center"/>
                </w:tcPr>
                <w:p w14:paraId="00B3DC3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p>
              </w:tc>
              <w:tc>
                <w:tcPr>
                  <w:tcW w:w="382" w:type="pct"/>
                  <w:vMerge w:val="continue"/>
                  <w:tcBorders>
                    <w:tl2br w:val="nil"/>
                    <w:tr2bl w:val="nil"/>
                  </w:tcBorders>
                  <w:noWrap w:val="0"/>
                  <w:vAlign w:val="center"/>
                </w:tcPr>
                <w:p w14:paraId="5CB5573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p>
              </w:tc>
              <w:tc>
                <w:tcPr>
                  <w:tcW w:w="1102" w:type="pct"/>
                  <w:tcBorders>
                    <w:tl2br w:val="nil"/>
                    <w:tr2bl w:val="nil"/>
                  </w:tcBorders>
                  <w:noWrap w:val="0"/>
                  <w:vAlign w:val="center"/>
                </w:tcPr>
                <w:p w14:paraId="4D2260B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生活废水</w:t>
                  </w:r>
                </w:p>
              </w:tc>
              <w:tc>
                <w:tcPr>
                  <w:tcW w:w="2027" w:type="pct"/>
                  <w:tcBorders>
                    <w:tl2br w:val="nil"/>
                    <w:tr2bl w:val="nil"/>
                  </w:tcBorders>
                  <w:noWrap w:val="0"/>
                  <w:vAlign w:val="center"/>
                </w:tcPr>
                <w:p w14:paraId="20C7A91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化粪池</w:t>
                  </w:r>
                </w:p>
              </w:tc>
              <w:tc>
                <w:tcPr>
                  <w:tcW w:w="1037" w:type="pct"/>
                  <w:tcBorders>
                    <w:tl2br w:val="nil"/>
                    <w:tr2bl w:val="nil"/>
                  </w:tcBorders>
                  <w:noWrap w:val="0"/>
                  <w:vAlign w:val="center"/>
                </w:tcPr>
                <w:p w14:paraId="33622A5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11"/>
                      <w:position w:val="0"/>
                      <w:szCs w:val="21"/>
                      <w:u w:val="none" w:color="auto"/>
                      <w:lang w:eastAsia="zh-CN"/>
                    </w:rPr>
                  </w:pPr>
                  <w:r>
                    <w:rPr>
                      <w:rFonts w:hint="default" w:ascii="Times New Roman" w:hAnsi="Times New Roman" w:cs="Times New Roman"/>
                      <w:color w:val="000000"/>
                      <w:spacing w:val="11"/>
                      <w:position w:val="0"/>
                      <w:szCs w:val="21"/>
                      <w:u w:val="none" w:color="auto"/>
                      <w:lang w:val="en-US" w:eastAsia="zh-CN"/>
                    </w:rPr>
                    <w:t>2</w:t>
                  </w:r>
                </w:p>
              </w:tc>
            </w:tr>
            <w:tr w14:paraId="72B02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18" w:hRule="atLeast"/>
                <w:jc w:val="center"/>
              </w:trPr>
              <w:tc>
                <w:tcPr>
                  <w:tcW w:w="450" w:type="pct"/>
                  <w:vMerge w:val="continue"/>
                  <w:tcBorders>
                    <w:tl2br w:val="nil"/>
                    <w:tr2bl w:val="nil"/>
                  </w:tcBorders>
                  <w:noWrap w:val="0"/>
                  <w:vAlign w:val="center"/>
                </w:tcPr>
                <w:p w14:paraId="4705256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p>
              </w:tc>
              <w:tc>
                <w:tcPr>
                  <w:tcW w:w="382" w:type="pct"/>
                  <w:tcBorders>
                    <w:tl2br w:val="nil"/>
                    <w:tr2bl w:val="nil"/>
                  </w:tcBorders>
                  <w:noWrap w:val="0"/>
                  <w:vAlign w:val="center"/>
                </w:tcPr>
                <w:p w14:paraId="009A708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噪声</w:t>
                  </w:r>
                </w:p>
              </w:tc>
              <w:tc>
                <w:tcPr>
                  <w:tcW w:w="1102" w:type="pct"/>
                  <w:tcBorders>
                    <w:tl2br w:val="nil"/>
                    <w:tr2bl w:val="nil"/>
                  </w:tcBorders>
                  <w:noWrap w:val="0"/>
                  <w:vAlign w:val="center"/>
                </w:tcPr>
                <w:p w14:paraId="411118D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施工机械噪声</w:t>
                  </w:r>
                </w:p>
              </w:tc>
              <w:tc>
                <w:tcPr>
                  <w:tcW w:w="2027" w:type="pct"/>
                  <w:tcBorders>
                    <w:tl2br w:val="nil"/>
                    <w:tr2bl w:val="nil"/>
                  </w:tcBorders>
                  <w:noWrap w:val="0"/>
                  <w:vAlign w:val="center"/>
                </w:tcPr>
                <w:p w14:paraId="4CCAEDA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选用低噪声设备、隔声屏障、减震垫</w:t>
                  </w:r>
                </w:p>
              </w:tc>
              <w:tc>
                <w:tcPr>
                  <w:tcW w:w="1037" w:type="pct"/>
                  <w:tcBorders>
                    <w:tl2br w:val="nil"/>
                    <w:tr2bl w:val="nil"/>
                  </w:tcBorders>
                  <w:noWrap w:val="0"/>
                  <w:vAlign w:val="center"/>
                </w:tcPr>
                <w:p w14:paraId="66B1554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11"/>
                      <w:position w:val="0"/>
                      <w:szCs w:val="21"/>
                      <w:u w:val="none" w:color="auto"/>
                      <w:lang w:val="en-US" w:eastAsia="zh-CN"/>
                    </w:rPr>
                  </w:pPr>
                  <w:r>
                    <w:rPr>
                      <w:rFonts w:hint="default" w:ascii="Times New Roman" w:hAnsi="Times New Roman" w:cs="Times New Roman"/>
                      <w:color w:val="000000"/>
                      <w:spacing w:val="11"/>
                      <w:position w:val="0"/>
                      <w:szCs w:val="21"/>
                      <w:u w:val="none" w:color="auto"/>
                      <w:lang w:val="en-US" w:eastAsia="zh-CN"/>
                    </w:rPr>
                    <w:t>10</w:t>
                  </w:r>
                </w:p>
              </w:tc>
            </w:tr>
            <w:tr w14:paraId="73854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18" w:hRule="atLeast"/>
                <w:jc w:val="center"/>
              </w:trPr>
              <w:tc>
                <w:tcPr>
                  <w:tcW w:w="450" w:type="pct"/>
                  <w:vMerge w:val="continue"/>
                  <w:tcBorders>
                    <w:tl2br w:val="nil"/>
                    <w:tr2bl w:val="nil"/>
                  </w:tcBorders>
                  <w:noWrap w:val="0"/>
                  <w:vAlign w:val="center"/>
                </w:tcPr>
                <w:p w14:paraId="2DEF386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p>
              </w:tc>
              <w:tc>
                <w:tcPr>
                  <w:tcW w:w="382" w:type="pct"/>
                  <w:tcBorders>
                    <w:tl2br w:val="nil"/>
                    <w:tr2bl w:val="nil"/>
                  </w:tcBorders>
                  <w:noWrap w:val="0"/>
                  <w:vAlign w:val="center"/>
                </w:tcPr>
                <w:p w14:paraId="472C2CB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固废</w:t>
                  </w:r>
                </w:p>
              </w:tc>
              <w:tc>
                <w:tcPr>
                  <w:tcW w:w="1102" w:type="pct"/>
                  <w:tcBorders>
                    <w:tl2br w:val="nil"/>
                    <w:tr2bl w:val="nil"/>
                  </w:tcBorders>
                  <w:noWrap w:val="0"/>
                  <w:vAlign w:val="center"/>
                </w:tcPr>
                <w:p w14:paraId="3E33EE3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建筑垃圾、生活垃圾</w:t>
                  </w:r>
                </w:p>
              </w:tc>
              <w:tc>
                <w:tcPr>
                  <w:tcW w:w="2027" w:type="pct"/>
                  <w:tcBorders>
                    <w:tl2br w:val="nil"/>
                    <w:tr2bl w:val="nil"/>
                  </w:tcBorders>
                  <w:noWrap w:val="0"/>
                  <w:vAlign w:val="center"/>
                </w:tcPr>
                <w:p w14:paraId="735067F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垃圾桶、建筑垃圾处理</w:t>
                  </w:r>
                </w:p>
              </w:tc>
              <w:tc>
                <w:tcPr>
                  <w:tcW w:w="1037" w:type="pct"/>
                  <w:tcBorders>
                    <w:tl2br w:val="nil"/>
                    <w:tr2bl w:val="nil"/>
                  </w:tcBorders>
                  <w:noWrap w:val="0"/>
                  <w:vAlign w:val="center"/>
                </w:tcPr>
                <w:p w14:paraId="2EBDCE7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5</w:t>
                  </w:r>
                </w:p>
              </w:tc>
            </w:tr>
            <w:tr w14:paraId="7F97B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734" w:hRule="atLeast"/>
                <w:jc w:val="center"/>
              </w:trPr>
              <w:tc>
                <w:tcPr>
                  <w:tcW w:w="450" w:type="pct"/>
                  <w:vMerge w:val="restart"/>
                  <w:tcBorders>
                    <w:tl2br w:val="nil"/>
                    <w:tr2bl w:val="nil"/>
                  </w:tcBorders>
                  <w:noWrap w:val="0"/>
                  <w:vAlign w:val="center"/>
                </w:tcPr>
                <w:p w14:paraId="162E781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营运期</w:t>
                  </w:r>
                </w:p>
              </w:tc>
              <w:tc>
                <w:tcPr>
                  <w:tcW w:w="382" w:type="pct"/>
                  <w:vMerge w:val="restart"/>
                  <w:tcBorders>
                    <w:tl2br w:val="nil"/>
                    <w:tr2bl w:val="nil"/>
                  </w:tcBorders>
                  <w:noWrap w:val="0"/>
                  <w:vAlign w:val="center"/>
                </w:tcPr>
                <w:p w14:paraId="61FBE34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废水</w:t>
                  </w:r>
                </w:p>
              </w:tc>
              <w:tc>
                <w:tcPr>
                  <w:tcW w:w="1102" w:type="pct"/>
                  <w:tcBorders>
                    <w:tl2br w:val="nil"/>
                    <w:tr2bl w:val="nil"/>
                  </w:tcBorders>
                  <w:noWrap w:val="0"/>
                  <w:vAlign w:val="center"/>
                </w:tcPr>
                <w:p w14:paraId="1765463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初期雨水</w:t>
                  </w:r>
                </w:p>
              </w:tc>
              <w:tc>
                <w:tcPr>
                  <w:tcW w:w="2027" w:type="pct"/>
                  <w:tcBorders>
                    <w:tl2br w:val="nil"/>
                    <w:tr2bl w:val="nil"/>
                  </w:tcBorders>
                  <w:noWrap w:val="0"/>
                  <w:vAlign w:val="center"/>
                </w:tcPr>
                <w:p w14:paraId="60CAA45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eastAsia" w:cs="Times New Roman"/>
                      <w:color w:val="000000"/>
                      <w:spacing w:val="11"/>
                      <w:position w:val="0"/>
                      <w:szCs w:val="21"/>
                      <w:u w:val="none" w:color="auto"/>
                      <w:lang w:val="en-US" w:eastAsia="zh-CN"/>
                    </w:rPr>
                    <w:t>开</w:t>
                  </w:r>
                  <w:r>
                    <w:rPr>
                      <w:rFonts w:hint="default" w:ascii="Times New Roman" w:hAnsi="Times New Roman" w:cs="Times New Roman"/>
                      <w:color w:val="000000"/>
                      <w:spacing w:val="11"/>
                      <w:position w:val="0"/>
                      <w:szCs w:val="21"/>
                      <w:u w:val="none" w:color="auto"/>
                    </w:rPr>
                    <w:t>采区</w:t>
                  </w:r>
                  <w:r>
                    <w:rPr>
                      <w:rFonts w:hint="default" w:ascii="Times New Roman" w:hAnsi="Times New Roman" w:cs="Times New Roman"/>
                      <w:spacing w:val="11"/>
                      <w:position w:val="0"/>
                      <w:u w:val="none" w:color="auto"/>
                    </w:rPr>
                    <w:t>、排土场</w:t>
                  </w:r>
                  <w:r>
                    <w:rPr>
                      <w:rFonts w:hint="default" w:ascii="Times New Roman" w:hAnsi="Times New Roman" w:cs="Times New Roman"/>
                      <w:spacing w:val="11"/>
                      <w:position w:val="0"/>
                      <w:szCs w:val="21"/>
                      <w:u w:val="none" w:color="auto"/>
                    </w:rPr>
                    <w:t>及工业</w:t>
                  </w:r>
                  <w:r>
                    <w:rPr>
                      <w:rFonts w:hint="default" w:ascii="Times New Roman" w:hAnsi="Times New Roman" w:cs="Times New Roman"/>
                      <w:color w:val="000000"/>
                      <w:spacing w:val="11"/>
                      <w:position w:val="0"/>
                      <w:szCs w:val="21"/>
                      <w:u w:val="none" w:color="auto"/>
                    </w:rPr>
                    <w:t>广场四周均设置</w:t>
                  </w:r>
                  <w:r>
                    <w:rPr>
                      <w:rFonts w:hint="eastAsia" w:cs="Times New Roman"/>
                      <w:color w:val="000000"/>
                      <w:spacing w:val="11"/>
                      <w:position w:val="0"/>
                      <w:szCs w:val="21"/>
                      <w:u w:val="none" w:color="auto"/>
                      <w:lang w:val="en-US" w:eastAsia="zh-CN"/>
                    </w:rPr>
                    <w:t>截水沟</w:t>
                  </w:r>
                  <w:r>
                    <w:rPr>
                      <w:rFonts w:hint="default" w:ascii="Times New Roman" w:hAnsi="Times New Roman" w:cs="Times New Roman"/>
                      <w:color w:val="000000"/>
                      <w:spacing w:val="11"/>
                      <w:position w:val="0"/>
                      <w:szCs w:val="21"/>
                      <w:u w:val="none" w:color="auto"/>
                    </w:rPr>
                    <w:t>、</w:t>
                  </w:r>
                  <w:r>
                    <w:rPr>
                      <w:rFonts w:hint="default" w:ascii="Times New Roman" w:hAnsi="Times New Roman" w:cs="Times New Roman"/>
                      <w:color w:val="000000"/>
                      <w:spacing w:val="11"/>
                      <w:position w:val="0"/>
                      <w:szCs w:val="21"/>
                      <w:u w:val="none" w:color="auto"/>
                      <w:lang w:val="en-US" w:eastAsia="zh-CN"/>
                    </w:rPr>
                    <w:t>初期雨水</w:t>
                  </w:r>
                  <w:r>
                    <w:rPr>
                      <w:rFonts w:hint="default" w:ascii="Times New Roman" w:hAnsi="Times New Roman" w:cs="Times New Roman"/>
                      <w:color w:val="000000"/>
                      <w:spacing w:val="11"/>
                      <w:position w:val="0"/>
                      <w:szCs w:val="21"/>
                      <w:u w:val="none" w:color="auto"/>
                    </w:rPr>
                    <w:t>池</w:t>
                  </w:r>
                </w:p>
              </w:tc>
              <w:tc>
                <w:tcPr>
                  <w:tcW w:w="1037" w:type="pct"/>
                  <w:tcBorders>
                    <w:tl2br w:val="nil"/>
                    <w:tr2bl w:val="nil"/>
                  </w:tcBorders>
                  <w:noWrap w:val="0"/>
                  <w:vAlign w:val="center"/>
                </w:tcPr>
                <w:p w14:paraId="390384D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11"/>
                      <w:position w:val="0"/>
                      <w:szCs w:val="21"/>
                      <w:u w:val="none" w:color="auto"/>
                      <w:lang w:val="en-US" w:eastAsia="zh-CN"/>
                    </w:rPr>
                  </w:pPr>
                  <w:r>
                    <w:rPr>
                      <w:rFonts w:hint="default" w:ascii="Times New Roman" w:hAnsi="Times New Roman" w:cs="Times New Roman"/>
                      <w:color w:val="000000"/>
                      <w:spacing w:val="11"/>
                      <w:position w:val="0"/>
                      <w:szCs w:val="21"/>
                      <w:u w:val="none" w:color="auto"/>
                      <w:lang w:val="en-US" w:eastAsia="zh-CN"/>
                    </w:rPr>
                    <w:t>20</w:t>
                  </w:r>
                </w:p>
              </w:tc>
            </w:tr>
            <w:tr w14:paraId="1499C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204" w:hRule="atLeast"/>
                <w:jc w:val="center"/>
              </w:trPr>
              <w:tc>
                <w:tcPr>
                  <w:tcW w:w="450" w:type="pct"/>
                  <w:vMerge w:val="continue"/>
                  <w:tcBorders>
                    <w:tl2br w:val="nil"/>
                    <w:tr2bl w:val="nil"/>
                  </w:tcBorders>
                  <w:noWrap w:val="0"/>
                  <w:vAlign w:val="center"/>
                </w:tcPr>
                <w:p w14:paraId="072C5DE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p>
              </w:tc>
              <w:tc>
                <w:tcPr>
                  <w:tcW w:w="382" w:type="pct"/>
                  <w:vMerge w:val="continue"/>
                  <w:tcBorders>
                    <w:tl2br w:val="nil"/>
                    <w:tr2bl w:val="nil"/>
                  </w:tcBorders>
                  <w:noWrap w:val="0"/>
                  <w:vAlign w:val="center"/>
                </w:tcPr>
                <w:p w14:paraId="6A9EAEC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p>
              </w:tc>
              <w:tc>
                <w:tcPr>
                  <w:tcW w:w="1102" w:type="pct"/>
                  <w:tcBorders>
                    <w:tl2br w:val="nil"/>
                    <w:tr2bl w:val="nil"/>
                  </w:tcBorders>
                  <w:noWrap w:val="0"/>
                  <w:vAlign w:val="center"/>
                </w:tcPr>
                <w:p w14:paraId="52D18F0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洗车废水</w:t>
                  </w:r>
                </w:p>
              </w:tc>
              <w:tc>
                <w:tcPr>
                  <w:tcW w:w="2027" w:type="pct"/>
                  <w:tcBorders>
                    <w:tl2br w:val="nil"/>
                    <w:tr2bl w:val="nil"/>
                  </w:tcBorders>
                  <w:noWrap w:val="0"/>
                  <w:vAlign w:val="center"/>
                </w:tcPr>
                <w:p w14:paraId="3C07647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洗车平台+</w:t>
                  </w:r>
                  <w:r>
                    <w:rPr>
                      <w:rFonts w:hint="default" w:ascii="Times New Roman" w:hAnsi="Times New Roman" w:cs="Times New Roman"/>
                      <w:color w:val="000000"/>
                      <w:spacing w:val="11"/>
                      <w:position w:val="0"/>
                      <w:szCs w:val="21"/>
                      <w:u w:val="none" w:color="auto"/>
                      <w:lang w:val="en-US" w:eastAsia="zh-CN"/>
                    </w:rPr>
                    <w:t>车辆过水池</w:t>
                  </w:r>
                </w:p>
              </w:tc>
              <w:tc>
                <w:tcPr>
                  <w:tcW w:w="1037" w:type="pct"/>
                  <w:tcBorders>
                    <w:tl2br w:val="nil"/>
                    <w:tr2bl w:val="nil"/>
                  </w:tcBorders>
                  <w:noWrap w:val="0"/>
                  <w:vAlign w:val="center"/>
                </w:tcPr>
                <w:p w14:paraId="3E6F71F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11"/>
                      <w:position w:val="0"/>
                      <w:szCs w:val="21"/>
                      <w:u w:val="none" w:color="auto"/>
                      <w:lang w:val="en-US" w:eastAsia="zh-CN"/>
                    </w:rPr>
                  </w:pPr>
                  <w:r>
                    <w:rPr>
                      <w:rFonts w:hint="default" w:ascii="Times New Roman" w:hAnsi="Times New Roman" w:cs="Times New Roman"/>
                      <w:color w:val="000000"/>
                      <w:spacing w:val="11"/>
                      <w:position w:val="0"/>
                      <w:szCs w:val="21"/>
                      <w:u w:val="none" w:color="auto"/>
                      <w:lang w:val="en-US" w:eastAsia="zh-CN"/>
                    </w:rPr>
                    <w:t>依托</w:t>
                  </w:r>
                  <w:r>
                    <w:rPr>
                      <w:rFonts w:hint="eastAsia" w:cs="Times New Roman"/>
                      <w:color w:val="000000"/>
                      <w:spacing w:val="11"/>
                      <w:position w:val="0"/>
                      <w:szCs w:val="21"/>
                      <w:u w:val="none" w:color="auto"/>
                      <w:lang w:val="en-US" w:eastAsia="zh-CN"/>
                    </w:rPr>
                    <w:t>施工期建设的</w:t>
                  </w:r>
                </w:p>
              </w:tc>
            </w:tr>
            <w:tr w14:paraId="55303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72" w:hRule="atLeast"/>
                <w:jc w:val="center"/>
              </w:trPr>
              <w:tc>
                <w:tcPr>
                  <w:tcW w:w="450" w:type="pct"/>
                  <w:vMerge w:val="continue"/>
                  <w:tcBorders>
                    <w:tl2br w:val="nil"/>
                    <w:tr2bl w:val="nil"/>
                  </w:tcBorders>
                  <w:noWrap w:val="0"/>
                  <w:vAlign w:val="center"/>
                </w:tcPr>
                <w:p w14:paraId="4A4D972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p>
              </w:tc>
              <w:tc>
                <w:tcPr>
                  <w:tcW w:w="382" w:type="pct"/>
                  <w:vMerge w:val="continue"/>
                  <w:tcBorders>
                    <w:tl2br w:val="nil"/>
                    <w:tr2bl w:val="nil"/>
                  </w:tcBorders>
                  <w:noWrap w:val="0"/>
                  <w:vAlign w:val="center"/>
                </w:tcPr>
                <w:p w14:paraId="020BFBC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p>
              </w:tc>
              <w:tc>
                <w:tcPr>
                  <w:tcW w:w="1102" w:type="pct"/>
                  <w:tcBorders>
                    <w:tl2br w:val="nil"/>
                    <w:tr2bl w:val="nil"/>
                  </w:tcBorders>
                  <w:noWrap w:val="0"/>
                  <w:vAlign w:val="center"/>
                </w:tcPr>
                <w:p w14:paraId="7D4085A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生活污水</w:t>
                  </w:r>
                </w:p>
              </w:tc>
              <w:tc>
                <w:tcPr>
                  <w:tcW w:w="2027" w:type="pct"/>
                  <w:tcBorders>
                    <w:tl2br w:val="nil"/>
                    <w:tr2bl w:val="nil"/>
                  </w:tcBorders>
                  <w:noWrap w:val="0"/>
                  <w:vAlign w:val="center"/>
                </w:tcPr>
                <w:p w14:paraId="774373A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化粪池</w:t>
                  </w:r>
                </w:p>
              </w:tc>
              <w:tc>
                <w:tcPr>
                  <w:tcW w:w="1037" w:type="pct"/>
                  <w:tcBorders>
                    <w:tl2br w:val="nil"/>
                    <w:tr2bl w:val="nil"/>
                  </w:tcBorders>
                  <w:noWrap w:val="0"/>
                  <w:vAlign w:val="center"/>
                </w:tcPr>
                <w:p w14:paraId="74A1535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11"/>
                      <w:position w:val="0"/>
                      <w:szCs w:val="21"/>
                      <w:u w:val="none" w:color="auto"/>
                      <w:lang w:val="en-US" w:eastAsia="zh-CN"/>
                    </w:rPr>
                  </w:pPr>
                  <w:r>
                    <w:rPr>
                      <w:rFonts w:hint="default" w:ascii="Times New Roman" w:hAnsi="Times New Roman" w:cs="Times New Roman"/>
                      <w:color w:val="000000"/>
                      <w:spacing w:val="11"/>
                      <w:position w:val="0"/>
                      <w:szCs w:val="21"/>
                      <w:u w:val="none" w:color="auto"/>
                      <w:lang w:val="en-US" w:eastAsia="zh-CN"/>
                    </w:rPr>
                    <w:t>依托现有</w:t>
                  </w:r>
                </w:p>
              </w:tc>
            </w:tr>
            <w:tr w14:paraId="67BAB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72" w:hRule="atLeast"/>
                <w:jc w:val="center"/>
              </w:trPr>
              <w:tc>
                <w:tcPr>
                  <w:tcW w:w="450" w:type="pct"/>
                  <w:vMerge w:val="continue"/>
                  <w:tcBorders>
                    <w:tl2br w:val="nil"/>
                    <w:tr2bl w:val="nil"/>
                  </w:tcBorders>
                  <w:noWrap w:val="0"/>
                  <w:vAlign w:val="center"/>
                </w:tcPr>
                <w:p w14:paraId="2EFBBAA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p>
              </w:tc>
              <w:tc>
                <w:tcPr>
                  <w:tcW w:w="382" w:type="pct"/>
                  <w:vMerge w:val="continue"/>
                  <w:tcBorders>
                    <w:tl2br w:val="nil"/>
                    <w:tr2bl w:val="nil"/>
                  </w:tcBorders>
                  <w:noWrap w:val="0"/>
                  <w:vAlign w:val="center"/>
                </w:tcPr>
                <w:p w14:paraId="71074C6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p>
              </w:tc>
              <w:tc>
                <w:tcPr>
                  <w:tcW w:w="1102" w:type="pct"/>
                  <w:tcBorders>
                    <w:tl2br w:val="nil"/>
                    <w:tr2bl w:val="nil"/>
                  </w:tcBorders>
                  <w:noWrap w:val="0"/>
                  <w:vAlign w:val="center"/>
                </w:tcPr>
                <w:p w14:paraId="17C82C4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11"/>
                      <w:position w:val="0"/>
                      <w:szCs w:val="21"/>
                      <w:u w:val="none" w:color="auto"/>
                      <w:lang w:val="en-US" w:eastAsia="zh-CN"/>
                    </w:rPr>
                  </w:pPr>
                  <w:r>
                    <w:rPr>
                      <w:rFonts w:hint="default" w:ascii="Times New Roman" w:hAnsi="Times New Roman" w:cs="Times New Roman"/>
                      <w:color w:val="000000"/>
                      <w:spacing w:val="11"/>
                      <w:position w:val="0"/>
                      <w:szCs w:val="21"/>
                      <w:u w:val="none" w:color="auto"/>
                      <w:lang w:val="en-US" w:eastAsia="zh-CN"/>
                    </w:rPr>
                    <w:t>洗砂废水</w:t>
                  </w:r>
                </w:p>
              </w:tc>
              <w:tc>
                <w:tcPr>
                  <w:tcW w:w="2027" w:type="pct"/>
                  <w:tcBorders>
                    <w:tl2br w:val="nil"/>
                    <w:tr2bl w:val="nil"/>
                  </w:tcBorders>
                  <w:noWrap w:val="0"/>
                  <w:vAlign w:val="center"/>
                </w:tcPr>
                <w:p w14:paraId="2FA1F8C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lang w:val="en-US"/>
                    </w:rPr>
                  </w:pPr>
                  <w:r>
                    <w:rPr>
                      <w:rFonts w:hint="default" w:ascii="Times New Roman" w:hAnsi="Times New Roman" w:cs="Times New Roman"/>
                      <w:color w:val="000000"/>
                      <w:spacing w:val="11"/>
                      <w:position w:val="0"/>
                      <w:szCs w:val="21"/>
                      <w:u w:val="none" w:color="auto"/>
                      <w:lang w:val="en-US" w:eastAsia="zh-CN"/>
                    </w:rPr>
                    <w:t>泥水分离脱水系统+沉淀池</w:t>
                  </w:r>
                </w:p>
              </w:tc>
              <w:tc>
                <w:tcPr>
                  <w:tcW w:w="1037" w:type="pct"/>
                  <w:tcBorders>
                    <w:tl2br w:val="nil"/>
                    <w:tr2bl w:val="nil"/>
                  </w:tcBorders>
                  <w:noWrap w:val="0"/>
                  <w:vAlign w:val="center"/>
                </w:tcPr>
                <w:p w14:paraId="3250663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lang w:val="en-US" w:eastAsia="zh-CN"/>
                    </w:rPr>
                  </w:pPr>
                  <w:r>
                    <w:rPr>
                      <w:rFonts w:hint="default" w:ascii="Times New Roman" w:hAnsi="Times New Roman" w:cs="Times New Roman"/>
                      <w:color w:val="000000"/>
                      <w:spacing w:val="11"/>
                      <w:position w:val="0"/>
                      <w:szCs w:val="21"/>
                      <w:u w:val="none" w:color="auto"/>
                      <w:lang w:val="en-US" w:eastAsia="zh-CN"/>
                    </w:rPr>
                    <w:t>50</w:t>
                  </w:r>
                </w:p>
              </w:tc>
            </w:tr>
            <w:tr w14:paraId="0B87D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18" w:hRule="atLeast"/>
                <w:jc w:val="center"/>
              </w:trPr>
              <w:tc>
                <w:tcPr>
                  <w:tcW w:w="450" w:type="pct"/>
                  <w:vMerge w:val="continue"/>
                  <w:tcBorders>
                    <w:tl2br w:val="nil"/>
                    <w:tr2bl w:val="nil"/>
                  </w:tcBorders>
                  <w:noWrap w:val="0"/>
                  <w:vAlign w:val="center"/>
                </w:tcPr>
                <w:p w14:paraId="2838C85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p>
              </w:tc>
              <w:tc>
                <w:tcPr>
                  <w:tcW w:w="382" w:type="pct"/>
                  <w:vMerge w:val="restart"/>
                  <w:tcBorders>
                    <w:tl2br w:val="nil"/>
                    <w:tr2bl w:val="nil"/>
                  </w:tcBorders>
                  <w:noWrap w:val="0"/>
                  <w:vAlign w:val="center"/>
                </w:tcPr>
                <w:p w14:paraId="2559265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11"/>
                      <w:position w:val="0"/>
                      <w:szCs w:val="21"/>
                      <w:u w:val="none" w:color="auto"/>
                      <w:lang w:val="en-US" w:eastAsia="zh-CN"/>
                    </w:rPr>
                  </w:pPr>
                  <w:r>
                    <w:rPr>
                      <w:rFonts w:hint="eastAsia" w:cs="Times New Roman"/>
                      <w:color w:val="000000"/>
                      <w:spacing w:val="11"/>
                      <w:position w:val="0"/>
                      <w:szCs w:val="21"/>
                      <w:u w:val="none" w:color="auto"/>
                      <w:lang w:val="en-US" w:eastAsia="zh-CN"/>
                    </w:rPr>
                    <w:t>废气</w:t>
                  </w:r>
                </w:p>
              </w:tc>
              <w:tc>
                <w:tcPr>
                  <w:tcW w:w="1102" w:type="pct"/>
                  <w:tcBorders>
                    <w:tl2br w:val="nil"/>
                    <w:tr2bl w:val="nil"/>
                  </w:tcBorders>
                  <w:noWrap w:val="0"/>
                  <w:vAlign w:val="center"/>
                </w:tcPr>
                <w:p w14:paraId="5A982FE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开采区扬尘</w:t>
                  </w:r>
                </w:p>
              </w:tc>
              <w:tc>
                <w:tcPr>
                  <w:tcW w:w="2027" w:type="pct"/>
                  <w:tcBorders>
                    <w:tl2br w:val="nil"/>
                    <w:tr2bl w:val="nil"/>
                  </w:tcBorders>
                  <w:noWrap w:val="0"/>
                  <w:vAlign w:val="center"/>
                </w:tcPr>
                <w:p w14:paraId="2CDDEE8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11"/>
                      <w:position w:val="0"/>
                      <w:szCs w:val="21"/>
                      <w:u w:val="none" w:color="auto"/>
                      <w:lang w:val="en-US" w:eastAsia="zh-CN"/>
                    </w:rPr>
                  </w:pPr>
                  <w:r>
                    <w:rPr>
                      <w:rFonts w:hint="default" w:ascii="Times New Roman" w:hAnsi="Times New Roman" w:cs="Times New Roman"/>
                      <w:color w:val="000000"/>
                      <w:spacing w:val="11"/>
                      <w:position w:val="0"/>
                      <w:szCs w:val="21"/>
                      <w:u w:val="none" w:color="auto"/>
                    </w:rPr>
                    <w:t>防尘帷幕、炮雾机</w:t>
                  </w:r>
                  <w:r>
                    <w:rPr>
                      <w:rFonts w:hint="default" w:ascii="Times New Roman" w:hAnsi="Times New Roman" w:cs="Times New Roman"/>
                      <w:color w:val="000000"/>
                      <w:spacing w:val="11"/>
                      <w:position w:val="0"/>
                      <w:szCs w:val="21"/>
                      <w:u w:val="none" w:color="auto"/>
                      <w:lang w:eastAsia="zh-CN"/>
                    </w:rPr>
                    <w:t>、</w:t>
                  </w:r>
                  <w:r>
                    <w:rPr>
                      <w:rFonts w:hint="default" w:ascii="Times New Roman" w:hAnsi="Times New Roman" w:cs="Times New Roman"/>
                      <w:color w:val="000000"/>
                      <w:spacing w:val="11"/>
                      <w:position w:val="0"/>
                      <w:szCs w:val="21"/>
                      <w:u w:val="none" w:color="auto"/>
                      <w:lang w:val="en-US" w:eastAsia="zh-CN"/>
                    </w:rPr>
                    <w:t>洒水车</w:t>
                  </w:r>
                </w:p>
              </w:tc>
              <w:tc>
                <w:tcPr>
                  <w:tcW w:w="1037" w:type="pct"/>
                  <w:tcBorders>
                    <w:tl2br w:val="nil"/>
                    <w:tr2bl w:val="nil"/>
                  </w:tcBorders>
                  <w:noWrap w:val="0"/>
                  <w:vAlign w:val="center"/>
                </w:tcPr>
                <w:p w14:paraId="48E11DE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11"/>
                      <w:position w:val="0"/>
                      <w:szCs w:val="21"/>
                      <w:u w:val="none" w:color="auto"/>
                      <w:lang w:val="en-US" w:eastAsia="zh-CN"/>
                    </w:rPr>
                  </w:pPr>
                  <w:r>
                    <w:rPr>
                      <w:rFonts w:hint="default" w:ascii="Times New Roman" w:hAnsi="Times New Roman" w:cs="Times New Roman"/>
                      <w:color w:val="000000"/>
                      <w:spacing w:val="11"/>
                      <w:position w:val="0"/>
                      <w:szCs w:val="21"/>
                      <w:u w:val="none" w:color="auto"/>
                      <w:lang w:val="en-US" w:eastAsia="zh-CN"/>
                    </w:rPr>
                    <w:t>依托现有</w:t>
                  </w:r>
                </w:p>
              </w:tc>
            </w:tr>
            <w:tr w14:paraId="2E8BE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652" w:hRule="atLeast"/>
                <w:jc w:val="center"/>
              </w:trPr>
              <w:tc>
                <w:tcPr>
                  <w:tcW w:w="450" w:type="pct"/>
                  <w:vMerge w:val="continue"/>
                  <w:tcBorders>
                    <w:tl2br w:val="nil"/>
                    <w:tr2bl w:val="nil"/>
                  </w:tcBorders>
                  <w:noWrap w:val="0"/>
                  <w:vAlign w:val="center"/>
                </w:tcPr>
                <w:p w14:paraId="5FA956D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p>
              </w:tc>
              <w:tc>
                <w:tcPr>
                  <w:tcW w:w="382" w:type="pct"/>
                  <w:vMerge w:val="continue"/>
                  <w:tcBorders>
                    <w:tl2br w:val="nil"/>
                    <w:tr2bl w:val="nil"/>
                  </w:tcBorders>
                  <w:noWrap w:val="0"/>
                  <w:vAlign w:val="center"/>
                </w:tcPr>
                <w:p w14:paraId="69F9B53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p>
              </w:tc>
              <w:tc>
                <w:tcPr>
                  <w:tcW w:w="1102" w:type="pct"/>
                  <w:tcBorders>
                    <w:tl2br w:val="nil"/>
                    <w:tr2bl w:val="nil"/>
                  </w:tcBorders>
                  <w:noWrap w:val="0"/>
                  <w:vAlign w:val="center"/>
                </w:tcPr>
                <w:p w14:paraId="50FDAE8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道路扬尘</w:t>
                  </w:r>
                </w:p>
              </w:tc>
              <w:tc>
                <w:tcPr>
                  <w:tcW w:w="2027" w:type="pct"/>
                  <w:tcBorders>
                    <w:tl2br w:val="nil"/>
                    <w:tr2bl w:val="nil"/>
                  </w:tcBorders>
                  <w:noWrap w:val="0"/>
                  <w:vAlign w:val="center"/>
                </w:tcPr>
                <w:p w14:paraId="56AA638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11"/>
                      <w:position w:val="0"/>
                      <w:szCs w:val="21"/>
                      <w:u w:val="none" w:color="auto"/>
                      <w:lang w:val="en-US" w:eastAsia="zh-CN"/>
                    </w:rPr>
                  </w:pPr>
                  <w:r>
                    <w:rPr>
                      <w:rFonts w:hint="default" w:ascii="Times New Roman" w:hAnsi="Times New Roman" w:cs="Times New Roman"/>
                      <w:color w:val="000000"/>
                      <w:spacing w:val="11"/>
                      <w:position w:val="0"/>
                      <w:szCs w:val="21"/>
                      <w:u w:val="none" w:color="auto"/>
                    </w:rPr>
                    <w:t>地面硬化、洒水车</w:t>
                  </w:r>
                  <w:r>
                    <w:rPr>
                      <w:rFonts w:hint="eastAsia" w:cs="Times New Roman"/>
                      <w:color w:val="000000"/>
                      <w:spacing w:val="11"/>
                      <w:position w:val="0"/>
                      <w:szCs w:val="21"/>
                      <w:u w:val="none" w:color="auto"/>
                      <w:lang w:eastAsia="zh-CN"/>
                    </w:rPr>
                    <w:t>、</w:t>
                  </w:r>
                  <w:r>
                    <w:rPr>
                      <w:rFonts w:hint="eastAsia" w:cs="Times New Roman"/>
                      <w:color w:val="000000"/>
                      <w:spacing w:val="11"/>
                      <w:position w:val="0"/>
                      <w:szCs w:val="21"/>
                      <w:u w:val="none" w:color="auto"/>
                      <w:lang w:val="en-US" w:eastAsia="zh-CN"/>
                    </w:rPr>
                    <w:t>种植绿植</w:t>
                  </w:r>
                </w:p>
              </w:tc>
              <w:tc>
                <w:tcPr>
                  <w:tcW w:w="1037" w:type="pct"/>
                  <w:tcBorders>
                    <w:tl2br w:val="nil"/>
                    <w:tr2bl w:val="nil"/>
                  </w:tcBorders>
                  <w:noWrap w:val="0"/>
                  <w:vAlign w:val="center"/>
                </w:tcPr>
                <w:p w14:paraId="4636651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lang w:val="en-US"/>
                    </w:rPr>
                  </w:pPr>
                  <w:r>
                    <w:rPr>
                      <w:rFonts w:hint="eastAsia" w:cs="Times New Roman"/>
                      <w:color w:val="000000"/>
                      <w:spacing w:val="11"/>
                      <w:position w:val="0"/>
                      <w:szCs w:val="21"/>
                      <w:u w:val="none" w:color="auto"/>
                      <w:lang w:val="en-US" w:eastAsia="zh-CN"/>
                    </w:rPr>
                    <w:t>20</w:t>
                  </w:r>
                </w:p>
              </w:tc>
            </w:tr>
            <w:tr w14:paraId="74332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652" w:hRule="atLeast"/>
                <w:jc w:val="center"/>
              </w:trPr>
              <w:tc>
                <w:tcPr>
                  <w:tcW w:w="450" w:type="pct"/>
                  <w:vMerge w:val="continue"/>
                  <w:tcBorders>
                    <w:tl2br w:val="nil"/>
                    <w:tr2bl w:val="nil"/>
                  </w:tcBorders>
                  <w:noWrap w:val="0"/>
                  <w:vAlign w:val="center"/>
                </w:tcPr>
                <w:p w14:paraId="28CB1DE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p>
              </w:tc>
              <w:tc>
                <w:tcPr>
                  <w:tcW w:w="382" w:type="pct"/>
                  <w:vMerge w:val="continue"/>
                  <w:tcBorders>
                    <w:tl2br w:val="nil"/>
                    <w:tr2bl w:val="nil"/>
                  </w:tcBorders>
                  <w:noWrap w:val="0"/>
                  <w:vAlign w:val="center"/>
                </w:tcPr>
                <w:p w14:paraId="0975875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p>
              </w:tc>
              <w:tc>
                <w:tcPr>
                  <w:tcW w:w="1102" w:type="pct"/>
                  <w:tcBorders>
                    <w:tl2br w:val="nil"/>
                    <w:tr2bl w:val="nil"/>
                  </w:tcBorders>
                  <w:noWrap w:val="0"/>
                  <w:vAlign w:val="center"/>
                </w:tcPr>
                <w:p w14:paraId="4AD105F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11"/>
                      <w:position w:val="0"/>
                      <w:szCs w:val="21"/>
                      <w:u w:val="none" w:color="auto"/>
                      <w:lang w:val="en-US" w:eastAsia="zh-CN"/>
                    </w:rPr>
                  </w:pPr>
                  <w:r>
                    <w:rPr>
                      <w:rFonts w:hint="default" w:ascii="Times New Roman" w:hAnsi="Times New Roman" w:cs="Times New Roman"/>
                      <w:color w:val="000000"/>
                      <w:spacing w:val="11"/>
                      <w:position w:val="0"/>
                      <w:szCs w:val="21"/>
                      <w:u w:val="none" w:color="auto"/>
                      <w:lang w:val="en-US" w:eastAsia="zh-CN"/>
                    </w:rPr>
                    <w:t>破碎粉尘</w:t>
                  </w:r>
                </w:p>
              </w:tc>
              <w:tc>
                <w:tcPr>
                  <w:tcW w:w="2027" w:type="pct"/>
                  <w:tcBorders>
                    <w:tl2br w:val="nil"/>
                    <w:tr2bl w:val="nil"/>
                  </w:tcBorders>
                  <w:noWrap w:val="0"/>
                  <w:vAlign w:val="center"/>
                </w:tcPr>
                <w:p w14:paraId="2398468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11"/>
                      <w:position w:val="0"/>
                      <w:szCs w:val="21"/>
                      <w:u w:val="none" w:color="auto"/>
                      <w:lang w:val="en-US" w:eastAsia="zh-CN"/>
                    </w:rPr>
                  </w:pPr>
                  <w:r>
                    <w:rPr>
                      <w:rFonts w:hint="eastAsia" w:cs="Times New Roman"/>
                      <w:color w:val="000000"/>
                      <w:spacing w:val="11"/>
                      <w:position w:val="0"/>
                      <w:szCs w:val="21"/>
                      <w:u w:val="none" w:color="auto"/>
                      <w:lang w:val="en-US" w:eastAsia="zh-CN"/>
                    </w:rPr>
                    <w:t>三</w:t>
                  </w:r>
                  <w:r>
                    <w:rPr>
                      <w:rFonts w:hint="default" w:ascii="Times New Roman" w:hAnsi="Times New Roman" w:cs="Times New Roman"/>
                      <w:color w:val="000000"/>
                      <w:spacing w:val="11"/>
                      <w:position w:val="0"/>
                      <w:szCs w:val="21"/>
                      <w:u w:val="none" w:color="auto"/>
                      <w:lang w:val="en-US" w:eastAsia="zh-CN"/>
                    </w:rPr>
                    <w:t>台布袋除尘器+</w:t>
                  </w:r>
                  <w:r>
                    <w:rPr>
                      <w:rFonts w:hint="eastAsia" w:cs="Times New Roman"/>
                      <w:color w:val="000000"/>
                      <w:spacing w:val="11"/>
                      <w:position w:val="0"/>
                      <w:szCs w:val="21"/>
                      <w:u w:val="none" w:color="auto"/>
                      <w:lang w:val="en-US" w:eastAsia="zh-CN"/>
                    </w:rPr>
                    <w:t>三</w:t>
                  </w:r>
                  <w:r>
                    <w:rPr>
                      <w:rFonts w:hint="default" w:ascii="Times New Roman" w:hAnsi="Times New Roman" w:cs="Times New Roman"/>
                      <w:color w:val="000000"/>
                      <w:spacing w:val="11"/>
                      <w:position w:val="0"/>
                      <w:szCs w:val="21"/>
                      <w:u w:val="none" w:color="auto"/>
                      <w:lang w:val="en-US" w:eastAsia="zh-CN"/>
                    </w:rPr>
                    <w:t>根排气筒</w:t>
                  </w:r>
                </w:p>
              </w:tc>
              <w:tc>
                <w:tcPr>
                  <w:tcW w:w="1037" w:type="pct"/>
                  <w:tcBorders>
                    <w:tl2br w:val="nil"/>
                    <w:tr2bl w:val="nil"/>
                  </w:tcBorders>
                  <w:noWrap w:val="0"/>
                  <w:vAlign w:val="center"/>
                </w:tcPr>
                <w:p w14:paraId="24FC7A1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lang w:val="en-US" w:eastAsia="zh-CN"/>
                    </w:rPr>
                  </w:pPr>
                  <w:r>
                    <w:rPr>
                      <w:rFonts w:hint="eastAsia" w:cs="Times New Roman"/>
                      <w:color w:val="000000"/>
                      <w:spacing w:val="11"/>
                      <w:position w:val="0"/>
                      <w:szCs w:val="21"/>
                      <w:u w:val="none" w:color="auto"/>
                      <w:lang w:val="en-US" w:eastAsia="zh-CN"/>
                    </w:rPr>
                    <w:t>30</w:t>
                  </w:r>
                </w:p>
              </w:tc>
            </w:tr>
            <w:tr w14:paraId="70813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652" w:hRule="atLeast"/>
                <w:jc w:val="center"/>
              </w:trPr>
              <w:tc>
                <w:tcPr>
                  <w:tcW w:w="450" w:type="pct"/>
                  <w:vMerge w:val="continue"/>
                  <w:tcBorders>
                    <w:tl2br w:val="nil"/>
                    <w:tr2bl w:val="nil"/>
                  </w:tcBorders>
                  <w:noWrap w:val="0"/>
                  <w:vAlign w:val="center"/>
                </w:tcPr>
                <w:p w14:paraId="3BF0692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p>
              </w:tc>
              <w:tc>
                <w:tcPr>
                  <w:tcW w:w="382" w:type="pct"/>
                  <w:vMerge w:val="continue"/>
                  <w:tcBorders>
                    <w:tl2br w:val="nil"/>
                    <w:tr2bl w:val="nil"/>
                  </w:tcBorders>
                  <w:noWrap w:val="0"/>
                  <w:vAlign w:val="center"/>
                </w:tcPr>
                <w:p w14:paraId="057D316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p>
              </w:tc>
              <w:tc>
                <w:tcPr>
                  <w:tcW w:w="1102" w:type="pct"/>
                  <w:tcBorders>
                    <w:tl2br w:val="nil"/>
                    <w:tr2bl w:val="nil"/>
                  </w:tcBorders>
                  <w:noWrap w:val="0"/>
                  <w:vAlign w:val="center"/>
                </w:tcPr>
                <w:p w14:paraId="7321D8E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lang w:val="en-US" w:eastAsia="zh-CN"/>
                    </w:rPr>
                  </w:pPr>
                  <w:r>
                    <w:rPr>
                      <w:rFonts w:hint="eastAsia" w:cs="Times New Roman"/>
                      <w:color w:val="000000"/>
                      <w:spacing w:val="11"/>
                      <w:position w:val="0"/>
                      <w:szCs w:val="21"/>
                      <w:u w:val="none" w:color="auto"/>
                      <w:lang w:val="en-US" w:eastAsia="zh-CN"/>
                    </w:rPr>
                    <w:t>食堂油烟</w:t>
                  </w:r>
                </w:p>
              </w:tc>
              <w:tc>
                <w:tcPr>
                  <w:tcW w:w="2027" w:type="pct"/>
                  <w:tcBorders>
                    <w:tl2br w:val="nil"/>
                    <w:tr2bl w:val="nil"/>
                  </w:tcBorders>
                  <w:noWrap w:val="0"/>
                  <w:vAlign w:val="center"/>
                </w:tcPr>
                <w:p w14:paraId="344234A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lang w:val="en-US" w:eastAsia="zh-CN"/>
                    </w:rPr>
                  </w:pPr>
                  <w:r>
                    <w:rPr>
                      <w:rFonts w:hint="eastAsia" w:cs="Times New Roman"/>
                      <w:color w:val="000000"/>
                      <w:spacing w:val="11"/>
                      <w:position w:val="0"/>
                      <w:szCs w:val="21"/>
                      <w:u w:val="none" w:color="auto"/>
                      <w:lang w:val="en-US" w:eastAsia="zh-CN"/>
                    </w:rPr>
                    <w:t>油烟分离设备+排烟管道</w:t>
                  </w:r>
                </w:p>
              </w:tc>
              <w:tc>
                <w:tcPr>
                  <w:tcW w:w="1037" w:type="pct"/>
                  <w:tcBorders>
                    <w:tl2br w:val="nil"/>
                    <w:tr2bl w:val="nil"/>
                  </w:tcBorders>
                  <w:noWrap w:val="0"/>
                  <w:vAlign w:val="center"/>
                </w:tcPr>
                <w:p w14:paraId="4011608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color w:val="000000"/>
                      <w:spacing w:val="11"/>
                      <w:position w:val="0"/>
                      <w:szCs w:val="21"/>
                      <w:u w:val="none" w:color="auto"/>
                      <w:lang w:val="en-US" w:eastAsia="zh-CN"/>
                    </w:rPr>
                  </w:pPr>
                  <w:r>
                    <w:rPr>
                      <w:rFonts w:hint="eastAsia" w:cs="Times New Roman"/>
                      <w:color w:val="000000"/>
                      <w:spacing w:val="11"/>
                      <w:position w:val="0"/>
                      <w:szCs w:val="21"/>
                      <w:u w:val="none" w:color="auto"/>
                      <w:lang w:val="en-US" w:eastAsia="zh-CN"/>
                    </w:rPr>
                    <w:t>1</w:t>
                  </w:r>
                </w:p>
              </w:tc>
            </w:tr>
            <w:tr w14:paraId="078AC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637" w:hRule="atLeast"/>
                <w:jc w:val="center"/>
              </w:trPr>
              <w:tc>
                <w:tcPr>
                  <w:tcW w:w="450" w:type="pct"/>
                  <w:vMerge w:val="continue"/>
                  <w:tcBorders>
                    <w:tl2br w:val="nil"/>
                    <w:tr2bl w:val="nil"/>
                  </w:tcBorders>
                  <w:noWrap w:val="0"/>
                  <w:vAlign w:val="center"/>
                </w:tcPr>
                <w:p w14:paraId="299E879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p>
              </w:tc>
              <w:tc>
                <w:tcPr>
                  <w:tcW w:w="382" w:type="pct"/>
                  <w:tcBorders>
                    <w:tl2br w:val="nil"/>
                    <w:tr2bl w:val="nil"/>
                  </w:tcBorders>
                  <w:noWrap w:val="0"/>
                  <w:vAlign w:val="center"/>
                </w:tcPr>
                <w:p w14:paraId="0D9600B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噪声</w:t>
                  </w:r>
                </w:p>
              </w:tc>
              <w:tc>
                <w:tcPr>
                  <w:tcW w:w="1102" w:type="pct"/>
                  <w:tcBorders>
                    <w:tl2br w:val="nil"/>
                    <w:tr2bl w:val="nil"/>
                  </w:tcBorders>
                  <w:noWrap w:val="0"/>
                  <w:vAlign w:val="center"/>
                </w:tcPr>
                <w:p w14:paraId="3726F6A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设备噪声</w:t>
                  </w:r>
                </w:p>
              </w:tc>
              <w:tc>
                <w:tcPr>
                  <w:tcW w:w="2027" w:type="pct"/>
                  <w:tcBorders>
                    <w:tl2br w:val="nil"/>
                    <w:tr2bl w:val="nil"/>
                  </w:tcBorders>
                  <w:noWrap w:val="0"/>
                  <w:vAlign w:val="center"/>
                </w:tcPr>
                <w:p w14:paraId="759E5B3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选择低噪设备、基础减振、厂房隔声、风机口安装消声器</w:t>
                  </w:r>
                </w:p>
              </w:tc>
              <w:tc>
                <w:tcPr>
                  <w:tcW w:w="1037" w:type="pct"/>
                  <w:tcBorders>
                    <w:tl2br w:val="nil"/>
                    <w:tr2bl w:val="nil"/>
                  </w:tcBorders>
                  <w:noWrap w:val="0"/>
                  <w:vAlign w:val="center"/>
                </w:tcPr>
                <w:p w14:paraId="3C5AE07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11"/>
                      <w:position w:val="0"/>
                      <w:szCs w:val="21"/>
                      <w:u w:val="none" w:color="auto"/>
                      <w:lang w:val="en-US" w:eastAsia="zh-CN"/>
                    </w:rPr>
                  </w:pPr>
                  <w:r>
                    <w:rPr>
                      <w:rFonts w:hint="default" w:ascii="Times New Roman" w:hAnsi="Times New Roman" w:cs="Times New Roman"/>
                      <w:color w:val="000000"/>
                      <w:spacing w:val="11"/>
                      <w:position w:val="0"/>
                      <w:szCs w:val="21"/>
                      <w:u w:val="none" w:color="auto"/>
                      <w:lang w:val="en-US" w:eastAsia="zh-CN"/>
                    </w:rPr>
                    <w:t>40</w:t>
                  </w:r>
                </w:p>
              </w:tc>
            </w:tr>
            <w:tr w14:paraId="2E8235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10" w:hRule="atLeast"/>
                <w:jc w:val="center"/>
              </w:trPr>
              <w:tc>
                <w:tcPr>
                  <w:tcW w:w="450" w:type="pct"/>
                  <w:vMerge w:val="continue"/>
                  <w:tcBorders>
                    <w:tl2br w:val="nil"/>
                    <w:tr2bl w:val="nil"/>
                  </w:tcBorders>
                  <w:noWrap w:val="0"/>
                  <w:vAlign w:val="center"/>
                </w:tcPr>
                <w:p w14:paraId="133FEDC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p>
              </w:tc>
              <w:tc>
                <w:tcPr>
                  <w:tcW w:w="382" w:type="pct"/>
                  <w:vMerge w:val="restart"/>
                  <w:tcBorders>
                    <w:tl2br w:val="nil"/>
                    <w:tr2bl w:val="nil"/>
                  </w:tcBorders>
                  <w:noWrap w:val="0"/>
                  <w:vAlign w:val="center"/>
                </w:tcPr>
                <w:p w14:paraId="6936F20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固废</w:t>
                  </w:r>
                </w:p>
              </w:tc>
              <w:tc>
                <w:tcPr>
                  <w:tcW w:w="1102" w:type="pct"/>
                  <w:tcBorders>
                    <w:tl2br w:val="nil"/>
                    <w:tr2bl w:val="nil"/>
                  </w:tcBorders>
                  <w:noWrap w:val="0"/>
                  <w:vAlign w:val="center"/>
                </w:tcPr>
                <w:p w14:paraId="7571A55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剥离表土</w:t>
                  </w:r>
                </w:p>
              </w:tc>
              <w:tc>
                <w:tcPr>
                  <w:tcW w:w="2027" w:type="pct"/>
                  <w:tcBorders>
                    <w:tl2br w:val="nil"/>
                    <w:tr2bl w:val="nil"/>
                  </w:tcBorders>
                  <w:noWrap w:val="0"/>
                  <w:vAlign w:val="center"/>
                </w:tcPr>
                <w:p w14:paraId="630123A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highlight w:val="yellow"/>
                      <w:u w:val="none" w:color="auto"/>
                    </w:rPr>
                  </w:pPr>
                  <w:r>
                    <w:rPr>
                      <w:rFonts w:hint="default" w:ascii="Times New Roman" w:hAnsi="Times New Roman" w:eastAsia="宋体" w:cs="Times New Roman"/>
                      <w:color w:val="000000"/>
                      <w:spacing w:val="11"/>
                      <w:position w:val="0"/>
                      <w:szCs w:val="21"/>
                      <w:u w:val="none" w:color="auto"/>
                      <w:lang w:eastAsia="zh-CN"/>
                    </w:rPr>
                    <w:t>绿化、复垦</w:t>
                  </w:r>
                </w:p>
              </w:tc>
              <w:tc>
                <w:tcPr>
                  <w:tcW w:w="1037" w:type="pct"/>
                  <w:tcBorders>
                    <w:tl2br w:val="nil"/>
                    <w:tr2bl w:val="nil"/>
                  </w:tcBorders>
                  <w:noWrap w:val="0"/>
                  <w:vAlign w:val="center"/>
                </w:tcPr>
                <w:p w14:paraId="5459FE6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11"/>
                      <w:position w:val="0"/>
                      <w:szCs w:val="21"/>
                      <w:u w:val="none" w:color="auto"/>
                      <w:lang w:eastAsia="zh-CN"/>
                    </w:rPr>
                  </w:pPr>
                  <w:r>
                    <w:rPr>
                      <w:rFonts w:hint="default" w:ascii="Times New Roman" w:hAnsi="Times New Roman" w:cs="Times New Roman"/>
                      <w:color w:val="000000"/>
                      <w:spacing w:val="11"/>
                      <w:position w:val="0"/>
                      <w:szCs w:val="21"/>
                      <w:u w:val="none" w:color="auto"/>
                      <w:lang w:val="en-US" w:eastAsia="zh-CN"/>
                    </w:rPr>
                    <w:t>3</w:t>
                  </w:r>
                </w:p>
              </w:tc>
            </w:tr>
            <w:tr w14:paraId="787B3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23" w:hRule="atLeast"/>
                <w:jc w:val="center"/>
              </w:trPr>
              <w:tc>
                <w:tcPr>
                  <w:tcW w:w="450" w:type="pct"/>
                  <w:vMerge w:val="continue"/>
                  <w:tcBorders>
                    <w:tl2br w:val="nil"/>
                    <w:tr2bl w:val="nil"/>
                  </w:tcBorders>
                  <w:noWrap w:val="0"/>
                  <w:vAlign w:val="center"/>
                </w:tcPr>
                <w:p w14:paraId="79469F1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pacing w:val="11"/>
                      <w:position w:val="0"/>
                      <w:szCs w:val="21"/>
                      <w:u w:val="none" w:color="auto"/>
                    </w:rPr>
                  </w:pPr>
                </w:p>
              </w:tc>
              <w:tc>
                <w:tcPr>
                  <w:tcW w:w="382" w:type="pct"/>
                  <w:vMerge w:val="continue"/>
                  <w:tcBorders>
                    <w:tl2br w:val="nil"/>
                    <w:tr2bl w:val="nil"/>
                  </w:tcBorders>
                  <w:noWrap w:val="0"/>
                  <w:vAlign w:val="center"/>
                </w:tcPr>
                <w:p w14:paraId="4AB86F7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pacing w:val="11"/>
                      <w:position w:val="0"/>
                      <w:szCs w:val="21"/>
                      <w:u w:val="none" w:color="auto"/>
                    </w:rPr>
                  </w:pPr>
                </w:p>
              </w:tc>
              <w:tc>
                <w:tcPr>
                  <w:tcW w:w="1102" w:type="pct"/>
                  <w:tcBorders>
                    <w:tl2br w:val="nil"/>
                    <w:tr2bl w:val="nil"/>
                  </w:tcBorders>
                  <w:noWrap w:val="0"/>
                  <w:vAlign w:val="center"/>
                </w:tcPr>
                <w:p w14:paraId="05095AC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沉淀池沉渣</w:t>
                  </w:r>
                </w:p>
              </w:tc>
              <w:tc>
                <w:tcPr>
                  <w:tcW w:w="2027" w:type="pct"/>
                  <w:tcBorders>
                    <w:tl2br w:val="nil"/>
                    <w:tr2bl w:val="nil"/>
                  </w:tcBorders>
                  <w:noWrap w:val="0"/>
                  <w:vAlign w:val="center"/>
                </w:tcPr>
                <w:p w14:paraId="4D43C9B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自然晾干后回填矿山采空区</w:t>
                  </w:r>
                </w:p>
              </w:tc>
              <w:tc>
                <w:tcPr>
                  <w:tcW w:w="1037" w:type="pct"/>
                  <w:tcBorders>
                    <w:tl2br w:val="nil"/>
                    <w:tr2bl w:val="nil"/>
                  </w:tcBorders>
                  <w:noWrap w:val="0"/>
                  <w:vAlign w:val="center"/>
                </w:tcPr>
                <w:p w14:paraId="0C5C599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11"/>
                      <w:position w:val="0"/>
                      <w:szCs w:val="21"/>
                      <w:u w:val="none" w:color="auto"/>
                      <w:lang w:eastAsia="zh-CN"/>
                    </w:rPr>
                  </w:pPr>
                  <w:r>
                    <w:rPr>
                      <w:rFonts w:hint="eastAsia" w:cs="Times New Roman"/>
                      <w:color w:val="000000"/>
                      <w:spacing w:val="11"/>
                      <w:position w:val="0"/>
                      <w:szCs w:val="21"/>
                      <w:u w:val="none" w:color="auto"/>
                      <w:lang w:val="en-US" w:eastAsia="zh-CN"/>
                    </w:rPr>
                    <w:t>/</w:t>
                  </w:r>
                </w:p>
              </w:tc>
            </w:tr>
            <w:tr w14:paraId="79F72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637" w:hRule="atLeast"/>
                <w:jc w:val="center"/>
              </w:trPr>
              <w:tc>
                <w:tcPr>
                  <w:tcW w:w="450" w:type="pct"/>
                  <w:vMerge w:val="continue"/>
                  <w:tcBorders>
                    <w:tl2br w:val="nil"/>
                    <w:tr2bl w:val="nil"/>
                  </w:tcBorders>
                  <w:noWrap w:val="0"/>
                  <w:vAlign w:val="center"/>
                </w:tcPr>
                <w:p w14:paraId="52C8F87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pacing w:val="11"/>
                      <w:position w:val="0"/>
                      <w:szCs w:val="21"/>
                      <w:u w:val="none" w:color="auto"/>
                    </w:rPr>
                  </w:pPr>
                </w:p>
              </w:tc>
              <w:tc>
                <w:tcPr>
                  <w:tcW w:w="382" w:type="pct"/>
                  <w:vMerge w:val="continue"/>
                  <w:tcBorders>
                    <w:tl2br w:val="nil"/>
                    <w:tr2bl w:val="nil"/>
                  </w:tcBorders>
                  <w:noWrap w:val="0"/>
                  <w:vAlign w:val="center"/>
                </w:tcPr>
                <w:p w14:paraId="4257474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pacing w:val="11"/>
                      <w:position w:val="0"/>
                      <w:szCs w:val="21"/>
                      <w:u w:val="none" w:color="auto"/>
                    </w:rPr>
                  </w:pPr>
                </w:p>
              </w:tc>
              <w:tc>
                <w:tcPr>
                  <w:tcW w:w="1102" w:type="pct"/>
                  <w:tcBorders>
                    <w:tl2br w:val="nil"/>
                    <w:tr2bl w:val="nil"/>
                  </w:tcBorders>
                  <w:noWrap w:val="0"/>
                  <w:vAlign w:val="center"/>
                </w:tcPr>
                <w:p w14:paraId="19D5A86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废润滑油</w:t>
                  </w:r>
                </w:p>
              </w:tc>
              <w:tc>
                <w:tcPr>
                  <w:tcW w:w="2027" w:type="pct"/>
                  <w:tcBorders>
                    <w:tl2br w:val="nil"/>
                    <w:tr2bl w:val="nil"/>
                  </w:tcBorders>
                  <w:noWrap w:val="0"/>
                  <w:vAlign w:val="center"/>
                </w:tcPr>
                <w:p w14:paraId="426272D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危废暂存间</w:t>
                  </w:r>
                  <w:r>
                    <w:rPr>
                      <w:rFonts w:hint="eastAsia" w:cs="Times New Roman"/>
                      <w:color w:val="000000"/>
                      <w:spacing w:val="11"/>
                      <w:position w:val="0"/>
                      <w:szCs w:val="21"/>
                      <w:u w:val="none" w:color="auto"/>
                      <w:lang w:eastAsia="zh-CN"/>
                    </w:rPr>
                    <w:t>（</w:t>
                  </w:r>
                  <w:r>
                    <w:rPr>
                      <w:rFonts w:hint="eastAsia" w:cs="Times New Roman"/>
                      <w:color w:val="000000"/>
                      <w:spacing w:val="11"/>
                      <w:position w:val="0"/>
                      <w:szCs w:val="21"/>
                      <w:u w:val="none" w:color="auto"/>
                      <w:lang w:val="en-US" w:eastAsia="zh-CN"/>
                    </w:rPr>
                    <w:t>5m</w:t>
                  </w:r>
                  <w:r>
                    <w:rPr>
                      <w:rFonts w:hint="eastAsia" w:cs="Times New Roman"/>
                      <w:color w:val="000000"/>
                      <w:spacing w:val="11"/>
                      <w:position w:val="0"/>
                      <w:szCs w:val="21"/>
                      <w:u w:val="none" w:color="auto"/>
                      <w:vertAlign w:val="superscript"/>
                      <w:lang w:val="en-US" w:eastAsia="zh-CN"/>
                    </w:rPr>
                    <w:t>2</w:t>
                  </w:r>
                  <w:r>
                    <w:rPr>
                      <w:rFonts w:hint="eastAsia" w:cs="Times New Roman"/>
                      <w:color w:val="000000"/>
                      <w:spacing w:val="11"/>
                      <w:position w:val="0"/>
                      <w:szCs w:val="21"/>
                      <w:u w:val="none" w:color="auto"/>
                      <w:lang w:eastAsia="zh-CN"/>
                    </w:rPr>
                    <w:t>）</w:t>
                  </w:r>
                  <w:r>
                    <w:rPr>
                      <w:rFonts w:hint="default" w:ascii="Times New Roman" w:hAnsi="Times New Roman" w:cs="Times New Roman"/>
                      <w:color w:val="000000"/>
                      <w:spacing w:val="11"/>
                      <w:position w:val="0"/>
                      <w:szCs w:val="21"/>
                      <w:u w:val="none" w:color="auto"/>
                    </w:rPr>
                    <w:t>，设置专门容器储存，定期交由有资质单位转运处置</w:t>
                  </w:r>
                </w:p>
              </w:tc>
              <w:tc>
                <w:tcPr>
                  <w:tcW w:w="1037" w:type="pct"/>
                  <w:tcBorders>
                    <w:tl2br w:val="nil"/>
                    <w:tr2bl w:val="nil"/>
                  </w:tcBorders>
                  <w:noWrap w:val="0"/>
                  <w:vAlign w:val="center"/>
                </w:tcPr>
                <w:p w14:paraId="2609F9D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11"/>
                      <w:position w:val="0"/>
                      <w:szCs w:val="21"/>
                      <w:u w:val="none" w:color="auto"/>
                      <w:lang w:val="en-GB" w:eastAsia="zh-CN"/>
                    </w:rPr>
                  </w:pPr>
                  <w:r>
                    <w:rPr>
                      <w:rFonts w:hint="default" w:ascii="Times New Roman" w:hAnsi="Times New Roman" w:cs="Times New Roman"/>
                      <w:color w:val="000000"/>
                      <w:spacing w:val="11"/>
                      <w:position w:val="0"/>
                      <w:szCs w:val="21"/>
                      <w:u w:val="none" w:color="auto"/>
                      <w:lang w:val="en-US" w:eastAsia="zh-CN"/>
                    </w:rPr>
                    <w:t>8</w:t>
                  </w:r>
                </w:p>
              </w:tc>
            </w:tr>
            <w:tr w14:paraId="4DA46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18" w:hRule="atLeast"/>
                <w:jc w:val="center"/>
              </w:trPr>
              <w:tc>
                <w:tcPr>
                  <w:tcW w:w="450" w:type="pct"/>
                  <w:vMerge w:val="continue"/>
                  <w:tcBorders>
                    <w:tl2br w:val="nil"/>
                    <w:tr2bl w:val="nil"/>
                  </w:tcBorders>
                  <w:noWrap w:val="0"/>
                  <w:vAlign w:val="center"/>
                </w:tcPr>
                <w:p w14:paraId="73F1714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pacing w:val="11"/>
                      <w:position w:val="0"/>
                      <w:szCs w:val="21"/>
                      <w:u w:val="none" w:color="auto"/>
                    </w:rPr>
                  </w:pPr>
                </w:p>
              </w:tc>
              <w:tc>
                <w:tcPr>
                  <w:tcW w:w="382" w:type="pct"/>
                  <w:vMerge w:val="continue"/>
                  <w:tcBorders>
                    <w:tl2br w:val="nil"/>
                    <w:tr2bl w:val="nil"/>
                  </w:tcBorders>
                  <w:noWrap w:val="0"/>
                  <w:vAlign w:val="center"/>
                </w:tcPr>
                <w:p w14:paraId="52C8421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pacing w:val="11"/>
                      <w:position w:val="0"/>
                      <w:szCs w:val="21"/>
                      <w:u w:val="none" w:color="auto"/>
                    </w:rPr>
                  </w:pPr>
                </w:p>
              </w:tc>
              <w:tc>
                <w:tcPr>
                  <w:tcW w:w="1102" w:type="pct"/>
                  <w:tcBorders>
                    <w:tl2br w:val="nil"/>
                    <w:tr2bl w:val="nil"/>
                  </w:tcBorders>
                  <w:noWrap w:val="0"/>
                  <w:vAlign w:val="center"/>
                </w:tcPr>
                <w:p w14:paraId="3EE936E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生活垃圾</w:t>
                  </w:r>
                </w:p>
              </w:tc>
              <w:tc>
                <w:tcPr>
                  <w:tcW w:w="2027" w:type="pct"/>
                  <w:tcBorders>
                    <w:tl2br w:val="nil"/>
                    <w:tr2bl w:val="nil"/>
                  </w:tcBorders>
                  <w:noWrap w:val="0"/>
                  <w:vAlign w:val="center"/>
                </w:tcPr>
                <w:p w14:paraId="576EC67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垃圾桶收集，交由环卫部门统一处置</w:t>
                  </w:r>
                </w:p>
              </w:tc>
              <w:tc>
                <w:tcPr>
                  <w:tcW w:w="1037" w:type="pct"/>
                  <w:tcBorders>
                    <w:tl2br w:val="nil"/>
                    <w:tr2bl w:val="nil"/>
                  </w:tcBorders>
                  <w:noWrap w:val="0"/>
                  <w:vAlign w:val="center"/>
                </w:tcPr>
                <w:p w14:paraId="4B388F0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11"/>
                      <w:position w:val="0"/>
                      <w:szCs w:val="21"/>
                      <w:u w:val="none" w:color="auto"/>
                      <w:lang w:val="en-GB" w:eastAsia="zh-CN"/>
                    </w:rPr>
                  </w:pPr>
                  <w:r>
                    <w:rPr>
                      <w:rFonts w:hint="eastAsia" w:cs="Times New Roman"/>
                      <w:color w:val="000000"/>
                      <w:spacing w:val="11"/>
                      <w:position w:val="0"/>
                      <w:szCs w:val="21"/>
                      <w:u w:val="none" w:color="auto"/>
                      <w:lang w:val="en-US" w:eastAsia="zh-CN"/>
                    </w:rPr>
                    <w:t>/</w:t>
                  </w:r>
                </w:p>
              </w:tc>
            </w:tr>
            <w:tr w14:paraId="64D5B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969" w:hRule="atLeast"/>
                <w:jc w:val="center"/>
              </w:trPr>
              <w:tc>
                <w:tcPr>
                  <w:tcW w:w="450" w:type="pct"/>
                  <w:vMerge w:val="continue"/>
                  <w:tcBorders>
                    <w:tl2br w:val="nil"/>
                    <w:tr2bl w:val="nil"/>
                  </w:tcBorders>
                  <w:noWrap w:val="0"/>
                  <w:vAlign w:val="center"/>
                </w:tcPr>
                <w:p w14:paraId="0080FB5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pacing w:val="11"/>
                      <w:position w:val="0"/>
                      <w:szCs w:val="21"/>
                      <w:u w:val="none" w:color="auto"/>
                    </w:rPr>
                  </w:pPr>
                </w:p>
              </w:tc>
              <w:tc>
                <w:tcPr>
                  <w:tcW w:w="382" w:type="pct"/>
                  <w:vMerge w:val="restart"/>
                  <w:tcBorders>
                    <w:tl2br w:val="nil"/>
                    <w:tr2bl w:val="nil"/>
                  </w:tcBorders>
                  <w:noWrap w:val="0"/>
                  <w:vAlign w:val="center"/>
                </w:tcPr>
                <w:p w14:paraId="1D14995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pacing w:val="11"/>
                      <w:position w:val="0"/>
                      <w:szCs w:val="21"/>
                      <w:u w:val="none" w:color="auto"/>
                    </w:rPr>
                  </w:pPr>
                  <w:r>
                    <w:rPr>
                      <w:rFonts w:hint="default" w:ascii="Times New Roman" w:hAnsi="Times New Roman" w:cs="Times New Roman"/>
                      <w:spacing w:val="11"/>
                      <w:position w:val="0"/>
                      <w:szCs w:val="21"/>
                      <w:u w:val="none" w:color="auto"/>
                    </w:rPr>
                    <w:t>生态治理与恢复</w:t>
                  </w:r>
                </w:p>
              </w:tc>
              <w:tc>
                <w:tcPr>
                  <w:tcW w:w="1102" w:type="pct"/>
                  <w:tcBorders>
                    <w:tl2br w:val="nil"/>
                    <w:tr2bl w:val="nil"/>
                  </w:tcBorders>
                  <w:noWrap w:val="0"/>
                  <w:vAlign w:val="center"/>
                </w:tcPr>
                <w:p w14:paraId="7C4413B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采矿区</w:t>
                  </w:r>
                </w:p>
              </w:tc>
              <w:tc>
                <w:tcPr>
                  <w:tcW w:w="2027" w:type="pct"/>
                  <w:tcBorders>
                    <w:tl2br w:val="nil"/>
                    <w:tr2bl w:val="nil"/>
                  </w:tcBorders>
                  <w:noWrap w:val="0"/>
                  <w:vAlign w:val="center"/>
                </w:tcPr>
                <w:p w14:paraId="15AB6EE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u w:val="none" w:color="auto"/>
                    </w:rPr>
                    <w:t>边开采边复垦复绿；矿山服务期满后复垦以及种植乔、灌木绿化，恢复为林地，采矿区边界设置截排水沟，</w:t>
                  </w:r>
                  <w:r>
                    <w:rPr>
                      <w:rFonts w:hint="default" w:ascii="Times New Roman" w:hAnsi="Times New Roman" w:cs="Times New Roman"/>
                      <w:color w:val="000000"/>
                      <w:spacing w:val="11"/>
                      <w:kern w:val="0"/>
                      <w:position w:val="0"/>
                      <w:szCs w:val="21"/>
                      <w:u w:val="none" w:color="auto"/>
                    </w:rPr>
                    <w:t>护坡</w:t>
                  </w:r>
                </w:p>
              </w:tc>
              <w:tc>
                <w:tcPr>
                  <w:tcW w:w="1037" w:type="pct"/>
                  <w:vMerge w:val="restart"/>
                  <w:tcBorders>
                    <w:tl2br w:val="nil"/>
                    <w:tr2bl w:val="nil"/>
                  </w:tcBorders>
                  <w:noWrap w:val="0"/>
                  <w:vAlign w:val="center"/>
                </w:tcPr>
                <w:p w14:paraId="4F1859F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lang w:val="en-US"/>
                    </w:rPr>
                  </w:pPr>
                  <w:r>
                    <w:rPr>
                      <w:rFonts w:hint="eastAsia" w:cs="Times New Roman"/>
                      <w:color w:val="000000"/>
                      <w:spacing w:val="11"/>
                      <w:position w:val="0"/>
                      <w:szCs w:val="21"/>
                      <w:u w:val="none" w:color="auto"/>
                      <w:lang w:val="en-US" w:eastAsia="zh-CN"/>
                    </w:rPr>
                    <w:t>443.4</w:t>
                  </w:r>
                </w:p>
              </w:tc>
            </w:tr>
            <w:tr w14:paraId="2F9143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29" w:hRule="atLeast"/>
                <w:jc w:val="center"/>
              </w:trPr>
              <w:tc>
                <w:tcPr>
                  <w:tcW w:w="450" w:type="pct"/>
                  <w:vMerge w:val="continue"/>
                  <w:tcBorders>
                    <w:tl2br w:val="nil"/>
                    <w:tr2bl w:val="nil"/>
                  </w:tcBorders>
                  <w:noWrap w:val="0"/>
                  <w:vAlign w:val="center"/>
                </w:tcPr>
                <w:p w14:paraId="6C1B0D3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pacing w:val="11"/>
                      <w:position w:val="0"/>
                      <w:szCs w:val="21"/>
                      <w:u w:val="none" w:color="auto"/>
                    </w:rPr>
                  </w:pPr>
                </w:p>
              </w:tc>
              <w:tc>
                <w:tcPr>
                  <w:tcW w:w="382" w:type="pct"/>
                  <w:vMerge w:val="continue"/>
                  <w:tcBorders>
                    <w:tl2br w:val="nil"/>
                    <w:tr2bl w:val="nil"/>
                  </w:tcBorders>
                  <w:noWrap w:val="0"/>
                  <w:vAlign w:val="center"/>
                </w:tcPr>
                <w:p w14:paraId="3AF809F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pacing w:val="11"/>
                      <w:position w:val="0"/>
                      <w:szCs w:val="21"/>
                      <w:u w:val="none" w:color="auto"/>
                    </w:rPr>
                  </w:pPr>
                </w:p>
              </w:tc>
              <w:tc>
                <w:tcPr>
                  <w:tcW w:w="1102" w:type="pct"/>
                  <w:tcBorders>
                    <w:tl2br w:val="nil"/>
                    <w:tr2bl w:val="nil"/>
                  </w:tcBorders>
                  <w:noWrap w:val="0"/>
                  <w:vAlign w:val="center"/>
                </w:tcPr>
                <w:p w14:paraId="0AF5E81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矿山道路</w:t>
                  </w:r>
                </w:p>
              </w:tc>
              <w:tc>
                <w:tcPr>
                  <w:tcW w:w="2027" w:type="pct"/>
                  <w:tcBorders>
                    <w:tl2br w:val="nil"/>
                    <w:tr2bl w:val="nil"/>
                  </w:tcBorders>
                  <w:noWrap w:val="0"/>
                  <w:vAlign w:val="center"/>
                </w:tcPr>
                <w:p w14:paraId="2044AA0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kern w:val="0"/>
                      <w:position w:val="0"/>
                      <w:szCs w:val="21"/>
                      <w:u w:val="none" w:color="auto"/>
                    </w:rPr>
                  </w:pPr>
                  <w:r>
                    <w:rPr>
                      <w:rFonts w:hint="default" w:ascii="Times New Roman" w:hAnsi="Times New Roman" w:cs="Times New Roman"/>
                      <w:color w:val="000000"/>
                      <w:spacing w:val="11"/>
                      <w:kern w:val="0"/>
                      <w:position w:val="0"/>
                      <w:szCs w:val="21"/>
                      <w:u w:val="none" w:color="auto"/>
                    </w:rPr>
                    <w:t>沿矿山道路两侧修建截排水沟渠，道路两侧种植绿化带</w:t>
                  </w:r>
                  <w:r>
                    <w:rPr>
                      <w:rFonts w:hint="eastAsia" w:cs="Times New Roman"/>
                      <w:color w:val="000000"/>
                      <w:spacing w:val="11"/>
                      <w:kern w:val="0"/>
                      <w:position w:val="0"/>
                      <w:szCs w:val="21"/>
                      <w:u w:val="none" w:color="auto"/>
                      <w:lang w:val="en-US" w:eastAsia="zh-CN"/>
                    </w:rPr>
                    <w:t>以及树木</w:t>
                  </w:r>
                  <w:r>
                    <w:rPr>
                      <w:rFonts w:hint="default" w:ascii="Times New Roman" w:hAnsi="Times New Roman" w:cs="Times New Roman"/>
                      <w:color w:val="000000"/>
                      <w:spacing w:val="11"/>
                      <w:kern w:val="0"/>
                      <w:position w:val="0"/>
                      <w:szCs w:val="21"/>
                      <w:u w:val="none" w:color="auto"/>
                    </w:rPr>
                    <w:t>进行补偿，闭矿后对矿山道路侵占损毁的林地进行复绿。</w:t>
                  </w:r>
                </w:p>
              </w:tc>
              <w:tc>
                <w:tcPr>
                  <w:tcW w:w="1037" w:type="pct"/>
                  <w:vMerge w:val="continue"/>
                  <w:tcBorders>
                    <w:tl2br w:val="nil"/>
                    <w:tr2bl w:val="nil"/>
                  </w:tcBorders>
                  <w:noWrap w:val="0"/>
                  <w:vAlign w:val="center"/>
                </w:tcPr>
                <w:p w14:paraId="2E16EA4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p>
              </w:tc>
            </w:tr>
            <w:tr w14:paraId="02896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969" w:hRule="atLeast"/>
                <w:jc w:val="center"/>
              </w:trPr>
              <w:tc>
                <w:tcPr>
                  <w:tcW w:w="450" w:type="pct"/>
                  <w:vMerge w:val="continue"/>
                  <w:tcBorders>
                    <w:tl2br w:val="nil"/>
                    <w:tr2bl w:val="nil"/>
                  </w:tcBorders>
                  <w:noWrap w:val="0"/>
                  <w:vAlign w:val="center"/>
                </w:tcPr>
                <w:p w14:paraId="7935E07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pacing w:val="11"/>
                      <w:position w:val="0"/>
                      <w:szCs w:val="21"/>
                      <w:u w:val="none" w:color="auto"/>
                    </w:rPr>
                  </w:pPr>
                </w:p>
              </w:tc>
              <w:tc>
                <w:tcPr>
                  <w:tcW w:w="1485" w:type="pct"/>
                  <w:gridSpan w:val="2"/>
                  <w:tcBorders>
                    <w:tl2br w:val="nil"/>
                    <w:tr2bl w:val="nil"/>
                  </w:tcBorders>
                  <w:noWrap w:val="0"/>
                  <w:vAlign w:val="center"/>
                </w:tcPr>
                <w:p w14:paraId="3BFF276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rPr>
                  </w:pPr>
                  <w:r>
                    <w:rPr>
                      <w:rFonts w:hint="default" w:ascii="Times New Roman" w:hAnsi="Times New Roman" w:cs="Times New Roman"/>
                      <w:color w:val="000000"/>
                      <w:spacing w:val="11"/>
                      <w:position w:val="0"/>
                      <w:szCs w:val="21"/>
                      <w:u w:val="none" w:color="auto"/>
                    </w:rPr>
                    <w:t>环境管理</w:t>
                  </w:r>
                </w:p>
              </w:tc>
              <w:tc>
                <w:tcPr>
                  <w:tcW w:w="2027" w:type="pct"/>
                  <w:tcBorders>
                    <w:tl2br w:val="nil"/>
                    <w:tr2bl w:val="nil"/>
                  </w:tcBorders>
                  <w:noWrap w:val="0"/>
                  <w:vAlign w:val="center"/>
                </w:tcPr>
                <w:p w14:paraId="5CE7877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11"/>
                      <w:kern w:val="0"/>
                      <w:position w:val="0"/>
                      <w:szCs w:val="21"/>
                      <w:u w:val="none" w:color="auto"/>
                    </w:rPr>
                  </w:pPr>
                  <w:r>
                    <w:rPr>
                      <w:rFonts w:hint="default" w:ascii="Times New Roman" w:hAnsi="Times New Roman" w:eastAsia="宋体" w:cs="Times New Roman"/>
                      <w:color w:val="000000"/>
                      <w:spacing w:val="11"/>
                      <w:kern w:val="0"/>
                      <w:position w:val="0"/>
                      <w:szCs w:val="21"/>
                      <w:u w:val="none" w:color="auto"/>
                    </w:rPr>
                    <w:t>增加标识标牌、绿色矿山宣传标语，加强企业绿色矿山建设宣传、定期开展污染源及环境质量监测</w:t>
                  </w:r>
                </w:p>
              </w:tc>
              <w:tc>
                <w:tcPr>
                  <w:tcW w:w="1037" w:type="pct"/>
                  <w:tcBorders>
                    <w:tl2br w:val="nil"/>
                    <w:tr2bl w:val="nil"/>
                  </w:tcBorders>
                  <w:noWrap w:val="0"/>
                  <w:vAlign w:val="center"/>
                </w:tcPr>
                <w:p w14:paraId="3EC3870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11"/>
                      <w:kern w:val="0"/>
                      <w:position w:val="0"/>
                      <w:szCs w:val="21"/>
                      <w:u w:val="none" w:color="auto"/>
                    </w:rPr>
                  </w:pPr>
                  <w:r>
                    <w:rPr>
                      <w:rFonts w:hint="default" w:ascii="Times New Roman" w:hAnsi="Times New Roman" w:eastAsia="宋体" w:cs="Times New Roman"/>
                      <w:color w:val="000000"/>
                      <w:spacing w:val="11"/>
                      <w:kern w:val="0"/>
                      <w:position w:val="0"/>
                      <w:szCs w:val="21"/>
                      <w:u w:val="none" w:color="auto"/>
                    </w:rPr>
                    <w:t>15</w:t>
                  </w:r>
                </w:p>
              </w:tc>
            </w:tr>
            <w:tr w14:paraId="76E49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34" w:hRule="atLeast"/>
                <w:jc w:val="center"/>
              </w:trPr>
              <w:tc>
                <w:tcPr>
                  <w:tcW w:w="3962" w:type="pct"/>
                  <w:gridSpan w:val="4"/>
                  <w:tcBorders>
                    <w:tl2br w:val="nil"/>
                    <w:tr2bl w:val="nil"/>
                  </w:tcBorders>
                  <w:noWrap w:val="0"/>
                  <w:vAlign w:val="center"/>
                </w:tcPr>
                <w:p w14:paraId="0B6DF49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none" w:color="auto"/>
                      <w:lang w:val="en-GB"/>
                    </w:rPr>
                  </w:pPr>
                  <w:r>
                    <w:rPr>
                      <w:rFonts w:hint="default" w:ascii="Times New Roman" w:hAnsi="Times New Roman" w:cs="Times New Roman"/>
                      <w:color w:val="000000"/>
                      <w:spacing w:val="11"/>
                      <w:position w:val="0"/>
                      <w:szCs w:val="21"/>
                      <w:u w:val="none" w:color="auto"/>
                      <w:lang w:val="en-GB"/>
                    </w:rPr>
                    <w:t>合计</w:t>
                  </w:r>
                </w:p>
              </w:tc>
              <w:tc>
                <w:tcPr>
                  <w:tcW w:w="1037" w:type="pct"/>
                  <w:tcBorders>
                    <w:tl2br w:val="nil"/>
                    <w:tr2bl w:val="nil"/>
                  </w:tcBorders>
                  <w:noWrap w:val="0"/>
                  <w:vAlign w:val="center"/>
                </w:tcPr>
                <w:p w14:paraId="2A98BC2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11"/>
                      <w:position w:val="0"/>
                      <w:szCs w:val="21"/>
                      <w:u w:val="none" w:color="auto"/>
                      <w:lang w:val="en-US" w:eastAsia="zh-CN"/>
                    </w:rPr>
                  </w:pPr>
                  <w:r>
                    <w:rPr>
                      <w:rFonts w:hint="eastAsia" w:cs="Times New Roman"/>
                      <w:color w:val="000000"/>
                      <w:spacing w:val="11"/>
                      <w:position w:val="0"/>
                      <w:szCs w:val="21"/>
                      <w:u w:val="none" w:color="auto"/>
                      <w:lang w:val="en-US" w:eastAsia="zh-CN"/>
                    </w:rPr>
                    <w:t>963.4</w:t>
                  </w:r>
                </w:p>
              </w:tc>
            </w:tr>
          </w:tbl>
          <w:p w14:paraId="716484B9">
            <w:pPr>
              <w:keepNext w:val="0"/>
              <w:keepLines w:val="0"/>
              <w:pageBreakBefore w:val="0"/>
              <w:widowControl/>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
                <w:color w:val="000000"/>
                <w:spacing w:val="11"/>
                <w:position w:val="0"/>
                <w:sz w:val="22"/>
                <w:szCs w:val="22"/>
                <w:u w:val="none" w:color="auto"/>
              </w:rPr>
            </w:pPr>
          </w:p>
          <w:p w14:paraId="309A86A7">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textAlignment w:val="auto"/>
              <w:rPr>
                <w:rFonts w:hint="default" w:ascii="Times New Roman" w:hAnsi="Times New Roman" w:eastAsia="宋体" w:cs="Times New Roman"/>
                <w:color w:val="000000"/>
                <w:spacing w:val="11"/>
                <w:position w:val="0"/>
                <w:sz w:val="22"/>
                <w:szCs w:val="22"/>
                <w:u w:val="none" w:color="auto"/>
                <w:lang w:eastAsia="zh-CN"/>
              </w:rPr>
            </w:pPr>
          </w:p>
          <w:p w14:paraId="4592AA84">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textAlignment w:val="auto"/>
              <w:rPr>
                <w:rFonts w:hint="default" w:ascii="Times New Roman" w:hAnsi="Times New Roman" w:eastAsia="宋体" w:cs="Times New Roman"/>
                <w:color w:val="000000"/>
                <w:spacing w:val="11"/>
                <w:position w:val="0"/>
                <w:sz w:val="22"/>
                <w:szCs w:val="22"/>
                <w:u w:val="none" w:color="auto"/>
                <w:lang w:eastAsia="zh-CN"/>
              </w:rPr>
            </w:pPr>
          </w:p>
          <w:p w14:paraId="22ADFDF3">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textAlignment w:val="auto"/>
              <w:rPr>
                <w:rFonts w:hint="default" w:ascii="Times New Roman" w:hAnsi="Times New Roman" w:eastAsia="宋体" w:cs="Times New Roman"/>
                <w:color w:val="000000"/>
                <w:spacing w:val="11"/>
                <w:position w:val="0"/>
                <w:sz w:val="22"/>
                <w:szCs w:val="22"/>
                <w:u w:val="none" w:color="auto"/>
                <w:lang w:eastAsia="zh-CN"/>
              </w:rPr>
            </w:pPr>
          </w:p>
          <w:p w14:paraId="469F2116">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textAlignment w:val="auto"/>
              <w:rPr>
                <w:rFonts w:hint="default" w:ascii="Times New Roman" w:hAnsi="Times New Roman" w:eastAsia="宋体" w:cs="Times New Roman"/>
                <w:color w:val="000000"/>
                <w:spacing w:val="11"/>
                <w:position w:val="0"/>
                <w:sz w:val="22"/>
                <w:szCs w:val="22"/>
                <w:u w:val="none" w:color="auto"/>
                <w:lang w:val="en-US" w:eastAsia="zh-CN"/>
              </w:rPr>
            </w:pPr>
          </w:p>
          <w:p w14:paraId="1E0EA879">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textAlignment w:val="auto"/>
              <w:rPr>
                <w:rFonts w:hint="default" w:ascii="Times New Roman" w:hAnsi="Times New Roman" w:eastAsia="宋体" w:cs="Times New Roman"/>
                <w:color w:val="000000"/>
                <w:spacing w:val="11"/>
                <w:position w:val="0"/>
                <w:sz w:val="22"/>
                <w:szCs w:val="22"/>
                <w:u w:val="none" w:color="auto"/>
                <w:lang w:val="en-US" w:eastAsia="zh-CN"/>
              </w:rPr>
            </w:pPr>
          </w:p>
          <w:p w14:paraId="0D776FE0">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textAlignment w:val="auto"/>
              <w:rPr>
                <w:rFonts w:hint="default" w:ascii="Times New Roman" w:hAnsi="Times New Roman" w:eastAsia="宋体" w:cs="Times New Roman"/>
                <w:color w:val="000000"/>
                <w:spacing w:val="11"/>
                <w:position w:val="0"/>
                <w:sz w:val="22"/>
                <w:szCs w:val="22"/>
                <w:u w:val="none" w:color="auto"/>
                <w:lang w:val="en-US" w:eastAsia="zh-CN"/>
              </w:rPr>
            </w:pPr>
          </w:p>
          <w:p w14:paraId="74E8C9A1">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textAlignment w:val="auto"/>
              <w:rPr>
                <w:rFonts w:hint="default" w:ascii="Times New Roman" w:hAnsi="Times New Roman" w:eastAsia="宋体" w:cs="Times New Roman"/>
                <w:color w:val="000000"/>
                <w:spacing w:val="11"/>
                <w:position w:val="0"/>
                <w:sz w:val="22"/>
                <w:szCs w:val="22"/>
                <w:u w:val="none" w:color="auto"/>
                <w:lang w:val="en-US" w:eastAsia="zh-CN"/>
              </w:rPr>
            </w:pPr>
          </w:p>
          <w:p w14:paraId="65B94672">
            <w:pPr>
              <w:pStyle w:val="17"/>
              <w:rPr>
                <w:rFonts w:hint="default" w:ascii="Times New Roman" w:hAnsi="Times New Roman" w:eastAsia="宋体" w:cs="Times New Roman"/>
                <w:color w:val="000000"/>
                <w:spacing w:val="11"/>
                <w:position w:val="0"/>
                <w:sz w:val="22"/>
                <w:szCs w:val="22"/>
                <w:u w:val="none" w:color="auto"/>
                <w:lang w:val="en-US" w:eastAsia="zh-CN"/>
              </w:rPr>
            </w:pPr>
          </w:p>
          <w:p w14:paraId="1F22EC44">
            <w:pPr>
              <w:rPr>
                <w:rFonts w:hint="default" w:ascii="Times New Roman" w:hAnsi="Times New Roman" w:eastAsia="宋体" w:cs="Times New Roman"/>
                <w:color w:val="000000"/>
                <w:spacing w:val="11"/>
                <w:position w:val="0"/>
                <w:sz w:val="22"/>
                <w:szCs w:val="22"/>
                <w:u w:val="none" w:color="auto"/>
                <w:lang w:val="en-US" w:eastAsia="zh-CN"/>
              </w:rPr>
            </w:pPr>
          </w:p>
          <w:p w14:paraId="0EEB21A6">
            <w:pPr>
              <w:rPr>
                <w:rFonts w:hint="default" w:ascii="Times New Roman" w:hAnsi="Times New Roman" w:eastAsia="宋体" w:cs="Times New Roman"/>
                <w:color w:val="000000"/>
                <w:spacing w:val="11"/>
                <w:position w:val="0"/>
                <w:sz w:val="22"/>
                <w:szCs w:val="22"/>
                <w:u w:val="none" w:color="auto"/>
                <w:lang w:val="en-US" w:eastAsia="zh-CN"/>
              </w:rPr>
            </w:pPr>
          </w:p>
          <w:p w14:paraId="3AF186B0">
            <w:pPr>
              <w:pStyle w:val="2"/>
              <w:rPr>
                <w:rFonts w:hint="default" w:ascii="Times New Roman" w:hAnsi="Times New Roman" w:eastAsia="宋体" w:cs="Times New Roman"/>
                <w:color w:val="000000"/>
                <w:spacing w:val="11"/>
                <w:position w:val="0"/>
                <w:sz w:val="22"/>
                <w:szCs w:val="22"/>
                <w:u w:val="none" w:color="auto"/>
                <w:lang w:val="en-US" w:eastAsia="zh-CN"/>
              </w:rPr>
            </w:pPr>
          </w:p>
          <w:p w14:paraId="3C5849DB">
            <w:pPr>
              <w:pStyle w:val="2"/>
              <w:rPr>
                <w:rFonts w:hint="default" w:ascii="Times New Roman" w:hAnsi="Times New Roman" w:eastAsia="宋体" w:cs="Times New Roman"/>
                <w:color w:val="000000"/>
                <w:spacing w:val="11"/>
                <w:position w:val="0"/>
                <w:sz w:val="22"/>
                <w:szCs w:val="22"/>
                <w:u w:val="none" w:color="auto"/>
                <w:lang w:val="en-US" w:eastAsia="zh-CN"/>
              </w:rPr>
            </w:pPr>
          </w:p>
          <w:p w14:paraId="4D823B6C">
            <w:pPr>
              <w:pStyle w:val="2"/>
              <w:rPr>
                <w:rFonts w:hint="default" w:ascii="Times New Roman" w:hAnsi="Times New Roman" w:eastAsia="宋体" w:cs="Times New Roman"/>
                <w:color w:val="000000"/>
                <w:spacing w:val="11"/>
                <w:position w:val="0"/>
                <w:sz w:val="22"/>
                <w:szCs w:val="22"/>
                <w:u w:val="none" w:color="auto"/>
                <w:lang w:val="en-US" w:eastAsia="zh-CN"/>
              </w:rPr>
            </w:pPr>
          </w:p>
          <w:p w14:paraId="73C27EA3">
            <w:pPr>
              <w:rPr>
                <w:rFonts w:hint="default" w:ascii="Times New Roman" w:hAnsi="Times New Roman" w:eastAsia="宋体" w:cs="Times New Roman"/>
                <w:color w:val="000000"/>
                <w:spacing w:val="11"/>
                <w:position w:val="0"/>
                <w:sz w:val="22"/>
                <w:szCs w:val="22"/>
                <w:u w:val="none" w:color="auto"/>
                <w:lang w:val="en-US" w:eastAsia="zh-CN"/>
              </w:rPr>
            </w:pPr>
          </w:p>
          <w:p w14:paraId="1736767C">
            <w:pPr>
              <w:pStyle w:val="17"/>
              <w:rPr>
                <w:rFonts w:hint="default" w:ascii="Times New Roman" w:hAnsi="Times New Roman" w:eastAsia="宋体" w:cs="Times New Roman"/>
                <w:color w:val="000000"/>
                <w:spacing w:val="11"/>
                <w:position w:val="0"/>
                <w:sz w:val="22"/>
                <w:szCs w:val="22"/>
                <w:u w:val="none" w:color="auto"/>
                <w:lang w:val="en-US" w:eastAsia="zh-CN"/>
              </w:rPr>
            </w:pPr>
          </w:p>
          <w:p w14:paraId="6D477478">
            <w:pPr>
              <w:rPr>
                <w:rFonts w:hint="default" w:ascii="Times New Roman" w:hAnsi="Times New Roman" w:eastAsia="宋体" w:cs="Times New Roman"/>
                <w:color w:val="000000"/>
                <w:spacing w:val="11"/>
                <w:position w:val="0"/>
                <w:sz w:val="22"/>
                <w:szCs w:val="22"/>
                <w:u w:val="none" w:color="auto"/>
                <w:lang w:val="en-US" w:eastAsia="zh-CN"/>
              </w:rPr>
            </w:pPr>
          </w:p>
          <w:p w14:paraId="3F9DCEC2">
            <w:pPr>
              <w:pStyle w:val="17"/>
              <w:rPr>
                <w:rFonts w:hint="default" w:ascii="Times New Roman" w:hAnsi="Times New Roman" w:eastAsia="宋体" w:cs="Times New Roman"/>
                <w:color w:val="000000"/>
                <w:spacing w:val="11"/>
                <w:position w:val="0"/>
                <w:sz w:val="22"/>
                <w:szCs w:val="22"/>
                <w:u w:val="none" w:color="auto"/>
                <w:lang w:val="en-US" w:eastAsia="zh-CN"/>
              </w:rPr>
            </w:pPr>
          </w:p>
          <w:p w14:paraId="4151A156">
            <w:pPr>
              <w:rPr>
                <w:rFonts w:hint="default" w:ascii="Times New Roman" w:hAnsi="Times New Roman" w:eastAsia="宋体" w:cs="Times New Roman"/>
                <w:color w:val="000000"/>
                <w:spacing w:val="11"/>
                <w:position w:val="0"/>
                <w:sz w:val="22"/>
                <w:szCs w:val="22"/>
                <w:u w:val="none" w:color="auto"/>
                <w:lang w:val="en-US" w:eastAsia="zh-CN"/>
              </w:rPr>
            </w:pPr>
          </w:p>
          <w:p w14:paraId="670B05AE">
            <w:pPr>
              <w:pStyle w:val="17"/>
              <w:rPr>
                <w:rFonts w:hint="default" w:ascii="Times New Roman" w:hAnsi="Times New Roman" w:eastAsia="宋体" w:cs="Times New Roman"/>
                <w:color w:val="000000"/>
                <w:spacing w:val="11"/>
                <w:position w:val="0"/>
                <w:sz w:val="22"/>
                <w:szCs w:val="22"/>
                <w:u w:val="none" w:color="auto"/>
                <w:lang w:val="en-US" w:eastAsia="zh-CN"/>
              </w:rPr>
            </w:pPr>
          </w:p>
          <w:p w14:paraId="598E436D">
            <w:pPr>
              <w:rPr>
                <w:rFonts w:hint="default"/>
                <w:lang w:val="en-US" w:eastAsia="zh-CN"/>
              </w:rPr>
            </w:pPr>
          </w:p>
          <w:p w14:paraId="12C31413">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textAlignment w:val="auto"/>
              <w:rPr>
                <w:rFonts w:hint="default" w:ascii="Times New Roman" w:hAnsi="Times New Roman" w:eastAsia="宋体" w:cs="Times New Roman"/>
                <w:color w:val="000000"/>
                <w:spacing w:val="11"/>
                <w:position w:val="0"/>
                <w:sz w:val="22"/>
                <w:szCs w:val="22"/>
                <w:u w:val="none" w:color="auto"/>
                <w:lang w:val="en-US" w:eastAsia="zh-CN"/>
              </w:rPr>
            </w:pPr>
          </w:p>
          <w:p w14:paraId="300F8EF9">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textAlignment w:val="auto"/>
              <w:rPr>
                <w:rFonts w:hint="default" w:ascii="Times New Roman" w:hAnsi="Times New Roman" w:eastAsia="宋体" w:cs="Times New Roman"/>
                <w:color w:val="000000"/>
                <w:spacing w:val="11"/>
                <w:position w:val="0"/>
                <w:sz w:val="22"/>
                <w:szCs w:val="22"/>
                <w:u w:val="none" w:color="auto"/>
                <w:lang w:val="en-US" w:eastAsia="zh-CN"/>
              </w:rPr>
            </w:pPr>
          </w:p>
          <w:p w14:paraId="43ABFEEA">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textAlignment w:val="auto"/>
              <w:rPr>
                <w:rFonts w:hint="default" w:ascii="Times New Roman" w:hAnsi="Times New Roman" w:eastAsia="宋体" w:cs="Times New Roman"/>
                <w:color w:val="000000"/>
                <w:spacing w:val="11"/>
                <w:position w:val="0"/>
                <w:sz w:val="22"/>
                <w:szCs w:val="22"/>
                <w:u w:val="none" w:color="auto"/>
                <w:lang w:val="en-US" w:eastAsia="zh-CN"/>
              </w:rPr>
            </w:pPr>
          </w:p>
          <w:p w14:paraId="001374F0">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textAlignment w:val="auto"/>
              <w:rPr>
                <w:rFonts w:hint="default" w:ascii="Times New Roman" w:hAnsi="Times New Roman" w:eastAsia="宋体" w:cs="Times New Roman"/>
                <w:color w:val="000000"/>
                <w:spacing w:val="11"/>
                <w:position w:val="0"/>
                <w:sz w:val="22"/>
                <w:szCs w:val="22"/>
                <w:u w:val="none" w:color="auto"/>
                <w:lang w:val="en-US" w:eastAsia="zh-CN"/>
              </w:rPr>
            </w:pPr>
          </w:p>
          <w:p w14:paraId="041DDC82">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textAlignment w:val="auto"/>
              <w:rPr>
                <w:rFonts w:hint="default" w:ascii="Times New Roman" w:hAnsi="Times New Roman" w:eastAsia="宋体" w:cs="Times New Roman"/>
                <w:color w:val="000000"/>
                <w:spacing w:val="11"/>
                <w:position w:val="0"/>
                <w:sz w:val="22"/>
                <w:szCs w:val="22"/>
                <w:u w:val="none" w:color="auto"/>
                <w:lang w:val="en-US" w:eastAsia="zh-CN"/>
              </w:rPr>
            </w:pPr>
          </w:p>
          <w:p w14:paraId="129BEFB1">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textAlignment w:val="auto"/>
              <w:rPr>
                <w:rFonts w:hint="default" w:ascii="Times New Roman" w:hAnsi="Times New Roman" w:eastAsia="宋体" w:cs="Times New Roman"/>
                <w:color w:val="000000"/>
                <w:spacing w:val="11"/>
                <w:position w:val="0"/>
                <w:sz w:val="22"/>
                <w:szCs w:val="22"/>
                <w:u w:val="none" w:color="auto"/>
                <w:lang w:val="en-US" w:eastAsia="zh-CN"/>
              </w:rPr>
            </w:pPr>
          </w:p>
          <w:p w14:paraId="0AAA9BC5">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textAlignment w:val="auto"/>
              <w:rPr>
                <w:rFonts w:hint="default" w:ascii="Times New Roman" w:hAnsi="Times New Roman" w:eastAsia="宋体" w:cs="Times New Roman"/>
                <w:color w:val="000000"/>
                <w:spacing w:val="11"/>
                <w:position w:val="0"/>
                <w:sz w:val="22"/>
                <w:szCs w:val="22"/>
                <w:u w:val="none" w:color="auto"/>
                <w:lang w:val="en-US" w:eastAsia="zh-CN"/>
              </w:rPr>
            </w:pPr>
          </w:p>
          <w:p w14:paraId="171AB53E">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textAlignment w:val="auto"/>
              <w:rPr>
                <w:rFonts w:hint="default" w:ascii="Times New Roman" w:hAnsi="Times New Roman" w:eastAsia="宋体" w:cs="Times New Roman"/>
                <w:color w:val="000000"/>
                <w:spacing w:val="11"/>
                <w:position w:val="0"/>
                <w:sz w:val="22"/>
                <w:szCs w:val="22"/>
                <w:u w:val="none" w:color="auto"/>
                <w:lang w:val="en-US" w:eastAsia="zh-CN"/>
              </w:rPr>
            </w:pPr>
          </w:p>
          <w:p w14:paraId="20F7E0E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auto"/>
                <w:spacing w:val="11"/>
                <w:position w:val="0"/>
                <w:sz w:val="24"/>
                <w:szCs w:val="24"/>
                <w:u w:val="none" w:color="auto"/>
              </w:rPr>
            </w:pPr>
          </w:p>
        </w:tc>
      </w:tr>
    </w:tbl>
    <w:p w14:paraId="5625084F">
      <w:pPr>
        <w:rPr>
          <w:rFonts w:hint="default" w:ascii="Times New Roman" w:hAnsi="Times New Roman" w:eastAsia="宋体" w:cs="Times New Roman"/>
          <w:color w:val="auto"/>
          <w:spacing w:val="11"/>
          <w:position w:val="0"/>
        </w:rPr>
        <w:sectPr>
          <w:pgSz w:w="11907" w:h="16840"/>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270EC342">
      <w:pPr>
        <w:pStyle w:val="2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pacing w:val="11"/>
          <w:position w:val="0"/>
          <w:sz w:val="30"/>
          <w:szCs w:val="30"/>
        </w:rPr>
      </w:pPr>
      <w:bookmarkStart w:id="77" w:name="_Toc1286"/>
      <w:bookmarkStart w:id="78" w:name="_Toc10651"/>
      <w:r>
        <w:rPr>
          <w:rFonts w:hint="default" w:ascii="Times New Roman" w:hAnsi="Times New Roman" w:eastAsia="宋体" w:cs="Times New Roman"/>
          <w:b/>
          <w:bCs/>
          <w:snapToGrid w:val="0"/>
          <w:color w:val="auto"/>
          <w:spacing w:val="11"/>
          <w:position w:val="0"/>
          <w:sz w:val="30"/>
          <w:szCs w:val="30"/>
        </w:rPr>
        <w:t>六、生态环境保护措施监督检查清单</w:t>
      </w:r>
      <w:bookmarkEnd w:id="77"/>
      <w:bookmarkEnd w:id="78"/>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599"/>
        <w:gridCol w:w="1599"/>
        <w:gridCol w:w="1599"/>
        <w:gridCol w:w="1599"/>
      </w:tblGrid>
      <w:tr w14:paraId="3E432C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7" w:type="pct"/>
            <w:vMerge w:val="restart"/>
            <w:tcBorders>
              <w:tl2br w:val="nil"/>
              <w:tr2bl w:val="nil"/>
            </w:tcBorders>
            <w:noWrap w:val="0"/>
            <w:vAlign w:val="top"/>
            <mc:AlternateContent>
              <mc:Choice Requires="wpsCustomData">
                <wpsCustomData:diagonals>
                  <wpsCustomData:diagonal from="10000" to="30000">
                    <wpsCustomData:border w:val="single" w:color="auto" w:sz="12" w:space="0"/>
                  </wpsCustomData:diagonal>
                </wpsCustomData:diagonals>
              </mc:Choice>
            </mc:AlternateContent>
          </w:tcPr>
          <w:p w14:paraId="3EA85C9E">
            <w:pPr>
              <w:pStyle w:val="28"/>
              <w:adjustRightInd w:val="0"/>
              <w:snapToGrid w:val="0"/>
              <w:spacing w:before="0" w:beforeAutospacing="0" w:after="0" w:afterAutospacing="0" w:line="14" w:lineRule="auto"/>
              <w:outlineLvl w:val="9"/>
              <w:rPr>
                <w:rFonts w:hint="default" w:ascii="Times New Roman" w:hAnsi="Times New Roman" w:eastAsia="宋体" w:cs="Times New Roman"/>
                <w:color w:val="auto"/>
                <w:spacing w:val="11"/>
                <w:kern w:val="2"/>
                <w:position w:val="0"/>
                <w:sz w:val="24"/>
                <w:szCs w:val="24"/>
              </w:rPr>
            </w:pPr>
          </w:p>
          <w:p w14:paraId="56349CD0">
            <w:pPr>
              <w:pStyle w:val="28"/>
              <w:adjustRightInd w:val="0"/>
              <w:snapToGrid w:val="0"/>
              <w:spacing w:before="0" w:beforeAutospacing="0" w:after="0" w:afterAutospacing="0" w:line="240" w:lineRule="auto"/>
              <w:outlineLvl w:val="9"/>
              <w:rPr>
                <w:rFonts w:hint="default" w:ascii="Times New Roman" w:hAnsi="Times New Roman" w:eastAsia="宋体" w:cs="Times New Roman"/>
                <w:color w:val="auto"/>
                <w:spacing w:val="11"/>
                <w:kern w:val="2"/>
                <w:position w:val="0"/>
                <w:sz w:val="24"/>
                <w:szCs w:val="24"/>
              </w:rPr>
            </w:pPr>
          </w:p>
          <w:p w14:paraId="75509088">
            <w:pPr>
              <w:pStyle w:val="28"/>
              <w:adjustRightInd w:val="0"/>
              <w:snapToGrid w:val="0"/>
              <w:spacing w:before="0" w:beforeAutospacing="0" w:after="0" w:afterAutospacing="0" w:line="240" w:lineRule="auto"/>
              <w:outlineLvl w:val="9"/>
              <w:rPr>
                <w:rFonts w:hint="default" w:ascii="Times New Roman" w:hAnsi="Times New Roman" w:eastAsia="宋体" w:cs="Times New Roman"/>
                <w:color w:val="auto"/>
                <w:spacing w:val="11"/>
                <w:kern w:val="2"/>
                <w:position w:val="0"/>
                <w:sz w:val="24"/>
                <w:szCs w:val="24"/>
              </w:rPr>
            </w:pPr>
          </w:p>
          <w:p w14:paraId="5A88AC2D">
            <w:pPr>
              <w:pStyle w:val="28"/>
              <w:adjustRightInd w:val="0"/>
              <w:snapToGrid w:val="0"/>
              <w:spacing w:before="0" w:beforeAutospacing="0" w:after="0" w:afterAutospacing="0" w:line="240" w:lineRule="auto"/>
              <w:jc w:val="center"/>
              <w:outlineLvl w:val="0"/>
              <mc:AlternateContent>
                <mc:Choice Requires="wpsCustomData">
                  <wpsCustomData:diagonalParaType/>
                </mc:Choice>
              </mc:AlternateContent>
              <w:rPr>
                <w:rFonts w:hint="default" w:ascii="Times New Roman" w:hAnsi="Times New Roman" w:eastAsia="宋体" w:cs="Times New Roman"/>
                <w:color w:val="auto"/>
                <w:spacing w:val="11"/>
                <w:kern w:val="2"/>
                <w:position w:val="0"/>
                <w:sz w:val="24"/>
                <w:szCs w:val="24"/>
              </w:rPr>
            </w:pPr>
            <w:bookmarkStart w:id="79" w:name="_Toc29820"/>
            <w:bookmarkStart w:id="80" w:name="_Toc24227"/>
            <w:r>
              <w:rPr>
                <w:rFonts w:hint="default" w:ascii="Times New Roman" w:hAnsi="Times New Roman" w:eastAsia="宋体" w:cs="Times New Roman"/>
                <w:color w:val="auto"/>
                <w:spacing w:val="11"/>
                <w:kern w:val="2"/>
                <w:position w:val="0"/>
                <w:sz w:val="24"/>
                <w:szCs w:val="24"/>
                <w:lang w:val="en-US" w:eastAsia="zh-CN"/>
              </w:rPr>
              <w:t>要</w:t>
            </w:r>
            <w:r>
              <w:rPr>
                <w:rFonts w:hint="default" w:ascii="Times New Roman" w:hAnsi="Times New Roman" w:eastAsia="宋体" w:cs="Times New Roman"/>
                <w:color w:val="auto"/>
                <w:spacing w:val="11"/>
                <w:kern w:val="2"/>
                <w:position w:val="0"/>
                <w:sz w:val="24"/>
                <w:szCs w:val="24"/>
              </w:rPr>
              <w:t>素</w:t>
            </w:r>
            <w:bookmarkEnd w:id="79"/>
            <w:bookmarkEnd w:id="80"/>
          </w:p>
          <w:p w14:paraId="0FB93625">
            <w:pPr>
              <w:pStyle w:val="28"/>
              <w:adjustRightInd w:val="0"/>
              <w:snapToGrid w:val="0"/>
              <w:spacing w:before="0" w:beforeAutospacing="0" w:after="0" w:afterAutospacing="0"/>
              <w:outlineLvl w:val="9"/>
              <w:rPr>
                <w:rFonts w:hint="default" w:ascii="Times New Roman" w:hAnsi="Times New Roman" w:eastAsia="宋体" w:cs="Times New Roman"/>
                <w:color w:val="auto"/>
                <w:spacing w:val="11"/>
                <w:kern w:val="2"/>
                <w:position w:val="0"/>
                <w:sz w:val="24"/>
                <w:szCs w:val="24"/>
              </w:rPr>
            </w:pPr>
          </w:p>
          <w:p w14:paraId="6E4F43B7">
            <w:pPr>
              <w:pStyle w:val="28"/>
              <w:adjustRightInd w:val="0"/>
              <w:snapToGrid w:val="0"/>
              <w:spacing w:before="0" w:beforeAutospacing="0" w:after="0" w:afterAutospacing="0"/>
              <w:jc w:val="center"/>
              <w:outlineLvl w:val="0"/>
              <w:rPr>
                <w:rFonts w:hint="default" w:ascii="Times New Roman" w:hAnsi="Times New Roman" w:eastAsia="宋体" w:cs="Times New Roman"/>
                <w:color w:val="auto"/>
                <w:spacing w:val="11"/>
                <w:kern w:val="2"/>
                <w:position w:val="0"/>
                <w:sz w:val="24"/>
                <w:szCs w:val="24"/>
              </w:rPr>
            </w:pPr>
            <w:bookmarkStart w:id="81" w:name="_Toc21228"/>
            <w:bookmarkStart w:id="82" w:name="_Toc16879"/>
            <w:r>
              <w:rPr>
                <w:rFonts w:hint="default" w:ascii="Times New Roman" w:hAnsi="Times New Roman" w:eastAsia="宋体" w:cs="Times New Roman"/>
                <w:color w:val="auto"/>
                <w:spacing w:val="11"/>
                <w:kern w:val="2"/>
                <w:position w:val="0"/>
                <w:sz w:val="24"/>
                <w:szCs w:val="24"/>
              </w:rPr>
              <w:t>内容</w:t>
            </w:r>
            <w:bookmarkEnd w:id="81"/>
            <w:bookmarkEnd w:id="82"/>
          </w:p>
        </w:tc>
        <w:tc>
          <w:tcPr>
            <w:tcW w:w="1876" w:type="pct"/>
            <w:gridSpan w:val="2"/>
            <w:tcBorders>
              <w:tl2br w:val="nil"/>
              <w:tr2bl w:val="nil"/>
            </w:tcBorders>
            <w:noWrap w:val="0"/>
            <w:vAlign w:val="center"/>
          </w:tcPr>
          <w:p w14:paraId="0F6D0B8F">
            <w:pPr>
              <w:pStyle w:val="28"/>
              <w:adjustRightInd w:val="0"/>
              <w:snapToGrid w:val="0"/>
              <w:spacing w:before="0" w:beforeAutospacing="0" w:after="0" w:afterAutospacing="0"/>
              <w:jc w:val="center"/>
              <w:outlineLvl w:val="0"/>
              <w:rPr>
                <w:rFonts w:hint="default" w:ascii="Times New Roman" w:hAnsi="Times New Roman" w:eastAsia="宋体" w:cs="Times New Roman"/>
                <w:color w:val="auto"/>
                <w:spacing w:val="11"/>
                <w:kern w:val="2"/>
                <w:position w:val="0"/>
                <w:sz w:val="24"/>
                <w:szCs w:val="24"/>
              </w:rPr>
            </w:pPr>
            <w:bookmarkStart w:id="83" w:name="_Toc14629"/>
            <w:bookmarkStart w:id="84" w:name="_Toc26760"/>
            <w:r>
              <w:rPr>
                <w:rFonts w:hint="default" w:ascii="Times New Roman" w:hAnsi="Times New Roman" w:eastAsia="宋体" w:cs="Times New Roman"/>
                <w:color w:val="auto"/>
                <w:spacing w:val="11"/>
                <w:kern w:val="2"/>
                <w:position w:val="0"/>
                <w:sz w:val="24"/>
                <w:szCs w:val="24"/>
              </w:rPr>
              <w:t>施工期</w:t>
            </w:r>
            <w:bookmarkEnd w:id="83"/>
            <w:bookmarkEnd w:id="84"/>
          </w:p>
        </w:tc>
        <w:tc>
          <w:tcPr>
            <w:tcW w:w="1876" w:type="pct"/>
            <w:gridSpan w:val="2"/>
            <w:tcBorders>
              <w:tl2br w:val="nil"/>
              <w:tr2bl w:val="nil"/>
            </w:tcBorders>
            <w:noWrap w:val="0"/>
            <w:vAlign w:val="center"/>
          </w:tcPr>
          <w:p w14:paraId="038E37EC">
            <w:pPr>
              <w:pStyle w:val="28"/>
              <w:adjustRightInd w:val="0"/>
              <w:snapToGrid w:val="0"/>
              <w:spacing w:before="0" w:beforeAutospacing="0" w:after="0" w:afterAutospacing="0"/>
              <w:jc w:val="center"/>
              <w:outlineLvl w:val="0"/>
              <w:rPr>
                <w:rFonts w:hint="default" w:ascii="Times New Roman" w:hAnsi="Times New Roman" w:eastAsia="宋体" w:cs="Times New Roman"/>
                <w:color w:val="auto"/>
                <w:spacing w:val="11"/>
                <w:kern w:val="2"/>
                <w:position w:val="0"/>
                <w:sz w:val="24"/>
                <w:szCs w:val="24"/>
              </w:rPr>
            </w:pPr>
            <w:bookmarkStart w:id="85" w:name="_Toc10737"/>
            <w:bookmarkStart w:id="86" w:name="_Toc15445"/>
            <w:r>
              <w:rPr>
                <w:rFonts w:hint="default" w:ascii="Times New Roman" w:hAnsi="Times New Roman" w:eastAsia="宋体" w:cs="Times New Roman"/>
                <w:color w:val="auto"/>
                <w:spacing w:val="11"/>
                <w:kern w:val="2"/>
                <w:position w:val="0"/>
                <w:sz w:val="24"/>
                <w:szCs w:val="24"/>
              </w:rPr>
              <w:t>运营期</w:t>
            </w:r>
            <w:bookmarkEnd w:id="85"/>
            <w:bookmarkEnd w:id="86"/>
          </w:p>
        </w:tc>
      </w:tr>
      <w:tr w14:paraId="134651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7" w:type="pct"/>
            <w:vMerge w:val="continue"/>
            <w:tcBorders>
              <w:tl2br w:val="nil"/>
              <w:tr2bl w:val="nil"/>
            </w:tcBorders>
            <w:noWrap w:val="0"/>
            <w:vAlign w:val="top"/>
          </w:tcPr>
          <w:p w14:paraId="043C5BAC">
            <w:pPr>
              <w:pStyle w:val="28"/>
              <w:adjustRightInd w:val="0"/>
              <w:snapToGrid w:val="0"/>
              <w:spacing w:before="0" w:beforeAutospacing="0" w:after="0" w:afterAutospacing="0"/>
              <w:ind w:firstLine="840"/>
              <w:jc w:val="center"/>
              <w:outlineLvl w:val="9"/>
              <w:rPr>
                <w:rFonts w:hint="default" w:ascii="Times New Roman" w:hAnsi="Times New Roman" w:eastAsia="宋体" w:cs="Times New Roman"/>
                <w:color w:val="auto"/>
                <w:spacing w:val="11"/>
                <w:kern w:val="2"/>
                <w:position w:val="0"/>
                <w:sz w:val="24"/>
                <w:szCs w:val="24"/>
              </w:rPr>
            </w:pPr>
          </w:p>
        </w:tc>
        <w:tc>
          <w:tcPr>
            <w:tcW w:w="938" w:type="pct"/>
            <w:tcBorders>
              <w:tl2br w:val="nil"/>
              <w:tr2bl w:val="nil"/>
            </w:tcBorders>
            <w:noWrap w:val="0"/>
            <w:vAlign w:val="center"/>
          </w:tcPr>
          <w:p w14:paraId="4234B1F7">
            <w:pPr>
              <w:pStyle w:val="28"/>
              <w:adjustRightInd w:val="0"/>
              <w:snapToGrid w:val="0"/>
              <w:spacing w:before="0" w:beforeAutospacing="0" w:after="0" w:afterAutospacing="0"/>
              <w:jc w:val="center"/>
              <w:outlineLvl w:val="0"/>
              <w:rPr>
                <w:rFonts w:hint="default" w:ascii="Times New Roman" w:hAnsi="Times New Roman" w:eastAsia="宋体" w:cs="Times New Roman"/>
                <w:color w:val="auto"/>
                <w:spacing w:val="11"/>
                <w:kern w:val="2"/>
                <w:position w:val="0"/>
                <w:sz w:val="24"/>
                <w:szCs w:val="24"/>
              </w:rPr>
            </w:pPr>
            <w:bookmarkStart w:id="87" w:name="_Toc19667"/>
            <w:bookmarkStart w:id="88" w:name="_Toc26395"/>
            <w:r>
              <w:rPr>
                <w:rFonts w:hint="default" w:ascii="Times New Roman" w:hAnsi="Times New Roman" w:eastAsia="宋体" w:cs="Times New Roman"/>
                <w:color w:val="auto"/>
                <w:spacing w:val="11"/>
                <w:kern w:val="2"/>
                <w:position w:val="0"/>
                <w:sz w:val="24"/>
                <w:szCs w:val="24"/>
              </w:rPr>
              <w:t>环境保护措施</w:t>
            </w:r>
            <w:bookmarkEnd w:id="87"/>
            <w:bookmarkEnd w:id="88"/>
          </w:p>
        </w:tc>
        <w:tc>
          <w:tcPr>
            <w:tcW w:w="938" w:type="pct"/>
            <w:tcBorders>
              <w:tl2br w:val="nil"/>
              <w:tr2bl w:val="nil"/>
            </w:tcBorders>
            <w:noWrap w:val="0"/>
            <w:vAlign w:val="center"/>
          </w:tcPr>
          <w:p w14:paraId="05327229">
            <w:pPr>
              <w:pStyle w:val="28"/>
              <w:adjustRightInd w:val="0"/>
              <w:snapToGrid w:val="0"/>
              <w:spacing w:before="0" w:beforeAutospacing="0" w:after="0" w:afterAutospacing="0"/>
              <w:jc w:val="center"/>
              <w:outlineLvl w:val="0"/>
              <w:rPr>
                <w:rFonts w:hint="default" w:ascii="Times New Roman" w:hAnsi="Times New Roman" w:eastAsia="宋体" w:cs="Times New Roman"/>
                <w:color w:val="auto"/>
                <w:spacing w:val="11"/>
                <w:kern w:val="2"/>
                <w:position w:val="0"/>
                <w:sz w:val="24"/>
                <w:szCs w:val="24"/>
              </w:rPr>
            </w:pPr>
            <w:bookmarkStart w:id="89" w:name="_Toc3992"/>
            <w:bookmarkStart w:id="90" w:name="_Toc21279"/>
            <w:r>
              <w:rPr>
                <w:rFonts w:hint="default" w:ascii="Times New Roman" w:hAnsi="Times New Roman" w:eastAsia="宋体" w:cs="Times New Roman"/>
                <w:color w:val="auto"/>
                <w:spacing w:val="11"/>
                <w:kern w:val="2"/>
                <w:position w:val="0"/>
                <w:sz w:val="24"/>
                <w:szCs w:val="24"/>
              </w:rPr>
              <w:t>验收要求</w:t>
            </w:r>
            <w:bookmarkEnd w:id="89"/>
            <w:bookmarkEnd w:id="90"/>
          </w:p>
        </w:tc>
        <w:tc>
          <w:tcPr>
            <w:tcW w:w="938" w:type="pct"/>
            <w:tcBorders>
              <w:tl2br w:val="nil"/>
              <w:tr2bl w:val="nil"/>
            </w:tcBorders>
            <w:noWrap w:val="0"/>
            <w:vAlign w:val="center"/>
          </w:tcPr>
          <w:p w14:paraId="510F0EBC">
            <w:pPr>
              <w:pStyle w:val="28"/>
              <w:adjustRightInd w:val="0"/>
              <w:snapToGrid w:val="0"/>
              <w:spacing w:before="0" w:beforeAutospacing="0" w:after="0" w:afterAutospacing="0"/>
              <w:jc w:val="center"/>
              <w:outlineLvl w:val="0"/>
              <w:rPr>
                <w:rFonts w:hint="default" w:ascii="Times New Roman" w:hAnsi="Times New Roman" w:eastAsia="宋体" w:cs="Times New Roman"/>
                <w:color w:val="auto"/>
                <w:spacing w:val="11"/>
                <w:kern w:val="2"/>
                <w:position w:val="0"/>
                <w:sz w:val="24"/>
                <w:szCs w:val="24"/>
              </w:rPr>
            </w:pPr>
            <w:bookmarkStart w:id="91" w:name="_Toc28152"/>
            <w:bookmarkStart w:id="92" w:name="_Toc25274"/>
            <w:r>
              <w:rPr>
                <w:rFonts w:hint="default" w:ascii="Times New Roman" w:hAnsi="Times New Roman" w:eastAsia="宋体" w:cs="Times New Roman"/>
                <w:color w:val="auto"/>
                <w:spacing w:val="11"/>
                <w:kern w:val="2"/>
                <w:position w:val="0"/>
                <w:sz w:val="24"/>
                <w:szCs w:val="24"/>
              </w:rPr>
              <w:t>环境保护措施</w:t>
            </w:r>
            <w:bookmarkEnd w:id="91"/>
            <w:bookmarkEnd w:id="92"/>
          </w:p>
        </w:tc>
        <w:tc>
          <w:tcPr>
            <w:tcW w:w="938" w:type="pct"/>
            <w:tcBorders>
              <w:tl2br w:val="nil"/>
              <w:tr2bl w:val="nil"/>
            </w:tcBorders>
            <w:noWrap w:val="0"/>
            <w:vAlign w:val="center"/>
          </w:tcPr>
          <w:p w14:paraId="713651FF">
            <w:pPr>
              <w:pStyle w:val="28"/>
              <w:adjustRightInd w:val="0"/>
              <w:snapToGrid w:val="0"/>
              <w:spacing w:before="0" w:beforeAutospacing="0" w:after="0" w:afterAutospacing="0"/>
              <w:jc w:val="center"/>
              <w:outlineLvl w:val="0"/>
              <w:rPr>
                <w:rFonts w:hint="default" w:ascii="Times New Roman" w:hAnsi="Times New Roman" w:eastAsia="宋体" w:cs="Times New Roman"/>
                <w:color w:val="auto"/>
                <w:spacing w:val="11"/>
                <w:kern w:val="2"/>
                <w:position w:val="0"/>
                <w:sz w:val="24"/>
                <w:szCs w:val="24"/>
              </w:rPr>
            </w:pPr>
            <w:bookmarkStart w:id="93" w:name="_Toc28279"/>
            <w:bookmarkStart w:id="94" w:name="_Toc25711"/>
            <w:r>
              <w:rPr>
                <w:rFonts w:hint="default" w:ascii="Times New Roman" w:hAnsi="Times New Roman" w:eastAsia="宋体" w:cs="Times New Roman"/>
                <w:color w:val="auto"/>
                <w:spacing w:val="11"/>
                <w:kern w:val="2"/>
                <w:position w:val="0"/>
                <w:sz w:val="24"/>
                <w:szCs w:val="24"/>
              </w:rPr>
              <w:t>验收要求</w:t>
            </w:r>
            <w:bookmarkEnd w:id="93"/>
            <w:bookmarkEnd w:id="94"/>
          </w:p>
        </w:tc>
      </w:tr>
      <w:tr w14:paraId="6882D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7" w:type="pct"/>
            <w:tcBorders>
              <w:tl2br w:val="nil"/>
              <w:tr2bl w:val="nil"/>
            </w:tcBorders>
            <w:noWrap w:val="0"/>
            <w:vAlign w:val="center"/>
          </w:tcPr>
          <w:p w14:paraId="62502458">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陆生生态</w:t>
            </w:r>
          </w:p>
        </w:tc>
        <w:tc>
          <w:tcPr>
            <w:tcW w:w="938" w:type="pct"/>
            <w:tcBorders>
              <w:tl2br w:val="nil"/>
              <w:tr2bl w:val="nil"/>
            </w:tcBorders>
            <w:noWrap w:val="0"/>
            <w:vAlign w:val="center"/>
          </w:tcPr>
          <w:p w14:paraId="37DF0EC1">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临时建筑尽可能采用成品或简易拼装方式；施工期应合理安排工程进度，建筑垃圾及时清理，原材料在该区域内堆放的时间不应过长，减少堆放量和受压面积</w:t>
            </w:r>
            <w:r>
              <w:rPr>
                <w:rFonts w:hint="default" w:ascii="Times New Roman" w:hAnsi="Times New Roman" w:cs="Times New Roman"/>
                <w:color w:val="auto"/>
                <w:spacing w:val="11"/>
                <w:position w:val="0"/>
                <w:sz w:val="24"/>
                <w:szCs w:val="24"/>
                <w:lang w:val="en-US" w:eastAsia="zh-CN"/>
              </w:rPr>
              <w:t>。</w:t>
            </w:r>
          </w:p>
        </w:tc>
        <w:tc>
          <w:tcPr>
            <w:tcW w:w="938" w:type="pct"/>
            <w:tcBorders>
              <w:tl2br w:val="nil"/>
              <w:tr2bl w:val="nil"/>
            </w:tcBorders>
            <w:noWrap w:val="0"/>
            <w:vAlign w:val="center"/>
          </w:tcPr>
          <w:p w14:paraId="47BEAA2F">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w:t>
            </w:r>
          </w:p>
        </w:tc>
        <w:tc>
          <w:tcPr>
            <w:tcW w:w="938" w:type="pct"/>
            <w:tcBorders>
              <w:tl2br w:val="nil"/>
              <w:tr2bl w:val="nil"/>
            </w:tcBorders>
            <w:shd w:val="clear" w:color="auto" w:fill="auto"/>
            <w:noWrap w:val="0"/>
            <w:vAlign w:val="center"/>
          </w:tcPr>
          <w:p w14:paraId="2ABF101E">
            <w:pPr>
              <w:adjustRightInd w:val="0"/>
              <w:snapToGrid w:val="0"/>
              <w:jc w:val="center"/>
              <w:rPr>
                <w:rFonts w:hint="default" w:ascii="Times New Roman" w:hAnsi="Times New Roman" w:eastAsia="宋体" w:cs="Times New Roman"/>
                <w:spacing w:val="11"/>
                <w:kern w:val="2"/>
                <w:position w:val="0"/>
                <w:sz w:val="24"/>
                <w:szCs w:val="24"/>
                <w:lang w:val="en-US" w:eastAsia="zh-CN" w:bidi="ar-SA"/>
              </w:rPr>
            </w:pPr>
            <w:r>
              <w:rPr>
                <w:rStyle w:val="36"/>
                <w:rFonts w:hint="default" w:ascii="Times New Roman" w:hAnsi="Times New Roman" w:cs="Times New Roman"/>
                <w:spacing w:val="11"/>
                <w:kern w:val="0"/>
                <w:position w:val="0"/>
                <w:sz w:val="24"/>
                <w:szCs w:val="24"/>
              </w:rPr>
              <w:t>实施绿色矿山建设方案，采取边开采边复垦的方式；尽量将矿区内高大乔木就近移栽至周边区域种植；在采区设置警示牌，按采矿区范围采矿，不得越界开采；剥离的土壤应单独堆存，并做好水土保持工作，用于后期矿区的土地复垦。排土场应及时进行生态恢复，排土场设置截排水沟，进场道路硬化、边坡防护措施；林地植被恢复采用灌木+草木树种组成</w:t>
            </w:r>
            <w:r>
              <w:rPr>
                <w:rStyle w:val="36"/>
                <w:rFonts w:hint="default" w:ascii="Times New Roman" w:hAnsi="Times New Roman" w:cs="Times New Roman"/>
                <w:spacing w:val="11"/>
                <w:kern w:val="0"/>
                <w:position w:val="0"/>
                <w:sz w:val="24"/>
                <w:szCs w:val="24"/>
                <w:lang w:eastAsia="zh-CN"/>
              </w:rPr>
              <w:t>。</w:t>
            </w:r>
          </w:p>
        </w:tc>
        <w:tc>
          <w:tcPr>
            <w:tcW w:w="938" w:type="pct"/>
            <w:tcBorders>
              <w:tl2br w:val="nil"/>
              <w:tr2bl w:val="nil"/>
            </w:tcBorders>
            <w:shd w:val="clear" w:color="auto" w:fill="auto"/>
            <w:noWrap w:val="0"/>
            <w:vAlign w:val="center"/>
          </w:tcPr>
          <w:p w14:paraId="5B6BDA77">
            <w:pPr>
              <w:adjustRightInd w:val="0"/>
              <w:snapToGrid w:val="0"/>
              <w:jc w:val="center"/>
              <w:rPr>
                <w:rFonts w:hint="default" w:ascii="Times New Roman" w:hAnsi="Times New Roman" w:eastAsia="宋体" w:cs="Times New Roman"/>
                <w:spacing w:val="11"/>
                <w:kern w:val="2"/>
                <w:position w:val="0"/>
                <w:sz w:val="24"/>
                <w:szCs w:val="24"/>
                <w:lang w:val="en-US" w:eastAsia="zh-CN" w:bidi="ar-SA"/>
              </w:rPr>
            </w:pPr>
            <w:r>
              <w:rPr>
                <w:rStyle w:val="36"/>
                <w:rFonts w:hint="default" w:ascii="Times New Roman" w:hAnsi="Times New Roman" w:cs="Times New Roman"/>
                <w:spacing w:val="11"/>
                <w:kern w:val="0"/>
                <w:position w:val="0"/>
                <w:sz w:val="24"/>
                <w:szCs w:val="24"/>
              </w:rPr>
              <w:t>边开采边复垦，项目裸露区域及时进行绿化</w:t>
            </w:r>
          </w:p>
        </w:tc>
      </w:tr>
      <w:tr w14:paraId="4E96FD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7" w:type="pct"/>
            <w:tcBorders>
              <w:tl2br w:val="nil"/>
              <w:tr2bl w:val="nil"/>
            </w:tcBorders>
            <w:noWrap w:val="0"/>
            <w:vAlign w:val="center"/>
          </w:tcPr>
          <w:p w14:paraId="318F56D5">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水生生态</w:t>
            </w:r>
          </w:p>
        </w:tc>
        <w:tc>
          <w:tcPr>
            <w:tcW w:w="938" w:type="pct"/>
            <w:tcBorders>
              <w:tl2br w:val="nil"/>
              <w:tr2bl w:val="nil"/>
            </w:tcBorders>
            <w:noWrap w:val="0"/>
            <w:vAlign w:val="center"/>
          </w:tcPr>
          <w:p w14:paraId="5A3BDD57">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w:t>
            </w:r>
          </w:p>
        </w:tc>
        <w:tc>
          <w:tcPr>
            <w:tcW w:w="938" w:type="pct"/>
            <w:tcBorders>
              <w:tl2br w:val="nil"/>
              <w:tr2bl w:val="nil"/>
            </w:tcBorders>
            <w:noWrap w:val="0"/>
            <w:vAlign w:val="center"/>
          </w:tcPr>
          <w:p w14:paraId="7AF20573">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w:t>
            </w:r>
          </w:p>
        </w:tc>
        <w:tc>
          <w:tcPr>
            <w:tcW w:w="938" w:type="pct"/>
            <w:tcBorders>
              <w:tl2br w:val="nil"/>
              <w:tr2bl w:val="nil"/>
            </w:tcBorders>
            <w:noWrap w:val="0"/>
            <w:vAlign w:val="center"/>
          </w:tcPr>
          <w:p w14:paraId="02B4298C">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w:t>
            </w:r>
          </w:p>
        </w:tc>
        <w:tc>
          <w:tcPr>
            <w:tcW w:w="938" w:type="pct"/>
            <w:tcBorders>
              <w:tl2br w:val="nil"/>
              <w:tr2bl w:val="nil"/>
            </w:tcBorders>
            <w:noWrap w:val="0"/>
            <w:vAlign w:val="center"/>
          </w:tcPr>
          <w:p w14:paraId="1BF8BFDC">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w:t>
            </w:r>
          </w:p>
        </w:tc>
      </w:tr>
      <w:tr w14:paraId="70EA0B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7" w:type="pct"/>
            <w:tcBorders>
              <w:tl2br w:val="nil"/>
              <w:tr2bl w:val="nil"/>
            </w:tcBorders>
            <w:noWrap w:val="0"/>
            <w:vAlign w:val="center"/>
          </w:tcPr>
          <w:p w14:paraId="6541CE65">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地表水环境</w:t>
            </w:r>
          </w:p>
        </w:tc>
        <w:tc>
          <w:tcPr>
            <w:tcW w:w="938" w:type="pct"/>
            <w:tcBorders>
              <w:tl2br w:val="nil"/>
              <w:tr2bl w:val="nil"/>
            </w:tcBorders>
            <w:shd w:val="clear" w:color="auto" w:fill="auto"/>
            <w:noWrap w:val="0"/>
            <w:vAlign w:val="center"/>
          </w:tcPr>
          <w:p w14:paraId="12ED1CE9">
            <w:pPr>
              <w:adjustRightInd w:val="0"/>
              <w:snapToGrid w:val="0"/>
              <w:jc w:val="center"/>
              <w:rPr>
                <w:rFonts w:hint="default" w:ascii="Times New Roman" w:hAnsi="Times New Roman" w:cs="Times New Roman"/>
                <w:spacing w:val="11"/>
                <w:position w:val="0"/>
                <w:sz w:val="24"/>
                <w:szCs w:val="24"/>
              </w:rPr>
            </w:pPr>
            <w:r>
              <w:rPr>
                <w:rFonts w:hint="default" w:ascii="Times New Roman" w:hAnsi="Times New Roman" w:cs="Times New Roman"/>
                <w:spacing w:val="11"/>
                <w:position w:val="0"/>
                <w:sz w:val="24"/>
                <w:szCs w:val="24"/>
              </w:rPr>
              <w:t>（1）在施工区域布设临时污水处理设施，对施工过程中产生的施工废水进行处理。</w:t>
            </w:r>
          </w:p>
          <w:p w14:paraId="796CAE5C">
            <w:pPr>
              <w:adjustRightInd w:val="0"/>
              <w:snapToGrid w:val="0"/>
              <w:jc w:val="center"/>
              <w:rPr>
                <w:rFonts w:hint="default" w:ascii="Times New Roman" w:hAnsi="Times New Roman" w:cs="Times New Roman"/>
                <w:spacing w:val="11"/>
                <w:position w:val="0"/>
                <w:sz w:val="24"/>
                <w:szCs w:val="24"/>
              </w:rPr>
            </w:pPr>
            <w:r>
              <w:rPr>
                <w:rFonts w:hint="default" w:ascii="Times New Roman" w:hAnsi="Times New Roman" w:cs="Times New Roman"/>
                <w:spacing w:val="11"/>
                <w:position w:val="0"/>
                <w:sz w:val="24"/>
                <w:szCs w:val="24"/>
              </w:rPr>
              <w:t>（2）施工单位要做好施工场地周围的拦挡措施，尽量避开雨季土石方作业。</w:t>
            </w:r>
          </w:p>
          <w:p w14:paraId="7958BDC3">
            <w:pPr>
              <w:adjustRightInd w:val="0"/>
              <w:snapToGrid w:val="0"/>
              <w:jc w:val="center"/>
              <w:rPr>
                <w:rFonts w:hint="default" w:ascii="Times New Roman" w:hAnsi="Times New Roman" w:eastAsia="宋体" w:cs="Times New Roman"/>
                <w:spacing w:val="11"/>
                <w:kern w:val="2"/>
                <w:position w:val="0"/>
                <w:sz w:val="24"/>
                <w:szCs w:val="24"/>
                <w:lang w:val="en-US" w:eastAsia="zh-CN" w:bidi="ar-SA"/>
              </w:rPr>
            </w:pPr>
            <w:r>
              <w:rPr>
                <w:rFonts w:hint="default" w:ascii="Times New Roman" w:hAnsi="Times New Roman" w:cs="Times New Roman"/>
                <w:spacing w:val="11"/>
                <w:position w:val="0"/>
                <w:sz w:val="24"/>
                <w:szCs w:val="24"/>
              </w:rPr>
              <w:t>（3）施工人员</w:t>
            </w:r>
            <w:r>
              <w:rPr>
                <w:rFonts w:hint="eastAsia" w:cs="Times New Roman"/>
                <w:spacing w:val="11"/>
                <w:position w:val="0"/>
                <w:sz w:val="24"/>
                <w:szCs w:val="24"/>
                <w:lang w:val="en-US" w:eastAsia="zh-CN"/>
              </w:rPr>
              <w:t>为周边村民</w:t>
            </w:r>
            <w:r>
              <w:rPr>
                <w:rFonts w:hint="default" w:ascii="Times New Roman" w:hAnsi="Times New Roman" w:cs="Times New Roman"/>
                <w:spacing w:val="11"/>
                <w:position w:val="0"/>
                <w:sz w:val="24"/>
                <w:szCs w:val="24"/>
              </w:rPr>
              <w:t>，</w:t>
            </w:r>
            <w:r>
              <w:rPr>
                <w:rFonts w:hint="default" w:ascii="Times New Roman" w:hAnsi="Times New Roman" w:cs="Times New Roman"/>
                <w:spacing w:val="11"/>
                <w:kern w:val="0"/>
                <w:position w:val="0"/>
                <w:sz w:val="24"/>
                <w:szCs w:val="24"/>
              </w:rPr>
              <w:t>生活污水</w:t>
            </w:r>
            <w:r>
              <w:rPr>
                <w:rFonts w:hint="default" w:ascii="Times New Roman" w:hAnsi="Times New Roman" w:cs="Times New Roman"/>
                <w:spacing w:val="11"/>
                <w:kern w:val="0"/>
                <w:position w:val="0"/>
                <w:sz w:val="24"/>
                <w:szCs w:val="24"/>
                <w:lang w:val="en-US" w:eastAsia="zh-CN"/>
              </w:rPr>
              <w:t>经化粪池处理后用于矿区内绿化用水</w:t>
            </w:r>
            <w:r>
              <w:rPr>
                <w:rFonts w:hint="default" w:ascii="Times New Roman" w:hAnsi="Times New Roman" w:cs="Times New Roman"/>
                <w:spacing w:val="11"/>
                <w:position w:val="0"/>
                <w:sz w:val="24"/>
                <w:szCs w:val="24"/>
              </w:rPr>
              <w:t>。</w:t>
            </w:r>
          </w:p>
        </w:tc>
        <w:tc>
          <w:tcPr>
            <w:tcW w:w="938" w:type="pct"/>
            <w:tcBorders>
              <w:tl2br w:val="nil"/>
              <w:tr2bl w:val="nil"/>
            </w:tcBorders>
            <w:shd w:val="clear" w:color="auto" w:fill="auto"/>
            <w:noWrap w:val="0"/>
            <w:vAlign w:val="center"/>
          </w:tcPr>
          <w:p w14:paraId="753C3928">
            <w:pPr>
              <w:adjustRightInd w:val="0"/>
              <w:snapToGrid w:val="0"/>
              <w:jc w:val="center"/>
              <w:rPr>
                <w:rFonts w:hint="default" w:ascii="Times New Roman" w:hAnsi="Times New Roman" w:eastAsia="宋体" w:cs="Times New Roman"/>
                <w:spacing w:val="11"/>
                <w:kern w:val="2"/>
                <w:position w:val="0"/>
                <w:sz w:val="24"/>
                <w:szCs w:val="24"/>
                <w:lang w:val="en-US" w:eastAsia="zh-CN" w:bidi="ar-SA"/>
              </w:rPr>
            </w:pPr>
            <w:r>
              <w:rPr>
                <w:rFonts w:hint="default" w:ascii="Times New Roman" w:hAnsi="Times New Roman" w:cs="Times New Roman"/>
                <w:spacing w:val="11"/>
                <w:position w:val="0"/>
                <w:sz w:val="24"/>
                <w:szCs w:val="24"/>
              </w:rPr>
              <w:t>落实施工期废水环境保护措施</w:t>
            </w:r>
          </w:p>
        </w:tc>
        <w:tc>
          <w:tcPr>
            <w:tcW w:w="938" w:type="pct"/>
            <w:tcBorders>
              <w:tl2br w:val="nil"/>
              <w:tr2bl w:val="nil"/>
            </w:tcBorders>
            <w:shd w:val="clear" w:color="auto" w:fill="auto"/>
            <w:noWrap w:val="0"/>
            <w:vAlign w:val="center"/>
          </w:tcPr>
          <w:p w14:paraId="7A3C59C7">
            <w:pPr>
              <w:spacing w:line="300" w:lineRule="exact"/>
              <w:jc w:val="center"/>
              <w:rPr>
                <w:rFonts w:hint="default" w:ascii="Times New Roman" w:hAnsi="Times New Roman" w:eastAsia="宋体" w:cs="Times New Roman"/>
                <w:spacing w:val="11"/>
                <w:kern w:val="2"/>
                <w:position w:val="0"/>
                <w:sz w:val="24"/>
                <w:szCs w:val="24"/>
                <w:lang w:val="en-US" w:eastAsia="zh-CN" w:bidi="ar-SA"/>
              </w:rPr>
            </w:pPr>
            <w:r>
              <w:rPr>
                <w:rFonts w:hint="default" w:ascii="Times New Roman" w:hAnsi="Times New Roman" w:cs="Times New Roman"/>
                <w:spacing w:val="11"/>
                <w:position w:val="0"/>
                <w:sz w:val="24"/>
                <w:szCs w:val="24"/>
                <w:lang w:val="en-US" w:eastAsia="zh-CN"/>
              </w:rPr>
              <w:t>场区道路两旁、开采区设有雨水沟，初期雨水经雨水沟汇入初期雨水池</w:t>
            </w:r>
            <w:r>
              <w:rPr>
                <w:rFonts w:hint="eastAsia" w:cs="Times New Roman"/>
                <w:spacing w:val="11"/>
                <w:position w:val="0"/>
                <w:sz w:val="24"/>
                <w:szCs w:val="24"/>
                <w:lang w:val="en-US" w:eastAsia="zh-CN"/>
              </w:rPr>
              <w:t>、原有采坑</w:t>
            </w:r>
            <w:r>
              <w:rPr>
                <w:rFonts w:hint="default" w:ascii="Times New Roman" w:hAnsi="Times New Roman" w:cs="Times New Roman"/>
                <w:spacing w:val="11"/>
                <w:position w:val="0"/>
                <w:sz w:val="24"/>
                <w:szCs w:val="24"/>
                <w:lang w:val="en-US" w:eastAsia="zh-CN"/>
              </w:rPr>
              <w:t>进行沉淀处理，处理后回用于洒水抑尘以及洗砂用水；车辆清洗废水</w:t>
            </w:r>
            <w:r>
              <w:rPr>
                <w:rFonts w:hint="eastAsia" w:cs="Times New Roman"/>
                <w:spacing w:val="11"/>
                <w:position w:val="0"/>
                <w:sz w:val="24"/>
                <w:szCs w:val="24"/>
                <w:lang w:val="en-US" w:eastAsia="zh-CN"/>
              </w:rPr>
              <w:t>经沉淀池处理后</w:t>
            </w:r>
            <w:r>
              <w:rPr>
                <w:rFonts w:hint="default" w:ascii="Times New Roman" w:hAnsi="Times New Roman" w:cs="Times New Roman"/>
                <w:spacing w:val="11"/>
                <w:position w:val="0"/>
                <w:sz w:val="24"/>
                <w:szCs w:val="24"/>
                <w:lang w:val="en-US" w:eastAsia="zh-CN"/>
              </w:rPr>
              <w:t>循环</w:t>
            </w:r>
            <w:r>
              <w:rPr>
                <w:rFonts w:hint="eastAsia" w:cs="Times New Roman"/>
                <w:spacing w:val="11"/>
                <w:position w:val="0"/>
                <w:sz w:val="24"/>
                <w:szCs w:val="24"/>
                <w:lang w:val="en-US" w:eastAsia="zh-CN"/>
              </w:rPr>
              <w:t>使用</w:t>
            </w:r>
            <w:r>
              <w:rPr>
                <w:rFonts w:hint="default" w:ascii="Times New Roman" w:hAnsi="Times New Roman" w:cs="Times New Roman"/>
                <w:spacing w:val="11"/>
                <w:position w:val="0"/>
                <w:sz w:val="24"/>
                <w:szCs w:val="24"/>
                <w:lang w:val="en-US" w:eastAsia="zh-CN"/>
              </w:rPr>
              <w:t>不外排；生活污水经化粪池处理后用于矿区</w:t>
            </w:r>
            <w:r>
              <w:rPr>
                <w:rFonts w:hint="eastAsia" w:cs="Times New Roman"/>
                <w:spacing w:val="11"/>
                <w:position w:val="0"/>
                <w:sz w:val="24"/>
                <w:szCs w:val="24"/>
                <w:lang w:val="en-US" w:eastAsia="zh-CN"/>
              </w:rPr>
              <w:t>内绿化用水</w:t>
            </w:r>
            <w:r>
              <w:rPr>
                <w:rFonts w:hint="default" w:ascii="Times New Roman" w:hAnsi="Times New Roman" w:cs="Times New Roman"/>
                <w:spacing w:val="11"/>
                <w:position w:val="0"/>
                <w:sz w:val="24"/>
                <w:szCs w:val="24"/>
                <w:lang w:val="en-US" w:eastAsia="zh-CN"/>
              </w:rPr>
              <w:t>；洗砂废水经泥水分离脱水系统处理后进入沉淀池，回用于生产，不外排。</w:t>
            </w:r>
          </w:p>
        </w:tc>
        <w:tc>
          <w:tcPr>
            <w:tcW w:w="938" w:type="pct"/>
            <w:tcBorders>
              <w:tl2br w:val="nil"/>
              <w:tr2bl w:val="nil"/>
            </w:tcBorders>
            <w:shd w:val="clear" w:color="auto" w:fill="auto"/>
            <w:noWrap w:val="0"/>
            <w:vAlign w:val="center"/>
          </w:tcPr>
          <w:p w14:paraId="39458D8D">
            <w:pPr>
              <w:adjustRightInd w:val="0"/>
              <w:snapToGrid w:val="0"/>
              <w:spacing w:line="300" w:lineRule="exact"/>
              <w:jc w:val="center"/>
              <w:rPr>
                <w:rFonts w:hint="default" w:ascii="Times New Roman" w:hAnsi="Times New Roman" w:eastAsia="宋体" w:cs="Times New Roman"/>
                <w:spacing w:val="11"/>
                <w:kern w:val="2"/>
                <w:position w:val="0"/>
                <w:sz w:val="24"/>
                <w:szCs w:val="24"/>
                <w:lang w:val="en-US" w:eastAsia="zh-CN" w:bidi="ar-SA"/>
              </w:rPr>
            </w:pPr>
            <w:r>
              <w:rPr>
                <w:rFonts w:hint="default" w:ascii="Times New Roman" w:hAnsi="Times New Roman" w:cs="Times New Roman"/>
                <w:spacing w:val="11"/>
                <w:position w:val="0"/>
                <w:sz w:val="24"/>
                <w:szCs w:val="24"/>
              </w:rPr>
              <w:t>废水经处理后全部回用或综合利用，不外排</w:t>
            </w:r>
          </w:p>
        </w:tc>
      </w:tr>
      <w:tr w14:paraId="47C4F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7" w:type="pct"/>
            <w:tcBorders>
              <w:tl2br w:val="nil"/>
              <w:tr2bl w:val="nil"/>
            </w:tcBorders>
            <w:noWrap w:val="0"/>
            <w:vAlign w:val="center"/>
          </w:tcPr>
          <w:p w14:paraId="47BE5EF0">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地下水及土壤环境</w:t>
            </w:r>
          </w:p>
        </w:tc>
        <w:tc>
          <w:tcPr>
            <w:tcW w:w="938" w:type="pct"/>
            <w:tcBorders>
              <w:tl2br w:val="nil"/>
              <w:tr2bl w:val="nil"/>
            </w:tcBorders>
            <w:noWrap w:val="0"/>
            <w:vAlign w:val="center"/>
          </w:tcPr>
          <w:p w14:paraId="33085AB1">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w:t>
            </w:r>
          </w:p>
        </w:tc>
        <w:tc>
          <w:tcPr>
            <w:tcW w:w="938" w:type="pct"/>
            <w:tcBorders>
              <w:tl2br w:val="nil"/>
              <w:tr2bl w:val="nil"/>
            </w:tcBorders>
            <w:noWrap w:val="0"/>
            <w:vAlign w:val="center"/>
          </w:tcPr>
          <w:p w14:paraId="56AD043F">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w:t>
            </w:r>
          </w:p>
        </w:tc>
        <w:tc>
          <w:tcPr>
            <w:tcW w:w="938" w:type="pct"/>
            <w:tcBorders>
              <w:tl2br w:val="nil"/>
              <w:tr2bl w:val="nil"/>
            </w:tcBorders>
            <w:noWrap w:val="0"/>
            <w:vAlign w:val="center"/>
          </w:tcPr>
          <w:p w14:paraId="60660E15">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w:t>
            </w:r>
          </w:p>
        </w:tc>
        <w:tc>
          <w:tcPr>
            <w:tcW w:w="938" w:type="pct"/>
            <w:tcBorders>
              <w:tl2br w:val="nil"/>
              <w:tr2bl w:val="nil"/>
            </w:tcBorders>
            <w:noWrap w:val="0"/>
            <w:vAlign w:val="center"/>
          </w:tcPr>
          <w:p w14:paraId="6CDCE0E6">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w:t>
            </w:r>
          </w:p>
        </w:tc>
      </w:tr>
      <w:tr w14:paraId="01C82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7" w:type="pct"/>
            <w:tcBorders>
              <w:tl2br w:val="nil"/>
              <w:tr2bl w:val="nil"/>
            </w:tcBorders>
            <w:noWrap w:val="0"/>
            <w:vAlign w:val="center"/>
          </w:tcPr>
          <w:p w14:paraId="566A124C">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声环境</w:t>
            </w:r>
          </w:p>
        </w:tc>
        <w:tc>
          <w:tcPr>
            <w:tcW w:w="938" w:type="pct"/>
            <w:tcBorders>
              <w:tl2br w:val="nil"/>
              <w:tr2bl w:val="nil"/>
            </w:tcBorders>
            <w:shd w:val="clear" w:color="auto" w:fill="auto"/>
            <w:noWrap w:val="0"/>
            <w:vAlign w:val="center"/>
          </w:tcPr>
          <w:p w14:paraId="02757511">
            <w:pPr>
              <w:adjustRightInd w:val="0"/>
              <w:snapToGrid w:val="0"/>
              <w:jc w:val="center"/>
              <w:rPr>
                <w:rFonts w:hint="default" w:ascii="Times New Roman" w:hAnsi="Times New Roman" w:eastAsia="宋体" w:cs="Times New Roman"/>
                <w:spacing w:val="11"/>
                <w:kern w:val="2"/>
                <w:position w:val="0"/>
                <w:sz w:val="24"/>
                <w:szCs w:val="24"/>
                <w:lang w:val="en-US" w:eastAsia="zh-CN" w:bidi="ar-SA"/>
              </w:rPr>
            </w:pPr>
            <w:r>
              <w:rPr>
                <w:rFonts w:hint="default" w:ascii="Times New Roman" w:hAnsi="Times New Roman" w:cs="Times New Roman"/>
                <w:spacing w:val="11"/>
                <w:position w:val="0"/>
                <w:sz w:val="24"/>
                <w:szCs w:val="24"/>
              </w:rPr>
              <w:t>隔声、合理布局</w:t>
            </w:r>
          </w:p>
        </w:tc>
        <w:tc>
          <w:tcPr>
            <w:tcW w:w="938" w:type="pct"/>
            <w:tcBorders>
              <w:tl2br w:val="nil"/>
              <w:tr2bl w:val="nil"/>
            </w:tcBorders>
            <w:shd w:val="clear" w:color="auto" w:fill="auto"/>
            <w:noWrap w:val="0"/>
            <w:vAlign w:val="center"/>
          </w:tcPr>
          <w:p w14:paraId="40912A68">
            <w:pPr>
              <w:adjustRightInd w:val="0"/>
              <w:snapToGrid w:val="0"/>
              <w:jc w:val="center"/>
              <w:rPr>
                <w:rFonts w:hint="default" w:ascii="Times New Roman" w:hAnsi="Times New Roman" w:eastAsia="宋体" w:cs="Times New Roman"/>
                <w:spacing w:val="11"/>
                <w:kern w:val="2"/>
                <w:position w:val="0"/>
                <w:sz w:val="24"/>
                <w:szCs w:val="24"/>
                <w:lang w:val="en-US" w:eastAsia="zh-CN" w:bidi="ar-SA"/>
              </w:rPr>
            </w:pPr>
            <w:r>
              <w:rPr>
                <w:rFonts w:hint="default" w:ascii="Times New Roman" w:hAnsi="Times New Roman" w:cs="Times New Roman"/>
                <w:spacing w:val="11"/>
                <w:position w:val="0"/>
                <w:sz w:val="24"/>
                <w:szCs w:val="24"/>
              </w:rPr>
              <w:t>《建筑施工场界环境噪声排放标准》（GB12523-2011）</w:t>
            </w:r>
          </w:p>
        </w:tc>
        <w:tc>
          <w:tcPr>
            <w:tcW w:w="938" w:type="pct"/>
            <w:tcBorders>
              <w:tl2br w:val="nil"/>
              <w:tr2bl w:val="nil"/>
            </w:tcBorders>
            <w:shd w:val="clear" w:color="auto" w:fill="auto"/>
            <w:noWrap w:val="0"/>
            <w:vAlign w:val="center"/>
          </w:tcPr>
          <w:p w14:paraId="1B77084F">
            <w:pPr>
              <w:adjustRightInd w:val="0"/>
              <w:snapToGrid w:val="0"/>
              <w:jc w:val="center"/>
              <w:rPr>
                <w:rFonts w:hint="default" w:ascii="Times New Roman" w:hAnsi="Times New Roman" w:eastAsia="宋体" w:cs="Times New Roman"/>
                <w:spacing w:val="11"/>
                <w:kern w:val="2"/>
                <w:position w:val="0"/>
                <w:sz w:val="24"/>
                <w:szCs w:val="24"/>
                <w:lang w:val="en-US" w:eastAsia="zh-CN" w:bidi="ar-SA"/>
              </w:rPr>
            </w:pPr>
            <w:r>
              <w:rPr>
                <w:rFonts w:hint="default" w:ascii="Times New Roman" w:hAnsi="Times New Roman" w:cs="Times New Roman"/>
                <w:spacing w:val="11"/>
                <w:position w:val="0"/>
                <w:sz w:val="24"/>
                <w:szCs w:val="24"/>
              </w:rPr>
              <w:t>合理布局、选用低噪声设备、高噪声设备减震处理、厂房隔声、定时爆破、夜间不运行等</w:t>
            </w:r>
            <w:r>
              <w:rPr>
                <w:rFonts w:hint="default" w:ascii="Times New Roman" w:hAnsi="Times New Roman" w:cs="Times New Roman"/>
                <w:spacing w:val="11"/>
                <w:position w:val="0"/>
                <w:sz w:val="24"/>
                <w:szCs w:val="24"/>
                <w:lang w:eastAsia="zh-CN"/>
              </w:rPr>
              <w:t>。</w:t>
            </w:r>
          </w:p>
        </w:tc>
        <w:tc>
          <w:tcPr>
            <w:tcW w:w="938" w:type="pct"/>
            <w:tcBorders>
              <w:tl2br w:val="nil"/>
              <w:tr2bl w:val="nil"/>
            </w:tcBorders>
            <w:shd w:val="clear" w:color="auto" w:fill="auto"/>
            <w:noWrap w:val="0"/>
            <w:vAlign w:val="center"/>
          </w:tcPr>
          <w:p w14:paraId="6160A7B1">
            <w:pPr>
              <w:adjustRightInd w:val="0"/>
              <w:snapToGrid w:val="0"/>
              <w:spacing w:line="300" w:lineRule="exact"/>
              <w:jc w:val="center"/>
              <w:rPr>
                <w:rFonts w:hint="default" w:ascii="Times New Roman" w:hAnsi="Times New Roman" w:eastAsia="宋体" w:cs="Times New Roman"/>
                <w:spacing w:val="11"/>
                <w:kern w:val="2"/>
                <w:position w:val="0"/>
                <w:sz w:val="24"/>
                <w:szCs w:val="24"/>
                <w:lang w:val="en-US" w:eastAsia="zh-CN" w:bidi="ar-SA"/>
              </w:rPr>
            </w:pPr>
            <w:r>
              <w:rPr>
                <w:rFonts w:hint="default" w:ascii="Times New Roman" w:hAnsi="Times New Roman" w:cs="Times New Roman"/>
                <w:bCs/>
                <w:spacing w:val="11"/>
                <w:position w:val="0"/>
                <w:sz w:val="24"/>
                <w:szCs w:val="24"/>
              </w:rPr>
              <w:t>《工业企业厂界环境噪排放标准》（GB12348-2008）2类标准</w:t>
            </w:r>
          </w:p>
        </w:tc>
      </w:tr>
      <w:tr w14:paraId="407AF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7" w:type="pct"/>
            <w:tcBorders>
              <w:tl2br w:val="nil"/>
              <w:tr2bl w:val="nil"/>
            </w:tcBorders>
            <w:noWrap w:val="0"/>
            <w:vAlign w:val="center"/>
          </w:tcPr>
          <w:p w14:paraId="787D842D">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大气环境</w:t>
            </w:r>
          </w:p>
        </w:tc>
        <w:tc>
          <w:tcPr>
            <w:tcW w:w="938" w:type="pct"/>
            <w:tcBorders>
              <w:tl2br w:val="nil"/>
              <w:tr2bl w:val="nil"/>
            </w:tcBorders>
            <w:shd w:val="clear" w:color="auto" w:fill="auto"/>
            <w:noWrap w:val="0"/>
            <w:vAlign w:val="center"/>
          </w:tcPr>
          <w:p w14:paraId="1E65F1AC">
            <w:pPr>
              <w:adjustRightInd w:val="0"/>
              <w:snapToGrid w:val="0"/>
              <w:jc w:val="center"/>
              <w:rPr>
                <w:rFonts w:hint="default" w:ascii="Times New Roman" w:hAnsi="Times New Roman" w:eastAsia="宋体" w:cs="Times New Roman"/>
                <w:spacing w:val="11"/>
                <w:kern w:val="2"/>
                <w:position w:val="0"/>
                <w:sz w:val="24"/>
                <w:szCs w:val="24"/>
                <w:lang w:val="en-US" w:eastAsia="zh-CN" w:bidi="ar-SA"/>
              </w:rPr>
            </w:pPr>
            <w:r>
              <w:rPr>
                <w:rFonts w:hint="default" w:ascii="Times New Roman" w:hAnsi="Times New Roman" w:cs="Times New Roman"/>
                <w:spacing w:val="11"/>
                <w:position w:val="0"/>
                <w:sz w:val="24"/>
                <w:szCs w:val="24"/>
              </w:rPr>
              <w:t>防尘网、洒水车</w:t>
            </w:r>
          </w:p>
        </w:tc>
        <w:tc>
          <w:tcPr>
            <w:tcW w:w="938" w:type="pct"/>
            <w:tcBorders>
              <w:tl2br w:val="nil"/>
              <w:tr2bl w:val="nil"/>
            </w:tcBorders>
            <w:shd w:val="clear" w:color="auto" w:fill="auto"/>
            <w:noWrap w:val="0"/>
            <w:vAlign w:val="center"/>
          </w:tcPr>
          <w:p w14:paraId="5DA1A195">
            <w:pPr>
              <w:adjustRightInd w:val="0"/>
              <w:snapToGrid w:val="0"/>
              <w:jc w:val="center"/>
              <w:rPr>
                <w:rFonts w:hint="default" w:ascii="Times New Roman" w:hAnsi="Times New Roman" w:eastAsia="宋体" w:cs="Times New Roman"/>
                <w:spacing w:val="11"/>
                <w:kern w:val="2"/>
                <w:position w:val="0"/>
                <w:sz w:val="24"/>
                <w:szCs w:val="24"/>
                <w:lang w:val="en-US" w:eastAsia="zh-CN" w:bidi="ar-SA"/>
              </w:rPr>
            </w:pPr>
            <w:r>
              <w:rPr>
                <w:rFonts w:hint="default" w:ascii="Times New Roman" w:hAnsi="Times New Roman" w:cs="Times New Roman"/>
                <w:spacing w:val="11"/>
                <w:position w:val="0"/>
                <w:sz w:val="24"/>
                <w:szCs w:val="24"/>
              </w:rPr>
              <w:t>落实施工扬尘防治措施</w:t>
            </w:r>
          </w:p>
        </w:tc>
        <w:tc>
          <w:tcPr>
            <w:tcW w:w="938" w:type="pct"/>
            <w:tcBorders>
              <w:tl2br w:val="nil"/>
              <w:tr2bl w:val="nil"/>
            </w:tcBorders>
            <w:shd w:val="clear" w:color="auto" w:fill="auto"/>
            <w:noWrap w:val="0"/>
            <w:vAlign w:val="center"/>
          </w:tcPr>
          <w:p w14:paraId="77A90357">
            <w:pPr>
              <w:adjustRightInd w:val="0"/>
              <w:snapToGrid w:val="0"/>
              <w:spacing w:line="300" w:lineRule="exact"/>
              <w:jc w:val="center"/>
              <w:rPr>
                <w:rFonts w:hint="default" w:ascii="Times New Roman" w:hAnsi="Times New Roman" w:eastAsia="宋体" w:cs="Times New Roman"/>
                <w:spacing w:val="11"/>
                <w:kern w:val="2"/>
                <w:position w:val="0"/>
                <w:sz w:val="24"/>
                <w:szCs w:val="24"/>
                <w:lang w:val="en-US" w:eastAsia="zh-CN" w:bidi="ar-SA"/>
              </w:rPr>
            </w:pPr>
            <w:r>
              <w:rPr>
                <w:rFonts w:hint="default" w:ascii="Times New Roman" w:hAnsi="Times New Roman" w:cs="Times New Roman"/>
                <w:spacing w:val="11"/>
                <w:position w:val="0"/>
                <w:sz w:val="24"/>
                <w:szCs w:val="24"/>
              </w:rPr>
              <w:t>采矿区采取洒水抑尘、喷雾防尘帷幕</w:t>
            </w:r>
            <w:r>
              <w:rPr>
                <w:rFonts w:hint="default" w:ascii="Times New Roman" w:hAnsi="Times New Roman" w:cs="Times New Roman"/>
                <w:spacing w:val="11"/>
                <w:position w:val="0"/>
                <w:sz w:val="24"/>
                <w:szCs w:val="24"/>
                <w:lang w:eastAsia="zh-CN"/>
              </w:rPr>
              <w:t>、</w:t>
            </w:r>
            <w:r>
              <w:rPr>
                <w:rFonts w:hint="default" w:ascii="Times New Roman" w:hAnsi="Times New Roman" w:cs="Times New Roman"/>
                <w:spacing w:val="11"/>
                <w:position w:val="0"/>
                <w:sz w:val="24"/>
                <w:szCs w:val="24"/>
                <w:lang w:val="en-US" w:eastAsia="zh-CN"/>
              </w:rPr>
              <w:t>布袋除尘器</w:t>
            </w:r>
            <w:r>
              <w:rPr>
                <w:rFonts w:hint="default" w:ascii="Times New Roman" w:hAnsi="Times New Roman" w:cs="Times New Roman"/>
                <w:spacing w:val="11"/>
                <w:position w:val="0"/>
                <w:sz w:val="24"/>
                <w:szCs w:val="24"/>
              </w:rPr>
              <w:t>，地面硬化、洒水抑尘、设置洗车平台等措施</w:t>
            </w:r>
            <w:r>
              <w:rPr>
                <w:rFonts w:hint="default" w:ascii="Times New Roman" w:hAnsi="Times New Roman" w:cs="Times New Roman"/>
                <w:spacing w:val="11"/>
                <w:position w:val="0"/>
                <w:sz w:val="24"/>
                <w:szCs w:val="24"/>
                <w:lang w:eastAsia="zh-CN"/>
              </w:rPr>
              <w:t>。</w:t>
            </w:r>
          </w:p>
        </w:tc>
        <w:tc>
          <w:tcPr>
            <w:tcW w:w="938" w:type="pct"/>
            <w:tcBorders>
              <w:tl2br w:val="nil"/>
              <w:tr2bl w:val="nil"/>
            </w:tcBorders>
            <w:shd w:val="clear" w:color="auto" w:fill="auto"/>
            <w:noWrap w:val="0"/>
            <w:vAlign w:val="center"/>
          </w:tcPr>
          <w:p w14:paraId="1DD00528">
            <w:pPr>
              <w:adjustRightInd w:val="0"/>
              <w:snapToGrid w:val="0"/>
              <w:spacing w:line="300" w:lineRule="exact"/>
              <w:jc w:val="center"/>
              <w:rPr>
                <w:rFonts w:hint="default" w:ascii="Times New Roman" w:hAnsi="Times New Roman" w:eastAsia="宋体" w:cs="Times New Roman"/>
                <w:spacing w:val="11"/>
                <w:kern w:val="2"/>
                <w:position w:val="0"/>
                <w:sz w:val="24"/>
                <w:szCs w:val="24"/>
                <w:lang w:val="en-US" w:eastAsia="zh-CN" w:bidi="ar-SA"/>
              </w:rPr>
            </w:pPr>
            <w:r>
              <w:rPr>
                <w:rFonts w:hint="default" w:ascii="Times New Roman" w:hAnsi="Times New Roman" w:cs="Times New Roman"/>
                <w:bCs/>
                <w:spacing w:val="11"/>
                <w:position w:val="0"/>
                <w:sz w:val="24"/>
                <w:szCs w:val="24"/>
              </w:rPr>
              <w:t>《大气污染物综合排放标准》（GB16297-1996）表2中二级标准和无组织排放标准</w:t>
            </w:r>
          </w:p>
        </w:tc>
      </w:tr>
      <w:tr w14:paraId="6A7584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7" w:type="pct"/>
            <w:tcBorders>
              <w:tl2br w:val="nil"/>
              <w:tr2bl w:val="nil"/>
            </w:tcBorders>
            <w:noWrap w:val="0"/>
            <w:vAlign w:val="center"/>
          </w:tcPr>
          <w:p w14:paraId="5482E03B">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固体废物</w:t>
            </w:r>
          </w:p>
        </w:tc>
        <w:tc>
          <w:tcPr>
            <w:tcW w:w="938" w:type="pct"/>
            <w:tcBorders>
              <w:tl2br w:val="nil"/>
              <w:tr2bl w:val="nil"/>
            </w:tcBorders>
            <w:shd w:val="clear" w:color="auto" w:fill="auto"/>
            <w:noWrap w:val="0"/>
            <w:vAlign w:val="center"/>
          </w:tcPr>
          <w:p w14:paraId="35322CA7">
            <w:pPr>
              <w:adjustRightInd w:val="0"/>
              <w:snapToGrid w:val="0"/>
              <w:jc w:val="center"/>
              <w:rPr>
                <w:rFonts w:hint="default" w:ascii="Times New Roman" w:hAnsi="Times New Roman" w:eastAsia="宋体" w:cs="Times New Roman"/>
                <w:spacing w:val="11"/>
                <w:kern w:val="2"/>
                <w:position w:val="0"/>
                <w:sz w:val="24"/>
                <w:szCs w:val="24"/>
                <w:lang w:val="en-US" w:eastAsia="zh-CN" w:bidi="ar-SA"/>
              </w:rPr>
            </w:pPr>
            <w:r>
              <w:rPr>
                <w:rFonts w:hint="default" w:ascii="Times New Roman" w:hAnsi="Times New Roman" w:cs="Times New Roman"/>
                <w:spacing w:val="11"/>
                <w:position w:val="0"/>
                <w:sz w:val="24"/>
                <w:szCs w:val="24"/>
              </w:rPr>
              <w:t>垃圾桶</w:t>
            </w:r>
          </w:p>
        </w:tc>
        <w:tc>
          <w:tcPr>
            <w:tcW w:w="938" w:type="pct"/>
            <w:tcBorders>
              <w:tl2br w:val="nil"/>
              <w:tr2bl w:val="nil"/>
            </w:tcBorders>
            <w:shd w:val="clear" w:color="auto" w:fill="auto"/>
            <w:noWrap w:val="0"/>
            <w:vAlign w:val="center"/>
          </w:tcPr>
          <w:p w14:paraId="1C5C7EAC">
            <w:pPr>
              <w:adjustRightInd w:val="0"/>
              <w:snapToGrid w:val="0"/>
              <w:rPr>
                <w:rFonts w:hint="default" w:ascii="Times New Roman" w:hAnsi="Times New Roman" w:eastAsia="宋体" w:cs="Times New Roman"/>
                <w:spacing w:val="11"/>
                <w:kern w:val="2"/>
                <w:position w:val="0"/>
                <w:sz w:val="24"/>
                <w:szCs w:val="24"/>
                <w:lang w:val="en-US" w:eastAsia="zh-CN" w:bidi="ar-SA"/>
              </w:rPr>
            </w:pPr>
            <w:r>
              <w:rPr>
                <w:rFonts w:hint="default" w:ascii="Times New Roman" w:hAnsi="Times New Roman" w:cs="Times New Roman"/>
                <w:spacing w:val="11"/>
                <w:position w:val="0"/>
                <w:sz w:val="24"/>
                <w:szCs w:val="24"/>
              </w:rPr>
              <w:t>落实施工期固废废物污染防治措施</w:t>
            </w:r>
          </w:p>
        </w:tc>
        <w:tc>
          <w:tcPr>
            <w:tcW w:w="938" w:type="pct"/>
            <w:tcBorders>
              <w:tl2br w:val="nil"/>
              <w:tr2bl w:val="nil"/>
            </w:tcBorders>
            <w:shd w:val="clear" w:color="auto" w:fill="auto"/>
            <w:noWrap w:val="0"/>
            <w:vAlign w:val="center"/>
          </w:tcPr>
          <w:p w14:paraId="0E505404">
            <w:pPr>
              <w:adjustRightInd w:val="0"/>
              <w:snapToGrid w:val="0"/>
              <w:spacing w:line="300" w:lineRule="exact"/>
              <w:jc w:val="center"/>
              <w:rPr>
                <w:rFonts w:hint="default" w:ascii="Times New Roman" w:hAnsi="Times New Roman" w:eastAsia="宋体" w:cs="Times New Roman"/>
                <w:spacing w:val="11"/>
                <w:kern w:val="2"/>
                <w:position w:val="0"/>
                <w:sz w:val="24"/>
                <w:szCs w:val="24"/>
                <w:lang w:val="en-US" w:eastAsia="zh-CN" w:bidi="ar-SA"/>
              </w:rPr>
            </w:pPr>
            <w:r>
              <w:rPr>
                <w:rFonts w:hint="default" w:ascii="Times New Roman" w:hAnsi="Times New Roman" w:cs="Times New Roman"/>
                <w:spacing w:val="11"/>
                <w:position w:val="0"/>
                <w:sz w:val="24"/>
                <w:szCs w:val="24"/>
              </w:rPr>
              <w:t>剥离表土堆存于矿山排土场内，</w:t>
            </w:r>
            <w:r>
              <w:rPr>
                <w:rFonts w:hint="default" w:ascii="Times New Roman" w:hAnsi="Times New Roman" w:cs="Times New Roman"/>
                <w:spacing w:val="11"/>
                <w:position w:val="0"/>
                <w:sz w:val="24"/>
                <w:szCs w:val="24"/>
                <w:lang w:eastAsia="zh-CN"/>
              </w:rPr>
              <w:t>全部</w:t>
            </w:r>
            <w:r>
              <w:rPr>
                <w:rFonts w:hint="default" w:ascii="Times New Roman" w:hAnsi="Times New Roman" w:cs="Times New Roman"/>
                <w:spacing w:val="11"/>
                <w:position w:val="0"/>
                <w:sz w:val="24"/>
                <w:szCs w:val="24"/>
              </w:rPr>
              <w:t>废土用作矿区填方修路</w:t>
            </w:r>
            <w:r>
              <w:rPr>
                <w:rFonts w:hint="default" w:ascii="Times New Roman" w:hAnsi="Times New Roman" w:cs="Times New Roman"/>
                <w:spacing w:val="11"/>
                <w:position w:val="0"/>
                <w:sz w:val="24"/>
                <w:szCs w:val="24"/>
                <w:lang w:eastAsia="zh-CN"/>
              </w:rPr>
              <w:t>及</w:t>
            </w:r>
            <w:r>
              <w:rPr>
                <w:rFonts w:hint="default" w:ascii="Times New Roman" w:hAnsi="Times New Roman" w:cs="Times New Roman"/>
                <w:spacing w:val="11"/>
                <w:position w:val="0"/>
                <w:sz w:val="24"/>
                <w:szCs w:val="24"/>
              </w:rPr>
              <w:t>矿区复垦使用</w:t>
            </w:r>
            <w:r>
              <w:rPr>
                <w:rFonts w:hint="eastAsia" w:cs="Times New Roman"/>
                <w:spacing w:val="11"/>
                <w:position w:val="0"/>
                <w:sz w:val="24"/>
                <w:szCs w:val="24"/>
                <w:lang w:eastAsia="zh-CN"/>
              </w:rPr>
              <w:t>；</w:t>
            </w:r>
            <w:r>
              <w:rPr>
                <w:rFonts w:hint="eastAsia" w:cs="Times New Roman"/>
                <w:spacing w:val="11"/>
                <w:position w:val="0"/>
                <w:sz w:val="24"/>
                <w:szCs w:val="24"/>
                <w:lang w:val="en-US" w:eastAsia="zh-CN"/>
              </w:rPr>
              <w:t>沉淀池污泥经自然干化后堆存于排土场内</w:t>
            </w:r>
            <w:r>
              <w:rPr>
                <w:rFonts w:hint="default" w:ascii="Times New Roman" w:hAnsi="Times New Roman" w:cs="Times New Roman"/>
                <w:spacing w:val="11"/>
                <w:position w:val="0"/>
                <w:sz w:val="24"/>
                <w:szCs w:val="24"/>
              </w:rPr>
              <w:t>；废</w:t>
            </w:r>
            <w:r>
              <w:rPr>
                <w:rFonts w:hint="default" w:ascii="Times New Roman" w:hAnsi="Times New Roman" w:cs="Times New Roman"/>
                <w:spacing w:val="11"/>
                <w:position w:val="0"/>
                <w:sz w:val="24"/>
                <w:szCs w:val="24"/>
                <w:lang w:val="en-US" w:eastAsia="zh-CN"/>
              </w:rPr>
              <w:t>润滑油</w:t>
            </w:r>
            <w:r>
              <w:rPr>
                <w:rFonts w:hint="default" w:ascii="Times New Roman" w:hAnsi="Times New Roman" w:cs="Times New Roman"/>
                <w:spacing w:val="11"/>
                <w:position w:val="0"/>
                <w:sz w:val="24"/>
                <w:szCs w:val="24"/>
              </w:rPr>
              <w:t>收集暂存于危废暂存间，定期委托有资质的单位转运处置；</w:t>
            </w:r>
            <w:r>
              <w:rPr>
                <w:rFonts w:hint="default" w:ascii="Times New Roman" w:hAnsi="Times New Roman" w:cs="Times New Roman"/>
                <w:spacing w:val="11"/>
                <w:position w:val="0"/>
                <w:sz w:val="24"/>
                <w:szCs w:val="24"/>
                <w:lang w:val="en-US" w:eastAsia="zh-CN"/>
              </w:rPr>
              <w:t>生活垃圾</w:t>
            </w:r>
            <w:r>
              <w:rPr>
                <w:rFonts w:hint="default" w:ascii="Times New Roman" w:hAnsi="Times New Roman" w:cs="Times New Roman"/>
                <w:spacing w:val="11"/>
                <w:position w:val="0"/>
                <w:sz w:val="24"/>
                <w:szCs w:val="24"/>
              </w:rPr>
              <w:t>交由环卫部门统一处置</w:t>
            </w:r>
            <w:r>
              <w:rPr>
                <w:rFonts w:hint="eastAsia" w:cs="Times New Roman"/>
                <w:spacing w:val="11"/>
                <w:position w:val="0"/>
                <w:sz w:val="24"/>
                <w:szCs w:val="24"/>
                <w:lang w:eastAsia="zh-CN"/>
              </w:rPr>
              <w:t>；</w:t>
            </w:r>
            <w:r>
              <w:rPr>
                <w:rFonts w:hint="eastAsia" w:cs="Times New Roman"/>
                <w:spacing w:val="11"/>
                <w:position w:val="0"/>
                <w:sz w:val="24"/>
                <w:szCs w:val="24"/>
                <w:lang w:val="en-US" w:eastAsia="zh-CN"/>
              </w:rPr>
              <w:t>布袋除尘器收集粉尘由建设单位收集后外售</w:t>
            </w:r>
            <w:r>
              <w:rPr>
                <w:rFonts w:hint="default" w:ascii="Times New Roman" w:hAnsi="Times New Roman" w:cs="Times New Roman"/>
                <w:spacing w:val="11"/>
                <w:position w:val="0"/>
                <w:sz w:val="24"/>
                <w:szCs w:val="24"/>
                <w:lang w:eastAsia="zh-CN"/>
              </w:rPr>
              <w:t>。</w:t>
            </w:r>
          </w:p>
        </w:tc>
        <w:tc>
          <w:tcPr>
            <w:tcW w:w="938" w:type="pct"/>
            <w:tcBorders>
              <w:tl2br w:val="nil"/>
              <w:tr2bl w:val="nil"/>
            </w:tcBorders>
            <w:shd w:val="clear" w:color="auto" w:fill="auto"/>
            <w:noWrap w:val="0"/>
            <w:vAlign w:val="center"/>
          </w:tcPr>
          <w:p w14:paraId="60C864BC">
            <w:pPr>
              <w:adjustRightInd w:val="0"/>
              <w:snapToGrid w:val="0"/>
              <w:jc w:val="center"/>
              <w:rPr>
                <w:rFonts w:hint="default" w:ascii="Times New Roman" w:hAnsi="Times New Roman" w:eastAsia="宋体" w:cs="Times New Roman"/>
                <w:spacing w:val="11"/>
                <w:kern w:val="2"/>
                <w:position w:val="0"/>
                <w:sz w:val="24"/>
                <w:szCs w:val="24"/>
                <w:lang w:val="en-US" w:eastAsia="zh-CN" w:bidi="ar-SA"/>
              </w:rPr>
            </w:pPr>
            <w:r>
              <w:rPr>
                <w:rFonts w:hint="default" w:ascii="Times New Roman" w:hAnsi="Times New Roman" w:cs="Times New Roman"/>
                <w:spacing w:val="11"/>
                <w:position w:val="0"/>
                <w:sz w:val="24"/>
                <w:szCs w:val="24"/>
              </w:rPr>
              <w:t>《一般工业固体废物贮存和填埋污染控制标准》（GB18599-2020）</w:t>
            </w:r>
            <w:r>
              <w:rPr>
                <w:rFonts w:hint="default" w:ascii="Times New Roman" w:hAnsi="Times New Roman" w:cs="Times New Roman"/>
                <w:spacing w:val="11"/>
                <w:position w:val="0"/>
                <w:sz w:val="24"/>
                <w:szCs w:val="24"/>
                <w:lang w:val="en-US" w:eastAsia="zh-CN"/>
              </w:rPr>
              <w:t>、</w:t>
            </w:r>
            <w:r>
              <w:rPr>
                <w:rFonts w:hint="default" w:ascii="Times New Roman" w:hAnsi="Times New Roman" w:cs="Times New Roman"/>
                <w:spacing w:val="11"/>
                <w:position w:val="0"/>
                <w:sz w:val="24"/>
                <w:szCs w:val="24"/>
              </w:rPr>
              <w:t>《危险废物贮存污染控制标准》（GB18597-2023）</w:t>
            </w:r>
          </w:p>
        </w:tc>
      </w:tr>
      <w:tr w14:paraId="60119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7" w:type="pct"/>
            <w:tcBorders>
              <w:tl2br w:val="nil"/>
              <w:tr2bl w:val="nil"/>
            </w:tcBorders>
            <w:noWrap w:val="0"/>
            <w:vAlign w:val="center"/>
          </w:tcPr>
          <w:p w14:paraId="567198D6">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电磁环境</w:t>
            </w:r>
          </w:p>
        </w:tc>
        <w:tc>
          <w:tcPr>
            <w:tcW w:w="938" w:type="pct"/>
            <w:tcBorders>
              <w:tl2br w:val="nil"/>
              <w:tr2bl w:val="nil"/>
            </w:tcBorders>
            <w:noWrap w:val="0"/>
            <w:vAlign w:val="center"/>
          </w:tcPr>
          <w:p w14:paraId="7827AFA9">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w:t>
            </w:r>
          </w:p>
        </w:tc>
        <w:tc>
          <w:tcPr>
            <w:tcW w:w="938" w:type="pct"/>
            <w:tcBorders>
              <w:tl2br w:val="nil"/>
              <w:tr2bl w:val="nil"/>
            </w:tcBorders>
            <w:noWrap w:val="0"/>
            <w:vAlign w:val="center"/>
          </w:tcPr>
          <w:p w14:paraId="30ED268A">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w:t>
            </w:r>
          </w:p>
        </w:tc>
        <w:tc>
          <w:tcPr>
            <w:tcW w:w="938" w:type="pct"/>
            <w:tcBorders>
              <w:tl2br w:val="nil"/>
              <w:tr2bl w:val="nil"/>
            </w:tcBorders>
            <w:noWrap w:val="0"/>
            <w:vAlign w:val="center"/>
          </w:tcPr>
          <w:p w14:paraId="70BFE043">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w:t>
            </w:r>
          </w:p>
        </w:tc>
        <w:tc>
          <w:tcPr>
            <w:tcW w:w="938" w:type="pct"/>
            <w:tcBorders>
              <w:tl2br w:val="nil"/>
              <w:tr2bl w:val="nil"/>
            </w:tcBorders>
            <w:noWrap w:val="0"/>
            <w:vAlign w:val="center"/>
          </w:tcPr>
          <w:p w14:paraId="5D6DDFB4">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w:t>
            </w:r>
          </w:p>
        </w:tc>
      </w:tr>
      <w:tr w14:paraId="276FF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7" w:type="pct"/>
            <w:tcBorders>
              <w:tl2br w:val="nil"/>
              <w:tr2bl w:val="nil"/>
            </w:tcBorders>
            <w:noWrap w:val="0"/>
            <w:vAlign w:val="center"/>
          </w:tcPr>
          <w:p w14:paraId="776381FF">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环境风险</w:t>
            </w:r>
          </w:p>
        </w:tc>
        <w:tc>
          <w:tcPr>
            <w:tcW w:w="938" w:type="pct"/>
            <w:tcBorders>
              <w:tl2br w:val="nil"/>
              <w:tr2bl w:val="nil"/>
            </w:tcBorders>
            <w:noWrap w:val="0"/>
            <w:vAlign w:val="center"/>
          </w:tcPr>
          <w:p w14:paraId="57D6BA02">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w:t>
            </w:r>
          </w:p>
        </w:tc>
        <w:tc>
          <w:tcPr>
            <w:tcW w:w="938" w:type="pct"/>
            <w:tcBorders>
              <w:tl2br w:val="nil"/>
              <w:tr2bl w:val="nil"/>
            </w:tcBorders>
            <w:noWrap w:val="0"/>
            <w:vAlign w:val="center"/>
          </w:tcPr>
          <w:p w14:paraId="61677A68">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w:t>
            </w:r>
          </w:p>
        </w:tc>
        <w:tc>
          <w:tcPr>
            <w:tcW w:w="938" w:type="pct"/>
            <w:tcBorders>
              <w:tl2br w:val="nil"/>
              <w:tr2bl w:val="nil"/>
            </w:tcBorders>
            <w:shd w:val="clear" w:color="auto" w:fill="auto"/>
            <w:noWrap w:val="0"/>
            <w:vAlign w:val="center"/>
          </w:tcPr>
          <w:p w14:paraId="78EE9D87">
            <w:pPr>
              <w:adjustRightInd w:val="0"/>
              <w:snapToGrid w:val="0"/>
              <w:spacing w:line="300" w:lineRule="exact"/>
              <w:jc w:val="center"/>
              <w:rPr>
                <w:rFonts w:hint="default" w:ascii="Times New Roman" w:hAnsi="Times New Roman" w:eastAsia="宋体" w:cs="Times New Roman"/>
                <w:spacing w:val="11"/>
                <w:kern w:val="2"/>
                <w:position w:val="0"/>
                <w:sz w:val="24"/>
                <w:szCs w:val="24"/>
                <w:lang w:val="en-US" w:eastAsia="zh-CN" w:bidi="ar-SA"/>
              </w:rPr>
            </w:pPr>
            <w:r>
              <w:rPr>
                <w:rFonts w:hint="default" w:ascii="Times New Roman" w:hAnsi="Times New Roman" w:cs="Times New Roman"/>
                <w:bCs/>
                <w:spacing w:val="11"/>
                <w:position w:val="0"/>
                <w:sz w:val="24"/>
                <w:szCs w:val="24"/>
                <w:lang w:bidi="en-US"/>
              </w:rPr>
              <w:t>润滑油储存区设接液托盘；危废暂存间设接液托盘、应急空桶；</w:t>
            </w:r>
            <w:r>
              <w:rPr>
                <w:rFonts w:hint="default" w:ascii="Times New Roman" w:hAnsi="Times New Roman" w:cs="Times New Roman"/>
                <w:spacing w:val="11"/>
                <w:position w:val="0"/>
                <w:sz w:val="24"/>
                <w:szCs w:val="24"/>
              </w:rPr>
              <w:t>采场、排土场周边设截流沟，做好爆破安全作业。</w:t>
            </w:r>
          </w:p>
        </w:tc>
        <w:tc>
          <w:tcPr>
            <w:tcW w:w="938" w:type="pct"/>
            <w:tcBorders>
              <w:tl2br w:val="nil"/>
              <w:tr2bl w:val="nil"/>
            </w:tcBorders>
            <w:noWrap w:val="0"/>
            <w:vAlign w:val="center"/>
          </w:tcPr>
          <w:p w14:paraId="01C0C67C">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w:t>
            </w:r>
          </w:p>
        </w:tc>
      </w:tr>
      <w:tr w14:paraId="02241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7" w:type="pct"/>
            <w:tcBorders>
              <w:tl2br w:val="nil"/>
              <w:tr2bl w:val="nil"/>
            </w:tcBorders>
            <w:noWrap w:val="0"/>
            <w:vAlign w:val="center"/>
          </w:tcPr>
          <w:p w14:paraId="42695E7C">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环境监测</w:t>
            </w:r>
          </w:p>
        </w:tc>
        <w:tc>
          <w:tcPr>
            <w:tcW w:w="938" w:type="pct"/>
            <w:tcBorders>
              <w:tl2br w:val="nil"/>
              <w:tr2bl w:val="nil"/>
            </w:tcBorders>
            <w:noWrap w:val="0"/>
            <w:vAlign w:val="center"/>
          </w:tcPr>
          <w:p w14:paraId="0134C19E">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w:t>
            </w:r>
          </w:p>
        </w:tc>
        <w:tc>
          <w:tcPr>
            <w:tcW w:w="938" w:type="pct"/>
            <w:tcBorders>
              <w:tl2br w:val="nil"/>
              <w:tr2bl w:val="nil"/>
            </w:tcBorders>
            <w:noWrap w:val="0"/>
            <w:vAlign w:val="center"/>
          </w:tcPr>
          <w:p w14:paraId="19C709CF">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w:t>
            </w:r>
          </w:p>
        </w:tc>
        <w:tc>
          <w:tcPr>
            <w:tcW w:w="938" w:type="pct"/>
            <w:tcBorders>
              <w:tl2br w:val="nil"/>
              <w:tr2bl w:val="nil"/>
            </w:tcBorders>
            <w:noWrap w:val="0"/>
            <w:vAlign w:val="center"/>
          </w:tcPr>
          <w:p w14:paraId="4F260FFB">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w:t>
            </w:r>
          </w:p>
        </w:tc>
        <w:tc>
          <w:tcPr>
            <w:tcW w:w="938" w:type="pct"/>
            <w:tcBorders>
              <w:tl2br w:val="nil"/>
              <w:tr2bl w:val="nil"/>
            </w:tcBorders>
            <w:noWrap w:val="0"/>
            <w:vAlign w:val="center"/>
          </w:tcPr>
          <w:p w14:paraId="4A895E9E">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eastAsia="宋体" w:cs="Times New Roman"/>
                <w:color w:val="auto"/>
                <w:spacing w:val="11"/>
                <w:position w:val="0"/>
                <w:sz w:val="24"/>
                <w:szCs w:val="24"/>
                <w:lang w:val="en-US" w:eastAsia="zh-CN"/>
              </w:rPr>
              <w:t>/</w:t>
            </w:r>
          </w:p>
        </w:tc>
      </w:tr>
      <w:tr w14:paraId="77C7C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7" w:type="pct"/>
            <w:tcBorders>
              <w:tl2br w:val="nil"/>
              <w:tr2bl w:val="nil"/>
            </w:tcBorders>
            <w:noWrap w:val="0"/>
            <w:vAlign w:val="center"/>
          </w:tcPr>
          <w:p w14:paraId="27612FF8">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其他</w:t>
            </w:r>
          </w:p>
        </w:tc>
        <w:tc>
          <w:tcPr>
            <w:tcW w:w="938" w:type="pct"/>
            <w:tcBorders>
              <w:tl2br w:val="nil"/>
              <w:tr2bl w:val="nil"/>
            </w:tcBorders>
            <w:noWrap w:val="0"/>
            <w:vAlign w:val="center"/>
          </w:tcPr>
          <w:p w14:paraId="75F7F93C">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cs="Times New Roman"/>
                <w:color w:val="auto"/>
                <w:spacing w:val="11"/>
                <w:position w:val="0"/>
                <w:sz w:val="24"/>
                <w:szCs w:val="24"/>
                <w:lang w:val="en-US" w:eastAsia="zh-CN"/>
              </w:rPr>
              <w:t>/</w:t>
            </w:r>
          </w:p>
        </w:tc>
        <w:tc>
          <w:tcPr>
            <w:tcW w:w="938" w:type="pct"/>
            <w:tcBorders>
              <w:tl2br w:val="nil"/>
              <w:tr2bl w:val="nil"/>
            </w:tcBorders>
            <w:noWrap w:val="0"/>
            <w:vAlign w:val="center"/>
          </w:tcPr>
          <w:p w14:paraId="1B329DED">
            <w:pPr>
              <w:adjustRightInd w:val="0"/>
              <w:snapToGrid w:val="0"/>
              <w:jc w:val="center"/>
              <w:rPr>
                <w:rFonts w:hint="default" w:ascii="Times New Roman" w:hAnsi="Times New Roman" w:eastAsia="宋体" w:cs="Times New Roman"/>
                <w:color w:val="auto"/>
                <w:spacing w:val="11"/>
                <w:position w:val="0"/>
                <w:sz w:val="24"/>
                <w:szCs w:val="24"/>
                <w:lang w:val="en-US" w:eastAsia="zh-CN"/>
              </w:rPr>
            </w:pPr>
            <w:r>
              <w:rPr>
                <w:rFonts w:hint="default" w:ascii="Times New Roman" w:hAnsi="Times New Roman" w:cs="Times New Roman"/>
                <w:color w:val="auto"/>
                <w:spacing w:val="11"/>
                <w:position w:val="0"/>
                <w:sz w:val="24"/>
                <w:szCs w:val="24"/>
                <w:lang w:val="en-US" w:eastAsia="zh-CN"/>
              </w:rPr>
              <w:t>/</w:t>
            </w:r>
          </w:p>
        </w:tc>
        <w:tc>
          <w:tcPr>
            <w:tcW w:w="938" w:type="pct"/>
            <w:tcBorders>
              <w:tl2br w:val="nil"/>
              <w:tr2bl w:val="nil"/>
            </w:tcBorders>
            <w:shd w:val="clear" w:color="auto" w:fill="auto"/>
            <w:noWrap w:val="0"/>
            <w:vAlign w:val="center"/>
          </w:tcPr>
          <w:p w14:paraId="271A01FC">
            <w:pPr>
              <w:adjustRightInd w:val="0"/>
              <w:snapToGrid w:val="0"/>
              <w:jc w:val="center"/>
              <w:rPr>
                <w:rFonts w:hint="default" w:ascii="Times New Roman" w:hAnsi="Times New Roman" w:eastAsia="宋体" w:cs="Times New Roman"/>
                <w:spacing w:val="11"/>
                <w:position w:val="0"/>
                <w:sz w:val="24"/>
                <w:szCs w:val="24"/>
              </w:rPr>
            </w:pPr>
            <w:r>
              <w:rPr>
                <w:rFonts w:hint="default" w:ascii="Times New Roman" w:hAnsi="Times New Roman" w:cs="Times New Roman"/>
                <w:spacing w:val="11"/>
                <w:position w:val="0"/>
                <w:sz w:val="24"/>
                <w:szCs w:val="24"/>
              </w:rPr>
              <w:t>闭矿期生态恢复：开采结束后拆除矿区构筑物，对迹地清理和复绿；对开采范围内的矿坑区域进行回填和覆土，将弃渣回填至矿坑底部，耕作层土壤回填至顶部，覆土后施肥，并进行植被恢复。对矿山开采区采用喷浆、放缓边坡覆土、框格覆土、绿化等相结合的措施进</w:t>
            </w:r>
            <w:r>
              <w:rPr>
                <w:rFonts w:hint="default" w:ascii="Times New Roman" w:hAnsi="Times New Roman" w:eastAsia="宋体" w:cs="Times New Roman"/>
                <w:spacing w:val="11"/>
                <w:position w:val="0"/>
                <w:sz w:val="24"/>
                <w:szCs w:val="24"/>
              </w:rPr>
              <w:t>行生态复绿。在生产区设备设置提示牌、安全警示牌牌，设置绿色矿山宣传标语，加强企业绿色矿山建设宣传。项目建成后，按时完成竣工保护验收、完成突发环境事件应急预案备案、完成排污许可证管理</w:t>
            </w:r>
          </w:p>
          <w:p w14:paraId="1E638FCF">
            <w:pPr>
              <w:pStyle w:val="2"/>
              <w:rPr>
                <w:rFonts w:hint="default" w:ascii="Times New Roman" w:hAnsi="Times New Roman" w:eastAsia="宋体" w:cs="Times New Roman"/>
                <w:spacing w:val="11"/>
                <w:position w:val="0"/>
                <w:sz w:val="24"/>
                <w:szCs w:val="24"/>
              </w:rPr>
            </w:pPr>
          </w:p>
          <w:p w14:paraId="3717D1A1">
            <w:pPr>
              <w:pStyle w:val="2"/>
              <w:rPr>
                <w:rFonts w:hint="default" w:ascii="Times New Roman" w:hAnsi="Times New Roman" w:eastAsia="宋体" w:cs="Times New Roman"/>
                <w:spacing w:val="11"/>
                <w:position w:val="0"/>
                <w:sz w:val="24"/>
                <w:szCs w:val="24"/>
              </w:rPr>
            </w:pPr>
          </w:p>
          <w:p w14:paraId="47346C59">
            <w:pPr>
              <w:pStyle w:val="2"/>
              <w:rPr>
                <w:rFonts w:hint="default" w:ascii="Times New Roman" w:hAnsi="Times New Roman" w:eastAsia="宋体" w:cs="Times New Roman"/>
                <w:spacing w:val="11"/>
                <w:position w:val="0"/>
                <w:sz w:val="24"/>
                <w:szCs w:val="24"/>
              </w:rPr>
            </w:pPr>
          </w:p>
          <w:p w14:paraId="1A13300D">
            <w:pPr>
              <w:pStyle w:val="2"/>
              <w:rPr>
                <w:rFonts w:hint="default" w:ascii="Times New Roman" w:hAnsi="Times New Roman" w:eastAsia="宋体" w:cs="Times New Roman"/>
                <w:spacing w:val="11"/>
                <w:position w:val="0"/>
                <w:sz w:val="24"/>
                <w:szCs w:val="24"/>
              </w:rPr>
            </w:pPr>
          </w:p>
          <w:p w14:paraId="5C63DAC9">
            <w:pPr>
              <w:pStyle w:val="2"/>
              <w:rPr>
                <w:rFonts w:hint="default" w:ascii="Times New Roman" w:hAnsi="Times New Roman" w:eastAsia="宋体" w:cs="Times New Roman"/>
                <w:spacing w:val="11"/>
                <w:position w:val="0"/>
                <w:sz w:val="24"/>
                <w:szCs w:val="24"/>
              </w:rPr>
            </w:pPr>
          </w:p>
          <w:p w14:paraId="586695C6">
            <w:pPr>
              <w:pStyle w:val="2"/>
              <w:rPr>
                <w:rFonts w:hint="default" w:ascii="Times New Roman" w:hAnsi="Times New Roman" w:eastAsia="宋体" w:cs="Times New Roman"/>
                <w:spacing w:val="11"/>
                <w:position w:val="0"/>
                <w:sz w:val="24"/>
                <w:szCs w:val="24"/>
              </w:rPr>
            </w:pPr>
          </w:p>
          <w:p w14:paraId="0D673A50">
            <w:pPr>
              <w:pStyle w:val="2"/>
              <w:rPr>
                <w:rFonts w:hint="default" w:ascii="Times New Roman" w:hAnsi="Times New Roman" w:eastAsia="宋体" w:cs="Times New Roman"/>
                <w:spacing w:val="11"/>
                <w:position w:val="0"/>
                <w:sz w:val="24"/>
                <w:szCs w:val="24"/>
              </w:rPr>
            </w:pPr>
          </w:p>
          <w:p w14:paraId="7E866638">
            <w:pPr>
              <w:pStyle w:val="2"/>
              <w:rPr>
                <w:rFonts w:hint="default" w:ascii="Times New Roman" w:hAnsi="Times New Roman" w:eastAsia="宋体" w:cs="Times New Roman"/>
                <w:spacing w:val="11"/>
                <w:position w:val="0"/>
                <w:sz w:val="24"/>
                <w:szCs w:val="24"/>
              </w:rPr>
            </w:pPr>
          </w:p>
          <w:p w14:paraId="4A96CC4D">
            <w:pPr>
              <w:pStyle w:val="2"/>
              <w:rPr>
                <w:rFonts w:hint="default" w:ascii="Times New Roman" w:hAnsi="Times New Roman" w:eastAsia="宋体" w:cs="Times New Roman"/>
                <w:spacing w:val="11"/>
                <w:position w:val="0"/>
                <w:sz w:val="24"/>
                <w:szCs w:val="24"/>
              </w:rPr>
            </w:pPr>
          </w:p>
          <w:p w14:paraId="3DB73208">
            <w:pPr>
              <w:pStyle w:val="2"/>
              <w:rPr>
                <w:rFonts w:hint="default" w:ascii="Times New Roman" w:hAnsi="Times New Roman" w:eastAsia="宋体" w:cs="Times New Roman"/>
                <w:spacing w:val="11"/>
                <w:position w:val="0"/>
                <w:sz w:val="24"/>
                <w:szCs w:val="24"/>
              </w:rPr>
            </w:pPr>
          </w:p>
          <w:p w14:paraId="7E0A54CC">
            <w:pPr>
              <w:pStyle w:val="2"/>
              <w:rPr>
                <w:rFonts w:hint="default" w:ascii="Times New Roman" w:hAnsi="Times New Roman" w:eastAsia="宋体" w:cs="Times New Roman"/>
                <w:spacing w:val="11"/>
                <w:position w:val="0"/>
                <w:sz w:val="24"/>
                <w:szCs w:val="24"/>
              </w:rPr>
            </w:pPr>
          </w:p>
          <w:p w14:paraId="614EB38F">
            <w:pPr>
              <w:pStyle w:val="2"/>
              <w:rPr>
                <w:rFonts w:hint="default" w:ascii="Times New Roman" w:hAnsi="Times New Roman" w:eastAsia="宋体" w:cs="Times New Roman"/>
                <w:spacing w:val="11"/>
                <w:position w:val="0"/>
                <w:sz w:val="24"/>
                <w:szCs w:val="24"/>
              </w:rPr>
            </w:pPr>
          </w:p>
          <w:p w14:paraId="4468D8AD">
            <w:pPr>
              <w:pStyle w:val="2"/>
              <w:rPr>
                <w:rFonts w:hint="default" w:ascii="Times New Roman" w:hAnsi="Times New Roman" w:eastAsia="宋体" w:cs="Times New Roman"/>
                <w:spacing w:val="11"/>
                <w:position w:val="0"/>
                <w:sz w:val="24"/>
                <w:szCs w:val="24"/>
              </w:rPr>
            </w:pPr>
          </w:p>
          <w:p w14:paraId="05D407FE">
            <w:pPr>
              <w:pStyle w:val="2"/>
              <w:rPr>
                <w:rFonts w:hint="default" w:ascii="Times New Roman" w:hAnsi="Times New Roman" w:eastAsia="宋体" w:cs="Times New Roman"/>
                <w:spacing w:val="11"/>
                <w:position w:val="0"/>
                <w:sz w:val="24"/>
                <w:szCs w:val="24"/>
              </w:rPr>
            </w:pPr>
          </w:p>
          <w:p w14:paraId="500194DC">
            <w:pPr>
              <w:pStyle w:val="2"/>
              <w:rPr>
                <w:rFonts w:hint="default" w:ascii="Times New Roman" w:hAnsi="Times New Roman" w:eastAsia="宋体" w:cs="Times New Roman"/>
                <w:spacing w:val="11"/>
                <w:position w:val="0"/>
                <w:sz w:val="24"/>
                <w:szCs w:val="24"/>
                <w:lang w:val="en-US" w:eastAsia="zh-CN"/>
              </w:rPr>
            </w:pPr>
          </w:p>
        </w:tc>
        <w:tc>
          <w:tcPr>
            <w:tcW w:w="938" w:type="pct"/>
            <w:tcBorders>
              <w:tl2br w:val="nil"/>
              <w:tr2bl w:val="nil"/>
            </w:tcBorders>
            <w:shd w:val="clear" w:color="auto" w:fill="auto"/>
            <w:noWrap w:val="0"/>
            <w:vAlign w:val="center"/>
          </w:tcPr>
          <w:p w14:paraId="3AEE918B">
            <w:pPr>
              <w:adjustRightInd w:val="0"/>
              <w:snapToGrid w:val="0"/>
              <w:spacing w:line="300" w:lineRule="exact"/>
              <w:jc w:val="center"/>
              <w:rPr>
                <w:rFonts w:hint="default" w:ascii="Times New Roman" w:hAnsi="Times New Roman" w:eastAsia="宋体" w:cs="Times New Roman"/>
                <w:spacing w:val="11"/>
                <w:kern w:val="2"/>
                <w:position w:val="0"/>
                <w:sz w:val="24"/>
                <w:szCs w:val="24"/>
                <w:lang w:val="en-US" w:eastAsia="zh-CN" w:bidi="ar-SA"/>
              </w:rPr>
            </w:pPr>
            <w:r>
              <w:rPr>
                <w:rFonts w:hint="default" w:ascii="Times New Roman" w:hAnsi="Times New Roman" w:cs="Times New Roman"/>
                <w:spacing w:val="11"/>
                <w:position w:val="0"/>
                <w:sz w:val="24"/>
                <w:szCs w:val="24"/>
              </w:rPr>
              <w:t>《土地复垦质量控制标准》（TD/T1036-2013）</w:t>
            </w:r>
          </w:p>
        </w:tc>
      </w:tr>
    </w:tbl>
    <w:p w14:paraId="415142E3">
      <w:pPr>
        <w:pStyle w:val="2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pacing w:val="11"/>
          <w:position w:val="0"/>
          <w:sz w:val="30"/>
          <w:szCs w:val="30"/>
        </w:rPr>
      </w:pPr>
      <w:r>
        <w:rPr>
          <w:rFonts w:hint="default" w:ascii="Times New Roman" w:hAnsi="Times New Roman" w:eastAsia="宋体" w:cs="Times New Roman"/>
          <w:snapToGrid w:val="0"/>
          <w:color w:val="auto"/>
          <w:spacing w:val="11"/>
          <w:position w:val="0"/>
          <w:sz w:val="15"/>
          <w:szCs w:val="15"/>
        </w:rPr>
        <w:br w:type="page"/>
      </w:r>
      <w:bookmarkStart w:id="95" w:name="_Toc16632"/>
      <w:bookmarkStart w:id="96" w:name="_Toc30086"/>
      <w:r>
        <w:rPr>
          <w:rFonts w:hint="default" w:ascii="Times New Roman" w:hAnsi="Times New Roman" w:eastAsia="宋体" w:cs="Times New Roman"/>
          <w:b/>
          <w:bCs/>
          <w:snapToGrid w:val="0"/>
          <w:color w:val="auto"/>
          <w:spacing w:val="11"/>
          <w:position w:val="0"/>
          <w:sz w:val="30"/>
          <w:szCs w:val="30"/>
        </w:rPr>
        <w:t>七、结论</w:t>
      </w:r>
      <w:bookmarkEnd w:id="95"/>
      <w:bookmarkEnd w:id="96"/>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78A4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tcBorders>
              <w:tl2br w:val="nil"/>
              <w:tr2bl w:val="nil"/>
            </w:tcBorders>
            <w:noWrap w:val="0"/>
            <w:vAlign w:val="top"/>
          </w:tcPr>
          <w:p w14:paraId="0AF4FB3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hint="default" w:ascii="Times New Roman" w:hAnsi="Times New Roman" w:eastAsia="宋体" w:cs="Times New Roman"/>
                <w:color w:val="auto"/>
                <w:spacing w:val="11"/>
                <w:position w:val="0"/>
                <w:sz w:val="24"/>
                <w:szCs w:val="22"/>
              </w:rPr>
            </w:pPr>
            <w:r>
              <w:rPr>
                <w:rFonts w:hint="default" w:ascii="Times New Roman" w:hAnsi="Times New Roman" w:eastAsia="宋体" w:cs="Times New Roman"/>
                <w:color w:val="auto"/>
                <w:spacing w:val="11"/>
                <w:position w:val="0"/>
                <w:sz w:val="24"/>
                <w:szCs w:val="22"/>
              </w:rPr>
              <w:t>综上所述，项目符合国家有关产业政策，选址合理。项目在运营过程中产生一定量的废气、废水、噪声及固体废物，在严格执行拟定和环评要求的各项环境保护措施，实施环境管理后，各项污染物均能稳定达标排放，对周围环境的影响可以控制在国家有关标准和要求的允许范围内，并将产生较好的社会效益和经济效益。因此，从环境保护角度而言，该项目的建设可行。</w:t>
            </w:r>
          </w:p>
          <w:p w14:paraId="4EF1941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hint="default" w:ascii="Times New Roman" w:hAnsi="Times New Roman" w:eastAsia="宋体" w:cs="Times New Roman"/>
                <w:color w:val="auto"/>
                <w:spacing w:val="11"/>
                <w:position w:val="0"/>
                <w:sz w:val="24"/>
                <w:szCs w:val="22"/>
              </w:rPr>
            </w:pPr>
          </w:p>
          <w:p w14:paraId="0826F599">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hint="default" w:ascii="Times New Roman" w:hAnsi="Times New Roman" w:eastAsia="宋体" w:cs="Times New Roman"/>
                <w:color w:val="auto"/>
                <w:spacing w:val="11"/>
                <w:position w:val="0"/>
                <w:sz w:val="24"/>
                <w:szCs w:val="22"/>
              </w:rPr>
            </w:pPr>
          </w:p>
          <w:p w14:paraId="70BCEDC2">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2B7489A6">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290040D2">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2E3EC52B">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428DC9FE">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6462E43B">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03F215E9">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48C80652">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41EB3CB4">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770DF69E">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366B8352">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19C896D7">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24C47095">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28F25A8A">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16BE0EAE">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3357D124">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79BF846C">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6466FB52">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40448598">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6B275795">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05E58694">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77A9970E">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24" w:firstLineChars="200"/>
              <w:jc w:val="both"/>
              <w:textAlignment w:val="auto"/>
              <w:rPr>
                <w:rFonts w:hint="eastAsia" w:cs="Times New Roman"/>
                <w:color w:val="auto"/>
                <w:spacing w:val="11"/>
                <w:position w:val="0"/>
                <w:sz w:val="24"/>
                <w:szCs w:val="22"/>
                <w:lang w:val="en-US" w:eastAsia="zh-CN"/>
              </w:rPr>
            </w:pPr>
          </w:p>
          <w:p w14:paraId="2FC1C096">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both"/>
              <w:textAlignment w:val="auto"/>
              <w:rPr>
                <w:rFonts w:hint="eastAsia" w:cs="Times New Roman"/>
                <w:color w:val="auto"/>
                <w:spacing w:val="11"/>
                <w:position w:val="0"/>
                <w:sz w:val="15"/>
                <w:szCs w:val="15"/>
                <w:lang w:val="en-US" w:eastAsia="zh-CN"/>
              </w:rPr>
            </w:pPr>
          </w:p>
          <w:p w14:paraId="34FA9F7E">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both"/>
              <w:textAlignment w:val="auto"/>
              <w:rPr>
                <w:rFonts w:hint="eastAsia" w:ascii="Times New Roman" w:hAnsi="Times New Roman" w:eastAsia="宋体" w:cs="Times New Roman"/>
                <w:color w:val="auto"/>
                <w:spacing w:val="11"/>
                <w:position w:val="0"/>
                <w:szCs w:val="21"/>
                <w:lang w:val="en-US" w:eastAsia="zh-CN"/>
              </w:rPr>
            </w:pPr>
            <w:r>
              <w:rPr>
                <w:rFonts w:hint="eastAsia" w:cs="Times New Roman"/>
                <w:color w:val="auto"/>
                <w:spacing w:val="11"/>
                <w:position w:val="0"/>
                <w:sz w:val="15"/>
                <w:szCs w:val="15"/>
                <w:lang w:val="en-US" w:eastAsia="zh-CN"/>
              </w:rPr>
              <w:t xml:space="preserve"> </w:t>
            </w:r>
          </w:p>
        </w:tc>
      </w:tr>
    </w:tbl>
    <w:p w14:paraId="56E191D7">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11"/>
          <w:position w:val="0"/>
          <w:sz w:val="10"/>
          <w:szCs w:val="10"/>
        </w:rPr>
      </w:pPr>
    </w:p>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943E1">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6333F">
    <w:pPr>
      <w:pStyle w:val="23"/>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E3A393">
                          <w:pPr>
                            <w:pStyle w:val="23"/>
                          </w:pPr>
                          <w:r>
                            <w:fldChar w:fldCharType="begin"/>
                          </w:r>
                          <w:r>
                            <w:instrText xml:space="preserve"> PAGE  \* MERGEFORMAT </w:instrText>
                          </w:r>
                          <w:r>
                            <w:fldChar w:fldCharType="separate"/>
                          </w:r>
                          <w:r>
                            <w:t>22</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8Kz6jdAQAAvgMAAA4AAAAAAAAA&#10;AQAgAAAAHgEAAGRycy9lMm9Eb2MueG1sUEsFBgAAAAAGAAYAWQEAAG0FAAAAAA==&#10;">
              <v:fill on="f" focussize="0,0"/>
              <v:stroke on="f"/>
              <v:imagedata o:title=""/>
              <o:lock v:ext="edit" aspectratio="f"/>
              <v:textbox inset="0mm,0mm,0mm,0mm" style="mso-fit-shape-to-text:t;">
                <w:txbxContent>
                  <w:p w14:paraId="6AE3A393">
                    <w:pPr>
                      <w:pStyle w:val="23"/>
                    </w:pPr>
                    <w:r>
                      <w:fldChar w:fldCharType="begin"/>
                    </w:r>
                    <w:r>
                      <w:instrText xml:space="preserve"> PAGE  \* MERGEFORMAT </w:instrText>
                    </w:r>
                    <w:r>
                      <w:fldChar w:fldCharType="separate"/>
                    </w:r>
                    <w:r>
                      <w:t>22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2F8E4">
    <w:pPr>
      <w:pStyle w:val="24"/>
      <w:widowControl w:val="0"/>
      <w:pBdr>
        <w:top w:val="none" w:color="auto" w:sz="0" w:space="1"/>
        <w:left w:val="none" w:color="auto" w:sz="0" w:space="4"/>
        <w:bottom w:val="none" w:color="auto" w:sz="0" w:space="1"/>
        <w:right w:val="none" w:color="auto" w:sz="0" w:space="4"/>
        <w:between w:val="none" w:color="auto" w:sz="0" w:space="0"/>
      </w:pBdr>
      <w:snapToGrid w:val="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C5DBC0"/>
    <w:multiLevelType w:val="singleLevel"/>
    <w:tmpl w:val="ABC5DBC0"/>
    <w:lvl w:ilvl="0" w:tentative="0">
      <w:start w:val="1"/>
      <w:numFmt w:val="decimal"/>
      <w:suff w:val="nothing"/>
      <w:lvlText w:val="%1、"/>
      <w:lvlJc w:val="left"/>
    </w:lvl>
  </w:abstractNum>
  <w:abstractNum w:abstractNumId="1">
    <w:nsid w:val="ADA1230C"/>
    <w:multiLevelType w:val="singleLevel"/>
    <w:tmpl w:val="ADA1230C"/>
    <w:lvl w:ilvl="0" w:tentative="0">
      <w:start w:val="2"/>
      <w:numFmt w:val="decimal"/>
      <w:suff w:val="nothing"/>
      <w:lvlText w:val="（%1）"/>
      <w:lvlJc w:val="left"/>
    </w:lvl>
  </w:abstractNum>
  <w:abstractNum w:abstractNumId="2">
    <w:nsid w:val="BE2B66CC"/>
    <w:multiLevelType w:val="singleLevel"/>
    <w:tmpl w:val="BE2B66CC"/>
    <w:lvl w:ilvl="0" w:tentative="0">
      <w:start w:val="1"/>
      <w:numFmt w:val="decimal"/>
      <w:suff w:val="nothing"/>
      <w:lvlText w:val="%1、"/>
      <w:lvlJc w:val="left"/>
    </w:lvl>
  </w:abstractNum>
  <w:abstractNum w:abstractNumId="3">
    <w:nsid w:val="FEC0C920"/>
    <w:multiLevelType w:val="singleLevel"/>
    <w:tmpl w:val="FEC0C920"/>
    <w:lvl w:ilvl="0" w:tentative="0">
      <w:start w:val="1"/>
      <w:numFmt w:val="bullet"/>
      <w:pStyle w:val="11"/>
      <w:lvlText w:val=""/>
      <w:lvlJc w:val="left"/>
      <w:pPr>
        <w:tabs>
          <w:tab w:val="left" w:pos="780"/>
        </w:tabs>
        <w:ind w:left="780" w:hanging="360"/>
      </w:pPr>
      <w:rPr>
        <w:rFonts w:hint="default" w:ascii="Wingdings" w:hAnsi="Wingdings"/>
      </w:rPr>
    </w:lvl>
  </w:abstractNum>
  <w:abstractNum w:abstractNumId="4">
    <w:nsid w:val="057B6B10"/>
    <w:multiLevelType w:val="multilevel"/>
    <w:tmpl w:val="057B6B10"/>
    <w:lvl w:ilvl="0" w:tentative="0">
      <w:start w:val="1"/>
      <w:numFmt w:val="decimal"/>
      <w:suff w:val="space"/>
      <w:lvlText w:val="%1"/>
      <w:lvlJc w:val="left"/>
      <w:pPr>
        <w:ind w:left="1532" w:hanging="255"/>
      </w:pPr>
      <w:rPr>
        <w:rFonts w:hint="default" w:ascii="Times New Roman" w:hAnsi="Times New Roman" w:eastAsia="黑体"/>
        <w:b/>
        <w:bCs/>
        <w:i w:val="0"/>
        <w:sz w:val="30"/>
        <w:szCs w:val="30"/>
      </w:rPr>
    </w:lvl>
    <w:lvl w:ilvl="1" w:tentative="0">
      <w:start w:val="1"/>
      <w:numFmt w:val="decimal"/>
      <w:suff w:val="space"/>
      <w:lvlText w:val="%1.%2"/>
      <w:lvlJc w:val="left"/>
      <w:pPr>
        <w:ind w:left="0" w:firstLine="0"/>
      </w:pPr>
      <w:rPr>
        <w:rFonts w:hint="default" w:ascii="Times New Roman" w:hAnsi="Times New Roman" w:eastAsia="宋体"/>
        <w:b/>
        <w:bCs/>
        <w:i w:val="0"/>
        <w:sz w:val="28"/>
        <w:szCs w:val="28"/>
      </w:rPr>
    </w:lvl>
    <w:lvl w:ilvl="2" w:tentative="0">
      <w:start w:val="1"/>
      <w:numFmt w:val="decimal"/>
      <w:suff w:val="space"/>
      <w:lvlText w:val="%1.%2.%3"/>
      <w:lvlJc w:val="left"/>
      <w:pPr>
        <w:ind w:left="0" w:firstLine="0"/>
      </w:pPr>
      <w:rPr>
        <w:rFonts w:hint="default" w:ascii="Times New Roman" w:hAnsi="Times New Roman" w:eastAsia="宋体" w:cs="Times New Roman"/>
        <w:b/>
        <w:bCs/>
        <w:i w:val="0"/>
        <w:iCs w:val="0"/>
        <w:caps w:val="0"/>
        <w:smallCaps w:val="0"/>
        <w:strike w:val="0"/>
        <w:dstrike w:val="0"/>
        <w:vanish w:val="0"/>
        <w:spacing w:val="0"/>
        <w:position w:val="0"/>
        <w:sz w:val="24"/>
        <w:szCs w:val="24"/>
        <w:u w:val="none"/>
        <w:vertAlign w:val="baseline"/>
      </w:rPr>
    </w:lvl>
    <w:lvl w:ilvl="3" w:tentative="0">
      <w:start w:val="1"/>
      <w:numFmt w:val="decimal"/>
      <w:suff w:val="space"/>
      <w:lvlText w:val="%1.%2.%3.%4"/>
      <w:lvlJc w:val="left"/>
      <w:pPr>
        <w:ind w:left="851" w:hanging="851"/>
      </w:pPr>
      <w:rPr>
        <w:rFonts w:hint="default" w:ascii="Times New Roman" w:hAnsi="Times New Roman" w:eastAsia="宋体" w:cs="Times New Roman"/>
        <w:b/>
        <w:bCs/>
        <w:i w:val="0"/>
        <w:iCs w:val="0"/>
        <w:caps w:val="0"/>
        <w:smallCaps w:val="0"/>
        <w:strike w:val="0"/>
        <w:dstrike w:val="0"/>
        <w:vanish w:val="0"/>
        <w:spacing w:val="0"/>
        <w:position w:val="0"/>
        <w:sz w:val="24"/>
        <w:szCs w:val="24"/>
        <w:u w:val="none"/>
        <w:vertAlign w:val="baseline"/>
      </w:rPr>
    </w:lvl>
    <w:lvl w:ilvl="4" w:tentative="0">
      <w:start w:val="1"/>
      <w:numFmt w:val="decimal"/>
      <w:lvlRestart w:val="1"/>
      <w:pStyle w:val="78"/>
      <w:isLgl/>
      <w:lvlText w:val="表%1-%5"/>
      <w:lvlJc w:val="center"/>
      <w:pPr>
        <w:tabs>
          <w:tab w:val="left" w:pos="7882"/>
        </w:tabs>
        <w:ind w:left="8075" w:firstLine="0"/>
      </w:pPr>
      <w:rPr>
        <w:rFonts w:hint="default" w:ascii="Times New Roman" w:hAnsi="Times New Roman"/>
        <w:b/>
        <w:bCs w:val="0"/>
        <w:i w:val="0"/>
        <w:iCs w:val="0"/>
        <w:caps w:val="0"/>
        <w:smallCaps w:val="0"/>
        <w:strike w:val="0"/>
        <w:dstrike w:val="0"/>
        <w:vanish w:val="0"/>
        <w:spacing w:val="0"/>
        <w:position w:val="0"/>
        <w:u w:val="none"/>
        <w:vertAlign w:val="baseline"/>
      </w:rPr>
    </w:lvl>
    <w:lvl w:ilvl="5" w:tentative="0">
      <w:start w:val="1"/>
      <w:numFmt w:val="decimal"/>
      <w:lvlRestart w:val="1"/>
      <w:isLgl/>
      <w:suff w:val="space"/>
      <w:lvlText w:val="图%1-%6"/>
      <w:lvlJc w:val="center"/>
      <w:pPr>
        <w:ind w:left="0" w:firstLine="288"/>
      </w:pPr>
      <w:rPr>
        <w:rFonts w:hint="default" w:ascii="Times New Roman" w:hAnsi="Times New Roman" w:eastAsia="宋体" w:cs="Times New Roman"/>
        <w:b/>
        <w:bCs w:val="0"/>
        <w:i w:val="0"/>
        <w:iCs w:val="0"/>
        <w:caps w:val="0"/>
        <w:smallCaps w:val="0"/>
        <w:strike w:val="0"/>
        <w:dstrike w:val="0"/>
        <w:vanish w:val="0"/>
        <w:spacing w:val="0"/>
        <w:position w:val="0"/>
        <w:sz w:val="24"/>
        <w:szCs w:val="24"/>
        <w:u w:val="none"/>
        <w:vertAlign w:val="baseline"/>
      </w:rPr>
    </w:lvl>
    <w:lvl w:ilvl="6" w:tentative="0">
      <w:start w:val="1"/>
      <w:numFmt w:val="decimal"/>
      <w:lvlRestart w:val="4"/>
      <w:suff w:val="nothing"/>
      <w:lvlText w:val="（%7）"/>
      <w:lvlJc w:val="left"/>
      <w:pPr>
        <w:ind w:left="0" w:firstLine="400"/>
      </w:pPr>
      <w:rPr>
        <w:rFonts w:hint="default" w:ascii="Times New Roman" w:hAnsi="Times New Roman" w:eastAsia="宋体"/>
        <w:b w:val="0"/>
        <w:i w:val="0"/>
        <w:sz w:val="24"/>
        <w:szCs w:val="24"/>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333C"/>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D5517"/>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10C299E"/>
    <w:rsid w:val="05742AC8"/>
    <w:rsid w:val="06352F05"/>
    <w:rsid w:val="063E7D85"/>
    <w:rsid w:val="070875E0"/>
    <w:rsid w:val="07293586"/>
    <w:rsid w:val="07295285"/>
    <w:rsid w:val="07770C56"/>
    <w:rsid w:val="079317E2"/>
    <w:rsid w:val="092217DD"/>
    <w:rsid w:val="093A7294"/>
    <w:rsid w:val="0A45336C"/>
    <w:rsid w:val="0AA84C9A"/>
    <w:rsid w:val="0BD27BF6"/>
    <w:rsid w:val="0D1A5D55"/>
    <w:rsid w:val="0E110D06"/>
    <w:rsid w:val="0F1130D3"/>
    <w:rsid w:val="0F13775A"/>
    <w:rsid w:val="0F9A112B"/>
    <w:rsid w:val="0FF83088"/>
    <w:rsid w:val="106D2F64"/>
    <w:rsid w:val="10B63710"/>
    <w:rsid w:val="10F223A9"/>
    <w:rsid w:val="111C2F7A"/>
    <w:rsid w:val="113013DE"/>
    <w:rsid w:val="11E748B4"/>
    <w:rsid w:val="122B06C2"/>
    <w:rsid w:val="13951726"/>
    <w:rsid w:val="14396509"/>
    <w:rsid w:val="1447165C"/>
    <w:rsid w:val="155F2339"/>
    <w:rsid w:val="16085849"/>
    <w:rsid w:val="1662251B"/>
    <w:rsid w:val="17735226"/>
    <w:rsid w:val="17FA4720"/>
    <w:rsid w:val="18726EA7"/>
    <w:rsid w:val="189D5A8C"/>
    <w:rsid w:val="19CE219A"/>
    <w:rsid w:val="1A0674CD"/>
    <w:rsid w:val="1A1C66C0"/>
    <w:rsid w:val="1A342ACE"/>
    <w:rsid w:val="1A3B555D"/>
    <w:rsid w:val="1A42393B"/>
    <w:rsid w:val="1AE850E2"/>
    <w:rsid w:val="1B046F80"/>
    <w:rsid w:val="1B3267B5"/>
    <w:rsid w:val="1B6A2428"/>
    <w:rsid w:val="1BC25DC8"/>
    <w:rsid w:val="1BD9502D"/>
    <w:rsid w:val="1C5E7925"/>
    <w:rsid w:val="1C887FC8"/>
    <w:rsid w:val="1D1C16BA"/>
    <w:rsid w:val="1D5F6196"/>
    <w:rsid w:val="1D6132A5"/>
    <w:rsid w:val="1D8E56D5"/>
    <w:rsid w:val="1E7209A9"/>
    <w:rsid w:val="1E7A43DA"/>
    <w:rsid w:val="1EB277FE"/>
    <w:rsid w:val="1EF957A0"/>
    <w:rsid w:val="1FE7539E"/>
    <w:rsid w:val="20963CB8"/>
    <w:rsid w:val="20B07FB6"/>
    <w:rsid w:val="213B74B1"/>
    <w:rsid w:val="215A2310"/>
    <w:rsid w:val="21D8786F"/>
    <w:rsid w:val="21DE318A"/>
    <w:rsid w:val="21EF5B80"/>
    <w:rsid w:val="2230611F"/>
    <w:rsid w:val="22576990"/>
    <w:rsid w:val="229C4EAB"/>
    <w:rsid w:val="22B40BE6"/>
    <w:rsid w:val="22D261A7"/>
    <w:rsid w:val="252D53FE"/>
    <w:rsid w:val="257A33DD"/>
    <w:rsid w:val="25C93F01"/>
    <w:rsid w:val="25E46D6D"/>
    <w:rsid w:val="25EC2D81"/>
    <w:rsid w:val="264528BD"/>
    <w:rsid w:val="27D15DD1"/>
    <w:rsid w:val="28A76295"/>
    <w:rsid w:val="29206EB8"/>
    <w:rsid w:val="29E325E0"/>
    <w:rsid w:val="2A452503"/>
    <w:rsid w:val="2B487ADA"/>
    <w:rsid w:val="2BA936A8"/>
    <w:rsid w:val="2C315A5A"/>
    <w:rsid w:val="2D281E7D"/>
    <w:rsid w:val="2D31114B"/>
    <w:rsid w:val="2D9E56F5"/>
    <w:rsid w:val="2E206C3A"/>
    <w:rsid w:val="2E667F96"/>
    <w:rsid w:val="2E8226AB"/>
    <w:rsid w:val="2F832C79"/>
    <w:rsid w:val="2FEF2D58"/>
    <w:rsid w:val="30580BC9"/>
    <w:rsid w:val="311E2ED7"/>
    <w:rsid w:val="314969F7"/>
    <w:rsid w:val="315C449C"/>
    <w:rsid w:val="31B82709"/>
    <w:rsid w:val="32400B34"/>
    <w:rsid w:val="329E6876"/>
    <w:rsid w:val="33C2001A"/>
    <w:rsid w:val="33D934D4"/>
    <w:rsid w:val="33FE2F6A"/>
    <w:rsid w:val="34411FA8"/>
    <w:rsid w:val="34A915E9"/>
    <w:rsid w:val="34CA69CC"/>
    <w:rsid w:val="34FE78B8"/>
    <w:rsid w:val="36074A7F"/>
    <w:rsid w:val="36923549"/>
    <w:rsid w:val="36B75FBF"/>
    <w:rsid w:val="36C93EDA"/>
    <w:rsid w:val="36FB4891"/>
    <w:rsid w:val="38282B7E"/>
    <w:rsid w:val="38F12CD3"/>
    <w:rsid w:val="38F94775"/>
    <w:rsid w:val="38FB16AC"/>
    <w:rsid w:val="392971ED"/>
    <w:rsid w:val="39387BAF"/>
    <w:rsid w:val="3B1B018F"/>
    <w:rsid w:val="3B3763D1"/>
    <w:rsid w:val="3B3C787B"/>
    <w:rsid w:val="3B590554"/>
    <w:rsid w:val="3C926B09"/>
    <w:rsid w:val="3CDA245A"/>
    <w:rsid w:val="3CEE0A37"/>
    <w:rsid w:val="3D3F4BE3"/>
    <w:rsid w:val="3EB92F87"/>
    <w:rsid w:val="3F612E4D"/>
    <w:rsid w:val="3F660E74"/>
    <w:rsid w:val="407A6407"/>
    <w:rsid w:val="423A3BCC"/>
    <w:rsid w:val="4281166C"/>
    <w:rsid w:val="43307014"/>
    <w:rsid w:val="433A6FE6"/>
    <w:rsid w:val="4350713C"/>
    <w:rsid w:val="436653E0"/>
    <w:rsid w:val="437A5885"/>
    <w:rsid w:val="43CB706C"/>
    <w:rsid w:val="44CD14E0"/>
    <w:rsid w:val="458946E9"/>
    <w:rsid w:val="45F431FB"/>
    <w:rsid w:val="46632892"/>
    <w:rsid w:val="46B93D23"/>
    <w:rsid w:val="46D955A7"/>
    <w:rsid w:val="47133957"/>
    <w:rsid w:val="4779329E"/>
    <w:rsid w:val="47A07E0C"/>
    <w:rsid w:val="48470676"/>
    <w:rsid w:val="4870272E"/>
    <w:rsid w:val="49DC7715"/>
    <w:rsid w:val="4A023139"/>
    <w:rsid w:val="4A7B576F"/>
    <w:rsid w:val="4C171CDE"/>
    <w:rsid w:val="4C4A0649"/>
    <w:rsid w:val="4C8C5620"/>
    <w:rsid w:val="4CE470D3"/>
    <w:rsid w:val="4D7243FA"/>
    <w:rsid w:val="4DEC4FB0"/>
    <w:rsid w:val="4E075D8A"/>
    <w:rsid w:val="4E946AED"/>
    <w:rsid w:val="4FC62A8C"/>
    <w:rsid w:val="4FE20F0D"/>
    <w:rsid w:val="502119D7"/>
    <w:rsid w:val="50504C4B"/>
    <w:rsid w:val="509C6E7C"/>
    <w:rsid w:val="51222267"/>
    <w:rsid w:val="5162104E"/>
    <w:rsid w:val="51B50B1C"/>
    <w:rsid w:val="51CB022A"/>
    <w:rsid w:val="52067C23"/>
    <w:rsid w:val="52186CC7"/>
    <w:rsid w:val="527C7EE5"/>
    <w:rsid w:val="52FE50B2"/>
    <w:rsid w:val="53A039CC"/>
    <w:rsid w:val="53A1505A"/>
    <w:rsid w:val="54063E08"/>
    <w:rsid w:val="543437E8"/>
    <w:rsid w:val="54DD3520"/>
    <w:rsid w:val="559B174B"/>
    <w:rsid w:val="55CE0CF4"/>
    <w:rsid w:val="56B22A9C"/>
    <w:rsid w:val="56D82456"/>
    <w:rsid w:val="57B72A76"/>
    <w:rsid w:val="57DD31D4"/>
    <w:rsid w:val="59360A8A"/>
    <w:rsid w:val="5A1D0209"/>
    <w:rsid w:val="5A3C747D"/>
    <w:rsid w:val="5ABE2233"/>
    <w:rsid w:val="5B276D18"/>
    <w:rsid w:val="5BDF5D95"/>
    <w:rsid w:val="5D566A45"/>
    <w:rsid w:val="5DF142FC"/>
    <w:rsid w:val="5DF87A0F"/>
    <w:rsid w:val="5EE4620B"/>
    <w:rsid w:val="5EF01E83"/>
    <w:rsid w:val="5F0D3E24"/>
    <w:rsid w:val="5F1A2B43"/>
    <w:rsid w:val="5FB837BB"/>
    <w:rsid w:val="5FDB52B7"/>
    <w:rsid w:val="60381F95"/>
    <w:rsid w:val="60FB291D"/>
    <w:rsid w:val="62364782"/>
    <w:rsid w:val="62D96E3A"/>
    <w:rsid w:val="63D40BE9"/>
    <w:rsid w:val="63E0211F"/>
    <w:rsid w:val="646A5DEF"/>
    <w:rsid w:val="65373578"/>
    <w:rsid w:val="654A45BB"/>
    <w:rsid w:val="666A1C0A"/>
    <w:rsid w:val="673F2C7A"/>
    <w:rsid w:val="681F6961"/>
    <w:rsid w:val="68610A2F"/>
    <w:rsid w:val="68805514"/>
    <w:rsid w:val="693F456D"/>
    <w:rsid w:val="694E2071"/>
    <w:rsid w:val="697A3B33"/>
    <w:rsid w:val="699E2456"/>
    <w:rsid w:val="6AAA4041"/>
    <w:rsid w:val="6B322639"/>
    <w:rsid w:val="6BE44633"/>
    <w:rsid w:val="6C636C38"/>
    <w:rsid w:val="6D340060"/>
    <w:rsid w:val="6D5673ED"/>
    <w:rsid w:val="6DB34098"/>
    <w:rsid w:val="6DB545B6"/>
    <w:rsid w:val="6E2F57BE"/>
    <w:rsid w:val="6E3672D1"/>
    <w:rsid w:val="6E4375A0"/>
    <w:rsid w:val="6E514CED"/>
    <w:rsid w:val="6E79491A"/>
    <w:rsid w:val="6EB563D5"/>
    <w:rsid w:val="6F225983"/>
    <w:rsid w:val="6F500A54"/>
    <w:rsid w:val="6F7C7651"/>
    <w:rsid w:val="6FD37E73"/>
    <w:rsid w:val="6FFC5590"/>
    <w:rsid w:val="700006A2"/>
    <w:rsid w:val="70301DA3"/>
    <w:rsid w:val="706D1DD0"/>
    <w:rsid w:val="70856B87"/>
    <w:rsid w:val="70D527EE"/>
    <w:rsid w:val="715B5300"/>
    <w:rsid w:val="715F4BD7"/>
    <w:rsid w:val="71D27F8A"/>
    <w:rsid w:val="71F744C6"/>
    <w:rsid w:val="71F960CF"/>
    <w:rsid w:val="726F1A8E"/>
    <w:rsid w:val="72F67015"/>
    <w:rsid w:val="731F5D5E"/>
    <w:rsid w:val="741E793C"/>
    <w:rsid w:val="756D3EB7"/>
    <w:rsid w:val="758D75E2"/>
    <w:rsid w:val="77762421"/>
    <w:rsid w:val="780F09F4"/>
    <w:rsid w:val="789C4F47"/>
    <w:rsid w:val="78A90480"/>
    <w:rsid w:val="79811327"/>
    <w:rsid w:val="79C629E2"/>
    <w:rsid w:val="7A364017"/>
    <w:rsid w:val="7A8265E1"/>
    <w:rsid w:val="7AE33940"/>
    <w:rsid w:val="7B686D42"/>
    <w:rsid w:val="7B841746"/>
    <w:rsid w:val="7C895292"/>
    <w:rsid w:val="7D0239FF"/>
    <w:rsid w:val="7D5E40CD"/>
    <w:rsid w:val="7D693BED"/>
    <w:rsid w:val="7DAD3272"/>
    <w:rsid w:val="7F3C1FA5"/>
    <w:rsid w:val="7FA034F6"/>
    <w:rsid w:val="7FD36AE7"/>
    <w:rsid w:val="7FE47E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next w:val="1"/>
    <w:qFormat/>
    <w:locked/>
    <w:uiPriority w:val="0"/>
    <w:pPr>
      <w:keepNext/>
      <w:widowControl w:val="0"/>
      <w:adjustRightInd w:val="0"/>
      <w:spacing w:line="480" w:lineRule="auto"/>
      <w:jc w:val="both"/>
      <w:textAlignment w:val="baseline"/>
      <w:outlineLvl w:val="1"/>
    </w:pPr>
    <w:rPr>
      <w:rFonts w:ascii="Times New Roman" w:hAnsi="Times New Roman" w:eastAsia="宋体" w:cs="Times New Roman"/>
      <w:kern w:val="2"/>
      <w:sz w:val="30"/>
      <w:szCs w:val="20"/>
      <w:lang w:val="en-US" w:eastAsia="zh-CN" w:bidi="ar-SA"/>
    </w:rPr>
  </w:style>
  <w:style w:type="paragraph" w:styleId="6">
    <w:name w:val="heading 3"/>
    <w:basedOn w:val="1"/>
    <w:next w:val="1"/>
    <w:qFormat/>
    <w:locked/>
    <w:uiPriority w:val="0"/>
    <w:pPr>
      <w:keepNext/>
      <w:keepLines/>
      <w:adjustRightInd w:val="0"/>
      <w:snapToGrid w:val="0"/>
      <w:spacing w:line="360" w:lineRule="auto"/>
      <w:outlineLvl w:val="2"/>
    </w:pPr>
    <w:rPr>
      <w:b/>
      <w:bCs/>
      <w:kern w:val="0"/>
      <w:sz w:val="28"/>
      <w:szCs w:val="28"/>
    </w:rPr>
  </w:style>
  <w:style w:type="paragraph" w:styleId="7">
    <w:name w:val="heading 4"/>
    <w:basedOn w:val="1"/>
    <w:next w:val="1"/>
    <w:qFormat/>
    <w:locked/>
    <w:uiPriority w:val="0"/>
    <w:pPr>
      <w:keepNext/>
      <w:keepLines/>
      <w:spacing w:before="280" w:after="290" w:line="376" w:lineRule="auto"/>
      <w:outlineLvl w:val="3"/>
    </w:pPr>
    <w:rPr>
      <w:rFonts w:ascii="Arial" w:hAnsi="Arial" w:eastAsia="黑体"/>
      <w:b/>
      <w:bCs/>
      <w:sz w:val="28"/>
      <w:szCs w:val="28"/>
    </w:rPr>
  </w:style>
  <w:style w:type="character" w:default="1" w:styleId="34">
    <w:name w:val="Default Paragraph Font"/>
    <w:semiHidden/>
    <w:qFormat/>
    <w:uiPriority w:val="0"/>
  </w:style>
  <w:style w:type="table" w:default="1" w:styleId="32">
    <w:name w:val="Normal Table"/>
    <w:semiHidden/>
    <w:qFormat/>
    <w:uiPriority w:val="0"/>
    <w:tblPr>
      <w:tblCellMar>
        <w:top w:w="0" w:type="dxa"/>
        <w:left w:w="108" w:type="dxa"/>
        <w:bottom w:w="0" w:type="dxa"/>
        <w:right w:w="108" w:type="dxa"/>
      </w:tblCellMar>
    </w:tblPr>
  </w:style>
  <w:style w:type="paragraph" w:customStyle="1" w:styleId="2">
    <w:name w:val="guo-正文缩进2"/>
    <w:basedOn w:val="3"/>
    <w:autoRedefine/>
    <w:qFormat/>
    <w:uiPriority w:val="0"/>
    <w:pPr>
      <w:tabs>
        <w:tab w:val="left" w:pos="1021"/>
      </w:tabs>
      <w:ind w:firstLine="562"/>
    </w:pPr>
  </w:style>
  <w:style w:type="paragraph" w:customStyle="1" w:styleId="3">
    <w:name w:val="guo-正文不缩进"/>
    <w:basedOn w:val="1"/>
    <w:autoRedefine/>
    <w:qFormat/>
    <w:uiPriority w:val="0"/>
    <w:pPr>
      <w:tabs>
        <w:tab w:val="left" w:pos="1021"/>
      </w:tabs>
      <w:ind w:firstLine="0"/>
    </w:pPr>
  </w:style>
  <w:style w:type="paragraph" w:styleId="8">
    <w:name w:val="E-mail Signature"/>
    <w:basedOn w:val="1"/>
    <w:next w:val="9"/>
    <w:qFormat/>
    <w:uiPriority w:val="0"/>
  </w:style>
  <w:style w:type="paragraph" w:customStyle="1" w:styleId="9">
    <w:name w:val="文章"/>
    <w:basedOn w:val="1"/>
    <w:next w:val="10"/>
    <w:qFormat/>
    <w:uiPriority w:val="0"/>
    <w:pPr>
      <w:widowControl/>
      <w:ind w:firstLine="480"/>
      <w:jc w:val="center"/>
    </w:pPr>
    <w:rPr>
      <w:rFonts w:ascii="Times New Roman" w:hAnsi="Times New Roman" w:eastAsia="宋体" w:cs="Times New Roman"/>
      <w:sz w:val="26"/>
    </w:rPr>
  </w:style>
  <w:style w:type="paragraph" w:styleId="10">
    <w:name w:val="List"/>
    <w:basedOn w:val="1"/>
    <w:next w:val="11"/>
    <w:qFormat/>
    <w:uiPriority w:val="0"/>
    <w:pPr>
      <w:ind w:left="200" w:hanging="200" w:hangingChars="200"/>
      <w:contextualSpacing/>
    </w:pPr>
  </w:style>
  <w:style w:type="paragraph" w:styleId="11">
    <w:name w:val="List Bullet 2"/>
    <w:basedOn w:val="1"/>
    <w:next w:val="12"/>
    <w:qFormat/>
    <w:uiPriority w:val="0"/>
    <w:pPr>
      <w:numPr>
        <w:ilvl w:val="0"/>
        <w:numId w:val="1"/>
      </w:numPr>
    </w:pPr>
  </w:style>
  <w:style w:type="paragraph" w:customStyle="1" w:styleId="12">
    <w:name w:val="xl70"/>
    <w:basedOn w:val="1"/>
    <w:next w:val="13"/>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8"/>
      <w:szCs w:val="18"/>
    </w:rPr>
  </w:style>
  <w:style w:type="paragraph" w:customStyle="1" w:styleId="13">
    <w:name w:val="正文缩进1"/>
    <w:basedOn w:val="1"/>
    <w:next w:val="14"/>
    <w:qFormat/>
    <w:uiPriority w:val="0"/>
    <w:pPr>
      <w:widowControl/>
      <w:spacing w:beforeLines="0" w:afterLines="0" w:line="360" w:lineRule="auto"/>
      <w:ind w:firstLine="420"/>
      <w:jc w:val="left"/>
    </w:pPr>
    <w:rPr>
      <w:sz w:val="24"/>
      <w:szCs w:val="22"/>
    </w:rPr>
  </w:style>
  <w:style w:type="paragraph" w:customStyle="1" w:styleId="14">
    <w:name w:val="td1"/>
    <w:basedOn w:val="1"/>
    <w:next w:val="1"/>
    <w:qFormat/>
    <w:uiPriority w:val="0"/>
    <w:pPr>
      <w:widowControl/>
      <w:adjustRightInd/>
      <w:snapToGrid/>
      <w:spacing w:before="100" w:beforeAutospacing="1" w:after="100" w:afterAutospacing="1" w:line="240" w:lineRule="auto"/>
      <w:ind w:firstLine="0" w:firstLineChars="0"/>
      <w:jc w:val="center"/>
    </w:pPr>
    <w:rPr>
      <w:rFonts w:ascii="宋体" w:hAnsi="宋体"/>
      <w:b/>
      <w:bCs/>
      <w:snapToGrid/>
      <w:color w:val="0000FF"/>
      <w:spacing w:val="-2"/>
      <w:sz w:val="28"/>
      <w:szCs w:val="28"/>
      <w:u w:val="single"/>
    </w:rPr>
  </w:style>
  <w:style w:type="paragraph" w:styleId="15">
    <w:name w:val="Normal Indent"/>
    <w:basedOn w:val="1"/>
    <w:qFormat/>
    <w:uiPriority w:val="0"/>
    <w:pPr>
      <w:ind w:firstLine="200" w:firstLineChars="200"/>
    </w:pPr>
    <w:rPr>
      <w:sz w:val="28"/>
      <w:szCs w:val="20"/>
    </w:rPr>
  </w:style>
  <w:style w:type="paragraph" w:styleId="16">
    <w:name w:val="annotation text"/>
    <w:basedOn w:val="1"/>
    <w:link w:val="42"/>
    <w:semiHidden/>
    <w:qFormat/>
    <w:uiPriority w:val="0"/>
    <w:pPr>
      <w:jc w:val="left"/>
    </w:pPr>
    <w:rPr>
      <w:kern w:val="0"/>
      <w:sz w:val="20"/>
    </w:rPr>
  </w:style>
  <w:style w:type="paragraph" w:styleId="17">
    <w:name w:val="Body Text"/>
    <w:basedOn w:val="1"/>
    <w:next w:val="1"/>
    <w:link w:val="41"/>
    <w:qFormat/>
    <w:uiPriority w:val="0"/>
    <w:pPr>
      <w:widowControl/>
      <w:snapToGrid w:val="0"/>
      <w:spacing w:before="60" w:after="160" w:line="259" w:lineRule="auto"/>
      <w:ind w:right="113"/>
    </w:pPr>
    <w:rPr>
      <w:kern w:val="0"/>
      <w:sz w:val="18"/>
      <w:szCs w:val="18"/>
    </w:rPr>
  </w:style>
  <w:style w:type="paragraph" w:styleId="18">
    <w:name w:val="Body Text Indent"/>
    <w:basedOn w:val="1"/>
    <w:link w:val="43"/>
    <w:semiHidden/>
    <w:qFormat/>
    <w:uiPriority w:val="0"/>
    <w:pPr>
      <w:spacing w:after="120"/>
      <w:ind w:left="420" w:leftChars="200"/>
    </w:pPr>
  </w:style>
  <w:style w:type="paragraph" w:styleId="19">
    <w:name w:val="Plain Text"/>
    <w:basedOn w:val="1"/>
    <w:qFormat/>
    <w:uiPriority w:val="0"/>
    <w:rPr>
      <w:rFonts w:ascii="宋体" w:hAnsi="Courier New"/>
    </w:rPr>
  </w:style>
  <w:style w:type="paragraph" w:styleId="20">
    <w:name w:val="Date"/>
    <w:basedOn w:val="1"/>
    <w:next w:val="1"/>
    <w:link w:val="44"/>
    <w:qFormat/>
    <w:uiPriority w:val="0"/>
    <w:pPr>
      <w:ind w:left="100" w:leftChars="2500"/>
    </w:pPr>
    <w:rPr>
      <w:kern w:val="0"/>
      <w:sz w:val="20"/>
    </w:rPr>
  </w:style>
  <w:style w:type="paragraph" w:styleId="21">
    <w:name w:val="Body Text Indent 2"/>
    <w:basedOn w:val="1"/>
    <w:qFormat/>
    <w:uiPriority w:val="0"/>
    <w:pPr>
      <w:spacing w:after="120" w:line="480" w:lineRule="auto"/>
      <w:ind w:left="420" w:leftChars="200"/>
    </w:pPr>
  </w:style>
  <w:style w:type="paragraph" w:styleId="22">
    <w:name w:val="Balloon Text"/>
    <w:basedOn w:val="1"/>
    <w:link w:val="45"/>
    <w:semiHidden/>
    <w:qFormat/>
    <w:uiPriority w:val="0"/>
    <w:rPr>
      <w:sz w:val="18"/>
      <w:szCs w:val="18"/>
    </w:rPr>
  </w:style>
  <w:style w:type="paragraph" w:styleId="23">
    <w:name w:val="footer"/>
    <w:basedOn w:val="1"/>
    <w:link w:val="46"/>
    <w:qFormat/>
    <w:uiPriority w:val="0"/>
    <w:pPr>
      <w:tabs>
        <w:tab w:val="center" w:pos="4153"/>
        <w:tab w:val="right" w:pos="8306"/>
      </w:tabs>
      <w:snapToGrid w:val="0"/>
      <w:jc w:val="left"/>
    </w:pPr>
    <w:rPr>
      <w:sz w:val="18"/>
      <w:szCs w:val="18"/>
    </w:rPr>
  </w:style>
  <w:style w:type="paragraph" w:styleId="24">
    <w:name w:val="header"/>
    <w:basedOn w:val="1"/>
    <w:link w:val="47"/>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locked/>
    <w:uiPriority w:val="0"/>
  </w:style>
  <w:style w:type="paragraph" w:styleId="26">
    <w:name w:val="Subtitle"/>
    <w:basedOn w:val="1"/>
    <w:next w:val="1"/>
    <w:qFormat/>
    <w:locked/>
    <w:uiPriority w:val="0"/>
    <w:pPr>
      <w:ind w:firstLine="0" w:firstLineChars="0"/>
      <w:outlineLvl w:val="1"/>
    </w:pPr>
    <w:rPr>
      <w:rFonts w:ascii="Cambria" w:hAnsi="Cambria"/>
      <w:b/>
      <w:bCs/>
      <w:kern w:val="28"/>
      <w:sz w:val="30"/>
      <w:szCs w:val="32"/>
    </w:rPr>
  </w:style>
  <w:style w:type="paragraph" w:styleId="27">
    <w:name w:val="toc 2"/>
    <w:basedOn w:val="1"/>
    <w:next w:val="8"/>
    <w:qFormat/>
    <w:locked/>
    <w:uiPriority w:val="0"/>
    <w:pPr>
      <w:widowControl w:val="0"/>
      <w:ind w:left="420" w:leftChars="200"/>
      <w:jc w:val="both"/>
    </w:pPr>
    <w:rPr>
      <w:rFonts w:ascii="Calibri" w:hAnsi="Calibri" w:eastAsia="宋体" w:cs="Times New Roman"/>
      <w:kern w:val="2"/>
      <w:sz w:val="21"/>
      <w:szCs w:val="21"/>
      <w:lang w:val="en-US" w:eastAsia="zh-CN" w:bidi="ar-SA"/>
    </w:rPr>
  </w:style>
  <w:style w:type="paragraph" w:styleId="28">
    <w:name w:val="Normal (Web)"/>
    <w:basedOn w:val="1"/>
    <w:link w:val="48"/>
    <w:qFormat/>
    <w:uiPriority w:val="0"/>
    <w:pPr>
      <w:widowControl/>
      <w:spacing w:before="100" w:beforeAutospacing="1" w:after="100" w:afterAutospacing="1"/>
      <w:jc w:val="left"/>
    </w:pPr>
    <w:rPr>
      <w:rFonts w:ascii="宋体" w:hAnsi="宋体"/>
      <w:kern w:val="0"/>
      <w:sz w:val="24"/>
    </w:rPr>
  </w:style>
  <w:style w:type="paragraph" w:styleId="29">
    <w:name w:val="annotation subject"/>
    <w:basedOn w:val="16"/>
    <w:next w:val="16"/>
    <w:link w:val="49"/>
    <w:semiHidden/>
    <w:qFormat/>
    <w:uiPriority w:val="0"/>
    <w:rPr>
      <w:b/>
      <w:bCs/>
    </w:rPr>
  </w:style>
  <w:style w:type="paragraph" w:styleId="30">
    <w:name w:val="Body Text First Indent"/>
    <w:basedOn w:val="17"/>
    <w:next w:val="31"/>
    <w:qFormat/>
    <w:uiPriority w:val="0"/>
    <w:pPr>
      <w:widowControl w:val="0"/>
      <w:adjustRightInd w:val="0"/>
      <w:snapToGrid w:val="0"/>
      <w:spacing w:after="120" w:line="360" w:lineRule="auto"/>
      <w:ind w:firstLine="420" w:firstLineChars="100"/>
      <w:jc w:val="both"/>
    </w:pPr>
    <w:rPr>
      <w:rFonts w:ascii="Times New Roman" w:hAnsi="Times New Roman" w:eastAsia="宋体" w:cs="Times New Roman"/>
      <w:kern w:val="2"/>
      <w:sz w:val="24"/>
      <w:lang w:val="zh-CN" w:eastAsia="zh-CN" w:bidi="ar-SA"/>
    </w:rPr>
  </w:style>
  <w:style w:type="paragraph" w:styleId="31">
    <w:name w:val="Body Text First Indent 2"/>
    <w:basedOn w:val="18"/>
    <w:next w:val="30"/>
    <w:qFormat/>
    <w:uiPriority w:val="0"/>
    <w:pPr>
      <w:tabs>
        <w:tab w:val="left" w:pos="540"/>
      </w:tabs>
      <w:spacing w:after="120"/>
      <w:ind w:left="420" w:leftChars="200" w:firstLine="420" w:firstLineChars="200"/>
    </w:pPr>
    <w:rPr>
      <w:sz w:val="21"/>
    </w:rPr>
  </w:style>
  <w:style w:type="table" w:styleId="33">
    <w:name w:val="Table Grid"/>
    <w:basedOn w:val="3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basedOn w:val="34"/>
    <w:qFormat/>
    <w:uiPriority w:val="0"/>
  </w:style>
  <w:style w:type="character" w:styleId="36">
    <w:name w:val="annotation reference"/>
    <w:basedOn w:val="34"/>
    <w:semiHidden/>
    <w:qFormat/>
    <w:uiPriority w:val="0"/>
    <w:rPr>
      <w:sz w:val="21"/>
    </w:rPr>
  </w:style>
  <w:style w:type="paragraph" w:customStyle="1" w:styleId="37">
    <w:name w:val="表"/>
    <w:basedOn w:val="1"/>
    <w:next w:val="1"/>
    <w:autoRedefine/>
    <w:qFormat/>
    <w:uiPriority w:val="0"/>
    <w:pPr>
      <w:spacing w:line="360" w:lineRule="auto"/>
      <w:ind w:firstLine="0" w:firstLineChars="0"/>
      <w:jc w:val="center"/>
    </w:pPr>
    <w:rPr>
      <w:b/>
      <w:sz w:val="24"/>
    </w:rPr>
  </w:style>
  <w:style w:type="paragraph" w:customStyle="1" w:styleId="38">
    <w:name w:val="样式 正文文本缩进 + 行距: 1.5 倍行距"/>
    <w:basedOn w:val="18"/>
    <w:qFormat/>
    <w:uiPriority w:val="0"/>
    <w:pPr>
      <w:ind w:left="90" w:leftChars="32" w:firstLine="560" w:firstLineChars="200"/>
    </w:pPr>
    <w:rPr>
      <w:rFonts w:cs="宋体"/>
    </w:rPr>
  </w:style>
  <w:style w:type="paragraph" w:customStyle="1" w:styleId="39">
    <w:name w:val="Default"/>
    <w:basedOn w:val="40"/>
    <w:next w:val="10"/>
    <w:qFormat/>
    <w:uiPriority w:val="99"/>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40">
    <w:name w:val="纯文本1"/>
    <w:basedOn w:val="1"/>
    <w:qFormat/>
    <w:uiPriority w:val="0"/>
    <w:rPr>
      <w:rFonts w:hint="eastAsia" w:ascii="宋体" w:hAnsi="Courier New"/>
      <w:szCs w:val="24"/>
    </w:rPr>
  </w:style>
  <w:style w:type="character" w:customStyle="1" w:styleId="41">
    <w:name w:val="Body Text Char"/>
    <w:link w:val="17"/>
    <w:qFormat/>
    <w:locked/>
    <w:uiPriority w:val="0"/>
    <w:rPr>
      <w:sz w:val="18"/>
    </w:rPr>
  </w:style>
  <w:style w:type="character" w:customStyle="1" w:styleId="42">
    <w:name w:val="Comment Text Char"/>
    <w:link w:val="16"/>
    <w:qFormat/>
    <w:locked/>
    <w:uiPriority w:val="0"/>
    <w:rPr>
      <w:rFonts w:ascii="Times New Roman" w:hAnsi="Times New Roman" w:eastAsia="宋体"/>
      <w:sz w:val="24"/>
    </w:rPr>
  </w:style>
  <w:style w:type="character" w:customStyle="1" w:styleId="43">
    <w:name w:val="Body Text Indent Char"/>
    <w:basedOn w:val="34"/>
    <w:link w:val="18"/>
    <w:semiHidden/>
    <w:qFormat/>
    <w:locked/>
    <w:uiPriority w:val="0"/>
    <w:rPr>
      <w:rFonts w:ascii="Times New Roman" w:hAnsi="Times New Roman" w:eastAsia="宋体" w:cs="Times New Roman"/>
      <w:sz w:val="24"/>
      <w:szCs w:val="24"/>
    </w:rPr>
  </w:style>
  <w:style w:type="character" w:customStyle="1" w:styleId="44">
    <w:name w:val="Date Char"/>
    <w:link w:val="20"/>
    <w:qFormat/>
    <w:locked/>
    <w:uiPriority w:val="0"/>
    <w:rPr>
      <w:rFonts w:ascii="Times New Roman" w:hAnsi="Times New Roman" w:eastAsia="宋体"/>
      <w:sz w:val="24"/>
    </w:rPr>
  </w:style>
  <w:style w:type="character" w:customStyle="1" w:styleId="45">
    <w:name w:val="Balloon Text Char"/>
    <w:basedOn w:val="34"/>
    <w:link w:val="22"/>
    <w:semiHidden/>
    <w:qFormat/>
    <w:locked/>
    <w:uiPriority w:val="0"/>
    <w:rPr>
      <w:rFonts w:ascii="Times New Roman" w:hAnsi="Times New Roman" w:eastAsia="宋体" w:cs="Times New Roman"/>
      <w:sz w:val="18"/>
      <w:szCs w:val="18"/>
    </w:rPr>
  </w:style>
  <w:style w:type="character" w:customStyle="1" w:styleId="46">
    <w:name w:val="Footer Char"/>
    <w:basedOn w:val="34"/>
    <w:link w:val="23"/>
    <w:qFormat/>
    <w:locked/>
    <w:uiPriority w:val="0"/>
    <w:rPr>
      <w:rFonts w:cs="Times New Roman"/>
      <w:sz w:val="18"/>
      <w:szCs w:val="18"/>
    </w:rPr>
  </w:style>
  <w:style w:type="character" w:customStyle="1" w:styleId="47">
    <w:name w:val="Header Char"/>
    <w:basedOn w:val="34"/>
    <w:link w:val="24"/>
    <w:qFormat/>
    <w:locked/>
    <w:uiPriority w:val="0"/>
    <w:rPr>
      <w:rFonts w:cs="Times New Roman"/>
      <w:sz w:val="18"/>
      <w:szCs w:val="18"/>
    </w:rPr>
  </w:style>
  <w:style w:type="character" w:customStyle="1" w:styleId="48">
    <w:name w:val="Normal (Web) Char"/>
    <w:link w:val="28"/>
    <w:qFormat/>
    <w:locked/>
    <w:uiPriority w:val="0"/>
    <w:rPr>
      <w:rFonts w:ascii="宋体" w:hAnsi="宋体" w:eastAsia="宋体"/>
      <w:sz w:val="24"/>
    </w:rPr>
  </w:style>
  <w:style w:type="character" w:customStyle="1" w:styleId="49">
    <w:name w:val="Comment Subject Char"/>
    <w:basedOn w:val="42"/>
    <w:link w:val="29"/>
    <w:semiHidden/>
    <w:qFormat/>
    <w:locked/>
    <w:uiPriority w:val="0"/>
    <w:rPr>
      <w:rFonts w:cs="Times New Roman"/>
      <w:b/>
      <w:bCs/>
      <w:kern w:val="2"/>
      <w:szCs w:val="24"/>
    </w:rPr>
  </w:style>
  <w:style w:type="character" w:customStyle="1" w:styleId="50">
    <w:name w:val="日期 字符"/>
    <w:basedOn w:val="34"/>
    <w:semiHidden/>
    <w:qFormat/>
    <w:uiPriority w:val="0"/>
    <w:rPr>
      <w:rFonts w:ascii="Times New Roman" w:hAnsi="Times New Roman" w:eastAsia="宋体" w:cs="Times New Roman"/>
      <w:sz w:val="24"/>
      <w:szCs w:val="24"/>
    </w:rPr>
  </w:style>
  <w:style w:type="character" w:customStyle="1" w:styleId="51">
    <w:name w:val="正文文本 字符1"/>
    <w:basedOn w:val="34"/>
    <w:semiHidden/>
    <w:qFormat/>
    <w:uiPriority w:val="0"/>
    <w:rPr>
      <w:rFonts w:ascii="Times New Roman" w:hAnsi="Times New Roman" w:eastAsia="宋体" w:cs="Times New Roman"/>
      <w:sz w:val="24"/>
      <w:szCs w:val="24"/>
    </w:rPr>
  </w:style>
  <w:style w:type="paragraph" w:customStyle="1" w:styleId="52">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3">
    <w:name w:val="表格 Char"/>
    <w:link w:val="54"/>
    <w:qFormat/>
    <w:locked/>
    <w:uiPriority w:val="0"/>
    <w:rPr>
      <w:rFonts w:ascii="Times New Roman" w:hAnsi="Times New Roman" w:eastAsia="宋体"/>
      <w:sz w:val="21"/>
    </w:rPr>
  </w:style>
  <w:style w:type="paragraph" w:customStyle="1" w:styleId="54">
    <w:name w:val="表格"/>
    <w:basedOn w:val="1"/>
    <w:next w:val="1"/>
    <w:link w:val="53"/>
    <w:qFormat/>
    <w:uiPriority w:val="0"/>
    <w:pPr>
      <w:adjustRightInd w:val="0"/>
      <w:snapToGrid w:val="0"/>
      <w:spacing w:line="240" w:lineRule="auto"/>
      <w:jc w:val="center"/>
    </w:pPr>
    <w:rPr>
      <w:rFonts w:ascii="Times New Roman" w:hAnsi="Times New Roman" w:eastAsia="宋体"/>
      <w:kern w:val="0"/>
      <w:sz w:val="21"/>
      <w:szCs w:val="21"/>
    </w:rPr>
  </w:style>
  <w:style w:type="character" w:customStyle="1" w:styleId="55">
    <w:name w:val="批注文字 字符1"/>
    <w:basedOn w:val="34"/>
    <w:semiHidden/>
    <w:qFormat/>
    <w:uiPriority w:val="0"/>
    <w:rPr>
      <w:rFonts w:ascii="Times New Roman" w:hAnsi="Times New Roman" w:eastAsia="宋体" w:cs="Times New Roman"/>
      <w:sz w:val="24"/>
      <w:szCs w:val="24"/>
    </w:rPr>
  </w:style>
  <w:style w:type="character" w:customStyle="1" w:styleId="56">
    <w:name w:val="普通(网站) Char"/>
    <w:qFormat/>
    <w:locked/>
    <w:uiPriority w:val="0"/>
    <w:rPr>
      <w:rFonts w:ascii="宋体" w:hAnsi="宋体" w:eastAsia="宋体"/>
      <w:sz w:val="24"/>
    </w:rPr>
  </w:style>
  <w:style w:type="paragraph" w:customStyle="1" w:styleId="57">
    <w:name w:val="WPSOffice手动目录 1"/>
    <w:qFormat/>
    <w:uiPriority w:val="0"/>
    <w:pPr>
      <w:ind w:leftChars="0"/>
    </w:pPr>
    <w:rPr>
      <w:rFonts w:ascii="Times New Roman" w:hAnsi="Times New Roman" w:eastAsia="宋体" w:cs="Times New Roman"/>
      <w:sz w:val="20"/>
      <w:szCs w:val="20"/>
    </w:rPr>
  </w:style>
  <w:style w:type="character" w:customStyle="1" w:styleId="58">
    <w:name w:val="content1"/>
    <w:qFormat/>
    <w:uiPriority w:val="0"/>
    <w:rPr>
      <w:color w:val="000000"/>
      <w:sz w:val="20"/>
      <w:szCs w:val="20"/>
    </w:rPr>
  </w:style>
  <w:style w:type="paragraph" w:customStyle="1" w:styleId="59">
    <w:name w:val="样式 首行缩进:  2 字符 行距: 固定值 26 磅"/>
    <w:basedOn w:val="1"/>
    <w:qFormat/>
    <w:uiPriority w:val="0"/>
    <w:pPr>
      <w:spacing w:line="520" w:lineRule="exact"/>
      <w:ind w:firstLine="480"/>
    </w:pPr>
    <w:rPr>
      <w:rFonts w:cs="宋体"/>
    </w:rPr>
  </w:style>
  <w:style w:type="paragraph" w:customStyle="1" w:styleId="60">
    <w:name w:val="样式 正文缩进表正文正文非缩进段1Body Text(ch)缩进ALT+Z特点四号正文不缩进标题4正文2..."/>
    <w:basedOn w:val="15"/>
    <w:qFormat/>
    <w:uiPriority w:val="0"/>
    <w:pPr>
      <w:spacing w:line="480" w:lineRule="exact"/>
      <w:ind w:firstLine="480"/>
    </w:pPr>
    <w:rPr>
      <w:rFonts w:cs="宋体"/>
      <w:b/>
      <w:bCs/>
      <w:snapToGrid w:val="0"/>
      <w:kern w:val="28"/>
      <w:sz w:val="24"/>
      <w:szCs w:val="24"/>
    </w:rPr>
  </w:style>
  <w:style w:type="table" w:customStyle="1" w:styleId="61">
    <w:name w:val="Table Normal"/>
    <w:unhideWhenUsed/>
    <w:qFormat/>
    <w:uiPriority w:val="0"/>
    <w:tblPr>
      <w:tblCellMar>
        <w:top w:w="0" w:type="dxa"/>
        <w:left w:w="0" w:type="dxa"/>
        <w:bottom w:w="0" w:type="dxa"/>
        <w:right w:w="0" w:type="dxa"/>
      </w:tblCellMar>
    </w:tblPr>
  </w:style>
  <w:style w:type="paragraph" w:customStyle="1" w:styleId="62">
    <w:name w:val="表格文字"/>
    <w:basedOn w:val="1"/>
    <w:qFormat/>
    <w:uiPriority w:val="0"/>
    <w:pPr>
      <w:spacing w:line="240" w:lineRule="auto"/>
      <w:ind w:firstLine="0" w:firstLineChars="0"/>
      <w:jc w:val="center"/>
    </w:pPr>
    <w:rPr>
      <w:rFonts w:ascii="Times New Roman" w:hAnsi="Times New Roman"/>
      <w:sz w:val="21"/>
    </w:rPr>
  </w:style>
  <w:style w:type="paragraph" w:customStyle="1" w:styleId="63">
    <w:name w:val="景深表格"/>
    <w:qFormat/>
    <w:uiPriority w:val="0"/>
    <w:pPr>
      <w:widowControl w:val="0"/>
      <w:adjustRightInd w:val="0"/>
      <w:snapToGrid w:val="0"/>
      <w:spacing w:line="240" w:lineRule="auto"/>
      <w:jc w:val="center"/>
    </w:pPr>
    <w:rPr>
      <w:rFonts w:ascii="Times New Roman" w:hAnsi="Times New Roman" w:eastAsia="宋体" w:cs="Times New Roman"/>
      <w:kern w:val="2"/>
      <w:sz w:val="18"/>
      <w:szCs w:val="24"/>
      <w:lang w:val="en-US" w:eastAsia="zh-CN" w:bidi="ar-SA"/>
    </w:rPr>
  </w:style>
  <w:style w:type="paragraph" w:customStyle="1" w:styleId="64">
    <w:name w:val="Table Paragraph"/>
    <w:basedOn w:val="1"/>
    <w:qFormat/>
    <w:uiPriority w:val="1"/>
    <w:rPr>
      <w:rFonts w:ascii="宋体" w:hAnsi="宋体" w:eastAsia="宋体" w:cs="宋体"/>
    </w:rPr>
  </w:style>
  <w:style w:type="paragraph" w:customStyle="1" w:styleId="65">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66">
    <w:name w:val="样式 (符号) 宋体 小四 行距: 1.5 倍行距"/>
    <w:basedOn w:val="1"/>
    <w:qFormat/>
    <w:uiPriority w:val="0"/>
    <w:pPr>
      <w:spacing w:line="360" w:lineRule="auto"/>
      <w:ind w:firstLine="480" w:firstLineChars="200"/>
    </w:pPr>
    <w:rPr>
      <w:rFonts w:hAnsi="宋体" w:cs="宋体"/>
    </w:rPr>
  </w:style>
  <w:style w:type="paragraph" w:customStyle="1" w:styleId="67">
    <w:name w:val="样式35"/>
    <w:basedOn w:val="1"/>
    <w:next w:val="68"/>
    <w:qFormat/>
    <w:uiPriority w:val="0"/>
    <w:pPr>
      <w:spacing w:line="312" w:lineRule="auto"/>
      <w:ind w:firstLine="567"/>
    </w:pPr>
    <w:rPr>
      <w:rFonts w:ascii="宋体" w:hAnsi="Times New Roman" w:eastAsia="宋体" w:cs="Times New Roman"/>
    </w:rPr>
  </w:style>
  <w:style w:type="paragraph" w:customStyle="1" w:styleId="68">
    <w:name w:val="font6"/>
    <w:basedOn w:val="1"/>
    <w:next w:val="27"/>
    <w:qFormat/>
    <w:uiPriority w:val="0"/>
    <w:pPr>
      <w:widowControl/>
      <w:spacing w:before="100" w:beforeAutospacing="1" w:after="100" w:afterAutospacing="1"/>
      <w:jc w:val="left"/>
    </w:pPr>
    <w:rPr>
      <w:rFonts w:ascii="宋体" w:hAnsi="宋体" w:eastAsia="宋体" w:cs="宋体"/>
      <w:kern w:val="0"/>
      <w:sz w:val="20"/>
    </w:rPr>
  </w:style>
  <w:style w:type="paragraph" w:customStyle="1" w:styleId="69">
    <w:name w:val="正文缩进两格"/>
    <w:qFormat/>
    <w:uiPriority w:val="0"/>
    <w:pPr>
      <w:widowControl w:val="0"/>
      <w:spacing w:line="360" w:lineRule="auto"/>
      <w:ind w:firstLine="200" w:firstLineChars="200"/>
      <w:jc w:val="both"/>
    </w:pPr>
    <w:rPr>
      <w:rFonts w:ascii="Times New Roman" w:hAnsi="Times New Roman" w:eastAsia="宋体" w:cs="Times New Roman"/>
      <w:kern w:val="2"/>
      <w:sz w:val="21"/>
      <w:szCs w:val="22"/>
      <w:lang w:val="en-US" w:eastAsia="zh-CN" w:bidi="ar-SA"/>
    </w:rPr>
  </w:style>
  <w:style w:type="paragraph" w:customStyle="1" w:styleId="70">
    <w:name w:val="正文文本 全"/>
    <w:basedOn w:val="17"/>
    <w:qFormat/>
    <w:uiPriority w:val="0"/>
    <w:pPr>
      <w:spacing w:before="0" w:after="0" w:line="360" w:lineRule="auto"/>
      <w:ind w:right="0" w:firstLine="200" w:firstLineChars="200"/>
    </w:pPr>
    <w:rPr>
      <w:sz w:val="21"/>
    </w:rPr>
  </w:style>
  <w:style w:type="paragraph" w:customStyle="1" w:styleId="71">
    <w:name w:val="段落"/>
    <w:basedOn w:val="1"/>
    <w:semiHidden/>
    <w:qFormat/>
    <w:uiPriority w:val="0"/>
    <w:pPr>
      <w:tabs>
        <w:tab w:val="left" w:pos="0"/>
      </w:tabs>
      <w:snapToGrid w:val="0"/>
      <w:spacing w:line="360" w:lineRule="auto"/>
      <w:ind w:firstLine="539"/>
    </w:pPr>
    <w:rPr>
      <w:bCs/>
      <w:kern w:val="10"/>
      <w:szCs w:val="24"/>
    </w:rPr>
  </w:style>
  <w:style w:type="paragraph" w:customStyle="1" w:styleId="72">
    <w:name w:val="样式9"/>
    <w:basedOn w:val="1"/>
    <w:qFormat/>
    <w:uiPriority w:val="0"/>
    <w:pPr>
      <w:adjustRightInd w:val="0"/>
      <w:snapToGrid w:val="0"/>
      <w:spacing w:line="460" w:lineRule="exact"/>
      <w:ind w:firstLine="520" w:firstLineChars="200"/>
    </w:pPr>
    <w:rPr>
      <w:sz w:val="26"/>
      <w:szCs w:val="26"/>
    </w:rPr>
  </w:style>
  <w:style w:type="paragraph" w:customStyle="1" w:styleId="73">
    <w:name w:val="zw"/>
    <w:basedOn w:val="1"/>
    <w:qFormat/>
    <w:uiPriority w:val="0"/>
    <w:pPr>
      <w:shd w:val="clear" w:color="auto" w:fill="FFFFFF"/>
      <w:adjustRightInd w:val="0"/>
      <w:snapToGrid w:val="0"/>
      <w:spacing w:line="360" w:lineRule="auto"/>
      <w:ind w:firstLine="480" w:firstLineChars="200"/>
    </w:pPr>
    <w:rPr>
      <w:kern w:val="0"/>
      <w:sz w:val="24"/>
      <w:shd w:val="clear" w:color="auto" w:fill="FFFFFF"/>
    </w:rPr>
  </w:style>
  <w:style w:type="paragraph" w:customStyle="1" w:styleId="74">
    <w:name w:val="文本正文"/>
    <w:basedOn w:val="1"/>
    <w:qFormat/>
    <w:uiPriority w:val="0"/>
    <w:pPr>
      <w:snapToGrid w:val="0"/>
      <w:spacing w:line="360" w:lineRule="auto"/>
      <w:ind w:firstLine="560" w:firstLineChars="200"/>
      <w:jc w:val="left"/>
    </w:pPr>
    <w:rPr>
      <w:rFonts w:cs="宋体"/>
      <w:kern w:val="0"/>
      <w:sz w:val="28"/>
      <w:szCs w:val="28"/>
    </w:rPr>
  </w:style>
  <w:style w:type="paragraph" w:customStyle="1" w:styleId="75">
    <w:name w:val="正文文字"/>
    <w:basedOn w:val="15"/>
    <w:qFormat/>
    <w:uiPriority w:val="0"/>
    <w:pPr>
      <w:adjustRightInd w:val="0"/>
      <w:snapToGrid w:val="0"/>
    </w:pPr>
    <w:rPr>
      <w:rFonts w:eastAsia="宋体"/>
      <w:kern w:val="2"/>
      <w:sz w:val="24"/>
      <w:szCs w:val="24"/>
      <w:lang w:val="en-US" w:eastAsia="zh-CN" w:bidi="ar-SA"/>
    </w:rPr>
  </w:style>
  <w:style w:type="paragraph" w:customStyle="1" w:styleId="76">
    <w:name w:val="报告书正文"/>
    <w:basedOn w:val="30"/>
    <w:qFormat/>
    <w:uiPriority w:val="0"/>
    <w:pPr>
      <w:spacing w:after="0" w:line="360" w:lineRule="auto"/>
      <w:ind w:firstLine="200" w:firstLineChars="200"/>
    </w:pPr>
    <w:rPr>
      <w:sz w:val="24"/>
    </w:rPr>
  </w:style>
  <w:style w:type="paragraph" w:customStyle="1" w:styleId="77">
    <w:name w:val="标准样式"/>
    <w:basedOn w:val="1"/>
    <w:qFormat/>
    <w:uiPriority w:val="0"/>
    <w:pPr>
      <w:spacing w:line="600" w:lineRule="exact"/>
      <w:ind w:firstLine="567"/>
    </w:pPr>
    <w:rPr>
      <w:sz w:val="28"/>
    </w:rPr>
  </w:style>
  <w:style w:type="paragraph" w:customStyle="1" w:styleId="78">
    <w:name w:val="提头"/>
    <w:basedOn w:val="1"/>
    <w:next w:val="1"/>
    <w:qFormat/>
    <w:uiPriority w:val="0"/>
    <w:pPr>
      <w:numPr>
        <w:ilvl w:val="4"/>
        <w:numId w:val="2"/>
      </w:numPr>
      <w:tabs>
        <w:tab w:val="left" w:pos="227"/>
      </w:tabs>
      <w:spacing w:line="360" w:lineRule="auto"/>
      <w:jc w:val="center"/>
    </w:pPr>
    <w:rPr>
      <w:rFonts w:ascii="Times New Roman" w:hAnsi="Times New Roman" w:eastAsia="宋体" w:cs="Times New Roman"/>
      <w:b/>
      <w:sz w:val="24"/>
      <w:szCs w:val="24"/>
    </w:rPr>
  </w:style>
  <w:style w:type="paragraph" w:customStyle="1" w:styleId="79">
    <w:name w:val="无间隔1"/>
    <w:basedOn w:val="1"/>
    <w:qFormat/>
    <w:uiPriority w:val="0"/>
    <w:pPr>
      <w:widowControl/>
      <w:spacing w:before="20" w:after="20" w:line="0" w:lineRule="atLeast"/>
      <w:jc w:val="center"/>
    </w:pPr>
    <w:rPr>
      <w:kern w:val="0"/>
      <w:sz w:val="24"/>
      <w:szCs w:val="24"/>
    </w:rPr>
  </w:style>
  <w:style w:type="paragraph" w:customStyle="1" w:styleId="80">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wmf"/><Relationship Id="rId15" Type="http://schemas.openxmlformats.org/officeDocument/2006/relationships/oleObject" Target="embeddings/oleObject2.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extobjs>
    <extobj name="ECB019B1-382A-4266-B25C-5B523AA43C14-1">
      <extobjdata type="ECB019B1-382A-4266-B25C-5B523AA43C14" data="ewoJIkZpbGVJZCIgOiAiNDAyOTMxMTUyMDE2IiwKCSJHcm91cElkIiA6ICI2ODYyMTI1MTQiLAoJIkltYWdlIiA6ICJpVkJPUncwS0dnb0FBQUFOU1VoRVVnQUFCZ2NBQUFXZ0NBWUFBQUI2eHBOaEFBQUFBWE5TUjBJQXJzNGM2UUFBSUFCSlJFRlVlSnpzM1hkZ1ZGWCs5L0hQblpuMG5nQUpJWkNFSkVEb0pZQ0lMb0lzYlJIWGdpaXVGUldSUlhSVmZHQkJSTkVWUkJFUlVjU09TbHRwUHhWMUZVRlVrRjZraGc2aEJFSkNTSi9NZmY1Z00wdElnQVNTVEdEZXI3L011ZWVlK3htWU9ZYjUzbnVPQ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bjByL0RHeG5EVHBSVjZnQUFBQUJKUlU1RXJrSmdnZz09IiwKCSJUaGVtZSIgOiAiIiwKCSJUeXBlIiA6ICJmbG93IiwKCSJVc2VySWQiIDogIjYwNzA5NTI4NSIsCgkiVmVyc2lvbiIgOiAiNTkiCn0K"/>
    </extobj>
    <extobj name="ECB019B1-382A-4266-B25C-5B523AA43C14-2">
      <extobjdata type="ECB019B1-382A-4266-B25C-5B523AA43C14" data="ewoJIkZpbGVJZCIgOiAiNDAzMzQ1NjU1OTQ0IiwKCSJHcm91cElkIiA6ICI2ODYyMTI1MTQiLAoJIkltYWdlIiA6ICJpVkJPUncwS0dnb0FBQUFOU1VoRVVnQUFCR1VBQUFPbUNBWUFBQUJDTVNqS0FBQUFBWE5TUjBJQXJzNGM2UUFBSUFCSlJFRlVlSnpzM1hsOEZPWDlCL0RQZDJZMzJTUWtrQmdCRVNVcWdpYXcyWm1WS29vWDNyUmVyZFZxdmV0WmIrbUJkNzFQUkszMVZwQ3FSWXYyVjJ1dFJ4VVJEeFF6czFrZ2dxSkVSRVVJRUFoSGp0MzUvdjVnTjkwa213c0lDZkI1djE2OHlEN3pQTTk4SjlsSmRyLzdIQUF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UNNOEQ4dVN3UUFRNjlQZndBQUFBQkpSVTVFcmtKZ2dnPT0iLAoJIlRoZW1lIiA6ICIiLAoJIlR5cGUiIDogImZsb3ciLAoJIlVzZXJJZCIgOiAiNjA3MDk1Mjg1IiwKCSJWZXJzaW9uIiA6ICIzMS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117</Pages>
  <Words>71402</Words>
  <Characters>77749</Characters>
  <Lines>9</Lines>
  <Paragraphs>2</Paragraphs>
  <TotalTime>7</TotalTime>
  <ScaleCrop>false</ScaleCrop>
  <LinksUpToDate>false</LinksUpToDate>
  <CharactersWithSpaces>78161</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Administrator</cp:lastModifiedBy>
  <cp:lastPrinted>2020-12-24T01:50:00Z</cp:lastPrinted>
  <dcterms:modified xsi:type="dcterms:W3CDTF">2025-07-18T03:32:15Z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5880A64A60284D21974FB4386666CC52_13</vt:lpwstr>
  </property>
  <property fmtid="{D5CDD505-2E9C-101B-9397-08002B2CF9AE}" pid="4" name="KSOTemplateDocerSaveRecord">
    <vt:lpwstr>eyJoZGlkIjoiYTM0Y2NlODBhY2JjMjQ4OGNkNmQ2MWU2OWNmYzZmMzMiLCJ1c2VySWQiOiI2MDcwOTUyODUifQ==</vt:lpwstr>
  </property>
</Properties>
</file>