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03258">
      <w:pPr>
        <w:rPr>
          <w:rFonts w:hint="eastAsia" w:ascii="仿宋_GB2312" w:hAnsi="仿宋_GB2312" w:eastAsia="仿宋_GB2312" w:cs="仿宋_GB2312"/>
          <w:color w:val="000000"/>
          <w:sz w:val="36"/>
          <w:szCs w:val="36"/>
          <w:lang w:eastAsia="zh-CN"/>
        </w:rPr>
      </w:pPr>
    </w:p>
    <w:p w14:paraId="41F3355B">
      <w:pPr>
        <w:rPr>
          <w:rFonts w:ascii="仿宋_GB2312" w:hAnsi="仿宋_GB2312" w:eastAsia="仿宋_GB2312" w:cs="仿宋_GB2312"/>
          <w:color w:val="000000"/>
          <w:sz w:val="36"/>
          <w:szCs w:val="36"/>
        </w:rPr>
      </w:pPr>
    </w:p>
    <w:p w14:paraId="177A7244">
      <w:pPr>
        <w:pStyle w:val="17"/>
        <w:ind w:left="0" w:leftChars="0" w:firstLine="0" w:firstLineChars="0"/>
        <w:rPr>
          <w:rFonts w:hint="eastAsia"/>
        </w:rPr>
      </w:pPr>
    </w:p>
    <w:p w14:paraId="1B330212">
      <w:pPr>
        <w:rPr>
          <w:rFonts w:hint="eastAsia"/>
        </w:rPr>
      </w:pPr>
    </w:p>
    <w:p w14:paraId="157FFDD4">
      <w:pPr>
        <w:rPr>
          <w:rFonts w:hint="eastAsia"/>
        </w:rPr>
      </w:pPr>
    </w:p>
    <w:p w14:paraId="78BC9503">
      <w:pPr>
        <w:adjustRightInd w:val="0"/>
        <w:snapToGrid w:val="0"/>
        <w:jc w:val="center"/>
        <w:outlineLvl w:val="9"/>
        <w:rPr>
          <w:rFonts w:hint="eastAsia" w:ascii="方正小标宋_GBK" w:eastAsia="方正小标宋_GBK"/>
          <w:bCs/>
          <w:color w:val="000000"/>
          <w:sz w:val="72"/>
          <w:szCs w:val="72"/>
        </w:rPr>
      </w:pPr>
      <w:bookmarkStart w:id="0" w:name="_Toc23692"/>
      <w:bookmarkStart w:id="1" w:name="_Toc30515"/>
      <w:bookmarkStart w:id="2" w:name="_Toc10074"/>
      <w:bookmarkStart w:id="3" w:name="_Toc17724"/>
      <w:bookmarkStart w:id="4" w:name="_Toc20598"/>
      <w:bookmarkStart w:id="5" w:name="_Toc22177"/>
      <w:bookmarkStart w:id="6" w:name="_Toc15494"/>
      <w:bookmarkStart w:id="7" w:name="_Toc23127"/>
      <w:bookmarkStart w:id="8" w:name="_Toc14047"/>
      <w:bookmarkStart w:id="9" w:name="_Toc11811"/>
      <w:bookmarkStart w:id="10" w:name="_Toc16178"/>
      <w:r>
        <w:rPr>
          <w:rFonts w:hint="eastAsia" w:ascii="方正小标宋_GBK" w:eastAsia="方正小标宋_GBK"/>
          <w:bCs/>
          <w:color w:val="000000"/>
          <w:sz w:val="72"/>
          <w:szCs w:val="72"/>
        </w:rPr>
        <w:t>建设项目环境影响报告表</w:t>
      </w:r>
      <w:bookmarkEnd w:id="0"/>
      <w:bookmarkEnd w:id="1"/>
      <w:bookmarkEnd w:id="2"/>
      <w:bookmarkEnd w:id="3"/>
      <w:bookmarkEnd w:id="4"/>
      <w:bookmarkEnd w:id="5"/>
      <w:bookmarkEnd w:id="6"/>
      <w:bookmarkEnd w:id="7"/>
      <w:bookmarkEnd w:id="8"/>
      <w:bookmarkEnd w:id="9"/>
      <w:bookmarkEnd w:id="10"/>
    </w:p>
    <w:p w14:paraId="14B7CC91">
      <w:pPr>
        <w:adjustRightInd w:val="0"/>
        <w:snapToGrid w:val="0"/>
        <w:spacing w:before="192" w:beforeLines="80"/>
        <w:jc w:val="center"/>
        <w:rPr>
          <w:rFonts w:ascii="华文仿宋" w:hAnsi="华文仿宋" w:eastAsia="华文仿宋" w:cs="华文仿宋"/>
          <w:color w:val="000000"/>
          <w:kern w:val="44"/>
          <w:sz w:val="44"/>
          <w:szCs w:val="44"/>
        </w:rPr>
      </w:pPr>
      <w:r>
        <w:rPr>
          <w:rFonts w:hint="eastAsia" w:ascii="楷体_GB2312" w:eastAsia="楷体_GB2312"/>
          <w:bCs/>
          <w:color w:val="000000"/>
          <w:sz w:val="48"/>
          <w:szCs w:val="48"/>
          <w:lang w:eastAsia="zh-CN"/>
        </w:rPr>
        <w:t>（污染影响类）</w:t>
      </w:r>
    </w:p>
    <w:p w14:paraId="66379B42">
      <w:pPr>
        <w:jc w:val="center"/>
        <w:rPr>
          <w:rFonts w:eastAsia="仿宋"/>
          <w:color w:val="000000"/>
          <w:sz w:val="52"/>
          <w:szCs w:val="52"/>
        </w:rPr>
      </w:pPr>
    </w:p>
    <w:p w14:paraId="3D798C3F">
      <w:pPr>
        <w:jc w:val="center"/>
        <w:rPr>
          <w:rFonts w:ascii="Times New Roman" w:hAnsi="Times New Roman" w:eastAsia="仿宋" w:cs="Times New Roman"/>
          <w:color w:val="000000"/>
          <w:sz w:val="52"/>
          <w:szCs w:val="52"/>
        </w:rPr>
      </w:pPr>
    </w:p>
    <w:p w14:paraId="117D4ED4">
      <w:pPr>
        <w:jc w:val="center"/>
        <w:rPr>
          <w:rFonts w:ascii="Times New Roman" w:hAnsi="Times New Roman" w:eastAsia="仿宋" w:cs="Times New Roman"/>
          <w:color w:val="000000"/>
          <w:sz w:val="52"/>
          <w:szCs w:val="52"/>
        </w:rPr>
      </w:pPr>
    </w:p>
    <w:p w14:paraId="000F38EC">
      <w:pPr>
        <w:jc w:val="center"/>
        <w:rPr>
          <w:rFonts w:hint="default" w:ascii="Times New Roman" w:hAnsi="Times New Roman" w:eastAsia="仿宋" w:cs="Times New Roman"/>
          <w:color w:val="000000"/>
          <w:sz w:val="52"/>
          <w:szCs w:val="52"/>
        </w:rPr>
      </w:pPr>
    </w:p>
    <w:p w14:paraId="60BDF947">
      <w:pPr>
        <w:pStyle w:val="17"/>
        <w:rPr>
          <w:rFonts w:hint="default" w:ascii="Times New Roman" w:hAnsi="Times New Roman" w:eastAsia="仿宋" w:cs="Times New Roman"/>
          <w:color w:val="000000"/>
          <w:sz w:val="52"/>
          <w:szCs w:val="52"/>
        </w:rPr>
      </w:pPr>
    </w:p>
    <w:p w14:paraId="4925B8DC">
      <w:pPr>
        <w:pStyle w:val="17"/>
        <w:ind w:left="0" w:leftChars="0" w:firstLine="0" w:firstLineChars="0"/>
        <w:rPr>
          <w:rFonts w:hint="default"/>
        </w:rPr>
      </w:pPr>
    </w:p>
    <w:p w14:paraId="7785D71E">
      <w:pPr>
        <w:rPr>
          <w:rFonts w:hint="default"/>
        </w:rPr>
      </w:pPr>
    </w:p>
    <w:p w14:paraId="073D5F92">
      <w:pPr>
        <w:rPr>
          <w:rFonts w:hint="default"/>
        </w:rPr>
      </w:pPr>
    </w:p>
    <w:p w14:paraId="7B830FA9">
      <w:pPr>
        <w:rPr>
          <w:rFonts w:hint="default"/>
        </w:rPr>
      </w:pPr>
    </w:p>
    <w:p w14:paraId="1B4179F5">
      <w:pPr>
        <w:rPr>
          <w:rFonts w:hint="default"/>
        </w:rPr>
      </w:pPr>
    </w:p>
    <w:p w14:paraId="5D65C9BB">
      <w:pPr>
        <w:jc w:val="center"/>
        <w:rPr>
          <w:rFonts w:hint="default" w:ascii="Times New Roman" w:hAnsi="Times New Roman" w:eastAsia="仿宋" w:cs="Times New Roman"/>
          <w:color w:val="000000"/>
          <w:sz w:val="52"/>
          <w:szCs w:val="52"/>
        </w:rPr>
      </w:pPr>
    </w:p>
    <w:p w14:paraId="31FBB22D">
      <w:pPr>
        <w:keepNext w:val="0"/>
        <w:keepLines w:val="0"/>
        <w:pageBreakBefore w:val="0"/>
        <w:widowControl w:val="0"/>
        <w:kinsoku/>
        <w:wordWrap/>
        <w:overflowPunct/>
        <w:topLinePunct w:val="0"/>
        <w:autoSpaceDE/>
        <w:autoSpaceDN/>
        <w:bidi w:val="0"/>
        <w:adjustRightInd w:val="0"/>
        <w:snapToGrid w:val="0"/>
        <w:spacing w:line="360" w:lineRule="auto"/>
        <w:ind w:left="2238" w:leftChars="304" w:hanging="1600" w:hangingChars="500"/>
        <w:textAlignment w:val="auto"/>
        <w:rPr>
          <w:rFonts w:hint="default" w:ascii="Times New Roman" w:hAnsi="Times New Roman" w:eastAsia="仿宋_GB2312" w:cs="Times New Roman"/>
          <w:color w:val="000000"/>
          <w:sz w:val="32"/>
          <w:szCs w:val="32"/>
          <w:highlight w:val="yellow"/>
          <w:u w:val="single"/>
          <w:lang w:val="en-US" w:eastAsia="zh-CN"/>
        </w:rPr>
      </w:pPr>
      <w:r>
        <w:rPr>
          <w:rFonts w:hint="default" w:ascii="Times New Roman" w:hAnsi="Times New Roman" w:eastAsia="仿宋_GB2312" w:cs="Times New Roman"/>
          <w:color w:val="000000"/>
          <w:sz w:val="32"/>
          <w:szCs w:val="32"/>
          <w:highlight w:val="none"/>
        </w:rPr>
        <w:t>项目名称：</w:t>
      </w:r>
      <w:r>
        <w:rPr>
          <w:rFonts w:hint="default" w:ascii="Times New Roman" w:hAnsi="Times New Roman" w:eastAsia="仿宋_GB2312" w:cs="Times New Roman"/>
          <w:color w:val="000000"/>
          <w:sz w:val="32"/>
          <w:szCs w:val="32"/>
          <w:u w:val="single"/>
        </w:rPr>
        <w:t>永州市杭润环保科技有限公司一般工业固废资源回收利用项目</w:t>
      </w:r>
      <w:r>
        <w:rPr>
          <w:rFonts w:hint="eastAsia" w:eastAsia="仿宋_GB2312" w:cs="Times New Roman"/>
          <w:color w:val="000000"/>
          <w:sz w:val="32"/>
          <w:szCs w:val="32"/>
          <w:u w:val="single"/>
          <w:lang w:val="en-US" w:eastAsia="zh-CN"/>
        </w:rPr>
        <w:t xml:space="preserve">                      </w:t>
      </w:r>
    </w:p>
    <w:p w14:paraId="584B062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default" w:ascii="Times New Roman" w:hAnsi="Times New Roman" w:eastAsia="仿宋_GB2312" w:cs="Times New Roman"/>
          <w:color w:val="000000"/>
          <w:sz w:val="32"/>
          <w:szCs w:val="32"/>
          <w:u w:val="single"/>
          <w:lang w:val="en-US" w:eastAsia="zh-CN"/>
        </w:rPr>
      </w:pPr>
      <w:r>
        <w:rPr>
          <w:rFonts w:hint="default" w:ascii="Times New Roman" w:hAnsi="Times New Roman" w:eastAsia="仿宋_GB2312" w:cs="Times New Roman"/>
          <w:color w:val="000000"/>
          <w:sz w:val="32"/>
          <w:szCs w:val="32"/>
        </w:rPr>
        <w:t>建设单位（盖章）：</w:t>
      </w:r>
      <w:r>
        <w:rPr>
          <w:rFonts w:hint="default" w:ascii="Times New Roman" w:hAnsi="Times New Roman" w:eastAsia="仿宋_GB2312" w:cs="Times New Roman"/>
          <w:color w:val="000000"/>
          <w:sz w:val="32"/>
          <w:szCs w:val="32"/>
          <w:u w:val="single"/>
        </w:rPr>
        <w:t>永州市杭润环保科技有限公司</w:t>
      </w:r>
      <w:r>
        <w:rPr>
          <w:rFonts w:hint="eastAsia" w:eastAsia="仿宋_GB2312" w:cs="Times New Roman"/>
          <w:color w:val="000000"/>
          <w:sz w:val="32"/>
          <w:szCs w:val="32"/>
          <w:u w:val="single"/>
          <w:lang w:val="en-US" w:eastAsia="zh-CN"/>
        </w:rPr>
        <w:t xml:space="preserve">     </w:t>
      </w:r>
    </w:p>
    <w:p w14:paraId="34B2813B">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Times New Roman" w:hAnsi="Times New Roman" w:eastAsia="仿宋_GB2312" w:cs="Times New Roman"/>
          <w:color w:val="000000"/>
          <w:sz w:val="32"/>
          <w:szCs w:val="32"/>
          <w:u w:val="single"/>
        </w:rPr>
      </w:pPr>
      <w:r>
        <w:rPr>
          <w:rFonts w:hint="default" w:ascii="Times New Roman" w:hAnsi="Times New Roman" w:eastAsia="仿宋_GB2312" w:cs="Times New Roman"/>
          <w:color w:val="000000"/>
          <w:sz w:val="32"/>
          <w:szCs w:val="32"/>
        </w:rPr>
        <w:t>编制日期：</w:t>
      </w:r>
      <w:r>
        <w:rPr>
          <w:rFonts w:hint="default" w:ascii="Times New Roman" w:hAnsi="Times New Roman" w:eastAsia="仿宋_GB2312" w:cs="Times New Roman"/>
          <w:color w:val="000000"/>
          <w:sz w:val="32"/>
          <w:szCs w:val="32"/>
          <w:u w:val="single"/>
        </w:rPr>
        <w:t xml:space="preserve">  </w:t>
      </w:r>
      <w:r>
        <w:rPr>
          <w:rFonts w:hint="eastAsia" w:eastAsia="仿宋_GB2312" w:cs="Times New Roman"/>
          <w:color w:val="000000"/>
          <w:sz w:val="32"/>
          <w:szCs w:val="32"/>
          <w:u w:val="single"/>
          <w:lang w:val="en-US" w:eastAsia="zh-CN"/>
        </w:rPr>
        <w:t xml:space="preserve">  </w:t>
      </w:r>
      <w:r>
        <w:rPr>
          <w:rFonts w:hint="default" w:ascii="Times New Roman" w:hAnsi="Times New Roman" w:eastAsia="仿宋_GB2312" w:cs="Times New Roman"/>
          <w:color w:val="000000"/>
          <w:sz w:val="32"/>
          <w:szCs w:val="32"/>
          <w:u w:val="single"/>
        </w:rPr>
        <w:t xml:space="preserve">  </w:t>
      </w:r>
      <w:r>
        <w:rPr>
          <w:rFonts w:hint="eastAsia" w:ascii="Times New Roman" w:hAnsi="Times New Roman" w:eastAsia="仿宋_GB2312" w:cs="Times New Roman"/>
          <w:color w:val="000000"/>
          <w:sz w:val="32"/>
          <w:szCs w:val="32"/>
          <w:u w:val="single"/>
          <w:lang w:val="en-US" w:eastAsia="zh-CN"/>
        </w:rPr>
        <w:t xml:space="preserve">    </w:t>
      </w:r>
      <w:r>
        <w:rPr>
          <w:rFonts w:hint="default" w:ascii="Times New Roman" w:hAnsi="Times New Roman" w:eastAsia="仿宋_GB2312" w:cs="Times New Roman"/>
          <w:color w:val="000000"/>
          <w:sz w:val="32"/>
          <w:szCs w:val="32"/>
          <w:u w:val="single"/>
        </w:rPr>
        <w:t xml:space="preserve">  </w:t>
      </w:r>
      <w:r>
        <w:rPr>
          <w:rFonts w:hint="default" w:ascii="Times New Roman" w:hAnsi="Times New Roman" w:eastAsia="仿宋_GB2312" w:cs="Times New Roman"/>
          <w:color w:val="000000"/>
          <w:sz w:val="32"/>
          <w:szCs w:val="32"/>
          <w:u w:val="single"/>
          <w:lang w:val="en-US" w:eastAsia="zh-CN"/>
        </w:rPr>
        <w:t>202</w:t>
      </w:r>
      <w:r>
        <w:rPr>
          <w:rFonts w:hint="eastAsia" w:eastAsia="仿宋_GB2312" w:cs="Times New Roman"/>
          <w:color w:val="000000"/>
          <w:sz w:val="32"/>
          <w:szCs w:val="32"/>
          <w:u w:val="single"/>
          <w:lang w:val="en-US" w:eastAsia="zh-CN"/>
        </w:rPr>
        <w:t>4</w:t>
      </w:r>
      <w:r>
        <w:rPr>
          <w:rFonts w:hint="default" w:ascii="Times New Roman" w:hAnsi="Times New Roman" w:eastAsia="仿宋_GB2312" w:cs="Times New Roman"/>
          <w:color w:val="000000"/>
          <w:sz w:val="32"/>
          <w:szCs w:val="32"/>
          <w:u w:val="single"/>
          <w:lang w:val="en-US" w:eastAsia="zh-CN"/>
        </w:rPr>
        <w:t>年</w:t>
      </w:r>
      <w:r>
        <w:rPr>
          <w:rFonts w:hint="eastAsia" w:eastAsia="仿宋_GB2312" w:cs="Times New Roman"/>
          <w:color w:val="000000"/>
          <w:sz w:val="32"/>
          <w:szCs w:val="32"/>
          <w:u w:val="single"/>
          <w:lang w:val="en-US" w:eastAsia="zh-CN"/>
        </w:rPr>
        <w:t>12</w:t>
      </w:r>
      <w:r>
        <w:rPr>
          <w:rFonts w:hint="default" w:ascii="Times New Roman" w:hAnsi="Times New Roman" w:eastAsia="仿宋_GB2312" w:cs="Times New Roman"/>
          <w:color w:val="000000"/>
          <w:sz w:val="32"/>
          <w:szCs w:val="32"/>
          <w:u w:val="single"/>
          <w:lang w:val="en-US" w:eastAsia="zh-CN"/>
        </w:rPr>
        <w:t>月</w:t>
      </w:r>
      <w:r>
        <w:rPr>
          <w:rFonts w:hint="eastAsia" w:eastAsia="仿宋_GB2312" w:cs="Times New Roman"/>
          <w:color w:val="000000"/>
          <w:sz w:val="32"/>
          <w:szCs w:val="32"/>
          <w:u w:val="single"/>
          <w:lang w:val="en-US" w:eastAsia="zh-CN"/>
        </w:rPr>
        <w:t xml:space="preserve"> </w:t>
      </w:r>
      <w:r>
        <w:rPr>
          <w:rFonts w:hint="default" w:ascii="Times New Roman" w:hAnsi="Times New Roman" w:eastAsia="仿宋_GB2312" w:cs="Times New Roman"/>
          <w:color w:val="000000"/>
          <w:sz w:val="32"/>
          <w:szCs w:val="32"/>
          <w:u w:val="single"/>
        </w:rPr>
        <w:t xml:space="preserve">       </w:t>
      </w:r>
      <w:r>
        <w:rPr>
          <w:rFonts w:hint="eastAsia" w:ascii="Times New Roman" w:hAnsi="Times New Roman" w:eastAsia="仿宋_GB2312" w:cs="Times New Roman"/>
          <w:color w:val="000000"/>
          <w:sz w:val="32"/>
          <w:szCs w:val="32"/>
          <w:u w:val="single"/>
          <w:lang w:val="en-US" w:eastAsia="zh-CN"/>
        </w:rPr>
        <w:t xml:space="preserve">   </w:t>
      </w:r>
      <w:r>
        <w:rPr>
          <w:rFonts w:hint="eastAsia" w:eastAsia="仿宋_GB2312" w:cs="Times New Roman"/>
          <w:color w:val="000000"/>
          <w:sz w:val="32"/>
          <w:szCs w:val="32"/>
          <w:u w:val="single"/>
          <w:lang w:val="en-US" w:eastAsia="zh-CN"/>
        </w:rPr>
        <w:t xml:space="preserve">   </w:t>
      </w:r>
      <w:r>
        <w:rPr>
          <w:rFonts w:hint="default" w:ascii="Times New Roman" w:hAnsi="Times New Roman" w:eastAsia="仿宋_GB2312" w:cs="Times New Roman"/>
          <w:color w:val="000000"/>
          <w:sz w:val="32"/>
          <w:szCs w:val="32"/>
          <w:u w:val="single"/>
        </w:rPr>
        <w:t xml:space="preserve"> </w:t>
      </w:r>
    </w:p>
    <w:p w14:paraId="73200DA0">
      <w:pPr>
        <w:jc w:val="both"/>
        <w:rPr>
          <w:rFonts w:hint="eastAsia" w:ascii="Times New Roman" w:hAnsi="Times New Roman" w:eastAsia="仿宋" w:cs="Times New Roman"/>
          <w:color w:val="000000"/>
          <w:sz w:val="52"/>
          <w:szCs w:val="52"/>
        </w:rPr>
      </w:pPr>
      <w:bookmarkStart w:id="11" w:name="_Hlk57884087"/>
    </w:p>
    <w:bookmarkEnd w:id="11"/>
    <w:p w14:paraId="269FB532">
      <w:pPr>
        <w:jc w:val="center"/>
        <w:rPr>
          <w:rFonts w:hint="eastAsia" w:ascii="楷体" w:hAnsi="楷体" w:eastAsia="楷体" w:cs="楷体"/>
          <w:color w:val="00000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2" w:name="_Toc7657"/>
      <w:bookmarkStart w:id="13" w:name="_Toc4128"/>
      <w:bookmarkStart w:id="14" w:name="_Toc23946"/>
      <w:bookmarkStart w:id="15" w:name="_Toc3793"/>
      <w:bookmarkStart w:id="16" w:name="_Toc8713"/>
      <w:bookmarkStart w:id="17" w:name="_Toc18050"/>
      <w:bookmarkStart w:id="18" w:name="_Toc2463"/>
      <w:bookmarkStart w:id="19" w:name="_Toc15020"/>
      <w:bookmarkStart w:id="20" w:name="_Toc31856"/>
      <w:bookmarkStart w:id="21" w:name="_Toc6243"/>
      <w:r>
        <w:rPr>
          <w:rFonts w:hint="eastAsia" w:ascii="楷体" w:hAnsi="楷体" w:eastAsia="楷体" w:cs="楷体"/>
          <w:color w:val="000000"/>
          <w:sz w:val="32"/>
          <w:szCs w:val="32"/>
        </w:rPr>
        <w:t>中华人民共和国生态环境部制</w:t>
      </w:r>
      <w:bookmarkEnd w:id="12"/>
      <w:bookmarkEnd w:id="13"/>
      <w:bookmarkEnd w:id="14"/>
      <w:bookmarkEnd w:id="15"/>
      <w:bookmarkEnd w:id="16"/>
      <w:bookmarkEnd w:id="17"/>
      <w:bookmarkEnd w:id="18"/>
      <w:bookmarkEnd w:id="19"/>
      <w:bookmarkEnd w:id="20"/>
      <w:bookmarkEnd w:id="21"/>
      <w:r>
        <w:rPr>
          <w:rFonts w:hint="eastAsia" w:ascii="楷体" w:hAnsi="楷体" w:eastAsia="楷体" w:cs="楷体"/>
          <w:color w:val="000000"/>
          <w:sz w:val="32"/>
          <w:szCs w:val="32"/>
          <w:lang w:val="en-US" w:eastAsia="zh-CN"/>
        </w:rPr>
        <w:t xml:space="preserve"> </w:t>
      </w:r>
    </w:p>
    <w:p w14:paraId="0ED64263">
      <w:pPr>
        <w:jc w:val="center"/>
        <w:rPr>
          <w:rFonts w:hint="eastAsia" w:ascii="楷体" w:hAnsi="楷体" w:eastAsia="楷体" w:cs="楷体"/>
          <w:color w:val="000000"/>
          <w:sz w:val="32"/>
          <w:szCs w:val="32"/>
          <w:lang w:val="en-US" w:eastAsia="zh-CN"/>
        </w:rPr>
        <w:sectPr>
          <w:pgSz w:w="11906" w:h="16838"/>
          <w:pgMar w:top="1020" w:right="1020" w:bottom="1020" w:left="10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 w:hAnsi="楷体" w:eastAsia="楷体" w:cs="楷体"/>
          <w:color w:val="000000"/>
          <w:sz w:val="32"/>
          <w:szCs w:val="32"/>
          <w:lang w:val="en-US" w:eastAsia="zh-CN"/>
        </w:rPr>
        <w:drawing>
          <wp:inline distT="0" distB="0" distL="114300" distR="114300">
            <wp:extent cx="6261735" cy="9062085"/>
            <wp:effectExtent l="9525" t="9525" r="15240" b="15240"/>
            <wp:docPr id="14" name="图片 14" descr="3bd6b2829ba856685c1c679d6c19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bd6b2829ba856685c1c679d6c19a24"/>
                    <pic:cNvPicPr>
                      <a:picLocks noChangeAspect="1"/>
                    </pic:cNvPicPr>
                  </pic:nvPicPr>
                  <pic:blipFill>
                    <a:blip r:embed="rId6"/>
                    <a:stretch>
                      <a:fillRect/>
                    </a:stretch>
                  </pic:blipFill>
                  <pic:spPr>
                    <a:xfrm>
                      <a:off x="0" y="0"/>
                      <a:ext cx="6261735" cy="9062085"/>
                    </a:xfrm>
                    <a:prstGeom prst="rect">
                      <a:avLst/>
                    </a:prstGeom>
                    <a:ln>
                      <a:solidFill>
                        <a:schemeClr val="tx1"/>
                      </a:solidFill>
                    </a:ln>
                  </pic:spPr>
                </pic:pic>
              </a:graphicData>
            </a:graphic>
          </wp:inline>
        </w:drawing>
      </w:r>
      <w:r>
        <w:rPr>
          <w:rFonts w:hint="eastAsia" w:ascii="楷体" w:hAnsi="楷体" w:eastAsia="楷体" w:cs="楷体"/>
          <w:color w:val="000000"/>
          <w:sz w:val="32"/>
          <w:szCs w:val="32"/>
          <w:lang w:val="en-US" w:eastAsia="zh-CN"/>
        </w:rPr>
        <w:drawing>
          <wp:inline distT="0" distB="0" distL="114300" distR="114300">
            <wp:extent cx="6257925" cy="8854440"/>
            <wp:effectExtent l="9525" t="9525" r="19050" b="13335"/>
            <wp:docPr id="12" name="图片 12" descr="扫描全能王 2024-11-28 17.3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4-11-28 17.35_01"/>
                    <pic:cNvPicPr>
                      <a:picLocks noChangeAspect="1"/>
                    </pic:cNvPicPr>
                  </pic:nvPicPr>
                  <pic:blipFill>
                    <a:blip r:embed="rId7"/>
                    <a:stretch>
                      <a:fillRect/>
                    </a:stretch>
                  </pic:blipFill>
                  <pic:spPr>
                    <a:xfrm>
                      <a:off x="0" y="0"/>
                      <a:ext cx="6257925" cy="8854440"/>
                    </a:xfrm>
                    <a:prstGeom prst="rect">
                      <a:avLst/>
                    </a:prstGeom>
                    <a:ln>
                      <a:solidFill>
                        <a:schemeClr val="tx1"/>
                      </a:solidFill>
                    </a:ln>
                  </pic:spPr>
                </pic:pic>
              </a:graphicData>
            </a:graphic>
          </wp:inline>
        </w:drawing>
      </w:r>
    </w:p>
    <w:p w14:paraId="59E2722A">
      <w:pPr>
        <w:jc w:val="center"/>
      </w:pPr>
      <w:r>
        <w:drawing>
          <wp:inline distT="0" distB="0" distL="114300" distR="114300">
            <wp:extent cx="8582025" cy="5657215"/>
            <wp:effectExtent l="0" t="0" r="952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8582025" cy="5657215"/>
                    </a:xfrm>
                    <a:prstGeom prst="rect">
                      <a:avLst/>
                    </a:prstGeom>
                    <a:noFill/>
                    <a:ln>
                      <a:noFill/>
                    </a:ln>
                  </pic:spPr>
                </pic:pic>
              </a:graphicData>
            </a:graphic>
          </wp:inline>
        </w:drawing>
      </w:r>
      <w:r>
        <mc:AlternateContent>
          <mc:Choice Requires="wps">
            <w:drawing>
              <wp:anchor distT="45720" distB="45720" distL="114300" distR="114300" simplePos="0" relativeHeight="251659264" behindDoc="0" locked="0" layoutInCell="1" allowOverlap="1">
                <wp:simplePos x="0" y="0"/>
                <wp:positionH relativeFrom="margin">
                  <wp:posOffset>1660525</wp:posOffset>
                </wp:positionH>
                <wp:positionV relativeFrom="paragraph">
                  <wp:posOffset>2741930</wp:posOffset>
                </wp:positionV>
                <wp:extent cx="5715000" cy="1051560"/>
                <wp:effectExtent l="0" t="0" r="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rot="19920000">
                          <a:off x="0" y="0"/>
                          <a:ext cx="5715000" cy="1051560"/>
                        </a:xfrm>
                        <a:prstGeom prst="rect">
                          <a:avLst/>
                        </a:prstGeom>
                        <a:noFill/>
                        <a:ln w="9525">
                          <a:noFill/>
                          <a:miter lim="800000"/>
                        </a:ln>
                      </wps:spPr>
                      <wps:txbx>
                        <w:txbxContent>
                          <w:p w14:paraId="2358CDE5">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 ,复印无效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0.75pt;margin-top:215.9pt;height:82.8pt;width:450pt;mso-position-horizontal-relative:margin;rotation:-1835008f;z-index:251659264;mso-width-relative:page;mso-height-relative:page;" filled="f" stroked="f" coordsize="21600,21600" o:gfxdata="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ghkA9oAAAAMAQAADwAAAAAAAAABACAAAAAiAAAAZHJzL2Rvd25yZXYueG1sUEsB&#10;AhQAFAAAAAgAh07iQNYU154sAgAAOgQAAA4AAAAAAAAAAQAgAAAAKQEAAGRycy9lMm9Eb2MueG1s&#10;UEsFBgAAAAAGAAYAWQEAAMcFAAAAAA==&#10;">
                <v:fill on="f" focussize="0,0"/>
                <v:stroke on="f" miterlimit="8" joinstyle="miter"/>
                <v:imagedata o:title=""/>
                <o:lock v:ext="edit" aspectratio="f"/>
                <v:textbox>
                  <w:txbxContent>
                    <w:p w14:paraId="2358CDE5">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 ,复印无效</w:t>
                      </w:r>
                    </w:p>
                  </w:txbxContent>
                </v:textbox>
              </v:shape>
            </w:pict>
          </mc:Fallback>
        </mc:AlternateContent>
      </w:r>
    </w:p>
    <w:p w14:paraId="2CFBD893">
      <w:pPr>
        <w:jc w:val="center"/>
        <w:rPr>
          <w:rFonts w:hint="eastAsia"/>
          <w:lang w:eastAsia="zh-CN"/>
        </w:rPr>
        <w:sectPr>
          <w:headerReference r:id="rId3" w:type="default"/>
          <w:pgSz w:w="16838" w:h="11906" w:orient="landscape"/>
          <w:pgMar w:top="1440" w:right="1633" w:bottom="1440" w:left="1689" w:header="851" w:footer="466" w:gutter="0"/>
          <w:pgBorders>
            <w:top w:val="none" w:sz="0" w:space="0"/>
            <w:left w:val="none" w:sz="0" w:space="0"/>
            <w:bottom w:val="none" w:sz="0" w:space="0"/>
            <w:right w:val="none" w:sz="0" w:space="0"/>
          </w:pgBorders>
          <w:cols w:space="720" w:num="1"/>
          <w:docGrid w:type="lines" w:linePitch="312" w:charSpace="0"/>
        </w:sectPr>
      </w:pPr>
    </w:p>
    <w:p w14:paraId="46192587">
      <w:pPr>
        <w:jc w:val="center"/>
        <w:rPr>
          <w:rFonts w:hint="eastAsia"/>
          <w:lang w:eastAsia="zh-CN"/>
        </w:rPr>
      </w:pPr>
    </w:p>
    <w:p w14:paraId="4358DF44">
      <w:pPr>
        <w:jc w:val="center"/>
        <w:rPr>
          <w:rFonts w:hint="eastAsia"/>
          <w:lang w:eastAsia="zh-CN"/>
        </w:rPr>
        <w:sectPr>
          <w:pgSz w:w="11906" w:h="16838"/>
          <w:pgMar w:top="1800" w:right="1440" w:bottom="1800" w:left="1440" w:header="851" w:footer="466" w:gutter="0"/>
          <w:pgBorders>
            <w:top w:val="none" w:sz="0" w:space="0"/>
            <w:left w:val="none" w:sz="0" w:space="0"/>
            <w:bottom w:val="none" w:sz="0" w:space="0"/>
            <w:right w:val="none" w:sz="0" w:space="0"/>
          </w:pgBorders>
          <w:cols w:space="720" w:num="1"/>
          <w:docGrid w:type="lines" w:linePitch="312" w:charSpace="0"/>
        </w:sectPr>
      </w:pPr>
      <w:r>
        <mc:AlternateContent>
          <mc:Choice Requires="wps">
            <w:drawing>
              <wp:anchor distT="45720" distB="45720" distL="114300" distR="114300" simplePos="0" relativeHeight="251660288" behindDoc="0" locked="0" layoutInCell="1" allowOverlap="1">
                <wp:simplePos x="0" y="0"/>
                <wp:positionH relativeFrom="margin">
                  <wp:posOffset>906780</wp:posOffset>
                </wp:positionH>
                <wp:positionV relativeFrom="paragraph">
                  <wp:posOffset>2852420</wp:posOffset>
                </wp:positionV>
                <wp:extent cx="3776345" cy="1205230"/>
                <wp:effectExtent l="0" t="0" r="0" b="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rot="19920000">
                          <a:off x="0" y="0"/>
                          <a:ext cx="3776345" cy="1205230"/>
                        </a:xfrm>
                        <a:prstGeom prst="rect">
                          <a:avLst/>
                        </a:prstGeom>
                        <a:noFill/>
                        <a:ln w="9525">
                          <a:noFill/>
                          <a:miter lim="800000"/>
                        </a:ln>
                      </wps:spPr>
                      <wps:txbx>
                        <w:txbxContent>
                          <w:p w14:paraId="6046CA8D">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1.4pt;margin-top:224.6pt;height:94.9pt;width:297.35pt;mso-position-horizontal-relative:margin;rotation:-1835008f;z-index:251660288;mso-width-relative:page;mso-height-relative:page;" filled="f" stroked="f" coordsize="21600,21600" o:gfxdata="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m1KJtoAAAALAQAADwAAAAAAAAABACAAAAAiAAAAZHJzL2Rvd25yZXYueG1s&#10;UEsBAhQAFAAAAAgAh07iQHxOijMvAgAAOgQAAA4AAAAAAAAAAQAgAAAAKQEAAGRycy9lMm9Eb2Mu&#10;eG1sUEsFBgAAAAAGAAYAWQEAAMoFAAAAAA==&#10;">
                <v:fill on="f" focussize="0,0"/>
                <v:stroke on="f" miterlimit="8" joinstyle="miter"/>
                <v:imagedata o:title=""/>
                <o:lock v:ext="edit" aspectratio="f"/>
                <v:textbox>
                  <w:txbxContent>
                    <w:p w14:paraId="6046CA8D">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v:textbox>
              </v:shape>
            </w:pict>
          </mc:Fallback>
        </mc:AlternateContent>
      </w:r>
      <w:r>
        <w:rPr>
          <w:rFonts w:hint="eastAsia" w:eastAsia="宋体"/>
          <w:lang w:eastAsia="zh-CN"/>
        </w:rPr>
        <w:drawing>
          <wp:inline distT="0" distB="0" distL="114300" distR="114300">
            <wp:extent cx="5271770" cy="7473315"/>
            <wp:effectExtent l="0" t="0" r="5080" b="13335"/>
            <wp:docPr id="17" name="图片 17" descr="90d7827ef4a99ebeaf79263a8e88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0d7827ef4a99ebeaf79263a8e889db"/>
                    <pic:cNvPicPr>
                      <a:picLocks noChangeAspect="1"/>
                    </pic:cNvPicPr>
                  </pic:nvPicPr>
                  <pic:blipFill>
                    <a:blip r:embed="rId9"/>
                    <a:stretch>
                      <a:fillRect/>
                    </a:stretch>
                  </pic:blipFill>
                  <pic:spPr>
                    <a:xfrm>
                      <a:off x="0" y="0"/>
                      <a:ext cx="5271770" cy="7473315"/>
                    </a:xfrm>
                    <a:prstGeom prst="rect">
                      <a:avLst/>
                    </a:prstGeom>
                    <a:noFill/>
                    <a:ln>
                      <a:noFill/>
                    </a:ln>
                  </pic:spPr>
                </pic:pic>
              </a:graphicData>
            </a:graphic>
          </wp:inline>
        </w:drawing>
      </w:r>
    </w:p>
    <w:p w14:paraId="48026EE6">
      <w:pPr>
        <w:jc w:val="both"/>
      </w:pPr>
      <w:r>
        <mc:AlternateContent>
          <mc:Choice Requires="wps">
            <w:drawing>
              <wp:anchor distT="45720" distB="45720" distL="114300" distR="114300" simplePos="0" relativeHeight="251661312" behindDoc="0" locked="0" layoutInCell="1" allowOverlap="1">
                <wp:simplePos x="0" y="0"/>
                <wp:positionH relativeFrom="margin">
                  <wp:posOffset>1083945</wp:posOffset>
                </wp:positionH>
                <wp:positionV relativeFrom="paragraph">
                  <wp:posOffset>1271905</wp:posOffset>
                </wp:positionV>
                <wp:extent cx="4878070" cy="910590"/>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rot="1380000">
                          <a:off x="0" y="0"/>
                          <a:ext cx="4878070" cy="910590"/>
                        </a:xfrm>
                        <a:prstGeom prst="rect">
                          <a:avLst/>
                        </a:prstGeom>
                        <a:noFill/>
                        <a:ln w="9525">
                          <a:noFill/>
                          <a:miter lim="800000"/>
                        </a:ln>
                      </wps:spPr>
                      <wps:txbx>
                        <w:txbxContent>
                          <w:p w14:paraId="23B3E832">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5.35pt;margin-top:100.15pt;height:71.7pt;width:384.1pt;mso-position-horizontal-relative:margin;rotation:1507328f;z-index:251661312;mso-width-relative:page;mso-height-relative:page;" filled="f" stroked="f" coordsize="21600,21600" o:gfxdata="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Rje2QAAAAsBAAAPAAAAAAAAAAEAIAAAACIAAABkcnMvZG93bnJldi54bWxQSwECFAAU&#10;AAAACACHTuJA8ORBRikCAAA4BAAADgAAAAAAAAABACAAAAAoAQAAZHJzL2Uyb0RvYy54bWxQSwUG&#10;AAAAAAYABgBZAQAAwwUAAAAA&#10;">
                <v:fill on="f" focussize="0,0"/>
                <v:stroke on="f" miterlimit="8" joinstyle="miter"/>
                <v:imagedata o:title=""/>
                <o:lock v:ext="edit" aspectratio="f"/>
                <v:textbox>
                  <w:txbxContent>
                    <w:p w14:paraId="23B3E832">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v:textbox>
              </v:shape>
            </w:pict>
          </mc:Fallback>
        </mc:AlternateContent>
      </w:r>
      <w:r>
        <w:drawing>
          <wp:inline distT="0" distB="0" distL="114300" distR="114300">
            <wp:extent cx="9150350" cy="1727835"/>
            <wp:effectExtent l="0" t="0" r="12700"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9150350" cy="1727835"/>
                    </a:xfrm>
                    <a:prstGeom prst="rect">
                      <a:avLst/>
                    </a:prstGeom>
                    <a:noFill/>
                    <a:ln>
                      <a:noFill/>
                    </a:ln>
                  </pic:spPr>
                </pic:pic>
              </a:graphicData>
            </a:graphic>
          </wp:inline>
        </w:drawing>
      </w:r>
      <w:r>
        <w:drawing>
          <wp:inline distT="0" distB="0" distL="114300" distR="114300">
            <wp:extent cx="9141460" cy="11430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9141460" cy="1143000"/>
                    </a:xfrm>
                    <a:prstGeom prst="rect">
                      <a:avLst/>
                    </a:prstGeom>
                    <a:noFill/>
                    <a:ln>
                      <a:noFill/>
                    </a:ln>
                  </pic:spPr>
                </pic:pic>
              </a:graphicData>
            </a:graphic>
          </wp:inline>
        </w:drawing>
      </w:r>
    </w:p>
    <w:p w14:paraId="5E20E658">
      <w:r>
        <w:br w:type="page"/>
      </w:r>
    </w:p>
    <w:p w14:paraId="41DA8E1A">
      <w:pPr>
        <w:jc w:val="both"/>
        <w:rPr>
          <w:rFonts w:hint="eastAsia"/>
          <w:lang w:eastAsia="zh-CN"/>
        </w:rPr>
        <w:sectPr>
          <w:pgSz w:w="16838" w:h="11906" w:orient="landscape"/>
          <w:pgMar w:top="1123" w:right="1213" w:bottom="1179" w:left="1213" w:header="851" w:footer="992" w:gutter="0"/>
          <w:pgBorders>
            <w:top w:val="none" w:sz="0" w:space="0"/>
            <w:left w:val="none" w:sz="0" w:space="0"/>
            <w:bottom w:val="none" w:sz="0" w:space="0"/>
            <w:right w:val="none" w:sz="0" w:space="0"/>
          </w:pgBorders>
          <w:cols w:space="720" w:num="1"/>
          <w:docGrid w:type="lines" w:linePitch="312" w:charSpace="0"/>
        </w:sectPr>
      </w:pPr>
    </w:p>
    <w:p w14:paraId="4C44A3F4">
      <w:pPr>
        <w:jc w:val="both"/>
        <w:sectPr>
          <w:pgSz w:w="11906" w:h="16838"/>
          <w:pgMar w:top="1213" w:right="1179" w:bottom="1213" w:left="1123" w:header="851" w:footer="992" w:gutter="0"/>
          <w:cols w:space="720" w:num="1"/>
          <w:docGrid w:type="lines" w:linePitch="312" w:charSpace="0"/>
        </w:sectPr>
      </w:pPr>
      <w:bookmarkStart w:id="190" w:name="_GoBack"/>
      <w:bookmarkEnd w:id="190"/>
      <w:r>
        <mc:AlternateContent>
          <mc:Choice Requires="wps">
            <w:drawing>
              <wp:anchor distT="45720" distB="45720" distL="114300" distR="114300" simplePos="0" relativeHeight="251663360" behindDoc="0" locked="0" layoutInCell="1" allowOverlap="1">
                <wp:simplePos x="0" y="0"/>
                <wp:positionH relativeFrom="margin">
                  <wp:posOffset>372745</wp:posOffset>
                </wp:positionH>
                <wp:positionV relativeFrom="paragraph">
                  <wp:posOffset>3373120</wp:posOffset>
                </wp:positionV>
                <wp:extent cx="5304155" cy="930275"/>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rot="19920000">
                          <a:off x="0" y="0"/>
                          <a:ext cx="5304155" cy="930275"/>
                        </a:xfrm>
                        <a:prstGeom prst="rect">
                          <a:avLst/>
                        </a:prstGeom>
                        <a:noFill/>
                        <a:ln w="9525">
                          <a:noFill/>
                          <a:miter lim="800000"/>
                        </a:ln>
                      </wps:spPr>
                      <wps:txbx>
                        <w:txbxContent>
                          <w:p w14:paraId="1471F314">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9.35pt;margin-top:265.6pt;height:73.25pt;width:417.65pt;mso-position-horizontal-relative:margin;rotation:-1835008f;z-index:251663360;mso-width-relative:page;mso-height-relative:page;" filled="f" stroked="f" coordsize="21600,21600" o:gfxdata="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dU5TLZAAAACgEAAA8AAAAAAAAAAQAgAAAAIgAAAGRycy9kb3ducmV2LnhtbFBL&#10;AQIUABQAAAAIAIdO4kBi9OgCLgIAADkEAAAOAAAAAAAAAAEAIAAAACgBAABkcnMvZTJvRG9jLnht&#10;bFBLBQYAAAAABgAGAFkBAADIBQAAAAA=&#10;">
                <v:fill on="f" focussize="0,0"/>
                <v:stroke on="f" miterlimit="8" joinstyle="miter"/>
                <v:imagedata o:title=""/>
                <o:lock v:ext="edit" aspectratio="f"/>
                <v:textbox>
                  <w:txbxContent>
                    <w:p w14:paraId="1471F314">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v:textbox>
              </v:shape>
            </w:pict>
          </mc:Fallback>
        </mc:AlternateContent>
      </w:r>
      <w:r>
        <w:drawing>
          <wp:inline distT="0" distB="0" distL="114300" distR="114300">
            <wp:extent cx="6086475" cy="9063355"/>
            <wp:effectExtent l="9525" t="9525" r="19050" b="1397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2"/>
                    <a:stretch>
                      <a:fillRect/>
                    </a:stretch>
                  </pic:blipFill>
                  <pic:spPr>
                    <a:xfrm>
                      <a:off x="0" y="0"/>
                      <a:ext cx="6086475" cy="9063355"/>
                    </a:xfrm>
                    <a:prstGeom prst="rect">
                      <a:avLst/>
                    </a:prstGeom>
                    <a:noFill/>
                    <a:ln>
                      <a:solidFill>
                        <a:schemeClr val="tx1"/>
                      </a:solidFill>
                    </a:ln>
                  </pic:spPr>
                </pic:pic>
              </a:graphicData>
            </a:graphic>
          </wp:inline>
        </w:drawing>
      </w:r>
    </w:p>
    <w:p w14:paraId="10D6AED4">
      <w:pPr>
        <w:jc w:val="center"/>
        <w:rPr>
          <w:rFonts w:hint="eastAsia" w:ascii="楷体" w:hAnsi="楷体" w:eastAsia="楷体" w:cs="楷体"/>
          <w:color w:val="000000"/>
          <w:sz w:val="32"/>
          <w:szCs w:val="32"/>
          <w:lang w:val="en-US" w:eastAsia="zh-CN"/>
        </w:rPr>
        <w:sectPr>
          <w:pgSz w:w="11906" w:h="16838"/>
          <w:pgMar w:top="1020" w:right="1020" w:bottom="1020" w:left="102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6101080" cy="9067165"/>
            <wp:effectExtent l="9525" t="9525" r="23495" b="1016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3"/>
                    <a:stretch>
                      <a:fillRect/>
                    </a:stretch>
                  </pic:blipFill>
                  <pic:spPr>
                    <a:xfrm>
                      <a:off x="0" y="0"/>
                      <a:ext cx="6101080" cy="9067165"/>
                    </a:xfrm>
                    <a:prstGeom prst="rect">
                      <a:avLst/>
                    </a:prstGeom>
                    <a:noFill/>
                    <a:ln>
                      <a:solidFill>
                        <a:schemeClr val="tx1"/>
                      </a:solidFill>
                    </a:ln>
                  </pic:spPr>
                </pic:pic>
              </a:graphicData>
            </a:graphic>
          </wp:inline>
        </w:drawing>
      </w:r>
      <w:r>
        <mc:AlternateContent>
          <mc:Choice Requires="wps">
            <w:drawing>
              <wp:anchor distT="45720" distB="45720" distL="114300" distR="114300" simplePos="0" relativeHeight="251662336" behindDoc="0" locked="0" layoutInCell="1" allowOverlap="1">
                <wp:simplePos x="0" y="0"/>
                <wp:positionH relativeFrom="margin">
                  <wp:posOffset>438150</wp:posOffset>
                </wp:positionH>
                <wp:positionV relativeFrom="paragraph">
                  <wp:posOffset>3446145</wp:posOffset>
                </wp:positionV>
                <wp:extent cx="5304155" cy="930275"/>
                <wp:effectExtent l="0" t="0" r="0" b="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rot="19920000">
                          <a:off x="0" y="0"/>
                          <a:ext cx="5304155" cy="930275"/>
                        </a:xfrm>
                        <a:prstGeom prst="rect">
                          <a:avLst/>
                        </a:prstGeom>
                        <a:noFill/>
                        <a:ln w="9525">
                          <a:noFill/>
                          <a:miter lim="800000"/>
                        </a:ln>
                      </wps:spPr>
                      <wps:txbx>
                        <w:txbxContent>
                          <w:p w14:paraId="5E3928BD">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271.35pt;height:73.25pt;width:417.65pt;mso-position-horizontal-relative:margin;rotation:-1835008f;z-index:251662336;mso-width-relative:page;mso-height-relative:page;" filled="f" stroked="f" coordsize="21600,21600" o:gfxdata="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COS9kAAAAKAQAADwAAAAAAAAABACAAAAAiAAAAZHJzL2Rvd25yZXYueG1sUEsB&#10;AhQAFAAAAAgAh07iQBDCA1AtAgAAOQQAAA4AAAAAAAAAAQAgAAAAKAEAAGRycy9lMm9Eb2MueG1s&#10;UEsFBgAAAAAGAAYAWQEAAMcFAAAAAA==&#10;">
                <v:fill on="f" focussize="0,0"/>
                <v:stroke on="f" miterlimit="8" joinstyle="miter"/>
                <v:imagedata o:title=""/>
                <o:lock v:ext="edit" aspectratio="f"/>
                <v:textbox>
                  <w:txbxContent>
                    <w:p w14:paraId="5E3928BD">
                      <w:pPr>
                        <w:rPr>
                          <w:rFonts w:hint="eastAsia" w:ascii="宋体" w:hAnsi="宋体" w:eastAsia="宋体" w:cs="宋体"/>
                          <w:color w:val="0000FF"/>
                          <w:spacing w:val="20"/>
                          <w:sz w:val="28"/>
                          <w:szCs w:val="28"/>
                          <w:u w:val="none"/>
                        </w:rPr>
                      </w:pPr>
                      <w:r>
                        <w:rPr>
                          <w:rFonts w:hint="eastAsia" w:ascii="宋体" w:hAnsi="宋体" w:eastAsia="宋体" w:cs="宋体"/>
                          <w:color w:val="0000FF"/>
                          <w:spacing w:val="20"/>
                          <w:sz w:val="28"/>
                          <w:szCs w:val="28"/>
                          <w:u w:val="none"/>
                        </w:rPr>
                        <w:t>仅限于永州市杭润环保科技有限公司一般工业固废资源回收利用项目,复印无效</w:t>
                      </w:r>
                    </w:p>
                  </w:txbxContent>
                </v:textbox>
              </v:shape>
            </w:pict>
          </mc:Fallback>
        </mc:AlternateContent>
      </w:r>
    </w:p>
    <w:p w14:paraId="5DF50A54">
      <w:pPr>
        <w:jc w:val="center"/>
        <w:rPr>
          <w:rFonts w:hint="eastAsia" w:asciiTheme="minorEastAsia" w:hAnsiTheme="minorEastAsia" w:eastAsiaTheme="minorEastAsia" w:cstheme="minorEastAsia"/>
          <w:color w:val="000000"/>
          <w:sz w:val="32"/>
          <w:szCs w:val="32"/>
          <w:lang w:val="en-US" w:eastAsia="zh-CN"/>
        </w:rPr>
      </w:pPr>
      <w:r>
        <w:rPr>
          <w:rFonts w:hint="eastAsia" w:asciiTheme="minorEastAsia" w:hAnsiTheme="minorEastAsia" w:eastAsiaTheme="minorEastAsia" w:cstheme="minorEastAsia"/>
          <w:color w:val="000000"/>
          <w:sz w:val="48"/>
          <w:szCs w:val="48"/>
          <w:lang w:val="en-US" w:eastAsia="zh-CN"/>
        </w:rPr>
        <w:t>目 录</w:t>
      </w:r>
    </w:p>
    <w:p w14:paraId="3CBECCCA">
      <w:pPr>
        <w:pStyle w:val="23"/>
        <w:tabs>
          <w:tab w:val="right" w:leader="dot" w:pos="8306"/>
        </w:tabs>
        <w:rPr>
          <w:sz w:val="28"/>
          <w:szCs w:val="28"/>
        </w:rPr>
      </w:pPr>
      <w:r>
        <w:rPr>
          <w:rFonts w:hint="eastAsia" w:asciiTheme="minorEastAsia" w:hAnsiTheme="minorEastAsia" w:eastAsiaTheme="minorEastAsia" w:cstheme="minorEastAsia"/>
          <w:color w:val="000000"/>
          <w:sz w:val="32"/>
          <w:szCs w:val="32"/>
          <w:lang w:val="en-US" w:eastAsia="zh-CN"/>
        </w:rPr>
        <w:fldChar w:fldCharType="begin"/>
      </w:r>
      <w:r>
        <w:rPr>
          <w:rFonts w:hint="eastAsia" w:asciiTheme="minorEastAsia" w:hAnsiTheme="minorEastAsia" w:eastAsiaTheme="minorEastAsia" w:cstheme="minorEastAsia"/>
          <w:color w:val="000000"/>
          <w:sz w:val="32"/>
          <w:szCs w:val="32"/>
          <w:lang w:val="en-US" w:eastAsia="zh-CN"/>
        </w:rPr>
        <w:instrText xml:space="preserve">TOC \o "1-1" \h \u </w:instrText>
      </w:r>
      <w:r>
        <w:rPr>
          <w:rFonts w:hint="eastAsia" w:asciiTheme="minorEastAsia" w:hAnsiTheme="minorEastAsia" w:eastAsiaTheme="minorEastAsia" w:cstheme="minorEastAsia"/>
          <w:color w:val="000000"/>
          <w:sz w:val="32"/>
          <w:szCs w:val="32"/>
          <w:lang w:val="en-US" w:eastAsia="zh-CN"/>
        </w:rPr>
        <w:fldChar w:fldCharType="separate"/>
      </w: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_Toc14439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snapToGrid w:val="0"/>
          <w:sz w:val="28"/>
          <w:szCs w:val="28"/>
        </w:rPr>
        <w:t>一、建设项目基本情况</w:t>
      </w:r>
      <w:r>
        <w:rPr>
          <w:sz w:val="28"/>
          <w:szCs w:val="28"/>
        </w:rPr>
        <w:tab/>
      </w:r>
      <w:r>
        <w:rPr>
          <w:sz w:val="28"/>
          <w:szCs w:val="28"/>
        </w:rPr>
        <w:fldChar w:fldCharType="begin"/>
      </w:r>
      <w:r>
        <w:rPr>
          <w:sz w:val="28"/>
          <w:szCs w:val="28"/>
        </w:rPr>
        <w:instrText xml:space="preserve"> PAGEREF _Toc14439 \h </w:instrText>
      </w:r>
      <w:r>
        <w:rPr>
          <w:sz w:val="28"/>
          <w:szCs w:val="28"/>
        </w:rPr>
        <w:fldChar w:fldCharType="separate"/>
      </w:r>
      <w:r>
        <w:rPr>
          <w:sz w:val="28"/>
          <w:szCs w:val="28"/>
        </w:rPr>
        <w:t>- 1 -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6B87C2EA">
      <w:pPr>
        <w:pStyle w:val="23"/>
        <w:tabs>
          <w:tab w:val="right" w:leader="dot" w:pos="8306"/>
        </w:tabs>
        <w:rPr>
          <w:sz w:val="28"/>
          <w:szCs w:val="28"/>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_Toc23429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cs="Times New Roman"/>
          <w:snapToGrid w:val="0"/>
          <w:kern w:val="0"/>
          <w:sz w:val="28"/>
          <w:szCs w:val="28"/>
          <w:lang w:val="en-US" w:eastAsia="zh-CN" w:bidi="ar-SA"/>
        </w:rPr>
        <w:t>二、</w:t>
      </w:r>
      <w:r>
        <w:rPr>
          <w:rFonts w:hint="eastAsia" w:ascii="黑体" w:hAnsi="黑体" w:eastAsia="黑体"/>
          <w:snapToGrid w:val="0"/>
          <w:sz w:val="28"/>
          <w:szCs w:val="28"/>
        </w:rPr>
        <w:t>建设项目工程分析</w:t>
      </w:r>
      <w:r>
        <w:rPr>
          <w:sz w:val="28"/>
          <w:szCs w:val="28"/>
        </w:rPr>
        <w:tab/>
      </w:r>
      <w:r>
        <w:rPr>
          <w:sz w:val="28"/>
          <w:szCs w:val="28"/>
        </w:rPr>
        <w:fldChar w:fldCharType="begin"/>
      </w:r>
      <w:r>
        <w:rPr>
          <w:sz w:val="28"/>
          <w:szCs w:val="28"/>
        </w:rPr>
        <w:instrText xml:space="preserve"> PAGEREF _Toc23429 \h </w:instrText>
      </w:r>
      <w:r>
        <w:rPr>
          <w:sz w:val="28"/>
          <w:szCs w:val="28"/>
        </w:rPr>
        <w:fldChar w:fldCharType="separate"/>
      </w:r>
      <w:r>
        <w:rPr>
          <w:sz w:val="28"/>
          <w:szCs w:val="28"/>
        </w:rPr>
        <w:t>- 16 -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53E17492">
      <w:pPr>
        <w:pStyle w:val="23"/>
        <w:tabs>
          <w:tab w:val="right" w:leader="dot" w:pos="8306"/>
        </w:tabs>
        <w:rPr>
          <w:sz w:val="28"/>
          <w:szCs w:val="28"/>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_Toc10015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cs="Times New Roman"/>
          <w:snapToGrid w:val="0"/>
          <w:kern w:val="2"/>
          <w:sz w:val="28"/>
          <w:szCs w:val="28"/>
          <w:lang w:val="en-US" w:eastAsia="zh-CN" w:bidi="ar-SA"/>
        </w:rPr>
        <w:t>三、</w:t>
      </w:r>
      <w:r>
        <w:rPr>
          <w:rFonts w:hint="eastAsia" w:ascii="黑体" w:hAnsi="黑体" w:eastAsia="黑体"/>
          <w:snapToGrid w:val="0"/>
          <w:sz w:val="28"/>
          <w:szCs w:val="28"/>
        </w:rPr>
        <w:t>区域环境质量现状、环境保护目标及评价标准</w:t>
      </w:r>
      <w:r>
        <w:rPr>
          <w:sz w:val="28"/>
          <w:szCs w:val="28"/>
        </w:rPr>
        <w:tab/>
      </w:r>
      <w:r>
        <w:rPr>
          <w:sz w:val="28"/>
          <w:szCs w:val="28"/>
        </w:rPr>
        <w:fldChar w:fldCharType="begin"/>
      </w:r>
      <w:r>
        <w:rPr>
          <w:sz w:val="28"/>
          <w:szCs w:val="28"/>
        </w:rPr>
        <w:instrText xml:space="preserve"> PAGEREF _Toc10015 \h </w:instrText>
      </w:r>
      <w:r>
        <w:rPr>
          <w:sz w:val="28"/>
          <w:szCs w:val="28"/>
        </w:rPr>
        <w:fldChar w:fldCharType="separate"/>
      </w:r>
      <w:r>
        <w:rPr>
          <w:sz w:val="28"/>
          <w:szCs w:val="28"/>
        </w:rPr>
        <w:t>- 31 -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260935F2">
      <w:pPr>
        <w:pStyle w:val="23"/>
        <w:tabs>
          <w:tab w:val="right" w:leader="dot" w:pos="8306"/>
        </w:tabs>
        <w:rPr>
          <w:sz w:val="28"/>
          <w:szCs w:val="28"/>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_Toc20535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cs="Times New Roman"/>
          <w:bCs w:val="0"/>
          <w:snapToGrid w:val="0"/>
          <w:kern w:val="44"/>
          <w:sz w:val="28"/>
          <w:szCs w:val="28"/>
          <w:lang w:val="en-US" w:eastAsia="zh-CN" w:bidi="ar-SA"/>
        </w:rPr>
        <w:t>四、</w:t>
      </w:r>
      <w:r>
        <w:rPr>
          <w:rFonts w:hint="eastAsia" w:ascii="黑体" w:hAnsi="黑体" w:eastAsia="黑体"/>
          <w:bCs w:val="0"/>
          <w:snapToGrid w:val="0"/>
          <w:sz w:val="28"/>
          <w:szCs w:val="28"/>
        </w:rPr>
        <w:t>主要环境影响和保护措施</w:t>
      </w:r>
      <w:r>
        <w:rPr>
          <w:sz w:val="28"/>
          <w:szCs w:val="28"/>
        </w:rPr>
        <w:tab/>
      </w:r>
      <w:r>
        <w:rPr>
          <w:sz w:val="28"/>
          <w:szCs w:val="28"/>
        </w:rPr>
        <w:fldChar w:fldCharType="begin"/>
      </w:r>
      <w:r>
        <w:rPr>
          <w:sz w:val="28"/>
          <w:szCs w:val="28"/>
        </w:rPr>
        <w:instrText xml:space="preserve"> PAGEREF _Toc20535 \h </w:instrText>
      </w:r>
      <w:r>
        <w:rPr>
          <w:sz w:val="28"/>
          <w:szCs w:val="28"/>
        </w:rPr>
        <w:fldChar w:fldCharType="separate"/>
      </w:r>
      <w:r>
        <w:rPr>
          <w:sz w:val="28"/>
          <w:szCs w:val="28"/>
        </w:rPr>
        <w:t>- 36 -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79FB1D91">
      <w:pPr>
        <w:pStyle w:val="23"/>
        <w:tabs>
          <w:tab w:val="right" w:leader="dot" w:pos="8306"/>
        </w:tabs>
        <w:rPr>
          <w:sz w:val="28"/>
          <w:szCs w:val="28"/>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_Toc2824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cs="Times New Roman"/>
          <w:snapToGrid w:val="0"/>
          <w:kern w:val="2"/>
          <w:sz w:val="28"/>
          <w:szCs w:val="28"/>
          <w:lang w:val="en-US" w:eastAsia="zh-CN" w:bidi="ar-SA"/>
        </w:rPr>
        <w:t>五、</w:t>
      </w:r>
      <w:r>
        <w:rPr>
          <w:rFonts w:hint="eastAsia" w:ascii="黑体" w:hAnsi="黑体" w:eastAsia="黑体" w:cs="Times New Roman"/>
          <w:snapToGrid w:val="0"/>
          <w:sz w:val="28"/>
          <w:szCs w:val="28"/>
        </w:rPr>
        <w:t>环境保护措施监督检查清单</w:t>
      </w:r>
      <w:r>
        <w:rPr>
          <w:sz w:val="28"/>
          <w:szCs w:val="28"/>
        </w:rPr>
        <w:tab/>
      </w:r>
      <w:r>
        <w:rPr>
          <w:sz w:val="28"/>
          <w:szCs w:val="28"/>
        </w:rPr>
        <w:fldChar w:fldCharType="begin"/>
      </w:r>
      <w:r>
        <w:rPr>
          <w:sz w:val="28"/>
          <w:szCs w:val="28"/>
        </w:rPr>
        <w:instrText xml:space="preserve"> PAGEREF _Toc2824 \h </w:instrText>
      </w:r>
      <w:r>
        <w:rPr>
          <w:sz w:val="28"/>
          <w:szCs w:val="28"/>
        </w:rPr>
        <w:fldChar w:fldCharType="separate"/>
      </w:r>
      <w:r>
        <w:rPr>
          <w:sz w:val="28"/>
          <w:szCs w:val="28"/>
        </w:rPr>
        <w:t>- 62 -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1FA7F64A">
      <w:pPr>
        <w:pStyle w:val="23"/>
        <w:tabs>
          <w:tab w:val="right" w:leader="dot" w:pos="8306"/>
        </w:tabs>
        <w:rPr>
          <w:sz w:val="28"/>
          <w:szCs w:val="28"/>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_Toc11015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cs="Times New Roman"/>
          <w:snapToGrid w:val="0"/>
          <w:kern w:val="0"/>
          <w:sz w:val="28"/>
          <w:szCs w:val="28"/>
          <w:lang w:val="en-US" w:eastAsia="zh-CN" w:bidi="ar-SA"/>
        </w:rPr>
        <w:t>六、</w:t>
      </w:r>
      <w:r>
        <w:rPr>
          <w:rFonts w:hint="eastAsia" w:ascii="黑体" w:hAnsi="黑体" w:eastAsia="黑体" w:cs="Times New Roman"/>
          <w:snapToGrid w:val="0"/>
          <w:sz w:val="28"/>
          <w:szCs w:val="28"/>
        </w:rPr>
        <w:t>结论</w:t>
      </w:r>
      <w:r>
        <w:rPr>
          <w:sz w:val="28"/>
          <w:szCs w:val="28"/>
        </w:rPr>
        <w:tab/>
      </w:r>
      <w:r>
        <w:rPr>
          <w:sz w:val="28"/>
          <w:szCs w:val="28"/>
        </w:rPr>
        <w:fldChar w:fldCharType="begin"/>
      </w:r>
      <w:r>
        <w:rPr>
          <w:sz w:val="28"/>
          <w:szCs w:val="28"/>
        </w:rPr>
        <w:instrText xml:space="preserve"> PAGEREF _Toc11015 \h </w:instrText>
      </w:r>
      <w:r>
        <w:rPr>
          <w:sz w:val="28"/>
          <w:szCs w:val="28"/>
        </w:rPr>
        <w:fldChar w:fldCharType="separate"/>
      </w:r>
      <w:r>
        <w:rPr>
          <w:sz w:val="28"/>
          <w:szCs w:val="28"/>
        </w:rPr>
        <w:t>- 64 -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0149F023">
      <w:pPr>
        <w:pStyle w:val="23"/>
        <w:tabs>
          <w:tab w:val="right" w:leader="dot" w:pos="8306"/>
        </w:tabs>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HYPERLINK \l _Toc5900 </w:instrText>
      </w:r>
      <w:r>
        <w:rPr>
          <w:rFonts w:hint="eastAsia" w:asciiTheme="minorEastAsia" w:hAnsiTheme="minorEastAsia" w:eastAsiaTheme="minorEastAsia" w:cstheme="minorEastAsia"/>
          <w:sz w:val="28"/>
          <w:szCs w:val="28"/>
          <w:lang w:val="en-US" w:eastAsia="zh-CN"/>
        </w:rPr>
        <w:fldChar w:fldCharType="separate"/>
      </w:r>
      <w:r>
        <w:rPr>
          <w:rFonts w:hint="eastAsia" w:ascii="黑体" w:hAnsi="黑体" w:eastAsia="黑体"/>
          <w:snapToGrid w:val="0"/>
          <w:sz w:val="28"/>
          <w:szCs w:val="28"/>
        </w:rPr>
        <w:t>附表</w:t>
      </w:r>
      <w:r>
        <w:rPr>
          <w:sz w:val="28"/>
          <w:szCs w:val="28"/>
        </w:rPr>
        <w:tab/>
      </w:r>
      <w:r>
        <w:rPr>
          <w:sz w:val="28"/>
          <w:szCs w:val="28"/>
        </w:rPr>
        <w:fldChar w:fldCharType="begin"/>
      </w:r>
      <w:r>
        <w:rPr>
          <w:sz w:val="28"/>
          <w:szCs w:val="28"/>
        </w:rPr>
        <w:instrText xml:space="preserve"> PAGEREF _Toc5900 \h </w:instrText>
      </w:r>
      <w:r>
        <w:rPr>
          <w:sz w:val="28"/>
          <w:szCs w:val="28"/>
        </w:rPr>
        <w:fldChar w:fldCharType="separate"/>
      </w:r>
      <w:r>
        <w:rPr>
          <w:sz w:val="28"/>
          <w:szCs w:val="28"/>
        </w:rPr>
        <w:t>- 65 -</w:t>
      </w:r>
      <w:r>
        <w:rPr>
          <w:sz w:val="28"/>
          <w:szCs w:val="28"/>
        </w:rPr>
        <w:fldChar w:fldCharType="end"/>
      </w:r>
      <w:r>
        <w:rPr>
          <w:rFonts w:hint="eastAsia" w:asciiTheme="minorEastAsia" w:hAnsiTheme="minorEastAsia" w:eastAsiaTheme="minorEastAsia" w:cstheme="minorEastAsia"/>
          <w:color w:val="000000"/>
          <w:sz w:val="28"/>
          <w:szCs w:val="28"/>
          <w:lang w:val="en-US" w:eastAsia="zh-CN"/>
        </w:rPr>
        <w:fldChar w:fldCharType="end"/>
      </w:r>
    </w:p>
    <w:p w14:paraId="4A90ABF6"/>
    <w:p w14:paraId="30F46ECA">
      <w:pPr>
        <w:jc w:val="center"/>
        <w:rPr>
          <w:rFonts w:hint="eastAsia" w:asciiTheme="minorEastAsia" w:hAnsiTheme="minorEastAsia" w:eastAsiaTheme="minorEastAsia" w:cstheme="minorEastAsia"/>
          <w:color w:val="000000"/>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heme="minorEastAsia" w:hAnsiTheme="minorEastAsia" w:eastAsiaTheme="minorEastAsia" w:cstheme="minorEastAsia"/>
          <w:color w:val="000000"/>
          <w:szCs w:val="32"/>
          <w:lang w:val="en-US" w:eastAsia="zh-CN"/>
        </w:rPr>
        <w:fldChar w:fldCharType="end"/>
      </w:r>
    </w:p>
    <w:p w14:paraId="11EC54D7">
      <w:pPr>
        <w:jc w:val="center"/>
        <w:rPr>
          <w:rFonts w:hint="eastAsia" w:asciiTheme="minorEastAsia" w:hAnsiTheme="minorEastAsia" w:eastAsiaTheme="minorEastAsia" w:cstheme="minorEastAsia"/>
          <w:color w:val="000000"/>
          <w:szCs w:val="32"/>
          <w:lang w:val="en-US" w:eastAsia="zh-CN"/>
        </w:rPr>
        <w:sectPr>
          <w:pgSz w:w="11906" w:h="16838"/>
          <w:pgMar w:top="1020" w:right="1020" w:bottom="1020" w:left="102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heme="minorEastAsia" w:hAnsiTheme="minorEastAsia" w:eastAsiaTheme="minorEastAsia" w:cstheme="minorEastAsia"/>
          <w:color w:val="000000"/>
          <w:szCs w:val="32"/>
          <w:lang w:val="en-US" w:eastAsia="zh-CN"/>
        </w:rPr>
        <w:drawing>
          <wp:inline distT="0" distB="0" distL="114300" distR="114300">
            <wp:extent cx="6257925" cy="8854440"/>
            <wp:effectExtent l="9525" t="9525" r="19050" b="13335"/>
            <wp:docPr id="13" name="图片 13" descr="扫描全能王 2024-12-18 16.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4-12-18 16.29_01"/>
                    <pic:cNvPicPr>
                      <a:picLocks noChangeAspect="1"/>
                    </pic:cNvPicPr>
                  </pic:nvPicPr>
                  <pic:blipFill>
                    <a:blip r:embed="rId14"/>
                    <a:stretch>
                      <a:fillRect/>
                    </a:stretch>
                  </pic:blipFill>
                  <pic:spPr>
                    <a:xfrm>
                      <a:off x="0" y="0"/>
                      <a:ext cx="6257925" cy="8854440"/>
                    </a:xfrm>
                    <a:prstGeom prst="rect">
                      <a:avLst/>
                    </a:prstGeom>
                    <a:ln>
                      <a:solidFill>
                        <a:schemeClr val="tx1"/>
                      </a:solidFill>
                    </a:ln>
                  </pic:spPr>
                </pic:pic>
              </a:graphicData>
            </a:graphic>
          </wp:inline>
        </w:drawing>
      </w:r>
    </w:p>
    <w:p w14:paraId="76FA60CD">
      <w:pPr>
        <w:pStyle w:val="25"/>
        <w:keepNext w:val="0"/>
        <w:keepLines w:val="0"/>
        <w:pageBreakBefore w:val="0"/>
        <w:widowControl w:val="0"/>
        <w:tabs>
          <w:tab w:val="right" w:leader="dot" w:pos="9072"/>
          <w:tab w:val="clear" w:pos="840"/>
          <w:tab w:val="clear" w:pos="8302"/>
        </w:tabs>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Times New Roman" w:hAnsi="Times New Roman" w:eastAsia="宋体" w:cs="Times New Roman"/>
          <w:b/>
          <w:bCs/>
          <w:color w:val="000000"/>
          <w:kern w:val="0"/>
          <w:sz w:val="24"/>
          <w:szCs w:val="24"/>
          <w:highlight w:val="none"/>
          <w:u w:val="none" w:color="auto"/>
          <w:lang w:val="en-US" w:eastAsia="zh-CN"/>
        </w:rPr>
      </w:pPr>
      <w:r>
        <w:rPr>
          <w:rFonts w:hint="eastAsia" w:ascii="Times New Roman" w:hAnsi="Times New Roman" w:eastAsia="宋体" w:cs="Times New Roman"/>
          <w:b/>
          <w:bCs/>
          <w:color w:val="000000"/>
          <w:kern w:val="0"/>
          <w:sz w:val="24"/>
          <w:szCs w:val="24"/>
          <w:highlight w:val="none"/>
          <w:u w:val="none" w:color="auto"/>
          <w:lang w:val="en-US" w:eastAsia="zh-CN"/>
        </w:rPr>
        <w:t>附件：</w:t>
      </w:r>
    </w:p>
    <w:p w14:paraId="5B95E75D">
      <w:pPr>
        <w:pStyle w:val="14"/>
        <w:numPr>
          <w:ilvl w:val="0"/>
          <w:numId w:val="0"/>
        </w:numPr>
        <w:bidi w:val="0"/>
        <w:ind w:firstLine="480" w:firstLineChars="200"/>
        <w:rPr>
          <w:rFonts w:hint="eastAsia" w:ascii="Times New Roman" w:hAnsi="Times New Roman" w:eastAsia="宋体" w:cs="Times New Roman"/>
          <w:bCs w:val="0"/>
          <w:color w:val="000000"/>
          <w:kern w:val="0"/>
          <w:sz w:val="24"/>
          <w:szCs w:val="24"/>
          <w:highlight w:val="none"/>
          <w:u w:val="none" w:color="auto"/>
          <w:lang w:val="en-US" w:eastAsia="zh-CN"/>
        </w:rPr>
      </w:pPr>
      <w:r>
        <w:rPr>
          <w:rFonts w:hint="eastAsia" w:ascii="Times New Roman" w:hAnsi="Times New Roman" w:eastAsia="宋体" w:cs="Times New Roman"/>
          <w:bCs w:val="0"/>
          <w:color w:val="000000"/>
          <w:kern w:val="0"/>
          <w:sz w:val="24"/>
          <w:szCs w:val="24"/>
          <w:u w:color="auto"/>
          <w:lang w:val="en-US" w:eastAsia="zh-CN" w:bidi="ar-SA"/>
        </w:rPr>
        <w:t>1、</w:t>
      </w:r>
      <w:r>
        <w:rPr>
          <w:rFonts w:hint="eastAsia" w:ascii="Times New Roman" w:hAnsi="Times New Roman" w:eastAsia="宋体" w:cs="Times New Roman"/>
          <w:bCs w:val="0"/>
          <w:color w:val="000000"/>
          <w:kern w:val="0"/>
          <w:sz w:val="24"/>
          <w:szCs w:val="24"/>
          <w:highlight w:val="none"/>
          <w:u w:val="none" w:color="auto"/>
          <w:lang w:val="en-US" w:eastAsia="zh-CN"/>
        </w:rPr>
        <w:t>环境影响评价委托函</w:t>
      </w:r>
    </w:p>
    <w:p w14:paraId="5B1418E1">
      <w:pPr>
        <w:pStyle w:val="14"/>
        <w:numPr>
          <w:ilvl w:val="0"/>
          <w:numId w:val="0"/>
        </w:numPr>
        <w:bidi w:val="0"/>
        <w:ind w:firstLine="480" w:firstLineChars="200"/>
        <w:rPr>
          <w:rFonts w:hint="default" w:ascii="Times New Roman" w:hAnsi="Times New Roman" w:eastAsia="宋体"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2、</w:t>
      </w:r>
      <w:r>
        <w:rPr>
          <w:rFonts w:hint="eastAsia" w:ascii="Times New Roman" w:hAnsi="Times New Roman" w:eastAsia="宋体" w:cs="Times New Roman"/>
          <w:bCs w:val="0"/>
          <w:color w:val="000000"/>
          <w:kern w:val="0"/>
          <w:sz w:val="24"/>
          <w:szCs w:val="24"/>
          <w:highlight w:val="none"/>
          <w:u w:val="none" w:color="auto"/>
          <w:lang w:val="en-US" w:eastAsia="zh-CN"/>
        </w:rPr>
        <w:t>营业执照</w:t>
      </w:r>
    </w:p>
    <w:p w14:paraId="08D3C1CC">
      <w:pPr>
        <w:pStyle w:val="14"/>
        <w:numPr>
          <w:ilvl w:val="0"/>
          <w:numId w:val="0"/>
        </w:numPr>
        <w:bidi w:val="0"/>
        <w:ind w:firstLine="480" w:firstLineChars="200"/>
        <w:rPr>
          <w:rFonts w:hint="eastAsia"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3、</w:t>
      </w:r>
      <w:r>
        <w:rPr>
          <w:rFonts w:hint="eastAsia" w:ascii="Times New Roman" w:hAnsi="Times New Roman" w:eastAsia="宋体" w:cs="Times New Roman"/>
          <w:bCs w:val="0"/>
          <w:color w:val="000000"/>
          <w:kern w:val="0"/>
          <w:sz w:val="24"/>
          <w:szCs w:val="24"/>
          <w:u w:color="auto"/>
          <w:lang w:val="en-US" w:eastAsia="zh-CN" w:bidi="ar-SA"/>
        </w:rPr>
        <w:t>厂房</w:t>
      </w:r>
      <w:r>
        <w:rPr>
          <w:rFonts w:hint="eastAsia" w:ascii="Times New Roman" w:hAnsi="Times New Roman" w:cs="Times New Roman"/>
          <w:bCs w:val="0"/>
          <w:color w:val="000000"/>
          <w:kern w:val="0"/>
          <w:sz w:val="24"/>
          <w:szCs w:val="24"/>
          <w:highlight w:val="none"/>
          <w:u w:val="none" w:color="auto"/>
          <w:lang w:val="en-US" w:eastAsia="zh-CN"/>
        </w:rPr>
        <w:t>租赁协议</w:t>
      </w:r>
    </w:p>
    <w:p w14:paraId="09ECF0BA">
      <w:pPr>
        <w:pStyle w:val="14"/>
        <w:numPr>
          <w:ilvl w:val="0"/>
          <w:numId w:val="0"/>
        </w:numPr>
        <w:bidi w:val="0"/>
        <w:ind w:firstLine="480" w:firstLineChars="200"/>
        <w:rPr>
          <w:rFonts w:hint="eastAsia" w:ascii="Times New Roman" w:hAnsi="Times New Roman" w:cs="Times New Roman"/>
          <w:bCs w:val="0"/>
          <w:color w:val="000000"/>
          <w:kern w:val="0"/>
          <w:sz w:val="24"/>
          <w:szCs w:val="24"/>
          <w:highlight w:val="none"/>
          <w:u w:val="none" w:color="auto"/>
          <w:lang w:val="en-US" w:eastAsia="zh-CN"/>
        </w:rPr>
      </w:pPr>
      <w:r>
        <w:rPr>
          <w:rFonts w:hint="eastAsia" w:ascii="Times New Roman" w:hAnsi="Times New Roman" w:cs="Times New Roman"/>
          <w:bCs w:val="0"/>
          <w:color w:val="000000"/>
          <w:kern w:val="0"/>
          <w:sz w:val="24"/>
          <w:szCs w:val="24"/>
          <w:highlight w:val="none"/>
          <w:u w:val="none" w:color="auto"/>
          <w:lang w:val="en-US" w:eastAsia="zh-CN"/>
        </w:rPr>
        <w:t>4、不动产权证</w:t>
      </w:r>
    </w:p>
    <w:p w14:paraId="4725724A">
      <w:pPr>
        <w:pStyle w:val="14"/>
        <w:numPr>
          <w:ilvl w:val="0"/>
          <w:numId w:val="0"/>
        </w:numPr>
        <w:bidi w:val="0"/>
        <w:ind w:firstLine="480" w:firstLineChars="200"/>
        <w:rPr>
          <w:rFonts w:hint="eastAsia" w:ascii="Times New Roman" w:hAnsi="Times New Roman" w:cs="Times New Roman"/>
          <w:bCs w:val="0"/>
          <w:color w:val="000000"/>
          <w:kern w:val="0"/>
          <w:sz w:val="24"/>
          <w:szCs w:val="24"/>
          <w:highlight w:val="none"/>
          <w:u w:val="none" w:color="auto"/>
          <w:lang w:val="en-US" w:eastAsia="zh-CN"/>
        </w:rPr>
      </w:pPr>
      <w:r>
        <w:rPr>
          <w:rFonts w:hint="eastAsia" w:ascii="Times New Roman" w:hAnsi="Times New Roman" w:cs="Times New Roman"/>
          <w:bCs w:val="0"/>
          <w:color w:val="000000"/>
          <w:kern w:val="0"/>
          <w:sz w:val="24"/>
          <w:szCs w:val="24"/>
          <w:highlight w:val="none"/>
          <w:u w:val="none" w:color="auto"/>
          <w:lang w:val="en-US" w:eastAsia="zh-CN"/>
        </w:rPr>
        <w:t>5、永州市生态环境局新田分局（原新田县环境保护局）《2019年关于&lt;湖南龙昶机械工程有限公司机械设备生产厂改扩建项目环境影响报告表&gt;的审批意见》（新环审字[2019]17号）</w:t>
      </w:r>
    </w:p>
    <w:p w14:paraId="3C91859B">
      <w:pPr>
        <w:pStyle w:val="14"/>
        <w:numPr>
          <w:ilvl w:val="0"/>
          <w:numId w:val="0"/>
        </w:numPr>
        <w:bidi w:val="0"/>
        <w:ind w:firstLine="480" w:firstLineChars="200"/>
        <w:rPr>
          <w:rFonts w:hint="default" w:cs="Times New Roman"/>
          <w:bCs w:val="0"/>
          <w:color w:val="FF0000"/>
          <w:kern w:val="0"/>
          <w:sz w:val="24"/>
          <w:szCs w:val="24"/>
          <w:highlight w:val="none"/>
          <w:u w:val="single" w:color="auto"/>
          <w:lang w:val="en-US" w:eastAsia="zh-CN"/>
        </w:rPr>
      </w:pPr>
      <w:r>
        <w:rPr>
          <w:rFonts w:hint="eastAsia" w:cs="Times New Roman"/>
          <w:bCs w:val="0"/>
          <w:color w:val="000000" w:themeColor="text1"/>
          <w:kern w:val="0"/>
          <w:sz w:val="24"/>
          <w:szCs w:val="24"/>
          <w:highlight w:val="none"/>
          <w:u w:val="single" w:color="auto"/>
          <w:lang w:val="en-US" w:eastAsia="zh-CN"/>
          <w14:textFill>
            <w14:solidFill>
              <w14:schemeClr w14:val="tx1"/>
            </w14:solidFill>
          </w14:textFill>
        </w:rPr>
        <w:t>6、一般工业固废处置协议书（新田县鸿发大型打包厂、新田县星源锌钢科技有限公司、新田县咔嗒废品回收站）</w:t>
      </w:r>
    </w:p>
    <w:p w14:paraId="0740DA0E">
      <w:pPr>
        <w:pStyle w:val="14"/>
        <w:numPr>
          <w:ilvl w:val="0"/>
          <w:numId w:val="0"/>
        </w:numPr>
        <w:bidi w:val="0"/>
        <w:ind w:firstLine="480" w:firstLineChars="200"/>
        <w:rPr>
          <w:rFonts w:hint="eastAsia" w:cs="Times New Roman"/>
          <w:bCs w:val="0"/>
          <w:color w:val="000000"/>
          <w:kern w:val="0"/>
          <w:sz w:val="24"/>
          <w:szCs w:val="24"/>
          <w:highlight w:val="none"/>
          <w:u w:val="none" w:color="auto"/>
          <w:lang w:val="en-US" w:eastAsia="zh-CN"/>
        </w:rPr>
      </w:pPr>
      <w:r>
        <w:rPr>
          <w:rFonts w:hint="eastAsia" w:cs="Times New Roman"/>
          <w:bCs w:val="0"/>
          <w:color w:val="000000" w:themeColor="text1"/>
          <w:kern w:val="0"/>
          <w:sz w:val="24"/>
          <w:szCs w:val="24"/>
          <w:highlight w:val="none"/>
          <w:u w:val="single" w:color="auto"/>
          <w:lang w:val="en-US" w:eastAsia="zh-CN"/>
          <w14:textFill>
            <w14:solidFill>
              <w14:schemeClr w14:val="tx1"/>
            </w14:solidFill>
          </w14:textFill>
        </w:rPr>
        <w:t>7、项目备案文件</w:t>
      </w:r>
    </w:p>
    <w:p w14:paraId="61C02C61">
      <w:pPr>
        <w:pStyle w:val="14"/>
        <w:numPr>
          <w:ilvl w:val="0"/>
          <w:numId w:val="0"/>
        </w:numPr>
        <w:bidi w:val="0"/>
        <w:ind w:firstLine="480" w:firstLineChars="200"/>
        <w:rPr>
          <w:rFonts w:hint="default" w:cs="Times New Roman"/>
          <w:bCs w:val="0"/>
          <w:color w:val="000000"/>
          <w:kern w:val="0"/>
          <w:sz w:val="24"/>
          <w:szCs w:val="24"/>
          <w:highlight w:val="none"/>
          <w:u w:val="none" w:color="auto"/>
          <w:lang w:val="en-US" w:eastAsia="zh-CN"/>
        </w:rPr>
      </w:pPr>
      <w:r>
        <w:rPr>
          <w:rFonts w:hint="eastAsia" w:cs="Times New Roman"/>
          <w:bCs w:val="0"/>
          <w:color w:val="000000"/>
          <w:kern w:val="0"/>
          <w:sz w:val="24"/>
          <w:szCs w:val="24"/>
          <w:highlight w:val="none"/>
          <w:u w:val="none" w:color="auto"/>
          <w:lang w:val="en-US" w:eastAsia="zh-CN"/>
        </w:rPr>
        <w:t>8、</w:t>
      </w:r>
      <w:r>
        <w:rPr>
          <w:rFonts w:hint="eastAsia" w:ascii="Times New Roman" w:hAnsi="Times New Roman" w:cs="Times New Roman"/>
          <w:b w:val="0"/>
          <w:bCs w:val="0"/>
          <w:color w:val="000000"/>
          <w:sz w:val="24"/>
          <w:u w:val="none" w:color="auto"/>
          <w:lang w:val="en-US" w:eastAsia="zh-CN"/>
        </w:rPr>
        <w:t>专家意见及签到表</w:t>
      </w:r>
    </w:p>
    <w:p w14:paraId="7D390E92">
      <w:pPr>
        <w:pStyle w:val="25"/>
        <w:keepNext w:val="0"/>
        <w:keepLines w:val="0"/>
        <w:pageBreakBefore w:val="0"/>
        <w:widowControl w:val="0"/>
        <w:tabs>
          <w:tab w:val="right" w:leader="dot" w:pos="9072"/>
          <w:tab w:val="clear" w:pos="840"/>
          <w:tab w:val="clear" w:pos="8302"/>
        </w:tabs>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color w:val="000000"/>
          <w:kern w:val="0"/>
          <w:sz w:val="24"/>
          <w:szCs w:val="24"/>
          <w:highlight w:val="none"/>
          <w:u w:val="none" w:color="auto"/>
          <w:lang w:val="en-US" w:eastAsia="zh-CN"/>
        </w:rPr>
      </w:pPr>
      <w:r>
        <w:rPr>
          <w:rFonts w:hint="eastAsia" w:ascii="Times New Roman" w:hAnsi="Times New Roman" w:eastAsia="宋体" w:cs="Times New Roman"/>
          <w:b/>
          <w:bCs/>
          <w:color w:val="000000"/>
          <w:kern w:val="0"/>
          <w:sz w:val="24"/>
          <w:szCs w:val="24"/>
          <w:highlight w:val="none"/>
          <w:u w:val="none" w:color="auto"/>
          <w:lang w:val="en-US" w:eastAsia="zh-CN"/>
        </w:rPr>
        <w:t>附图：</w:t>
      </w:r>
    </w:p>
    <w:p w14:paraId="25AC3E4C">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eastAsia" w:ascii="Times New Roman" w:hAnsi="Times New Roman" w:cs="Times New Roman"/>
          <w:bCs w:val="0"/>
          <w:color w:val="000000"/>
          <w:kern w:val="0"/>
          <w:sz w:val="24"/>
          <w:szCs w:val="24"/>
          <w:highlight w:val="none"/>
          <w:u w:val="none" w:color="auto"/>
          <w:lang w:val="en-US" w:eastAsia="zh-CN"/>
        </w:rPr>
      </w:pPr>
      <w:r>
        <w:rPr>
          <w:rFonts w:hint="eastAsia" w:ascii="Times New Roman" w:hAnsi="Times New Roman" w:eastAsia="宋体" w:cs="Times New Roman"/>
          <w:bCs w:val="0"/>
          <w:color w:val="000000"/>
          <w:kern w:val="0"/>
          <w:sz w:val="24"/>
          <w:szCs w:val="24"/>
          <w:u w:color="auto"/>
          <w:lang w:val="en-US" w:eastAsia="zh-CN" w:bidi="ar-SA"/>
        </w:rPr>
        <w:t>1、</w:t>
      </w:r>
      <w:r>
        <w:rPr>
          <w:rFonts w:hint="eastAsia" w:ascii="Times New Roman" w:hAnsi="Times New Roman" w:cs="Times New Roman"/>
          <w:bCs w:val="0"/>
          <w:color w:val="000000"/>
          <w:kern w:val="0"/>
          <w:sz w:val="24"/>
          <w:szCs w:val="24"/>
          <w:highlight w:val="none"/>
          <w:u w:val="none" w:color="auto"/>
          <w:lang w:val="en-US" w:eastAsia="zh-CN"/>
        </w:rPr>
        <w:t>项目地理位置示意图</w:t>
      </w:r>
    </w:p>
    <w:p w14:paraId="7AA48E10">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2、</w:t>
      </w:r>
      <w:r>
        <w:rPr>
          <w:rFonts w:hint="eastAsia" w:ascii="Times New Roman" w:hAnsi="Times New Roman" w:cs="Times New Roman"/>
          <w:bCs w:val="0"/>
          <w:color w:val="000000"/>
          <w:kern w:val="0"/>
          <w:sz w:val="24"/>
          <w:szCs w:val="24"/>
          <w:highlight w:val="none"/>
          <w:u w:val="none" w:color="auto"/>
          <w:lang w:val="en-US" w:eastAsia="zh-CN"/>
        </w:rPr>
        <w:t>项目厂房与龙昶公司厂区位置关系及厂区分布示意图</w:t>
      </w:r>
    </w:p>
    <w:p w14:paraId="75C71026">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3、</w:t>
      </w:r>
      <w:r>
        <w:rPr>
          <w:rFonts w:hint="default" w:ascii="Times New Roman" w:hAnsi="Times New Roman" w:cs="Times New Roman"/>
          <w:bCs w:val="0"/>
          <w:color w:val="000000"/>
          <w:kern w:val="0"/>
          <w:sz w:val="24"/>
          <w:szCs w:val="24"/>
          <w:highlight w:val="none"/>
          <w:u w:val="none" w:color="auto"/>
          <w:lang w:val="en-US" w:eastAsia="zh-CN"/>
        </w:rPr>
        <w:t xml:space="preserve">项目生产厂房平面布置示意图 </w:t>
      </w:r>
    </w:p>
    <w:p w14:paraId="1FB6C116">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4、</w:t>
      </w:r>
      <w:r>
        <w:rPr>
          <w:rFonts w:hint="default" w:ascii="Times New Roman" w:hAnsi="Times New Roman" w:cs="Times New Roman"/>
          <w:bCs w:val="0"/>
          <w:color w:val="000000"/>
          <w:kern w:val="0"/>
          <w:sz w:val="24"/>
          <w:szCs w:val="24"/>
          <w:highlight w:val="none"/>
          <w:u w:val="none" w:color="auto"/>
          <w:lang w:val="en-US" w:eastAsia="zh-CN"/>
        </w:rPr>
        <w:t>项目大气环境保护目标分布示意图</w:t>
      </w:r>
    </w:p>
    <w:p w14:paraId="0FDA4494">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5、</w:t>
      </w:r>
      <w:r>
        <w:rPr>
          <w:rFonts w:hint="default"/>
          <w:color w:val="000000"/>
          <w:szCs w:val="24"/>
          <w:u w:color="auto"/>
        </w:rPr>
        <w:t>项目区域地表水系分布示意图</w:t>
      </w:r>
    </w:p>
    <w:p w14:paraId="6133271D">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Times New Roman" w:hAnsi="Times New Roman" w:cs="Times New Roman"/>
          <w:bCs w:val="0"/>
          <w:color w:val="000000"/>
          <w:kern w:val="0"/>
          <w:sz w:val="24"/>
          <w:szCs w:val="24"/>
          <w:highlight w:val="none"/>
          <w:u w:val="none" w:color="auto"/>
          <w:lang w:val="en-US" w:eastAsia="zh-CN"/>
        </w:rPr>
      </w:pPr>
      <w:r>
        <w:rPr>
          <w:rFonts w:hint="default" w:ascii="Times New Roman" w:hAnsi="Times New Roman" w:eastAsia="宋体" w:cs="Times New Roman"/>
          <w:bCs w:val="0"/>
          <w:color w:val="000000"/>
          <w:kern w:val="0"/>
          <w:sz w:val="24"/>
          <w:szCs w:val="24"/>
          <w:u w:color="auto"/>
          <w:lang w:val="en-US" w:eastAsia="zh-CN" w:bidi="ar-SA"/>
        </w:rPr>
        <w:t>6、</w:t>
      </w:r>
      <w:r>
        <w:rPr>
          <w:rFonts w:hint="default" w:ascii="Times New Roman" w:hAnsi="Times New Roman" w:cs="Times New Roman"/>
          <w:bCs w:val="0"/>
          <w:color w:val="000000"/>
          <w:kern w:val="0"/>
          <w:sz w:val="24"/>
          <w:szCs w:val="24"/>
          <w:highlight w:val="none"/>
          <w:u w:val="none" w:color="auto"/>
          <w:lang w:val="en-US" w:eastAsia="zh-CN"/>
        </w:rPr>
        <w:t>新田产业开发区总体规划——土地利用规划图</w:t>
      </w:r>
    </w:p>
    <w:p w14:paraId="6ED8AD94">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eastAsia"/>
          <w:szCs w:val="24"/>
          <w:u w:val="none" w:color="auto"/>
          <w:lang w:val="en-US" w:eastAsia="zh-CN"/>
        </w:rPr>
      </w:pPr>
      <w:r>
        <w:rPr>
          <w:rFonts w:hint="eastAsia" w:cs="Times New Roman"/>
          <w:bCs w:val="0"/>
          <w:color w:val="000000"/>
          <w:kern w:val="0"/>
          <w:sz w:val="24"/>
          <w:szCs w:val="24"/>
          <w:highlight w:val="none"/>
          <w:u w:val="none" w:color="auto"/>
          <w:lang w:val="en-US" w:eastAsia="zh-CN"/>
        </w:rPr>
        <w:t>7、</w:t>
      </w:r>
      <w:r>
        <w:rPr>
          <w:rFonts w:hint="eastAsia"/>
          <w:szCs w:val="24"/>
          <w:u w:val="none" w:color="auto"/>
          <w:lang w:val="en-US" w:eastAsia="zh-CN"/>
        </w:rPr>
        <w:t xml:space="preserve">本项目与引用大气环境监测点位位置分布示意图 </w:t>
      </w:r>
    </w:p>
    <w:p w14:paraId="1CCB266C">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szCs w:val="24"/>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szCs w:val="24"/>
          <w:u w:val="single" w:color="auto"/>
          <w:lang w:val="en-US" w:eastAsia="zh-CN"/>
        </w:rPr>
        <w:t>8、项目污水排放走向示意图</w:t>
      </w:r>
    </w:p>
    <w:p w14:paraId="5FCE31AD">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snapToGrid w:val="0"/>
          <w:color w:val="000000"/>
          <w:sz w:val="30"/>
          <w:szCs w:val="30"/>
        </w:rPr>
      </w:pPr>
      <w:bookmarkStart w:id="22" w:name="_Toc10504"/>
      <w:bookmarkStart w:id="23" w:name="_Toc15592"/>
      <w:bookmarkStart w:id="24" w:name="_Toc15128"/>
      <w:bookmarkStart w:id="25" w:name="_Toc1861"/>
      <w:bookmarkStart w:id="26" w:name="_Toc22273"/>
      <w:bookmarkStart w:id="27" w:name="_Toc3202"/>
      <w:bookmarkStart w:id="28" w:name="_Toc11369"/>
      <w:bookmarkStart w:id="29" w:name="_Toc9420"/>
      <w:bookmarkStart w:id="30" w:name="_Toc4593"/>
      <w:bookmarkStart w:id="31" w:name="_Toc31123"/>
      <w:bookmarkStart w:id="32" w:name="_Toc25372"/>
      <w:bookmarkStart w:id="33" w:name="_Toc14439"/>
      <w:bookmarkStart w:id="34" w:name="_Toc9298"/>
      <w:r>
        <w:rPr>
          <w:rFonts w:hint="eastAsia" w:ascii="黑体" w:hAnsi="黑体" w:eastAsia="黑体"/>
          <w:snapToGrid w:val="0"/>
          <w:color w:val="000000"/>
          <w:sz w:val="30"/>
          <w:szCs w:val="30"/>
        </w:rPr>
        <w:t>一、建设项目基本情况</w:t>
      </w:r>
      <w:bookmarkEnd w:id="22"/>
      <w:bookmarkEnd w:id="23"/>
      <w:bookmarkEnd w:id="24"/>
      <w:bookmarkEnd w:id="25"/>
      <w:bookmarkEnd w:id="26"/>
      <w:bookmarkEnd w:id="27"/>
      <w:bookmarkEnd w:id="28"/>
      <w:bookmarkEnd w:id="29"/>
      <w:bookmarkEnd w:id="30"/>
      <w:bookmarkEnd w:id="31"/>
      <w:bookmarkEnd w:id="32"/>
      <w:bookmarkEnd w:id="33"/>
      <w:bookmarkEnd w:id="34"/>
    </w:p>
    <w:tbl>
      <w:tblPr>
        <w:tblStyle w:val="27"/>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4"/>
        <w:gridCol w:w="2418"/>
        <w:gridCol w:w="1950"/>
        <w:gridCol w:w="1730"/>
        <w:gridCol w:w="1054"/>
      </w:tblGrid>
      <w:tr w14:paraId="5941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6F415906">
            <w:pPr>
              <w:adjustRightInd w:val="0"/>
              <w:snapToGrid w:val="0"/>
              <w:jc w:val="center"/>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建设项目名称</w:t>
            </w:r>
          </w:p>
        </w:tc>
        <w:tc>
          <w:tcPr>
            <w:tcW w:w="4347" w:type="pct"/>
            <w:gridSpan w:val="4"/>
            <w:tcBorders>
              <w:tl2br w:val="nil"/>
              <w:tr2bl w:val="nil"/>
            </w:tcBorders>
            <w:noWrap w:val="0"/>
            <w:vAlign w:val="center"/>
          </w:tcPr>
          <w:p w14:paraId="2A42A409">
            <w:pPr>
              <w:adjustRightInd w:val="0"/>
              <w:snapToGrid w:val="0"/>
              <w:jc w:val="center"/>
              <w:rPr>
                <w:rFonts w:hint="default" w:ascii="Times New Roman" w:hAnsi="Times New Roman" w:eastAsia="宋体" w:cs="Times New Roman"/>
                <w:color w:val="FF0000"/>
                <w:sz w:val="24"/>
                <w:szCs w:val="24"/>
                <w:highlight w:val="none"/>
                <w:u w:val="single"/>
                <w:lang w:eastAsia="zh-CN"/>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永州市杭润环保科技有限公司一般工业固废资源回收利用项目</w:t>
            </w:r>
          </w:p>
        </w:tc>
      </w:tr>
      <w:tr w14:paraId="3012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1BD90117">
            <w:pPr>
              <w:adjustRightInd w:val="0"/>
              <w:snapToGrid w:val="0"/>
              <w:jc w:val="center"/>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项目代码</w:t>
            </w:r>
          </w:p>
        </w:tc>
        <w:tc>
          <w:tcPr>
            <w:tcW w:w="4347" w:type="pct"/>
            <w:gridSpan w:val="4"/>
            <w:tcBorders>
              <w:tl2br w:val="nil"/>
              <w:tr2bl w:val="nil"/>
            </w:tcBorders>
            <w:noWrap w:val="0"/>
            <w:vAlign w:val="center"/>
          </w:tcPr>
          <w:p w14:paraId="6F33584B">
            <w:pPr>
              <w:adjustRightInd w:val="0"/>
              <w:snapToGrid w:val="0"/>
              <w:jc w:val="center"/>
              <w:rPr>
                <w:rFonts w:hint="default" w:ascii="Times New Roman" w:hAnsi="Times New Roman" w:eastAsia="宋体" w:cs="Times New Roman"/>
                <w:color w:val="FF0000"/>
                <w:sz w:val="24"/>
                <w:szCs w:val="24"/>
                <w:highlight w:val="none"/>
                <w:u w:val="single"/>
                <w:lang w:val="en-US" w:eastAsia="zh-CN"/>
              </w:rPr>
            </w:pPr>
            <w:r>
              <w:rPr>
                <w:rFonts w:hint="eastAsia" w:cs="Times New Roman"/>
                <w:color w:val="000000" w:themeColor="text1"/>
                <w:sz w:val="24"/>
                <w:szCs w:val="24"/>
                <w:highlight w:val="none"/>
                <w:u w:val="none"/>
                <w:lang w:val="en-US" w:eastAsia="zh-CN"/>
                <w14:textFill>
                  <w14:solidFill>
                    <w14:schemeClr w14:val="tx1"/>
                  </w14:solidFill>
                </w14:textFill>
              </w:rPr>
              <w:t>2412-431128-04-05-333505</w:t>
            </w:r>
          </w:p>
        </w:tc>
      </w:tr>
      <w:tr w14:paraId="3EAC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64CD10B6">
            <w:pPr>
              <w:adjustRightInd w:val="0"/>
              <w:snapToGrid w:val="0"/>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建设单位联系人</w:t>
            </w:r>
          </w:p>
        </w:tc>
        <w:tc>
          <w:tcPr>
            <w:tcW w:w="1469" w:type="pct"/>
            <w:tcBorders>
              <w:tl2br w:val="nil"/>
              <w:tr2bl w:val="nil"/>
            </w:tcBorders>
            <w:noWrap w:val="0"/>
            <w:vAlign w:val="center"/>
          </w:tcPr>
          <w:p w14:paraId="72562486">
            <w:pPr>
              <w:adjustRightInd w:val="0"/>
              <w:snapToGrid w:val="0"/>
              <w:jc w:val="center"/>
              <w:rPr>
                <w:rFonts w:hint="eastAsia" w:ascii="Times New Roman" w:hAnsi="Times New Roman" w:eastAsia="宋体" w:cs="Times New Roman"/>
                <w:color w:val="000000"/>
                <w:sz w:val="24"/>
                <w:szCs w:val="24"/>
                <w:highlight w:val="none"/>
                <w:lang w:eastAsia="zh-CN"/>
              </w:rPr>
            </w:pPr>
            <w:r>
              <w:rPr>
                <w:rFonts w:hint="eastAsia"/>
                <w:color w:val="auto"/>
                <w:sz w:val="24"/>
                <w:szCs w:val="24"/>
                <w:lang w:val="en-US" w:eastAsia="zh-CN"/>
              </w:rPr>
              <w:t>谢天江</w:t>
            </w:r>
          </w:p>
        </w:tc>
        <w:tc>
          <w:tcPr>
            <w:tcW w:w="1185" w:type="pct"/>
            <w:tcBorders>
              <w:tl2br w:val="nil"/>
              <w:tr2bl w:val="nil"/>
            </w:tcBorders>
            <w:noWrap w:val="0"/>
            <w:vAlign w:val="center"/>
          </w:tcPr>
          <w:p w14:paraId="55116942">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联系方式</w:t>
            </w:r>
          </w:p>
        </w:tc>
        <w:tc>
          <w:tcPr>
            <w:tcW w:w="1692" w:type="pct"/>
            <w:gridSpan w:val="2"/>
            <w:tcBorders>
              <w:tl2br w:val="nil"/>
              <w:tr2bl w:val="nil"/>
            </w:tcBorders>
            <w:noWrap w:val="0"/>
            <w:vAlign w:val="center"/>
          </w:tcPr>
          <w:p w14:paraId="29401768">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color w:val="auto"/>
                <w:sz w:val="24"/>
                <w:szCs w:val="24"/>
                <w:lang w:val="en-US" w:eastAsia="zh-CN"/>
              </w:rPr>
              <w:t>19568888839</w:t>
            </w:r>
          </w:p>
        </w:tc>
      </w:tr>
      <w:tr w14:paraId="5966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745D9B0A">
            <w:pPr>
              <w:adjustRightInd w:val="0"/>
              <w:snapToGrid w:val="0"/>
              <w:jc w:val="center"/>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建设地点</w:t>
            </w:r>
          </w:p>
        </w:tc>
        <w:tc>
          <w:tcPr>
            <w:tcW w:w="4347" w:type="pct"/>
            <w:gridSpan w:val="4"/>
            <w:tcBorders>
              <w:tl2br w:val="nil"/>
              <w:tr2bl w:val="nil"/>
            </w:tcBorders>
            <w:noWrap w:val="0"/>
            <w:vAlign w:val="center"/>
          </w:tcPr>
          <w:p w14:paraId="6E7427ED">
            <w:pPr>
              <w:adjustRightInd w:val="0"/>
              <w:snapToGrid w:val="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湖南省永州市新田县龙泉街道工业南园支一路与支三路交叉口西南角（龙昶机械厂房二）</w:t>
            </w:r>
          </w:p>
        </w:tc>
      </w:tr>
      <w:tr w14:paraId="2523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528DB391">
            <w:pPr>
              <w:adjustRightInd w:val="0"/>
              <w:snapToGrid w:val="0"/>
              <w:jc w:val="center"/>
              <w:rPr>
                <w:rFonts w:hint="default" w:ascii="Times New Roman" w:hAnsi="Times New Roman" w:eastAsia="宋体" w:cs="Times New Roman"/>
                <w:b/>
                <w:bCs/>
                <w:color w:val="000000"/>
                <w:sz w:val="24"/>
                <w:szCs w:val="24"/>
                <w:highlight w:val="none"/>
                <w:lang w:eastAsia="zh-CN"/>
              </w:rPr>
            </w:pPr>
            <w:r>
              <w:rPr>
                <w:rFonts w:hint="default" w:ascii="Times New Roman" w:hAnsi="Times New Roman" w:eastAsia="宋体" w:cs="Times New Roman"/>
                <w:b/>
                <w:bCs/>
                <w:color w:val="000000"/>
                <w:sz w:val="24"/>
                <w:szCs w:val="24"/>
                <w:highlight w:val="none"/>
                <w:lang w:eastAsia="zh-CN"/>
              </w:rPr>
              <w:t>地理坐标</w:t>
            </w:r>
          </w:p>
        </w:tc>
        <w:tc>
          <w:tcPr>
            <w:tcW w:w="4347" w:type="pct"/>
            <w:gridSpan w:val="4"/>
            <w:tcBorders>
              <w:tl2br w:val="nil"/>
              <w:tr2bl w:val="nil"/>
            </w:tcBorders>
            <w:noWrap w:val="0"/>
            <w:vAlign w:val="center"/>
          </w:tcPr>
          <w:p w14:paraId="7291E941">
            <w:pPr>
              <w:adjustRightInd w:val="0"/>
              <w:snapToGrid w:val="0"/>
              <w:jc w:val="center"/>
              <w:rPr>
                <w:rFonts w:hint="default"/>
                <w:lang w:val="en-US" w:eastAsia="zh-CN"/>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东经</w:t>
            </w:r>
            <w:r>
              <w:rPr>
                <w:rFonts w:hint="default" w:ascii="Times New Roman" w:hAnsi="Times New Roman" w:eastAsia="宋体" w:cs="Times New Roman"/>
                <w:color w:val="000000"/>
                <w:sz w:val="24"/>
                <w:szCs w:val="24"/>
                <w:highlight w:val="none"/>
                <w:u w:val="single"/>
                <w:lang w:val="en-US" w:eastAsia="zh-CN"/>
              </w:rPr>
              <w:t>11</w:t>
            </w:r>
            <w:r>
              <w:rPr>
                <w:rFonts w:hint="eastAsia" w:cs="Times New Roman"/>
                <w:color w:val="000000"/>
                <w:sz w:val="24"/>
                <w:szCs w:val="24"/>
                <w:highlight w:val="none"/>
                <w:u w:val="single"/>
                <w:lang w:val="en-US" w:eastAsia="zh-CN"/>
              </w:rPr>
              <w:t>2</w:t>
            </w:r>
            <w:r>
              <w:rPr>
                <w:rFonts w:hint="default" w:ascii="Times New Roman" w:hAnsi="Times New Roman" w:eastAsia="宋体" w:cs="Times New Roman"/>
                <w:color w:val="000000"/>
                <w:sz w:val="24"/>
                <w:szCs w:val="24"/>
                <w:highlight w:val="none"/>
                <w:u w:val="none"/>
                <w:lang w:eastAsia="zh-CN"/>
              </w:rPr>
              <w:t>度</w:t>
            </w:r>
            <w:r>
              <w:rPr>
                <w:rFonts w:hint="eastAsia" w:ascii="Times New Roman" w:hAnsi="Times New Roman" w:eastAsia="宋体" w:cs="Times New Roman"/>
                <w:color w:val="000000"/>
                <w:sz w:val="24"/>
                <w:szCs w:val="24"/>
                <w:highlight w:val="none"/>
                <w:u w:val="single"/>
                <w:lang w:val="en-US" w:eastAsia="zh-CN"/>
              </w:rPr>
              <w:t>1</w:t>
            </w:r>
            <w:r>
              <w:rPr>
                <w:rFonts w:hint="eastAsia" w:cs="Times New Roman"/>
                <w:color w:val="000000"/>
                <w:sz w:val="24"/>
                <w:szCs w:val="24"/>
                <w:highlight w:val="none"/>
                <w:u w:val="single"/>
                <w:lang w:val="en-US" w:eastAsia="zh-CN"/>
              </w:rPr>
              <w:t>1</w:t>
            </w:r>
            <w:r>
              <w:rPr>
                <w:rFonts w:hint="default" w:ascii="Times New Roman" w:hAnsi="Times New Roman" w:eastAsia="宋体" w:cs="Times New Roman"/>
                <w:color w:val="000000"/>
                <w:sz w:val="24"/>
                <w:szCs w:val="24"/>
                <w:highlight w:val="none"/>
                <w:u w:val="none"/>
                <w:lang w:eastAsia="zh-CN"/>
              </w:rPr>
              <w:t>分</w:t>
            </w:r>
            <w:r>
              <w:rPr>
                <w:rFonts w:hint="eastAsia"/>
                <w:color w:val="000000"/>
                <w:sz w:val="24"/>
                <w:highlight w:val="none"/>
                <w:u w:val="single"/>
              </w:rPr>
              <w:t>19.304</w:t>
            </w:r>
            <w:r>
              <w:rPr>
                <w:rFonts w:hint="default" w:ascii="Times New Roman" w:hAnsi="Times New Roman" w:eastAsia="宋体" w:cs="Times New Roman"/>
                <w:color w:val="000000"/>
                <w:sz w:val="24"/>
                <w:szCs w:val="24"/>
                <w:highlight w:val="none"/>
                <w:u w:val="none"/>
                <w:lang w:eastAsia="zh-CN"/>
              </w:rPr>
              <w:t>秒，</w:t>
            </w:r>
            <w:r>
              <w:rPr>
                <w:rFonts w:hint="eastAsia" w:cs="Times New Roman"/>
                <w:color w:val="000000"/>
                <w:sz w:val="24"/>
                <w:szCs w:val="24"/>
                <w:highlight w:val="none"/>
                <w:u w:val="none"/>
                <w:lang w:val="en-US" w:eastAsia="zh-CN"/>
              </w:rPr>
              <w:t>北纬</w:t>
            </w:r>
            <w:r>
              <w:rPr>
                <w:rFonts w:hint="eastAsia" w:cs="Times New Roman"/>
                <w:color w:val="000000"/>
                <w:sz w:val="24"/>
                <w:szCs w:val="24"/>
                <w:highlight w:val="none"/>
                <w:u w:val="single"/>
                <w:lang w:val="en-US" w:eastAsia="zh-CN"/>
              </w:rPr>
              <w:t>25</w:t>
            </w:r>
            <w:r>
              <w:rPr>
                <w:rFonts w:hint="default" w:ascii="Times New Roman" w:hAnsi="Times New Roman" w:eastAsia="宋体" w:cs="Times New Roman"/>
                <w:color w:val="000000"/>
                <w:sz w:val="24"/>
                <w:szCs w:val="24"/>
                <w:highlight w:val="none"/>
                <w:u w:val="none"/>
                <w:lang w:eastAsia="zh-CN"/>
              </w:rPr>
              <w:t>度</w:t>
            </w:r>
            <w:r>
              <w:rPr>
                <w:rFonts w:hint="eastAsia" w:cs="Times New Roman"/>
                <w:color w:val="000000"/>
                <w:sz w:val="24"/>
                <w:szCs w:val="24"/>
                <w:highlight w:val="none"/>
                <w:u w:val="single"/>
                <w:lang w:val="en-US" w:eastAsia="zh-CN"/>
              </w:rPr>
              <w:t>5</w:t>
            </w:r>
            <w:r>
              <w:rPr>
                <w:rFonts w:hint="eastAsia" w:ascii="Times New Roman" w:hAnsi="Times New Roman" w:eastAsia="宋体" w:cs="Times New Roman"/>
                <w:color w:val="000000"/>
                <w:sz w:val="24"/>
                <w:szCs w:val="24"/>
                <w:highlight w:val="none"/>
                <w:u w:val="single"/>
                <w:lang w:val="en-US" w:eastAsia="zh-CN"/>
              </w:rPr>
              <w:t>3</w:t>
            </w:r>
            <w:r>
              <w:rPr>
                <w:rFonts w:hint="default" w:ascii="Times New Roman" w:hAnsi="Times New Roman" w:eastAsia="宋体" w:cs="Times New Roman"/>
                <w:color w:val="000000"/>
                <w:sz w:val="24"/>
                <w:szCs w:val="24"/>
                <w:highlight w:val="none"/>
                <w:u w:val="none"/>
                <w:lang w:eastAsia="zh-CN"/>
              </w:rPr>
              <w:t>分</w:t>
            </w:r>
            <w:r>
              <w:rPr>
                <w:rFonts w:hint="eastAsia"/>
                <w:color w:val="000000"/>
                <w:sz w:val="24"/>
                <w:highlight w:val="none"/>
                <w:u w:val="single"/>
              </w:rPr>
              <w:t>53.180</w:t>
            </w:r>
            <w:r>
              <w:rPr>
                <w:rFonts w:hint="default" w:ascii="Times New Roman" w:hAnsi="Times New Roman" w:eastAsia="宋体" w:cs="Times New Roman"/>
                <w:color w:val="000000"/>
                <w:sz w:val="24"/>
                <w:szCs w:val="24"/>
                <w:highlight w:val="none"/>
                <w:lang w:eastAsia="zh-CN"/>
              </w:rPr>
              <w:t>秒</w:t>
            </w:r>
            <w:r>
              <w:rPr>
                <w:rFonts w:hint="eastAsia" w:cs="Times New Roman"/>
                <w:color w:val="000000"/>
                <w:sz w:val="24"/>
                <w:szCs w:val="24"/>
                <w:highlight w:val="none"/>
                <w:lang w:eastAsia="zh-CN"/>
              </w:rPr>
              <w:t>）</w:t>
            </w:r>
          </w:p>
        </w:tc>
      </w:tr>
      <w:tr w14:paraId="52AD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15226AC8">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国民经济</w:t>
            </w:r>
          </w:p>
          <w:p w14:paraId="37AFAE58">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行业类别</w:t>
            </w:r>
          </w:p>
        </w:tc>
        <w:tc>
          <w:tcPr>
            <w:tcW w:w="1469" w:type="pct"/>
            <w:tcBorders>
              <w:tl2br w:val="nil"/>
              <w:tr2bl w:val="nil"/>
            </w:tcBorders>
            <w:noWrap w:val="0"/>
            <w:vAlign w:val="center"/>
          </w:tcPr>
          <w:p w14:paraId="746D5632">
            <w:pPr>
              <w:adjustRightInd w:val="0"/>
              <w:snapToGrid w:val="0"/>
              <w:jc w:val="center"/>
              <w:rPr>
                <w:rFonts w:hint="default"/>
                <w:lang w:val="en-US" w:eastAsia="zh-CN"/>
              </w:rPr>
            </w:pPr>
            <w:r>
              <w:rPr>
                <w:rFonts w:hint="default" w:ascii="Times New Roman" w:hAnsi="Times New Roman" w:eastAsia="宋体" w:cs="Times New Roman"/>
                <w:sz w:val="24"/>
                <w:szCs w:val="24"/>
                <w:lang w:val="en-US" w:eastAsia="zh-CN"/>
              </w:rPr>
              <w:t>C4220 非金属废料和碎屑加工处理</w:t>
            </w:r>
          </w:p>
        </w:tc>
        <w:tc>
          <w:tcPr>
            <w:tcW w:w="1185" w:type="pct"/>
            <w:tcBorders>
              <w:tl2br w:val="nil"/>
              <w:tr2bl w:val="nil"/>
            </w:tcBorders>
            <w:noWrap w:val="0"/>
            <w:vAlign w:val="center"/>
          </w:tcPr>
          <w:p w14:paraId="22769D9E">
            <w:pPr>
              <w:adjustRightInd w:val="0"/>
              <w:snapToGrid w:val="0"/>
              <w:jc w:val="center"/>
              <w:rPr>
                <w:rFonts w:hint="default" w:ascii="Times New Roman" w:hAnsi="Times New Roman" w:eastAsia="宋体" w:cs="Times New Roman"/>
                <w:color w:val="000000"/>
                <w:sz w:val="24"/>
                <w:szCs w:val="24"/>
                <w:highlight w:val="none"/>
                <w:lang w:eastAsia="zh-CN"/>
              </w:rPr>
            </w:pPr>
            <w:bookmarkStart w:id="35" w:name="_Hlk49843745"/>
            <w:r>
              <w:rPr>
                <w:rFonts w:hint="default" w:ascii="Times New Roman" w:hAnsi="Times New Roman" w:eastAsia="宋体" w:cs="Times New Roman"/>
                <w:b/>
                <w:bCs/>
                <w:color w:val="000000"/>
                <w:sz w:val="24"/>
                <w:szCs w:val="24"/>
                <w:highlight w:val="none"/>
                <w:lang w:eastAsia="zh-CN"/>
              </w:rPr>
              <w:t>建设项目行业类别</w:t>
            </w:r>
            <w:bookmarkEnd w:id="35"/>
          </w:p>
        </w:tc>
        <w:tc>
          <w:tcPr>
            <w:tcW w:w="1692" w:type="pct"/>
            <w:gridSpan w:val="2"/>
            <w:tcBorders>
              <w:tl2br w:val="nil"/>
              <w:tr2bl w:val="nil"/>
            </w:tcBorders>
            <w:noWrap w:val="0"/>
            <w:vAlign w:val="center"/>
          </w:tcPr>
          <w:p w14:paraId="564D5FBA">
            <w:pPr>
              <w:keepNext w:val="0"/>
              <w:keepLines w:val="0"/>
              <w:widowControl/>
              <w:suppressLineNumbers w:val="0"/>
              <w:jc w:val="center"/>
              <w:rPr>
                <w:rFonts w:hint="default" w:ascii="Times New Roman" w:hAnsi="Times New Roman"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三十九</w:t>
            </w:r>
            <w:r>
              <w:rPr>
                <w:rFonts w:hint="eastAsia"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废弃资源综合利用业 42</w:t>
            </w:r>
            <w:r>
              <w:rPr>
                <w:rFonts w:hint="eastAsia"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85</w:t>
            </w:r>
            <w:r>
              <w:rPr>
                <w:rFonts w:hint="eastAsia" w:ascii="Times New Roman" w:hAnsi="Times New Roman" w:eastAsia="宋体" w:cs="Times New Roman"/>
                <w:color w:val="000000"/>
                <w:sz w:val="24"/>
                <w:szCs w:val="24"/>
                <w:highlight w:val="none"/>
                <w:lang w:val="en-US" w:eastAsia="zh-CN"/>
              </w:rPr>
              <w:t>非金属废料和碎屑加工处理422</w:t>
            </w:r>
            <w:r>
              <w:rPr>
                <w:rFonts w:hint="eastAsia" w:cs="Times New Roman"/>
                <w:color w:val="000000"/>
                <w:sz w:val="24"/>
                <w:szCs w:val="24"/>
                <w:highlight w:val="none"/>
                <w:lang w:val="en-US" w:eastAsia="zh-CN"/>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14:paraId="1CBE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682C3B76">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建设性质</w:t>
            </w:r>
          </w:p>
        </w:tc>
        <w:tc>
          <w:tcPr>
            <w:tcW w:w="1469" w:type="pct"/>
            <w:tcBorders>
              <w:tl2br w:val="nil"/>
              <w:tr2bl w:val="nil"/>
            </w:tcBorders>
            <w:noWrap w:val="0"/>
            <w:vAlign w:val="center"/>
          </w:tcPr>
          <w:p w14:paraId="3DBEADDE">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新建（迁建）</w:t>
            </w:r>
          </w:p>
          <w:p w14:paraId="120950C3">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改建</w:t>
            </w:r>
          </w:p>
          <w:p w14:paraId="41E64AEE">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扩建</w:t>
            </w:r>
          </w:p>
          <w:p w14:paraId="56EA54CF">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技术改造</w:t>
            </w:r>
          </w:p>
        </w:tc>
        <w:tc>
          <w:tcPr>
            <w:tcW w:w="1185" w:type="pct"/>
            <w:tcBorders>
              <w:tl2br w:val="nil"/>
              <w:tr2bl w:val="nil"/>
            </w:tcBorders>
            <w:noWrap w:val="0"/>
            <w:vAlign w:val="center"/>
          </w:tcPr>
          <w:p w14:paraId="27010EED">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建设项目申报情形</w:t>
            </w:r>
          </w:p>
        </w:tc>
        <w:tc>
          <w:tcPr>
            <w:tcW w:w="1692" w:type="pct"/>
            <w:gridSpan w:val="2"/>
            <w:tcBorders>
              <w:tl2br w:val="nil"/>
              <w:tr2bl w:val="nil"/>
            </w:tcBorders>
            <w:noWrap w:val="0"/>
            <w:vAlign w:val="center"/>
          </w:tcPr>
          <w:p w14:paraId="3FFB40F6">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首次申报项目</w:t>
            </w:r>
          </w:p>
          <w:p w14:paraId="01967AF6">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不予批准后再次申报项目</w:t>
            </w:r>
          </w:p>
          <w:p w14:paraId="4B11152D">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超五年重新审核项目</w:t>
            </w:r>
          </w:p>
          <w:p w14:paraId="45B0739E">
            <w:pPr>
              <w:jc w:val="both"/>
              <w:rPr>
                <w:rFonts w:hint="default" w:ascii="Times New Roman" w:hAnsi="Times New Roman" w:cs="Times New Roman"/>
                <w:color w:val="000000"/>
                <w:sz w:val="24"/>
                <w:szCs w:val="24"/>
              </w:rPr>
            </w:pPr>
            <w:r>
              <w:rPr>
                <w:rFonts w:hint="eastAsia" w:cs="Times New Roman"/>
                <w:color w:val="000000"/>
                <w:sz w:val="24"/>
                <w:szCs w:val="24"/>
                <w:lang w:eastAsia="zh-CN"/>
              </w:rPr>
              <w:t>□</w:t>
            </w:r>
            <w:r>
              <w:rPr>
                <w:rFonts w:hint="default" w:ascii="Times New Roman" w:hAnsi="Times New Roman" w:cs="Times New Roman"/>
                <w:color w:val="000000"/>
                <w:sz w:val="24"/>
                <w:szCs w:val="24"/>
              </w:rPr>
              <w:t>重大变动重新报批项目</w:t>
            </w:r>
          </w:p>
        </w:tc>
      </w:tr>
      <w:tr w14:paraId="6109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72EB312E">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项目审批（核准/备案）部门（选填）</w:t>
            </w:r>
          </w:p>
        </w:tc>
        <w:tc>
          <w:tcPr>
            <w:tcW w:w="1469" w:type="pct"/>
            <w:tcBorders>
              <w:tl2br w:val="nil"/>
              <w:tr2bl w:val="nil"/>
            </w:tcBorders>
            <w:noWrap w:val="0"/>
            <w:vAlign w:val="center"/>
          </w:tcPr>
          <w:p w14:paraId="568CE47A">
            <w:pPr>
              <w:adjustRightInd w:val="0"/>
              <w:snapToGrid w:val="0"/>
              <w:jc w:val="center"/>
              <w:rPr>
                <w:rFonts w:hint="eastAsia"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新田县发展和改革局</w:t>
            </w:r>
          </w:p>
        </w:tc>
        <w:tc>
          <w:tcPr>
            <w:tcW w:w="1185" w:type="pct"/>
            <w:tcBorders>
              <w:tl2br w:val="nil"/>
              <w:tr2bl w:val="nil"/>
            </w:tcBorders>
            <w:noWrap w:val="0"/>
            <w:vAlign w:val="center"/>
          </w:tcPr>
          <w:p w14:paraId="1FA045B3">
            <w:pPr>
              <w:adjustRightInd w:val="0"/>
              <w:snapToGrid w:val="0"/>
              <w:jc w:val="left"/>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项目审批（核准/</w:t>
            </w:r>
          </w:p>
          <w:p w14:paraId="6D377D41">
            <w:pPr>
              <w:adjustRightInd w:val="0"/>
              <w:snapToGrid w:val="0"/>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备案）文号（选填）</w:t>
            </w:r>
          </w:p>
        </w:tc>
        <w:tc>
          <w:tcPr>
            <w:tcW w:w="1692" w:type="pct"/>
            <w:gridSpan w:val="2"/>
            <w:tcBorders>
              <w:tl2br w:val="nil"/>
              <w:tr2bl w:val="nil"/>
            </w:tcBorders>
            <w:noWrap w:val="0"/>
            <w:vAlign w:val="center"/>
          </w:tcPr>
          <w:p w14:paraId="74C6B3D0">
            <w:pPr>
              <w:adjustRightInd w:val="0"/>
              <w:snapToGrid w:val="0"/>
              <w:jc w:val="center"/>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val="en-US" w:eastAsia="zh-CN"/>
              </w:rPr>
              <w:t>新发改备案〔2024〕164号</w:t>
            </w:r>
          </w:p>
        </w:tc>
      </w:tr>
      <w:tr w14:paraId="5A4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787E52B9">
            <w:pPr>
              <w:adjustRightInd w:val="0"/>
              <w:snapToGrid w:val="0"/>
              <w:jc w:val="left"/>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总投资（万元）</w:t>
            </w:r>
          </w:p>
        </w:tc>
        <w:tc>
          <w:tcPr>
            <w:tcW w:w="1469" w:type="pct"/>
            <w:tcBorders>
              <w:tl2br w:val="nil"/>
              <w:tr2bl w:val="nil"/>
            </w:tcBorders>
            <w:noWrap w:val="0"/>
            <w:vAlign w:val="center"/>
          </w:tcPr>
          <w:p w14:paraId="716161FB">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400</w:t>
            </w:r>
          </w:p>
        </w:tc>
        <w:tc>
          <w:tcPr>
            <w:tcW w:w="1185" w:type="pct"/>
            <w:tcBorders>
              <w:tl2br w:val="nil"/>
              <w:tr2bl w:val="nil"/>
            </w:tcBorders>
            <w:noWrap w:val="0"/>
            <w:tcMar>
              <w:top w:w="16" w:type="dxa"/>
              <w:left w:w="16" w:type="dxa"/>
              <w:right w:w="16" w:type="dxa"/>
            </w:tcMar>
            <w:vAlign w:val="center"/>
          </w:tcPr>
          <w:p w14:paraId="1AB6D044">
            <w:pPr>
              <w:adjustRightInd w:val="0"/>
              <w:snapToGrid w:val="0"/>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环保投资（万元）</w:t>
            </w:r>
          </w:p>
        </w:tc>
        <w:tc>
          <w:tcPr>
            <w:tcW w:w="1692" w:type="pct"/>
            <w:gridSpan w:val="2"/>
            <w:tcBorders>
              <w:tl2br w:val="nil"/>
              <w:tr2bl w:val="nil"/>
            </w:tcBorders>
            <w:noWrap w:val="0"/>
            <w:vAlign w:val="center"/>
          </w:tcPr>
          <w:p w14:paraId="7528660D">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cs="Times New Roman"/>
                <w:color w:val="000000" w:themeColor="text1"/>
                <w:sz w:val="24"/>
                <w:szCs w:val="24"/>
                <w:highlight w:val="none"/>
                <w:lang w:val="en-US" w:eastAsia="zh-CN"/>
                <w14:textFill>
                  <w14:solidFill>
                    <w14:schemeClr w14:val="tx1"/>
                  </w14:solidFill>
                </w14:textFill>
              </w:rPr>
              <w:t>23.5</w:t>
            </w:r>
          </w:p>
        </w:tc>
      </w:tr>
      <w:tr w14:paraId="2E6B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17F258C5">
            <w:pPr>
              <w:adjustRightInd w:val="0"/>
              <w:snapToGrid w:val="0"/>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环保投资占比（%）</w:t>
            </w:r>
          </w:p>
        </w:tc>
        <w:tc>
          <w:tcPr>
            <w:tcW w:w="1469" w:type="pct"/>
            <w:tcBorders>
              <w:tl2br w:val="nil"/>
              <w:tr2bl w:val="nil"/>
            </w:tcBorders>
            <w:noWrap w:val="0"/>
            <w:vAlign w:val="center"/>
          </w:tcPr>
          <w:p w14:paraId="4EC85969">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cs="Times New Roman"/>
                <w:b w:val="0"/>
                <w:bCs w:val="0"/>
                <w:color w:val="000000" w:themeColor="text1"/>
                <w:sz w:val="24"/>
                <w:szCs w:val="24"/>
                <w:lang w:val="en-US" w:eastAsia="zh-CN"/>
                <w14:textFill>
                  <w14:solidFill>
                    <w14:schemeClr w14:val="tx1"/>
                  </w14:solidFill>
                </w14:textFill>
              </w:rPr>
              <w:t>5.9</w:t>
            </w:r>
          </w:p>
        </w:tc>
        <w:tc>
          <w:tcPr>
            <w:tcW w:w="1185" w:type="pct"/>
            <w:tcBorders>
              <w:tl2br w:val="nil"/>
              <w:tr2bl w:val="nil"/>
            </w:tcBorders>
            <w:noWrap w:val="0"/>
            <w:tcMar>
              <w:top w:w="16" w:type="dxa"/>
              <w:left w:w="16" w:type="dxa"/>
              <w:right w:w="16" w:type="dxa"/>
            </w:tcMar>
            <w:vAlign w:val="center"/>
          </w:tcPr>
          <w:p w14:paraId="41900003">
            <w:pPr>
              <w:adjustRightInd w:val="0"/>
              <w:snapToGrid w:val="0"/>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施工工期</w:t>
            </w:r>
          </w:p>
        </w:tc>
        <w:tc>
          <w:tcPr>
            <w:tcW w:w="1692" w:type="pct"/>
            <w:gridSpan w:val="2"/>
            <w:tcBorders>
              <w:tl2br w:val="nil"/>
              <w:tr2bl w:val="nil"/>
            </w:tcBorders>
            <w:noWrap w:val="0"/>
            <w:vAlign w:val="center"/>
          </w:tcPr>
          <w:p w14:paraId="25F03CAC">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3月</w:t>
            </w:r>
          </w:p>
        </w:tc>
      </w:tr>
      <w:tr w14:paraId="5CA4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52" w:type="pct"/>
            <w:tcBorders>
              <w:tl2br w:val="nil"/>
              <w:tr2bl w:val="nil"/>
            </w:tcBorders>
            <w:noWrap w:val="0"/>
            <w:tcMar>
              <w:top w:w="16" w:type="dxa"/>
              <w:left w:w="16" w:type="dxa"/>
              <w:right w:w="16" w:type="dxa"/>
            </w:tcMar>
            <w:vAlign w:val="center"/>
          </w:tcPr>
          <w:p w14:paraId="19439090">
            <w:pPr>
              <w:adjustRightInd w:val="0"/>
              <w:snapToGrid w:val="0"/>
              <w:jc w:val="center"/>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是否开工建设</w:t>
            </w:r>
          </w:p>
        </w:tc>
        <w:tc>
          <w:tcPr>
            <w:tcW w:w="2654" w:type="pct"/>
            <w:gridSpan w:val="2"/>
            <w:tcBorders>
              <w:tl2br w:val="nil"/>
              <w:tr2bl w:val="nil"/>
            </w:tcBorders>
            <w:noWrap w:val="0"/>
            <w:vAlign w:val="center"/>
          </w:tcPr>
          <w:p w14:paraId="00F42864">
            <w:pPr>
              <w:adjustRightInd w:val="0"/>
              <w:snapToGrid w:val="0"/>
              <w:jc w:val="left"/>
              <w:rPr>
                <w:rFonts w:hint="default" w:ascii="Times New Roman" w:hAnsi="Times New Roman" w:eastAsia="宋体" w:cs="Times New Roman"/>
                <w:color w:val="000000"/>
                <w:sz w:val="24"/>
                <w:szCs w:val="24"/>
                <w:highlight w:val="none"/>
              </w:rPr>
            </w:pPr>
            <w:r>
              <w:rPr>
                <w:rFonts w:hint="eastAsia" w:cs="Times New Roman"/>
                <w:color w:val="000000"/>
                <w:sz w:val="24"/>
                <w:szCs w:val="24"/>
                <w:lang w:eastAsia="zh-CN"/>
              </w:rPr>
              <w:t>☑</w:t>
            </w:r>
            <w:r>
              <w:rPr>
                <w:rFonts w:hint="default" w:ascii="Times New Roman" w:hAnsi="Times New Roman" w:cs="Times New Roman"/>
                <w:color w:val="000000"/>
                <w:sz w:val="24"/>
                <w:szCs w:val="24"/>
                <w:highlight w:val="none"/>
              </w:rPr>
              <w:t>否</w:t>
            </w:r>
          </w:p>
          <w:p w14:paraId="73D1B38C">
            <w:pPr>
              <w:adjustRightInd w:val="0"/>
              <w:snapToGrid w:val="0"/>
              <w:jc w:val="left"/>
              <w:rPr>
                <w:rFonts w:hint="eastAsia" w:ascii="Times New Roman" w:hAnsi="Times New Roman" w:eastAsia="宋体" w:cs="Times New Roman"/>
                <w:color w:val="000000"/>
                <w:sz w:val="24"/>
                <w:szCs w:val="24"/>
                <w:highlight w:val="none"/>
                <w:lang w:val="en-US" w:eastAsia="zh-CN"/>
              </w:rPr>
            </w:pPr>
            <w:r>
              <w:rPr>
                <w:rFonts w:hint="eastAsia" w:cs="Times New Roman"/>
                <w:color w:val="000000"/>
                <w:sz w:val="24"/>
                <w:szCs w:val="24"/>
                <w:lang w:eastAsia="zh-CN"/>
              </w:rPr>
              <w:t>□</w:t>
            </w:r>
            <w:r>
              <w:rPr>
                <w:rFonts w:hint="default" w:ascii="Times New Roman" w:hAnsi="Times New Roman" w:eastAsia="宋体" w:cs="Times New Roman"/>
                <w:color w:val="000000"/>
                <w:sz w:val="24"/>
                <w:szCs w:val="24"/>
                <w:highlight w:val="none"/>
              </w:rPr>
              <w:t>是</w:t>
            </w:r>
            <w:r>
              <w:rPr>
                <w:rFonts w:hint="eastAsia" w:cs="Times New Roman"/>
                <w:color w:val="000000"/>
                <w:sz w:val="24"/>
                <w:szCs w:val="24"/>
                <w:highlight w:val="none"/>
                <w:lang w:eastAsia="zh-CN"/>
              </w:rPr>
              <w:t>：</w:t>
            </w:r>
          </w:p>
        </w:tc>
        <w:tc>
          <w:tcPr>
            <w:tcW w:w="1051" w:type="pct"/>
            <w:tcBorders>
              <w:tl2br w:val="nil"/>
              <w:tr2bl w:val="nil"/>
            </w:tcBorders>
            <w:noWrap w:val="0"/>
            <w:tcMar>
              <w:top w:w="16" w:type="dxa"/>
              <w:left w:w="16" w:type="dxa"/>
              <w:right w:w="16" w:type="dxa"/>
            </w:tcMar>
            <w:vAlign w:val="center"/>
          </w:tcPr>
          <w:p w14:paraId="63B07651">
            <w:pPr>
              <w:adjustRightInd w:val="0"/>
              <w:snapToGrid w:val="0"/>
              <w:jc w:val="center"/>
              <w:rPr>
                <w:rFonts w:hint="default" w:ascii="Times New Roman" w:hAnsi="Times New Roman" w:cs="Times New Roman"/>
                <w:color w:val="000000"/>
                <w:sz w:val="24"/>
                <w:szCs w:val="24"/>
              </w:rPr>
            </w:pPr>
            <w:r>
              <w:rPr>
                <w:rFonts w:hint="default" w:ascii="Times New Roman" w:hAnsi="Times New Roman" w:cs="Times New Roman"/>
                <w:b/>
                <w:bCs/>
                <w:color w:val="000000"/>
                <w:spacing w:val="-6"/>
                <w:sz w:val="24"/>
                <w:szCs w:val="24"/>
              </w:rPr>
              <w:t>用地面积（m</w:t>
            </w:r>
            <w:r>
              <w:rPr>
                <w:rFonts w:hint="default" w:ascii="Times New Roman" w:hAnsi="Times New Roman" w:cs="Times New Roman"/>
                <w:b/>
                <w:bCs/>
                <w:color w:val="000000"/>
                <w:spacing w:val="-6"/>
                <w:sz w:val="24"/>
                <w:szCs w:val="24"/>
                <w:vertAlign w:val="superscript"/>
              </w:rPr>
              <w:t>2</w:t>
            </w:r>
            <w:r>
              <w:rPr>
                <w:rFonts w:hint="default" w:ascii="Times New Roman" w:hAnsi="Times New Roman" w:cs="Times New Roman"/>
                <w:b/>
                <w:bCs/>
                <w:color w:val="000000"/>
                <w:spacing w:val="-6"/>
                <w:sz w:val="24"/>
                <w:szCs w:val="24"/>
              </w:rPr>
              <w:t>）</w:t>
            </w:r>
          </w:p>
        </w:tc>
        <w:tc>
          <w:tcPr>
            <w:tcW w:w="640" w:type="pct"/>
            <w:tcBorders>
              <w:tl2br w:val="nil"/>
              <w:tr2bl w:val="nil"/>
            </w:tcBorders>
            <w:noWrap w:val="0"/>
            <w:vAlign w:val="center"/>
          </w:tcPr>
          <w:p w14:paraId="484C9DF0">
            <w:pPr>
              <w:adjustRightInd w:val="0"/>
              <w:snapToGrid w:val="0"/>
              <w:jc w:val="center"/>
              <w:rPr>
                <w:rFonts w:hint="default" w:ascii="Times New Roman" w:hAnsi="Times New Roman" w:eastAsia="宋体" w:cs="Times New Roman"/>
                <w:color w:val="000000"/>
                <w:sz w:val="24"/>
                <w:szCs w:val="24"/>
                <w:lang w:val="en-US" w:eastAsia="zh-CN"/>
              </w:rPr>
            </w:pPr>
            <w:r>
              <w:rPr>
                <w:rFonts w:hint="eastAsia" w:cs="Times New Roman"/>
                <w:color w:val="auto"/>
                <w:sz w:val="24"/>
                <w:szCs w:val="24"/>
                <w:highlight w:val="none"/>
                <w:u w:val="none" w:color="auto"/>
                <w:lang w:val="en-US" w:eastAsia="zh-CN"/>
              </w:rPr>
              <w:t>3723</w:t>
            </w:r>
          </w:p>
        </w:tc>
      </w:tr>
      <w:tr w14:paraId="23EE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tcBorders>
              <w:tl2br w:val="nil"/>
              <w:tr2bl w:val="nil"/>
            </w:tcBorders>
            <w:noWrap w:val="0"/>
            <w:vAlign w:val="center"/>
          </w:tcPr>
          <w:p w14:paraId="4D291508">
            <w:pPr>
              <w:autoSpaceDE w:val="0"/>
              <w:autoSpaceDN w:val="0"/>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专项评价设置情况</w:t>
            </w:r>
          </w:p>
        </w:tc>
        <w:tc>
          <w:tcPr>
            <w:tcW w:w="4347" w:type="pct"/>
            <w:gridSpan w:val="4"/>
            <w:tcBorders>
              <w:tl2br w:val="nil"/>
              <w:tr2bl w:val="nil"/>
            </w:tcBorders>
            <w:noWrap w:val="0"/>
            <w:vAlign w:val="center"/>
          </w:tcPr>
          <w:p w14:paraId="72CEF9B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both"/>
              <w:textAlignment w:val="auto"/>
              <w:rPr>
                <w:rFonts w:hint="eastAsia" w:cs="Times New Roman"/>
                <w:color w:val="auto"/>
                <w:kern w:val="0"/>
                <w:sz w:val="24"/>
                <w:szCs w:val="24"/>
                <w:highlight w:val="none"/>
                <w:u w:val="none" w:color="auto"/>
                <w:lang w:val="en-US" w:eastAsia="zh-CN"/>
              </w:rPr>
            </w:pPr>
            <w:r>
              <w:rPr>
                <w:rFonts w:hint="eastAsia" w:cs="Times New Roman"/>
                <w:color w:val="auto"/>
                <w:kern w:val="0"/>
                <w:sz w:val="24"/>
                <w:szCs w:val="24"/>
                <w:highlight w:val="none"/>
                <w:u w:val="none" w:color="auto"/>
                <w:lang w:val="en-US" w:eastAsia="zh-CN"/>
              </w:rPr>
              <w:t>根据《建设项目环境影响报告表编制技术指南（污染影响类）（试行）》专项设置评价如下：</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
            <w:tblGrid>
              <w:gridCol w:w="932"/>
              <w:gridCol w:w="2475"/>
              <w:gridCol w:w="2926"/>
              <w:gridCol w:w="573"/>
            </w:tblGrid>
            <w:tr w14:paraId="4FF7B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02BA7239">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专项设置类别</w:t>
                  </w:r>
                </w:p>
              </w:tc>
              <w:tc>
                <w:tcPr>
                  <w:tcW w:w="1792" w:type="pct"/>
                  <w:tcBorders>
                    <w:tl2br w:val="nil"/>
                    <w:tr2bl w:val="nil"/>
                  </w:tcBorders>
                  <w:noWrap w:val="0"/>
                  <w:vAlign w:val="center"/>
                </w:tcPr>
                <w:p w14:paraId="47392776">
                  <w:pPr>
                    <w:pStyle w:val="30"/>
                    <w:keepLines w:val="0"/>
                    <w:pageBreakBefore w:val="0"/>
                    <w:kinsoku/>
                    <w:wordWrap/>
                    <w:topLinePunct w:val="0"/>
                    <w:bidi w:val="0"/>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设置原则</w:t>
                  </w:r>
                </w:p>
              </w:tc>
              <w:tc>
                <w:tcPr>
                  <w:tcW w:w="2118" w:type="pct"/>
                  <w:tcBorders>
                    <w:tl2br w:val="nil"/>
                    <w:tr2bl w:val="nil"/>
                  </w:tcBorders>
                  <w:noWrap w:val="0"/>
                  <w:vAlign w:val="center"/>
                </w:tcPr>
                <w:p w14:paraId="6B750328">
                  <w:pPr>
                    <w:pStyle w:val="30"/>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本项目情况</w:t>
                  </w:r>
                </w:p>
              </w:tc>
              <w:tc>
                <w:tcPr>
                  <w:tcW w:w="414" w:type="pct"/>
                  <w:tcBorders>
                    <w:tl2br w:val="nil"/>
                    <w:tr2bl w:val="nil"/>
                  </w:tcBorders>
                  <w:noWrap w:val="0"/>
                  <w:vAlign w:val="center"/>
                </w:tcPr>
                <w:p w14:paraId="2897720E">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是否专项评价</w:t>
                  </w:r>
                </w:p>
              </w:tc>
            </w:tr>
            <w:tr w14:paraId="1403F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5EE12107">
                  <w:pPr>
                    <w:pStyle w:val="30"/>
                    <w:keepLines w:val="0"/>
                    <w:pageBreakBefore w:val="0"/>
                    <w:kinsoku/>
                    <w:wordWrap/>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大气</w:t>
                  </w:r>
                </w:p>
              </w:tc>
              <w:tc>
                <w:tcPr>
                  <w:tcW w:w="1792" w:type="pct"/>
                  <w:tcBorders>
                    <w:tl2br w:val="nil"/>
                    <w:tr2bl w:val="nil"/>
                  </w:tcBorders>
                  <w:noWrap w:val="0"/>
                  <w:vAlign w:val="center"/>
                </w:tcPr>
                <w:p w14:paraId="24F6DD96">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排放废气含有毒有害污染物</w:t>
                  </w:r>
                  <w:r>
                    <w:rPr>
                      <w:rFonts w:hint="eastAsia" w:cs="Times New Roman"/>
                      <w:color w:val="auto"/>
                      <w:kern w:val="2"/>
                      <w:sz w:val="21"/>
                      <w:szCs w:val="21"/>
                      <w:highlight w:val="none"/>
                      <w:u w:val="none" w:color="auto"/>
                      <w:vertAlign w:val="superscript"/>
                      <w:lang w:val="en-US" w:eastAsia="zh-CN" w:bidi="ar-SA"/>
                    </w:rPr>
                    <w:t>1</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w:t>
                  </w:r>
                  <w:r>
                    <w:rPr>
                      <w:rFonts w:hint="eastAsia" w:cs="Times New Roman"/>
                      <w:color w:val="auto"/>
                      <w:kern w:val="2"/>
                      <w:sz w:val="21"/>
                      <w:szCs w:val="21"/>
                      <w:highlight w:val="none"/>
                      <w:u w:val="none" w:color="auto"/>
                      <w:vertAlign w:val="baseline"/>
                      <w:lang w:val="en-US" w:eastAsia="zh-CN" w:bidi="ar-SA"/>
                    </w:rPr>
                    <w:t>二噁英</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、苯并［</w:t>
                  </w:r>
                  <w:r>
                    <w:rPr>
                      <w:rFonts w:hint="default" w:ascii="Times New Roman" w:hAnsi="Times New Roman" w:eastAsia="宋体" w:cs="Times New Roman"/>
                      <w:color w:val="auto"/>
                      <w:kern w:val="2"/>
                      <w:sz w:val="21"/>
                      <w:szCs w:val="21"/>
                      <w:highlight w:val="none"/>
                      <w:u w:val="none" w:color="auto"/>
                      <w:vertAlign w:val="baseline"/>
                      <w:lang w:val="en-US" w:eastAsia="zh-CN" w:bidi="ar-SA"/>
                    </w:rPr>
                    <w:t>a</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］芘、氰化物、氯气且厂界外</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米范围内有环境空气保护目标</w:t>
                  </w:r>
                  <w:r>
                    <w:rPr>
                      <w:rFonts w:hint="eastAsia" w:cs="Times New Roman"/>
                      <w:color w:val="auto"/>
                      <w:kern w:val="2"/>
                      <w:sz w:val="21"/>
                      <w:szCs w:val="21"/>
                      <w:highlight w:val="none"/>
                      <w:u w:val="none" w:color="auto"/>
                      <w:vertAlign w:val="superscript"/>
                      <w:lang w:val="en-US" w:eastAsia="zh-CN" w:bidi="ar-SA"/>
                    </w:rPr>
                    <w:t>2</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2118" w:type="pct"/>
                  <w:tcBorders>
                    <w:tl2br w:val="nil"/>
                    <w:tr2bl w:val="nil"/>
                  </w:tcBorders>
                  <w:noWrap w:val="0"/>
                  <w:vAlign w:val="center"/>
                </w:tcPr>
                <w:p w14:paraId="2CBA610F">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FF0000"/>
                      <w:sz w:val="21"/>
                      <w:szCs w:val="21"/>
                      <w:highlight w:val="none"/>
                      <w:u w:val="none" w:color="auto"/>
                      <w:vertAlign w:val="baseline"/>
                      <w:lang w:val="en-US" w:eastAsia="zh-CN"/>
                    </w:rPr>
                  </w:pPr>
                  <w:r>
                    <w:rPr>
                      <w:rFonts w:hint="eastAsia" w:ascii="Times New Roman" w:cs="Times New Roman"/>
                      <w:color w:val="000000" w:themeColor="text1"/>
                      <w:sz w:val="21"/>
                      <w:szCs w:val="21"/>
                      <w:vertAlign w:val="baseline"/>
                      <w:lang w:val="en-US" w:eastAsia="zh-CN"/>
                      <w14:textFill>
                        <w14:solidFill>
                          <w14:schemeClr w14:val="tx1"/>
                        </w14:solidFill>
                      </w14:textFill>
                    </w:rPr>
                    <w:t>本项目厂界外500m范围内有环境空气保护目标；但本项目排放废气所含污染物主要为颗粒物、氨、硫化氢、臭气浓度，不属于左侧所列及《有毒有害大气污染物名录》中的污染物。</w:t>
                  </w:r>
                </w:p>
              </w:tc>
              <w:tc>
                <w:tcPr>
                  <w:tcW w:w="414" w:type="pct"/>
                  <w:tcBorders>
                    <w:tl2br w:val="nil"/>
                    <w:tr2bl w:val="nil"/>
                  </w:tcBorders>
                  <w:noWrap w:val="0"/>
                  <w:vAlign w:val="center"/>
                </w:tcPr>
                <w:p w14:paraId="5298232B">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否</w:t>
                  </w:r>
                </w:p>
              </w:tc>
            </w:tr>
            <w:tr w14:paraId="4CF98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363CAC92">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地表水</w:t>
                  </w:r>
                </w:p>
              </w:tc>
              <w:tc>
                <w:tcPr>
                  <w:tcW w:w="1792" w:type="pct"/>
                  <w:tcBorders>
                    <w:tl2br w:val="nil"/>
                    <w:tr2bl w:val="nil"/>
                  </w:tcBorders>
                  <w:noWrap w:val="0"/>
                  <w:vAlign w:val="center"/>
                </w:tcPr>
                <w:p w14:paraId="137FAC5D">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新增工业废水直排建设项目</w:t>
                  </w:r>
                  <w:r>
                    <w:rPr>
                      <w:rFonts w:hint="eastAsia" w:cs="Times New Roman"/>
                      <w:color w:val="auto"/>
                      <w:kern w:val="2"/>
                      <w:sz w:val="21"/>
                      <w:szCs w:val="21"/>
                      <w:highlight w:val="none"/>
                      <w:u w:val="none" w:color="auto"/>
                      <w:vertAlign w:val="baseline"/>
                      <w:lang w:val="en-US" w:eastAsia="zh-CN" w:bidi="ar-SA"/>
                    </w:rPr>
                    <w:t>（</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槽罐车外送污水处理厂的除外</w:t>
                  </w:r>
                  <w:r>
                    <w:rPr>
                      <w:rFonts w:hint="eastAsia" w:cs="Times New Roman"/>
                      <w:color w:val="auto"/>
                      <w:kern w:val="2"/>
                      <w:sz w:val="21"/>
                      <w:szCs w:val="21"/>
                      <w:highlight w:val="none"/>
                      <w:u w:val="none" w:color="auto"/>
                      <w:vertAlign w:val="baseline"/>
                      <w:lang w:val="en-US" w:eastAsia="zh-CN" w:bidi="ar-SA"/>
                    </w:rPr>
                    <w:t>）</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；新增废水直排的污水集中处理厂</w:t>
                  </w:r>
                </w:p>
              </w:tc>
              <w:tc>
                <w:tcPr>
                  <w:tcW w:w="2118" w:type="pct"/>
                  <w:tcBorders>
                    <w:tl2br w:val="nil"/>
                    <w:tr2bl w:val="nil"/>
                  </w:tcBorders>
                  <w:noWrap w:val="0"/>
                  <w:vAlign w:val="center"/>
                </w:tcPr>
                <w:p w14:paraId="0ED3632D">
                  <w:pPr>
                    <w:keepLines w:val="0"/>
                    <w:pageBreakBefore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FF0000"/>
                      <w:sz w:val="21"/>
                      <w:szCs w:val="21"/>
                      <w:highlight w:val="none"/>
                      <w:u w:val="none" w:color="auto"/>
                      <w:vertAlign w:val="baseline"/>
                      <w:lang w:val="en-US" w:eastAsia="zh-CN"/>
                    </w:rPr>
                  </w:pPr>
                  <w:r>
                    <w:rPr>
                      <w:rFonts w:hint="eastAsia" w:cs="Times New Roman"/>
                      <w:color w:val="000000" w:themeColor="text1"/>
                      <w:kern w:val="0"/>
                      <w:sz w:val="21"/>
                      <w:szCs w:val="21"/>
                      <w:highlight w:val="none"/>
                      <w:u w:val="none"/>
                      <w:lang w:val="en-US" w:eastAsia="zh-CN"/>
                      <w14:textFill>
                        <w14:solidFill>
                          <w14:schemeClr w14:val="tx1"/>
                        </w14:solidFill>
                      </w14:textFill>
                    </w:rPr>
                    <w:t>本项目生活污水经龙昶厂区内现有“化粪池”处理达《污水综合排放标准》（GB8978- 1996）表4中三级标准和新田县污水处理厂设计进水水质标准后，通过龙昶厂区现有生活污水排污口排入园区污水管网，经新田县污水处理厂达到《城镇污水处理厂污染物排放标准》（GB18918-2002）及修改单一级A标准后排入新田河</w:t>
                  </w:r>
                  <w:r>
                    <w:rPr>
                      <w:rFonts w:hint="eastAsia" w:cs="Times New Roman"/>
                      <w:b w:val="0"/>
                      <w:bCs w:val="0"/>
                      <w:color w:val="000000" w:themeColor="text1"/>
                      <w:kern w:val="0"/>
                      <w:sz w:val="21"/>
                      <w:szCs w:val="21"/>
                      <w:highlight w:val="none"/>
                      <w:u w:val="none"/>
                      <w:lang w:val="en-US" w:eastAsia="zh-CN"/>
                      <w14:textFill>
                        <w14:solidFill>
                          <w14:schemeClr w14:val="tx1"/>
                        </w14:solidFill>
                      </w14:textFill>
                    </w:rPr>
                    <w:t>。</w:t>
                  </w:r>
                </w:p>
              </w:tc>
              <w:tc>
                <w:tcPr>
                  <w:tcW w:w="414" w:type="pct"/>
                  <w:tcBorders>
                    <w:tl2br w:val="nil"/>
                    <w:tr2bl w:val="nil"/>
                  </w:tcBorders>
                  <w:noWrap w:val="0"/>
                  <w:vAlign w:val="center"/>
                </w:tcPr>
                <w:p w14:paraId="1C70AC97">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7B2F2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7F10FC63">
                  <w:pPr>
                    <w:pStyle w:val="30"/>
                    <w:keepLines w:val="0"/>
                    <w:pageBreakBefore w:val="0"/>
                    <w:kinsoku/>
                    <w:wordWrap/>
                    <w:topLinePunct w:val="0"/>
                    <w:bidi w:val="0"/>
                    <w:spacing w:line="240" w:lineRule="auto"/>
                    <w:ind w:left="0" w:leftChars="0" w:firstLine="0" w:firstLineChars="0"/>
                    <w:jc w:val="center"/>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环境</w:t>
                  </w:r>
                </w:p>
                <w:p w14:paraId="2273329C">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风险</w:t>
                  </w:r>
                </w:p>
              </w:tc>
              <w:tc>
                <w:tcPr>
                  <w:tcW w:w="1792" w:type="pct"/>
                  <w:tcBorders>
                    <w:tl2br w:val="nil"/>
                    <w:tr2bl w:val="nil"/>
                  </w:tcBorders>
                  <w:noWrap w:val="0"/>
                  <w:vAlign w:val="center"/>
                </w:tcPr>
                <w:p w14:paraId="2410F596">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有毒有害和易燃易爆危险物质储量超过临界量</w:t>
                  </w:r>
                  <w:r>
                    <w:rPr>
                      <w:rFonts w:hint="eastAsia" w:cs="Times New Roman"/>
                      <w:color w:val="auto"/>
                      <w:kern w:val="2"/>
                      <w:sz w:val="21"/>
                      <w:szCs w:val="21"/>
                      <w:highlight w:val="none"/>
                      <w:u w:val="none" w:color="auto"/>
                      <w:vertAlign w:val="superscript"/>
                      <w:lang w:val="en-US" w:eastAsia="zh-CN" w:bidi="ar-SA"/>
                    </w:rPr>
                    <w:t>3</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的建设项目</w:t>
                  </w:r>
                </w:p>
              </w:tc>
              <w:tc>
                <w:tcPr>
                  <w:tcW w:w="2118" w:type="pct"/>
                  <w:tcBorders>
                    <w:tl2br w:val="nil"/>
                    <w:tr2bl w:val="nil"/>
                  </w:tcBorders>
                  <w:noWrap w:val="0"/>
                  <w:vAlign w:val="center"/>
                </w:tcPr>
                <w:p w14:paraId="0FA2BF30">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本项目有毒有害物质主要为</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润滑油、液压油和危险废物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其最大储存量均</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未超过临界量</w:t>
                  </w:r>
                  <w:r>
                    <w:rPr>
                      <w:rFonts w:hint="eastAsia" w:ascii="Times New Roman" w:cs="Times New Roman"/>
                      <w:color w:val="000000" w:themeColor="text1"/>
                      <w:sz w:val="21"/>
                      <w:szCs w:val="21"/>
                      <w:vertAlign w:val="baseline"/>
                      <w:lang w:val="en-US" w:eastAsia="zh-CN"/>
                      <w14:textFill>
                        <w14:solidFill>
                          <w14:schemeClr w14:val="tx1"/>
                        </w14:solidFill>
                      </w14:textFill>
                    </w:rPr>
                    <w:t>。</w:t>
                  </w:r>
                </w:p>
              </w:tc>
              <w:tc>
                <w:tcPr>
                  <w:tcW w:w="414" w:type="pct"/>
                  <w:tcBorders>
                    <w:tl2br w:val="nil"/>
                    <w:tr2bl w:val="nil"/>
                  </w:tcBorders>
                  <w:noWrap w:val="0"/>
                  <w:vAlign w:val="center"/>
                </w:tcPr>
                <w:p w14:paraId="3248A7CD">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2C04E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5ECDCB37">
                  <w:pPr>
                    <w:pStyle w:val="30"/>
                    <w:keepLines w:val="0"/>
                    <w:pageBreakBefore w:val="0"/>
                    <w:kinsoku/>
                    <w:wordWrap/>
                    <w:topLinePunct w:val="0"/>
                    <w:bidi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生态</w:t>
                  </w:r>
                </w:p>
              </w:tc>
              <w:tc>
                <w:tcPr>
                  <w:tcW w:w="1792" w:type="pct"/>
                  <w:tcBorders>
                    <w:tl2br w:val="nil"/>
                    <w:tr2bl w:val="nil"/>
                  </w:tcBorders>
                  <w:noWrap w:val="0"/>
                  <w:vAlign w:val="center"/>
                </w:tcPr>
                <w:p w14:paraId="33B7B732">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取水口下游</w:t>
                  </w:r>
                  <w:r>
                    <w:rPr>
                      <w:rFonts w:hint="default" w:ascii="Times New Roman" w:hAnsi="Times New Roman" w:eastAsia="宋体" w:cs="Times New Roman"/>
                      <w:color w:val="auto"/>
                      <w:kern w:val="2"/>
                      <w:sz w:val="21"/>
                      <w:szCs w:val="21"/>
                      <w:highlight w:val="none"/>
                      <w:u w:val="none" w:color="auto"/>
                      <w:vertAlign w:val="baseline"/>
                      <w:lang w:val="en-US" w:eastAsia="zh-CN" w:bidi="ar-SA"/>
                    </w:rPr>
                    <w:t>500m</w:t>
                  </w:r>
                  <w:r>
                    <w:rPr>
                      <w:rFonts w:hint="eastAsia" w:ascii="Times New Roman" w:hAnsi="Times New Roman" w:eastAsia="宋体" w:cs="Times New Roman"/>
                      <w:color w:val="auto"/>
                      <w:kern w:val="2"/>
                      <w:sz w:val="21"/>
                      <w:szCs w:val="21"/>
                      <w:highlight w:val="none"/>
                      <w:u w:val="none" w:color="auto"/>
                      <w:vertAlign w:val="baseline"/>
                      <w:lang w:val="en-US" w:eastAsia="zh-CN" w:bidi="ar-SA"/>
                    </w:rPr>
                    <w:t>范围内有重要水生生物的自然产卵场、索饵场、越冬场和洄游通道的新增河道取水的污染类建设项目</w:t>
                  </w:r>
                </w:p>
              </w:tc>
              <w:tc>
                <w:tcPr>
                  <w:tcW w:w="2118" w:type="pct"/>
                  <w:tcBorders>
                    <w:tl2br w:val="nil"/>
                    <w:tr2bl w:val="nil"/>
                  </w:tcBorders>
                  <w:noWrap w:val="0"/>
                  <w:vAlign w:val="center"/>
                </w:tcPr>
                <w:p w14:paraId="58916CFD">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u w:val="none" w:color="auto"/>
                      <w:vertAlign w:val="baseline"/>
                      <w:lang w:val="en-US" w:eastAsia="zh-CN"/>
                      <w14:textFill>
                        <w14:solidFill>
                          <w14:schemeClr w14:val="tx1"/>
                        </w14:solidFill>
                      </w14:textFill>
                    </w:rPr>
                    <w:t>项目用水为自来水，由园区市政供水管网引入，无需设置河道取水口。</w:t>
                  </w:r>
                </w:p>
              </w:tc>
              <w:tc>
                <w:tcPr>
                  <w:tcW w:w="414" w:type="pct"/>
                  <w:tcBorders>
                    <w:tl2br w:val="nil"/>
                    <w:tr2bl w:val="nil"/>
                  </w:tcBorders>
                  <w:noWrap w:val="0"/>
                  <w:vAlign w:val="center"/>
                </w:tcPr>
                <w:p w14:paraId="6BAF9BEC">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66DF2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674" w:type="pct"/>
                  <w:tcBorders>
                    <w:tl2br w:val="nil"/>
                    <w:tr2bl w:val="nil"/>
                  </w:tcBorders>
                  <w:noWrap w:val="0"/>
                  <w:vAlign w:val="center"/>
                </w:tcPr>
                <w:p w14:paraId="60B413DF">
                  <w:pPr>
                    <w:pStyle w:val="30"/>
                    <w:keepLines w:val="0"/>
                    <w:pageBreakBefore w:val="0"/>
                    <w:kinsoku/>
                    <w:wordWrap/>
                    <w:topLinePunct w:val="0"/>
                    <w:bidi w:val="0"/>
                    <w:spacing w:line="240" w:lineRule="auto"/>
                    <w:ind w:left="0" w:firstLine="0" w:firstLineChars="0"/>
                    <w:jc w:val="center"/>
                    <w:textAlignment w:val="auto"/>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海洋</w:t>
                  </w:r>
                </w:p>
              </w:tc>
              <w:tc>
                <w:tcPr>
                  <w:tcW w:w="1792" w:type="pct"/>
                  <w:tcBorders>
                    <w:tl2br w:val="nil"/>
                    <w:tr2bl w:val="nil"/>
                  </w:tcBorders>
                  <w:noWrap w:val="0"/>
                  <w:vAlign w:val="center"/>
                </w:tcPr>
                <w:p w14:paraId="23B9643C">
                  <w:pPr>
                    <w:keepNext w:val="0"/>
                    <w:keepLines w:val="0"/>
                    <w:pageBreakBefore w:val="0"/>
                    <w:widowControl/>
                    <w:suppressLineNumbers w:val="0"/>
                    <w:kinsoku/>
                    <w:wordWrap/>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ascii="Times New Roman" w:hAnsi="Times New Roman" w:eastAsia="宋体" w:cs="Times New Roman"/>
                      <w:color w:val="auto"/>
                      <w:kern w:val="2"/>
                      <w:sz w:val="21"/>
                      <w:szCs w:val="21"/>
                      <w:highlight w:val="none"/>
                      <w:u w:val="none" w:color="auto"/>
                      <w:vertAlign w:val="baseline"/>
                      <w:lang w:val="en-US" w:eastAsia="zh-CN" w:bidi="ar-SA"/>
                    </w:rPr>
                    <w:t>直接向海排放污染物的海洋工程建设项目</w:t>
                  </w:r>
                </w:p>
              </w:tc>
              <w:tc>
                <w:tcPr>
                  <w:tcW w:w="2118" w:type="pct"/>
                  <w:tcBorders>
                    <w:tl2br w:val="nil"/>
                    <w:tr2bl w:val="nil"/>
                  </w:tcBorders>
                  <w:noWrap w:val="0"/>
                  <w:vAlign w:val="center"/>
                </w:tcPr>
                <w:p w14:paraId="2BCF3C7C">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u w:val="none" w:color="auto"/>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u w:val="none" w:color="auto"/>
                      <w:vertAlign w:val="baseline"/>
                      <w:lang w:val="en-US" w:eastAsia="zh-CN"/>
                      <w14:textFill>
                        <w14:solidFill>
                          <w14:schemeClr w14:val="tx1"/>
                        </w14:solidFill>
                      </w14:textFill>
                    </w:rPr>
                    <w:t>项目不属于海洋工程。</w:t>
                  </w:r>
                </w:p>
              </w:tc>
              <w:tc>
                <w:tcPr>
                  <w:tcW w:w="414" w:type="pct"/>
                  <w:tcBorders>
                    <w:tl2br w:val="nil"/>
                    <w:tr2bl w:val="nil"/>
                  </w:tcBorders>
                  <w:noWrap w:val="0"/>
                  <w:vAlign w:val="center"/>
                </w:tcPr>
                <w:p w14:paraId="0B9ADD9A">
                  <w:pPr>
                    <w:pStyle w:val="30"/>
                    <w:keepLines w:val="0"/>
                    <w:pageBreakBefore w:val="0"/>
                    <w:kinsoku/>
                    <w:wordWrap/>
                    <w:topLinePunct w:val="0"/>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eastAsia" w:ascii="Times New Roman" w:cs="Times New Roman"/>
                      <w:color w:val="auto"/>
                      <w:sz w:val="21"/>
                      <w:szCs w:val="21"/>
                      <w:highlight w:val="none"/>
                      <w:u w:val="none" w:color="auto"/>
                      <w:vertAlign w:val="baseline"/>
                      <w:lang w:val="en-US" w:eastAsia="zh-CN"/>
                    </w:rPr>
                    <w:t>否</w:t>
                  </w:r>
                </w:p>
              </w:tc>
            </w:tr>
            <w:tr w14:paraId="2F65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454" w:hRule="atLeast"/>
                <w:jc w:val="center"/>
              </w:trPr>
              <w:tc>
                <w:tcPr>
                  <w:tcW w:w="5000" w:type="pct"/>
                  <w:gridSpan w:val="4"/>
                  <w:tcBorders>
                    <w:tl2br w:val="nil"/>
                    <w:tr2bl w:val="nil"/>
                  </w:tcBorders>
                  <w:noWrap w:val="0"/>
                  <w:vAlign w:val="center"/>
                </w:tcPr>
                <w:p w14:paraId="721B540D">
                  <w:pPr>
                    <w:pStyle w:val="30"/>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注:1.废气中有毒有害污染物指纳入《有毒有害大气污染物名录》的污染物（不包括无排放标准的污染物）。</w:t>
                  </w:r>
                </w:p>
                <w:p w14:paraId="153D24F0">
                  <w:pPr>
                    <w:pStyle w:val="30"/>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2.环境空气保护目标指自然保护区、风景名胜区、居住区、文化区和农村地区中人群较集中的区域。</w:t>
                  </w:r>
                </w:p>
                <w:p w14:paraId="2EBB48B0">
                  <w:pPr>
                    <w:pStyle w:val="30"/>
                    <w:keepLines w:val="0"/>
                    <w:pageBreakBefore w:val="0"/>
                    <w:kinsoku/>
                    <w:wordWrap/>
                    <w:topLinePunct w:val="0"/>
                    <w:bidi w:val="0"/>
                    <w:spacing w:line="240" w:lineRule="auto"/>
                    <w:ind w:left="0" w:leftChars="0" w:firstLine="0" w:firstLineChars="0"/>
                    <w:jc w:val="left"/>
                    <w:textAlignment w:val="auto"/>
                    <w:rPr>
                      <w:rFonts w:hint="eastAsia" w:ascii="Times New Roman" w:cs="Times New Roman"/>
                      <w:color w:val="auto"/>
                      <w:sz w:val="21"/>
                      <w:szCs w:val="21"/>
                      <w:highlight w:val="none"/>
                      <w:u w:val="none" w:color="auto"/>
                      <w:vertAlign w:val="baseline"/>
                      <w:lang w:val="en-US" w:eastAsia="zh-CN"/>
                    </w:rPr>
                  </w:pPr>
                  <w:r>
                    <w:rPr>
                      <w:rFonts w:hint="eastAsia" w:ascii="Times New Roman" w:cs="Times New Roman"/>
                      <w:color w:val="auto"/>
                      <w:sz w:val="21"/>
                      <w:szCs w:val="21"/>
                      <w:highlight w:val="none"/>
                      <w:u w:val="none" w:color="auto"/>
                      <w:vertAlign w:val="baseline"/>
                      <w:lang w:val="en-US" w:eastAsia="zh-CN"/>
                    </w:rPr>
                    <w:t>3.临界量及其计算方法可参考《建设项目环境风险评价技术导则》（HJ169）附录B、附录C。</w:t>
                  </w:r>
                </w:p>
              </w:tc>
            </w:tr>
          </w:tbl>
          <w:p w14:paraId="74732EE4">
            <w:pPr>
              <w:autoSpaceDE w:val="0"/>
              <w:autoSpaceDN w:val="0"/>
              <w:adjustRightInd w:val="0"/>
              <w:snapToGrid w:val="0"/>
              <w:jc w:val="both"/>
              <w:rPr>
                <w:rFonts w:hint="default" w:ascii="Times New Roman" w:hAnsi="Times New Roman" w:eastAsia="宋体" w:cs="Times New Roman"/>
                <w:color w:val="000000"/>
                <w:kern w:val="0"/>
                <w:sz w:val="24"/>
                <w:szCs w:val="24"/>
                <w:lang w:val="en-US" w:eastAsia="zh-CN"/>
              </w:rPr>
            </w:pPr>
          </w:p>
        </w:tc>
      </w:tr>
      <w:tr w14:paraId="6741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tcBorders>
              <w:tl2br w:val="nil"/>
              <w:tr2bl w:val="nil"/>
            </w:tcBorders>
            <w:noWrap w:val="0"/>
            <w:vAlign w:val="center"/>
          </w:tcPr>
          <w:p w14:paraId="6E17ADE3">
            <w:pPr>
              <w:autoSpaceDE w:val="0"/>
              <w:autoSpaceDN w:val="0"/>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cs="Times New Roman"/>
                <w:b/>
                <w:bCs/>
                <w:color w:val="000000"/>
                <w:kern w:val="0"/>
                <w:sz w:val="24"/>
                <w:szCs w:val="24"/>
              </w:rPr>
              <w:t>规划情况</w:t>
            </w:r>
          </w:p>
        </w:tc>
        <w:tc>
          <w:tcPr>
            <w:tcW w:w="4347" w:type="pct"/>
            <w:gridSpan w:val="4"/>
            <w:tcBorders>
              <w:tl2br w:val="nil"/>
              <w:tr2bl w:val="nil"/>
            </w:tcBorders>
            <w:noWrap w:val="0"/>
            <w:vAlign w:val="center"/>
          </w:tcPr>
          <w:p w14:paraId="5E6B2BCE">
            <w:pPr>
              <w:autoSpaceDE w:val="0"/>
              <w:autoSpaceDN w:val="0"/>
              <w:adjustRightInd w:val="0"/>
              <w:snapToGrid w:val="0"/>
              <w:jc w:val="center"/>
              <w:rPr>
                <w:rFonts w:hint="eastAsia" w:cs="Times New Roman"/>
                <w:color w:val="000000"/>
                <w:kern w:val="0"/>
                <w:sz w:val="24"/>
                <w:szCs w:val="24"/>
                <w:lang w:val="en-US" w:eastAsia="zh-CN"/>
              </w:rPr>
            </w:pPr>
            <w:r>
              <w:rPr>
                <w:rFonts w:hint="eastAsia" w:cs="Times New Roman"/>
                <w:color w:val="000000"/>
                <w:kern w:val="0"/>
                <w:sz w:val="24"/>
                <w:szCs w:val="24"/>
                <w:lang w:val="en-US" w:eastAsia="zh-CN"/>
              </w:rPr>
              <w:t>《新田县县城总体规划（2009-2030）》</w:t>
            </w:r>
          </w:p>
        </w:tc>
      </w:tr>
      <w:tr w14:paraId="1560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tcBorders>
              <w:tl2br w:val="nil"/>
              <w:tr2bl w:val="nil"/>
            </w:tcBorders>
            <w:noWrap w:val="0"/>
            <w:vAlign w:val="center"/>
          </w:tcPr>
          <w:p w14:paraId="6702A07E">
            <w:pPr>
              <w:adjustRightInd w:val="0"/>
              <w:snapToGrid w:val="0"/>
              <w:jc w:val="center"/>
              <w:rPr>
                <w:rFonts w:hint="default" w:ascii="Times New Roman" w:hAnsi="Times New Roman" w:cs="Times New Roman"/>
                <w:b/>
                <w:bCs/>
                <w:color w:val="000000"/>
                <w:kern w:val="0"/>
                <w:sz w:val="24"/>
                <w:szCs w:val="24"/>
              </w:rPr>
            </w:pPr>
            <w:r>
              <w:rPr>
                <w:rFonts w:hint="default" w:ascii="Times New Roman" w:hAnsi="Times New Roman" w:eastAsia="宋体" w:cs="Times New Roman"/>
                <w:b/>
                <w:bCs/>
                <w:color w:val="000000"/>
                <w:kern w:val="0"/>
                <w:sz w:val="24"/>
                <w:szCs w:val="24"/>
              </w:rPr>
              <w:t>规划环境影响评价情况</w:t>
            </w:r>
          </w:p>
        </w:tc>
        <w:tc>
          <w:tcPr>
            <w:tcW w:w="4347" w:type="pct"/>
            <w:gridSpan w:val="4"/>
            <w:tcBorders>
              <w:tl2br w:val="nil"/>
              <w:tr2bl w:val="nil"/>
            </w:tcBorders>
            <w:noWrap w:val="0"/>
            <w:vAlign w:val="center"/>
          </w:tcPr>
          <w:p w14:paraId="6B2802F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环评名称：《湖南省永州市新田工业园项目环境影响报告书》；</w:t>
            </w:r>
          </w:p>
          <w:p w14:paraId="72D9D4B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审批机关：湖南省生态环境厅</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原湖南省环境保护</w:t>
            </w:r>
            <w:r>
              <w:rPr>
                <w:spacing w:val="-2"/>
                <w:kern w:val="0"/>
                <w:sz w:val="24"/>
              </w:rPr>
              <w:t>厅</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14:paraId="126B8A81">
            <w:pPr>
              <w:keepNext w:val="0"/>
              <w:keepLines w:val="0"/>
              <w:pageBreakBefore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审批文号：《湖南省生态环境厅关于&lt;湖南省永州市新田工业园环境影响报告书&gt;的批复》（湘环评</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2008</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180号）。</w:t>
            </w:r>
          </w:p>
          <w:p w14:paraId="676F182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环评名称：《新田工业集中区规划环境影响跟踪评价报告书》；</w:t>
            </w:r>
          </w:p>
          <w:p w14:paraId="6887FC1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审批机关：湖南省生态环境厅</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原湖南省环境保护</w:t>
            </w:r>
            <w:r>
              <w:rPr>
                <w:spacing w:val="-2"/>
                <w:kern w:val="0"/>
                <w:sz w:val="24"/>
              </w:rPr>
              <w:t>厅</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w:t>
            </w:r>
          </w:p>
          <w:p w14:paraId="4A3D58B2">
            <w:pPr>
              <w:keepNext w:val="0"/>
              <w:keepLines w:val="0"/>
              <w:pageBreakBefore w:val="0"/>
              <w:kinsoku/>
              <w:wordWrap/>
              <w:overflowPunct/>
              <w:topLinePunct w:val="0"/>
              <w:autoSpaceDE w:val="0"/>
              <w:autoSpaceDN w:val="0"/>
              <w:bidi w:val="0"/>
              <w:adjustRightInd w:val="0"/>
              <w:snapToGrid/>
              <w:spacing w:line="360" w:lineRule="auto"/>
              <w:ind w:firstLine="480" w:firstLineChars="200"/>
              <w:jc w:val="both"/>
              <w:textAlignment w:val="auto"/>
              <w:rPr>
                <w:rFonts w:hint="default"/>
                <w:lang w:val="en-US" w:eastAsia="zh-CN"/>
              </w:rPr>
            </w:pPr>
            <w:r>
              <w:rPr>
                <w:rFonts w:hint="eastAsia" w:ascii="Times New Roman" w:hAnsi="Times New Roman" w:eastAsia="宋体" w:cs="Times New Roman"/>
                <w:color w:val="000000"/>
                <w:kern w:val="0"/>
                <w:sz w:val="24"/>
                <w:szCs w:val="24"/>
                <w:lang w:val="en-US" w:eastAsia="zh-CN" w:bidi="ar"/>
              </w:rPr>
              <w:t>审批文号：《湖南省生态环境厅关于&lt;新田工业集中区规划环境影响跟踪评价&gt;工作意见的函》（湘环评函</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2021</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22号）。</w:t>
            </w:r>
          </w:p>
        </w:tc>
      </w:tr>
      <w:tr w14:paraId="53DD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tcBorders>
              <w:tl2br w:val="nil"/>
              <w:tr2bl w:val="nil"/>
            </w:tcBorders>
            <w:noWrap w:val="0"/>
            <w:vAlign w:val="center"/>
          </w:tcPr>
          <w:p w14:paraId="1FEEF806">
            <w:pPr>
              <w:adjustRightInd w:val="0"/>
              <w:snapToGrid w:val="0"/>
              <w:jc w:val="center"/>
              <w:rPr>
                <w:rFonts w:hint="default" w:ascii="Times New Roman" w:hAnsi="Times New Roman" w:eastAsia="宋体" w:cs="Times New Roman"/>
                <w:b/>
                <w:bCs/>
                <w:color w:val="000000"/>
                <w:kern w:val="0"/>
                <w:sz w:val="24"/>
                <w:szCs w:val="24"/>
              </w:rPr>
            </w:pPr>
            <w:r>
              <w:rPr>
                <w:rFonts w:hint="eastAsia" w:ascii="Times New Roman" w:hAnsi="Times New Roman" w:eastAsia="宋体" w:cs="Times New Roman"/>
                <w:b/>
                <w:bCs/>
                <w:color w:val="000000"/>
                <w:kern w:val="0"/>
                <w:sz w:val="24"/>
                <w:szCs w:val="24"/>
                <w:lang w:eastAsia="zh-CN"/>
              </w:rPr>
              <w:t>规划及规划环境影响评价符合性分析</w:t>
            </w:r>
          </w:p>
        </w:tc>
        <w:tc>
          <w:tcPr>
            <w:tcW w:w="4347" w:type="pct"/>
            <w:gridSpan w:val="4"/>
            <w:tcBorders>
              <w:tl2br w:val="nil"/>
              <w:tr2bl w:val="nil"/>
            </w:tcBorders>
            <w:noWrap w:val="0"/>
            <w:vAlign w:val="center"/>
          </w:tcPr>
          <w:p w14:paraId="67D7E100">
            <w:pPr>
              <w:pStyle w:val="13"/>
              <w:keepNext w:val="0"/>
              <w:keepLines w:val="0"/>
              <w:pageBreakBefore w:val="0"/>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rPr>
                <w:rFonts w:hint="eastAsia" w:ascii="Times New Roman" w:hAnsi="Times New Roman" w:eastAsia="宋体" w:cs="Times New Roman"/>
                <w:b/>
                <w:bCs/>
                <w:color w:val="000000"/>
                <w:kern w:val="0"/>
                <w:sz w:val="24"/>
                <w:szCs w:val="24"/>
                <w:u w:val="single" w:color="auto"/>
                <w:lang w:val="en-US" w:eastAsia="zh-CN" w:bidi="ar"/>
              </w:rPr>
            </w:pPr>
            <w:r>
              <w:rPr>
                <w:rFonts w:hint="eastAsia" w:ascii="Times New Roman" w:hAnsi="Times New Roman" w:eastAsia="宋体" w:cs="Times New Roman"/>
                <w:b/>
                <w:bCs/>
                <w:color w:val="000000"/>
                <w:kern w:val="0"/>
                <w:sz w:val="24"/>
                <w:szCs w:val="24"/>
                <w:u w:val="single" w:color="auto"/>
                <w:lang w:val="en-US" w:eastAsia="zh-CN" w:bidi="ar"/>
              </w:rPr>
              <w:t>1、与新田产业开发区总体规划环境影响评价符合性分析</w:t>
            </w:r>
          </w:p>
          <w:p w14:paraId="644E40F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color w:val="000000"/>
                <w:kern w:val="0"/>
                <w:sz w:val="24"/>
                <w:szCs w:val="24"/>
                <w:u w:val="single" w:color="auto"/>
                <w:lang w:val="en-US" w:eastAsia="zh-CN" w:bidi="ar"/>
              </w:rPr>
            </w:pPr>
            <w:r>
              <w:rPr>
                <w:rFonts w:hint="eastAsia" w:ascii="Times New Roman" w:hAnsi="Times New Roman" w:eastAsia="宋体" w:cs="Times New Roman"/>
                <w:color w:val="000000"/>
                <w:kern w:val="0"/>
                <w:sz w:val="24"/>
                <w:szCs w:val="24"/>
                <w:u w:val="single" w:color="auto"/>
                <w:lang w:val="en-US" w:eastAsia="zh-CN" w:bidi="ar"/>
              </w:rPr>
              <w:t>①规划符合性分析</w:t>
            </w:r>
          </w:p>
          <w:p w14:paraId="36033CD2">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kern w:val="0"/>
                <w:sz w:val="24"/>
                <w:szCs w:val="24"/>
                <w:u w:val="single" w:color="auto"/>
                <w:lang w:val="en-US" w:eastAsia="zh-CN" w:bidi="ar"/>
              </w:rPr>
            </w:pPr>
            <w:r>
              <w:rPr>
                <w:rFonts w:hint="eastAsia" w:ascii="Times New Roman" w:hAnsi="Times New Roman" w:eastAsia="宋体" w:cs="Times New Roman"/>
                <w:color w:val="000000"/>
                <w:kern w:val="0"/>
                <w:sz w:val="24"/>
                <w:szCs w:val="24"/>
                <w:u w:val="single" w:color="auto"/>
                <w:lang w:val="en-US" w:eastAsia="zh-CN" w:bidi="ar"/>
              </w:rPr>
              <w:t>新田产业开发区原名为新田工业园</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新田工业集中区，是湖南省人民政府20</w:t>
            </w:r>
            <w:r>
              <w:rPr>
                <w:rFonts w:hint="eastAsia" w:cs="Times New Roman"/>
                <w:color w:val="000000"/>
                <w:kern w:val="0"/>
                <w:sz w:val="24"/>
                <w:szCs w:val="24"/>
                <w:u w:val="single" w:color="auto"/>
                <w:lang w:val="en-US" w:eastAsia="zh-CN" w:bidi="ar"/>
              </w:rPr>
              <w:t>14</w:t>
            </w:r>
            <w:r>
              <w:rPr>
                <w:rFonts w:hint="eastAsia" w:ascii="Times New Roman" w:hAnsi="Times New Roman" w:eastAsia="宋体" w:cs="Times New Roman"/>
                <w:color w:val="000000"/>
                <w:kern w:val="0"/>
                <w:sz w:val="24"/>
                <w:szCs w:val="24"/>
                <w:u w:val="single" w:color="auto"/>
                <w:lang w:val="en-US" w:eastAsia="zh-CN" w:bidi="ar"/>
              </w:rPr>
              <w:t>年7月以湘政办函</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2014</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66号文批准设立的省级工业园区；根据《湖南省生态环境厅关于&lt;湖南省永州市新田工业园环境影响报告书&gt;的批复》（湘环评</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2008</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180号）可知，</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形成</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一主一特多辅</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的产业体系。主导产业——林工及家具加工，包括家私生产的主材料、辅助材料的生产和家具的生产制造；特色产业——富硒农产品加工，包含富硒农产品、富硒饲料、富硒保健品、富硒药品；辅助产业——包含智能机械装备制造、电子信息、新材料、现代服务业等产业。</w:t>
            </w:r>
            <w:r>
              <w:rPr>
                <w:rFonts w:hint="eastAsia" w:cs="Times New Roman"/>
                <w:color w:val="000000"/>
                <w:kern w:val="0"/>
                <w:sz w:val="24"/>
                <w:szCs w:val="24"/>
                <w:u w:val="single" w:color="auto"/>
                <w:lang w:val="en-US" w:eastAsia="zh-CN" w:bidi="ar"/>
              </w:rPr>
              <w:t>”</w:t>
            </w:r>
          </w:p>
          <w:p w14:paraId="3510C98D">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b w:val="0"/>
                <w:bCs/>
                <w:spacing w:val="0"/>
                <w:w w:val="100"/>
                <w:position w:val="0"/>
                <w:sz w:val="24"/>
                <w:szCs w:val="28"/>
                <w:u w:val="single" w:color="auto"/>
              </w:rPr>
            </w:pPr>
            <w:r>
              <w:rPr>
                <w:rFonts w:hint="default" w:ascii="Times New Roman" w:hAnsi="Times New Roman" w:eastAsia="宋体" w:cs="Times New Roman"/>
                <w:b w:val="0"/>
                <w:bCs/>
                <w:spacing w:val="0"/>
                <w:w w:val="100"/>
                <w:position w:val="0"/>
                <w:sz w:val="24"/>
                <w:szCs w:val="28"/>
                <w:u w:val="single" w:color="auto"/>
              </w:rPr>
              <w:t>本项目</w:t>
            </w:r>
            <w:r>
              <w:rPr>
                <w:rFonts w:hint="eastAsia" w:cs="Times New Roman"/>
                <w:b w:val="0"/>
                <w:bCs w:val="0"/>
                <w:color w:val="000000" w:themeColor="text1"/>
                <w:sz w:val="24"/>
                <w:szCs w:val="24"/>
                <w:u w:val="single" w:color="auto"/>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sz w:val="24"/>
                <w:szCs w:val="24"/>
                <w:u w:val="single" w:color="auto"/>
                <w:lang w:val="en-US" w:eastAsia="zh-CN"/>
                <w14:textFill>
                  <w14:solidFill>
                    <w14:schemeClr w14:val="tx1"/>
                  </w14:solidFill>
                </w14:textFill>
              </w:rPr>
              <w:t>废旧资源回收利用项目</w:t>
            </w:r>
            <w:r>
              <w:rPr>
                <w:rFonts w:hint="default" w:ascii="Times New Roman" w:hAnsi="Times New Roman" w:eastAsia="宋体" w:cs="Times New Roman"/>
                <w:b w:val="0"/>
                <w:bCs/>
                <w:color w:val="000000" w:themeColor="text1"/>
                <w:spacing w:val="0"/>
                <w:w w:val="100"/>
                <w:position w:val="0"/>
                <w:sz w:val="24"/>
                <w:szCs w:val="28"/>
                <w:u w:val="single" w:color="auto"/>
                <w14:textFill>
                  <w14:solidFill>
                    <w14:schemeClr w14:val="tx1"/>
                  </w14:solidFill>
                </w14:textFill>
              </w:rPr>
              <w:t>，</w:t>
            </w:r>
            <w:r>
              <w:rPr>
                <w:rFonts w:hint="eastAsia" w:ascii="Times New Roman" w:hAnsi="Times New Roman" w:eastAsia="宋体" w:cs="Times New Roman"/>
                <w:b w:val="0"/>
                <w:bCs/>
                <w:color w:val="000000" w:themeColor="text1"/>
                <w:spacing w:val="0"/>
                <w:w w:val="100"/>
                <w:position w:val="0"/>
                <w:sz w:val="24"/>
                <w:szCs w:val="28"/>
                <w:u w:val="single" w:color="auto"/>
                <w:lang w:eastAsia="zh-CN"/>
                <w14:textFill>
                  <w14:solidFill>
                    <w14:schemeClr w14:val="tx1"/>
                  </w14:solidFill>
                </w14:textFill>
              </w:rPr>
              <w:t>主要是废旧材料的回收</w:t>
            </w:r>
            <w:r>
              <w:rPr>
                <w:rFonts w:hint="eastAsia" w:cs="Times New Roman"/>
                <w:b w:val="0"/>
                <w:bCs/>
                <w:color w:val="000000" w:themeColor="text1"/>
                <w:spacing w:val="0"/>
                <w:w w:val="100"/>
                <w:position w:val="0"/>
                <w:sz w:val="24"/>
                <w:szCs w:val="28"/>
                <w:u w:val="single" w:color="auto"/>
                <w:lang w:val="en-US" w:eastAsia="zh-CN"/>
                <w14:textFill>
                  <w14:solidFill>
                    <w14:schemeClr w14:val="tx1"/>
                  </w14:solidFill>
                </w14:textFill>
              </w:rPr>
              <w:t>重组</w:t>
            </w:r>
            <w:r>
              <w:rPr>
                <w:rFonts w:hint="eastAsia" w:ascii="Times New Roman" w:hAnsi="Times New Roman" w:eastAsia="宋体" w:cs="Times New Roman"/>
                <w:b w:val="0"/>
                <w:bCs/>
                <w:color w:val="000000" w:themeColor="text1"/>
                <w:spacing w:val="0"/>
                <w:w w:val="100"/>
                <w:position w:val="0"/>
                <w:sz w:val="24"/>
                <w:szCs w:val="28"/>
                <w:u w:val="single" w:color="auto"/>
                <w:lang w:eastAsia="zh-CN"/>
                <w14:textFill>
                  <w14:solidFill>
                    <w14:schemeClr w14:val="tx1"/>
                  </w14:solidFill>
                </w14:textFill>
              </w:rPr>
              <w:t>，为再生资源及产品类废物回收利用体系</w:t>
            </w:r>
            <w:r>
              <w:rPr>
                <w:rFonts w:hint="eastAsia" w:ascii="Times New Roman" w:hAnsi="Times New Roman" w:eastAsia="宋体" w:cs="Times New Roman"/>
                <w:b w:val="0"/>
                <w:bCs/>
                <w:color w:val="000000" w:themeColor="text1"/>
                <w:spacing w:val="0"/>
                <w:w w:val="100"/>
                <w:position w:val="0"/>
                <w:sz w:val="24"/>
                <w:szCs w:val="28"/>
                <w:u w:val="single" w:color="auto"/>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4"/>
                <w:szCs w:val="28"/>
                <w:u w:val="single" w:color="auto"/>
                <w14:textFill>
                  <w14:solidFill>
                    <w14:schemeClr w14:val="tx1"/>
                  </w14:solidFill>
                </w14:textFill>
              </w:rPr>
              <w:t>不属于园区禁止</w:t>
            </w:r>
            <w:r>
              <w:rPr>
                <w:rFonts w:hint="default" w:ascii="Times New Roman" w:hAnsi="Times New Roman" w:eastAsia="宋体" w:cs="Times New Roman"/>
                <w:b w:val="0"/>
                <w:bCs/>
                <w:spacing w:val="0"/>
                <w:w w:val="100"/>
                <w:position w:val="0"/>
                <w:sz w:val="24"/>
                <w:szCs w:val="28"/>
                <w:u w:val="single" w:color="auto"/>
              </w:rPr>
              <w:t>引进的项目，同时不属于严格控制的水泥、铸造、焦化、化工等污染企业，也不属于国家明令淘汰和禁止发展的能耗物耗高、环境污染严重、不符合产业政策的建设项目。</w:t>
            </w:r>
          </w:p>
          <w:p w14:paraId="1FF60DE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00" w:firstLineChars="0"/>
              <w:jc w:val="both"/>
              <w:textAlignment w:val="auto"/>
              <w:rPr>
                <w:rFonts w:hint="eastAsia" w:ascii="Times New Roman" w:hAnsi="Times New Roman" w:eastAsia="宋体" w:cs="Times New Roman"/>
                <w:b w:val="0"/>
                <w:bCs/>
                <w:spacing w:val="0"/>
                <w:w w:val="100"/>
                <w:position w:val="0"/>
                <w:sz w:val="24"/>
                <w:szCs w:val="28"/>
                <w:u w:val="single" w:color="auto"/>
                <w:lang w:val="en-US" w:eastAsia="zh-CN"/>
              </w:rPr>
            </w:pPr>
            <w:r>
              <w:rPr>
                <w:rFonts w:hint="eastAsia" w:ascii="Times New Roman" w:hAnsi="Times New Roman" w:eastAsia="宋体" w:cs="Times New Roman"/>
                <w:b w:val="0"/>
                <w:bCs/>
                <w:spacing w:val="0"/>
                <w:w w:val="100"/>
                <w:kern w:val="2"/>
                <w:position w:val="0"/>
                <w:sz w:val="24"/>
                <w:szCs w:val="28"/>
                <w:u w:val="single" w:color="auto"/>
                <w:lang w:val="en-US" w:eastAsia="zh-CN" w:bidi="ar-SA"/>
              </w:rPr>
              <w:t>②</w:t>
            </w:r>
            <w:r>
              <w:rPr>
                <w:rFonts w:hint="eastAsia" w:ascii="Times New Roman" w:hAnsi="Times New Roman" w:eastAsia="宋体" w:cs="Times New Roman"/>
                <w:b w:val="0"/>
                <w:bCs/>
                <w:spacing w:val="0"/>
                <w:w w:val="100"/>
                <w:position w:val="0"/>
                <w:sz w:val="24"/>
                <w:szCs w:val="28"/>
                <w:u w:val="single" w:color="auto"/>
                <w:lang w:val="en-US" w:eastAsia="zh-CN"/>
              </w:rPr>
              <w:t>用地相符性分析</w:t>
            </w:r>
          </w:p>
          <w:p w14:paraId="47E1CA4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00" w:firstLineChars="0"/>
              <w:jc w:val="both"/>
              <w:textAlignment w:val="auto"/>
              <w:rPr>
                <w:rFonts w:hint="eastAsia" w:ascii="Times New Roman" w:hAnsi="Times New Roman" w:eastAsia="宋体" w:cs="Times New Roman"/>
                <w:b w:val="0"/>
                <w:bCs/>
                <w:spacing w:val="0"/>
                <w:w w:val="100"/>
                <w:kern w:val="2"/>
                <w:position w:val="0"/>
                <w:sz w:val="24"/>
                <w:szCs w:val="28"/>
                <w:u w:val="single" w:color="auto"/>
                <w:lang w:val="en-US" w:eastAsia="zh-CN" w:bidi="ar-SA"/>
              </w:rPr>
            </w:pPr>
            <w:r>
              <w:rPr>
                <w:rFonts w:hint="default" w:ascii="Times New Roman" w:hAnsi="Times New Roman" w:eastAsia="宋体" w:cs="Times New Roman"/>
                <w:spacing w:val="0"/>
                <w:sz w:val="24"/>
                <w:u w:val="single" w:color="auto"/>
              </w:rPr>
              <w:t>本项目位于</w:t>
            </w:r>
            <w:r>
              <w:rPr>
                <w:rFonts w:hint="default" w:ascii="Times New Roman" w:hAnsi="Times New Roman" w:eastAsia="宋体" w:cs="Times New Roman"/>
                <w:color w:val="000000"/>
                <w:sz w:val="24"/>
                <w:szCs w:val="24"/>
                <w:highlight w:val="none"/>
                <w:u w:val="single" w:color="auto"/>
                <w:lang w:eastAsia="zh-CN"/>
              </w:rPr>
              <w:t>新田县工业南园支一路与支三路交叉口西南角</w:t>
            </w:r>
            <w:r>
              <w:rPr>
                <w:rFonts w:hint="eastAsia" w:ascii="Times New Roman" w:hAnsi="Times New Roman" w:eastAsia="宋体" w:cs="Times New Roman"/>
                <w:color w:val="000000"/>
                <w:sz w:val="24"/>
                <w:szCs w:val="24"/>
                <w:highlight w:val="none"/>
                <w:u w:val="single" w:color="auto"/>
                <w:lang w:eastAsia="zh-CN"/>
              </w:rPr>
              <w:t>，</w:t>
            </w:r>
            <w:r>
              <w:rPr>
                <w:rFonts w:hint="eastAsia" w:ascii="Times New Roman" w:hAnsi="Times New Roman" w:eastAsia="宋体" w:cs="Times New Roman"/>
                <w:color w:val="000000"/>
                <w:sz w:val="24"/>
                <w:szCs w:val="24"/>
                <w:highlight w:val="none"/>
                <w:u w:val="single" w:color="auto"/>
                <w:lang w:val="en-US" w:eastAsia="zh-CN"/>
              </w:rPr>
              <w:t>租赁湖南龙昶机械股份有限公司已建</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生产厂房</w:t>
            </w:r>
            <w:r>
              <w:rPr>
                <w:rFonts w:hint="eastAsia" w:ascii="Times New Roman" w:hAnsi="Times New Roman" w:eastAsia="宋体"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。根据新田县工业集中区控制性详细规划</w:t>
            </w:r>
            <w:r>
              <w:rPr>
                <w:rFonts w:hint="eastAsia"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土地利用规划</w:t>
            </w:r>
            <w:r>
              <w:rPr>
                <w:rFonts w:hint="eastAsia"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图</w:t>
            </w:r>
            <w:r>
              <w:rPr>
                <w:rFonts w:hint="eastAsia" w:ascii="Times New Roman" w:hAnsi="Times New Roman" w:eastAsia="宋体"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（详见附图</w:t>
            </w:r>
            <w:r>
              <w:rPr>
                <w:rFonts w:hint="eastAsia" w:cs="Times New Roman"/>
                <w:b w:val="0"/>
                <w:bCs/>
                <w:color w:val="000000" w:themeColor="text1"/>
                <w:spacing w:val="0"/>
                <w:w w:val="100"/>
                <w:kern w:val="2"/>
                <w:position w:val="0"/>
                <w:sz w:val="24"/>
                <w:szCs w:val="28"/>
                <w:u w:val="single" w:color="auto"/>
                <w:lang w:val="en-US" w:eastAsia="zh-CN" w:bidi="ar-SA"/>
                <w14:textFill>
                  <w14:solidFill>
                    <w14:schemeClr w14:val="tx1"/>
                  </w14:solidFill>
                </w14:textFill>
              </w:rPr>
              <w:t>5</w:t>
            </w:r>
            <w:r>
              <w:rPr>
                <w:rFonts w:hint="eastAsia" w:ascii="Times New Roman" w:hAnsi="Times New Roman" w:eastAsia="宋体" w:cs="Times New Roman"/>
                <w:b w:val="0"/>
                <w:bCs/>
                <w:spacing w:val="0"/>
                <w:w w:val="100"/>
                <w:kern w:val="2"/>
                <w:position w:val="0"/>
                <w:sz w:val="24"/>
                <w:szCs w:val="28"/>
                <w:u w:val="single" w:color="auto"/>
                <w:lang w:val="en-US" w:eastAsia="zh-CN" w:bidi="ar-SA"/>
              </w:rPr>
              <w:t>），本项目用地性质为工业用地，符合产业园用地规划。</w:t>
            </w:r>
          </w:p>
          <w:p w14:paraId="223C769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eastAsia="宋体" w:cs="Times New Roman"/>
                <w:b w:val="0"/>
                <w:bCs/>
                <w:spacing w:val="0"/>
                <w:w w:val="100"/>
                <w:position w:val="0"/>
                <w:sz w:val="24"/>
                <w:szCs w:val="28"/>
                <w:u w:val="single" w:color="auto"/>
                <w:lang w:val="en-US" w:eastAsia="zh-CN"/>
              </w:rPr>
            </w:pPr>
            <w:r>
              <w:rPr>
                <w:rFonts w:hint="eastAsia" w:ascii="Times New Roman" w:hAnsi="Times New Roman" w:eastAsia="宋体" w:cs="Times New Roman"/>
                <w:b w:val="0"/>
                <w:bCs/>
                <w:spacing w:val="0"/>
                <w:w w:val="100"/>
                <w:kern w:val="2"/>
                <w:position w:val="0"/>
                <w:sz w:val="24"/>
                <w:szCs w:val="28"/>
                <w:u w:val="single" w:color="auto"/>
                <w:lang w:val="en-US" w:eastAsia="zh-CN" w:bidi="ar-SA"/>
              </w:rPr>
              <w:t>③</w:t>
            </w:r>
            <w:r>
              <w:rPr>
                <w:rFonts w:hint="eastAsia" w:ascii="Times New Roman" w:hAnsi="Times New Roman" w:eastAsia="宋体" w:cs="Times New Roman"/>
                <w:b w:val="0"/>
                <w:bCs/>
                <w:spacing w:val="0"/>
                <w:w w:val="100"/>
                <w:position w:val="0"/>
                <w:sz w:val="24"/>
                <w:szCs w:val="28"/>
                <w:u w:val="single" w:color="auto"/>
                <w:lang w:val="en-US" w:eastAsia="zh-CN"/>
              </w:rPr>
              <w:t>产业布局相符性分析</w:t>
            </w:r>
          </w:p>
          <w:p w14:paraId="3FC5F10C">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val="0"/>
                <w:bCs/>
                <w:color w:val="000000" w:themeColor="text1"/>
                <w:spacing w:val="0"/>
                <w:w w:val="100"/>
                <w:position w:val="0"/>
                <w:sz w:val="24"/>
                <w:szCs w:val="28"/>
                <w:u w:val="single" w:color="auto"/>
                <w:lang w:val="en-US" w:eastAsia="zh-CN"/>
                <w14:textFill>
                  <w14:solidFill>
                    <w14:schemeClr w14:val="tx1"/>
                  </w14:solidFill>
                </w14:textFill>
              </w:rPr>
            </w:pPr>
            <w:r>
              <w:rPr>
                <w:rFonts w:hint="eastAsia" w:ascii="Times New Roman" w:hAnsi="Times New Roman" w:eastAsia="宋体" w:cs="Times New Roman"/>
                <w:b w:val="0"/>
                <w:bCs/>
                <w:spacing w:val="0"/>
                <w:w w:val="100"/>
                <w:position w:val="0"/>
                <w:sz w:val="24"/>
                <w:szCs w:val="28"/>
                <w:u w:val="single" w:color="auto"/>
                <w:lang w:val="en-US" w:eastAsia="zh-CN"/>
              </w:rPr>
              <w:t>根据</w:t>
            </w:r>
            <w:r>
              <w:rPr>
                <w:rFonts w:hint="eastAsia" w:ascii="Times New Roman" w:hAnsi="Times New Roman" w:eastAsia="宋体" w:cs="Times New Roman"/>
                <w:color w:val="000000"/>
                <w:kern w:val="0"/>
                <w:sz w:val="24"/>
                <w:szCs w:val="24"/>
                <w:u w:val="single" w:color="auto"/>
                <w:lang w:val="en-US" w:eastAsia="zh-CN" w:bidi="ar"/>
              </w:rPr>
              <w:t>新田产业开发区</w:t>
            </w:r>
            <w:r>
              <w:rPr>
                <w:rFonts w:hint="eastAsia" w:ascii="Times New Roman" w:hAnsi="Times New Roman" w:eastAsia="宋体" w:cs="Times New Roman"/>
                <w:b w:val="0"/>
                <w:bCs/>
                <w:spacing w:val="0"/>
                <w:w w:val="100"/>
                <w:position w:val="0"/>
                <w:sz w:val="24"/>
                <w:szCs w:val="28"/>
                <w:u w:val="single" w:color="auto"/>
                <w:lang w:val="en-US" w:eastAsia="zh-CN"/>
              </w:rPr>
              <w:t>产业定位，园区主导产业为家具、机械、富硒农产品加工产业。</w:t>
            </w:r>
            <w:r>
              <w:rPr>
                <w:rFonts w:hint="eastAsia" w:ascii="Times New Roman" w:hAnsi="Times New Roman" w:eastAsia="宋体" w:cs="Times New Roman"/>
                <w:b w:val="0"/>
                <w:bCs/>
                <w:color w:val="000000" w:themeColor="text1"/>
                <w:spacing w:val="0"/>
                <w:w w:val="100"/>
                <w:position w:val="0"/>
                <w:sz w:val="24"/>
                <w:szCs w:val="28"/>
                <w:u w:val="single" w:color="auto"/>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sz w:val="24"/>
                <w:szCs w:val="24"/>
                <w:u w:val="single" w:color="auto"/>
                <w:lang w:val="en-US" w:eastAsia="zh-CN"/>
                <w14:textFill>
                  <w14:solidFill>
                    <w14:schemeClr w14:val="tx1"/>
                  </w14:solidFill>
                </w14:textFill>
              </w:rPr>
              <w:t>废旧资源回收利用项目</w:t>
            </w:r>
            <w:r>
              <w:rPr>
                <w:rFonts w:hint="eastAsia" w:ascii="Times New Roman" w:hAnsi="Times New Roman" w:eastAsia="宋体" w:cs="Times New Roman"/>
                <w:b w:val="0"/>
                <w:bCs/>
                <w:color w:val="000000" w:themeColor="text1"/>
                <w:spacing w:val="0"/>
                <w:w w:val="100"/>
                <w:position w:val="0"/>
                <w:sz w:val="24"/>
                <w:szCs w:val="28"/>
                <w:u w:val="single" w:color="auto"/>
                <w:lang w:val="en-US" w:eastAsia="zh-CN"/>
                <w14:textFill>
                  <w14:solidFill>
                    <w14:schemeClr w14:val="tx1"/>
                  </w14:solidFill>
                </w14:textFill>
              </w:rPr>
              <w:t>，</w:t>
            </w:r>
            <w:r>
              <w:rPr>
                <w:rFonts w:hint="default" w:ascii="Times New Roman" w:hAnsi="Times New Roman" w:eastAsia="宋体" w:cs="Times New Roman"/>
                <w:b w:val="0"/>
                <w:bCs/>
                <w:color w:val="000000" w:themeColor="text1"/>
                <w:spacing w:val="0"/>
                <w:w w:val="100"/>
                <w:position w:val="0"/>
                <w:sz w:val="24"/>
                <w:szCs w:val="28"/>
                <w:u w:val="single" w:color="auto"/>
                <w14:textFill>
                  <w14:solidFill>
                    <w14:schemeClr w14:val="tx1"/>
                  </w14:solidFill>
                </w14:textFill>
              </w:rPr>
              <w:t>不属于园区禁止</w:t>
            </w:r>
            <w:r>
              <w:rPr>
                <w:rFonts w:hint="default" w:ascii="Times New Roman" w:hAnsi="Times New Roman" w:eastAsia="宋体" w:cs="Times New Roman"/>
                <w:b w:val="0"/>
                <w:bCs/>
                <w:spacing w:val="0"/>
                <w:w w:val="100"/>
                <w:position w:val="0"/>
                <w:sz w:val="24"/>
                <w:szCs w:val="28"/>
                <w:u w:val="single" w:color="auto"/>
              </w:rPr>
              <w:t>引进的项目</w:t>
            </w:r>
            <w:r>
              <w:rPr>
                <w:rFonts w:hint="eastAsia" w:ascii="Times New Roman" w:hAnsi="Times New Roman" w:eastAsia="宋体" w:cs="Times New Roman"/>
                <w:b w:val="0"/>
                <w:bCs/>
                <w:color w:val="000000" w:themeColor="text1"/>
                <w:spacing w:val="0"/>
                <w:w w:val="100"/>
                <w:position w:val="0"/>
                <w:sz w:val="24"/>
                <w:szCs w:val="28"/>
                <w:u w:val="single" w:color="auto"/>
                <w:lang w:val="en-US" w:eastAsia="zh-CN"/>
                <w14:textFill>
                  <w14:solidFill>
                    <w14:schemeClr w14:val="tx1"/>
                  </w14:solidFill>
                </w14:textFill>
              </w:rPr>
              <w:t>，符合产业布局。</w:t>
            </w:r>
          </w:p>
          <w:p w14:paraId="7F18281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b/>
                <w:bCs/>
                <w:color w:val="000000"/>
                <w:kern w:val="0"/>
                <w:sz w:val="24"/>
                <w:u w:val="single" w:color="auto"/>
                <w:lang w:val="en-US" w:eastAsia="zh-CN" w:bidi="ar"/>
              </w:rPr>
            </w:pPr>
            <w:r>
              <w:rPr>
                <w:rFonts w:hint="eastAsia" w:ascii="Times New Roman" w:hAnsi="Times New Roman" w:eastAsia="宋体" w:cs="Times New Roman"/>
                <w:b/>
                <w:bCs/>
                <w:color w:val="000000"/>
                <w:kern w:val="0"/>
                <w:sz w:val="24"/>
                <w:szCs w:val="24"/>
                <w:u w:val="single" w:color="auto"/>
                <w:lang w:val="en-US" w:eastAsia="zh-CN" w:bidi="ar"/>
              </w:rPr>
              <w:t>2、</w:t>
            </w:r>
            <w:r>
              <w:rPr>
                <w:rFonts w:hint="eastAsia"/>
                <w:b/>
                <w:bCs/>
                <w:color w:val="000000"/>
                <w:kern w:val="0"/>
                <w:sz w:val="24"/>
                <w:u w:val="single" w:color="auto"/>
                <w:lang w:val="en-US" w:eastAsia="zh-CN" w:bidi="ar"/>
              </w:rPr>
              <w:t>与新田工业集中区规划环境影响评价符合性分析</w:t>
            </w:r>
          </w:p>
          <w:p w14:paraId="7970176A">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b w:val="0"/>
                <w:bCs/>
                <w:spacing w:val="0"/>
                <w:w w:val="100"/>
                <w:position w:val="0"/>
                <w:sz w:val="24"/>
                <w:szCs w:val="24"/>
                <w:u w:val="single" w:color="auto"/>
                <w:lang w:val="en-US" w:eastAsia="zh-CN"/>
              </w:rPr>
            </w:pPr>
            <w:r>
              <w:rPr>
                <w:rFonts w:hint="default" w:ascii="Times New Roman" w:hAnsi="Times New Roman" w:cs="Times New Roman"/>
                <w:b w:val="0"/>
                <w:bCs/>
                <w:spacing w:val="0"/>
                <w:w w:val="100"/>
                <w:position w:val="0"/>
                <w:sz w:val="24"/>
                <w:szCs w:val="24"/>
                <w:u w:val="single" w:color="auto"/>
                <w:lang w:val="en-US" w:eastAsia="zh-CN"/>
              </w:rPr>
              <w:t>结合</w:t>
            </w:r>
            <w:r>
              <w:rPr>
                <w:rFonts w:hint="eastAsia" w:ascii="Times New Roman" w:hAnsi="Times New Roman" w:eastAsia="宋体" w:cs="Times New Roman"/>
                <w:color w:val="000000"/>
                <w:kern w:val="0"/>
                <w:sz w:val="24"/>
                <w:szCs w:val="24"/>
                <w:u w:val="single" w:color="auto"/>
                <w:lang w:val="en-US" w:eastAsia="zh-CN" w:bidi="ar"/>
              </w:rPr>
              <w:t>《湖南省生态环境厅关于&lt;新田工业集中区规划环境影响跟踪评价&gt;工作意见的函》（湘环评函</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2021</w:t>
            </w:r>
            <w:r>
              <w:rPr>
                <w:rFonts w:hint="eastAsia" w:cs="Times New Roman"/>
                <w:color w:val="000000"/>
                <w:kern w:val="0"/>
                <w:sz w:val="24"/>
                <w:szCs w:val="24"/>
                <w:u w:val="single" w:color="auto"/>
                <w:lang w:val="en-US" w:eastAsia="zh-CN" w:bidi="ar"/>
              </w:rPr>
              <w:t>〕</w:t>
            </w:r>
            <w:r>
              <w:rPr>
                <w:rFonts w:hint="eastAsia" w:ascii="Times New Roman" w:hAnsi="Times New Roman" w:eastAsia="宋体" w:cs="Times New Roman"/>
                <w:color w:val="000000"/>
                <w:kern w:val="0"/>
                <w:sz w:val="24"/>
                <w:szCs w:val="24"/>
                <w:u w:val="single" w:color="auto"/>
                <w:lang w:val="en-US" w:eastAsia="zh-CN" w:bidi="ar"/>
              </w:rPr>
              <w:t>22号）</w:t>
            </w:r>
            <w:r>
              <w:rPr>
                <w:rFonts w:hint="default" w:ascii="Times New Roman" w:hAnsi="Times New Roman" w:cs="Times New Roman"/>
                <w:b w:val="0"/>
                <w:bCs/>
                <w:spacing w:val="0"/>
                <w:w w:val="100"/>
                <w:position w:val="0"/>
                <w:sz w:val="24"/>
                <w:szCs w:val="24"/>
                <w:u w:val="single" w:color="auto"/>
                <w:lang w:val="en-US" w:eastAsia="zh-CN"/>
              </w:rPr>
              <w:t>，本项目与</w:t>
            </w:r>
            <w:r>
              <w:rPr>
                <w:rFonts w:hint="eastAsia" w:cs="Times New Roman"/>
                <w:b w:val="0"/>
                <w:bCs/>
                <w:spacing w:val="0"/>
                <w:w w:val="100"/>
                <w:position w:val="0"/>
                <w:sz w:val="24"/>
                <w:szCs w:val="24"/>
                <w:u w:val="single" w:color="auto"/>
                <w:lang w:val="en-US" w:eastAsia="zh-CN"/>
              </w:rPr>
              <w:t>规划</w:t>
            </w:r>
            <w:r>
              <w:rPr>
                <w:rFonts w:hint="default" w:ascii="Times New Roman" w:hAnsi="Times New Roman" w:cs="Times New Roman"/>
                <w:b w:val="0"/>
                <w:bCs/>
                <w:spacing w:val="0"/>
                <w:w w:val="100"/>
                <w:position w:val="0"/>
                <w:sz w:val="24"/>
                <w:szCs w:val="24"/>
                <w:u w:val="single" w:color="auto"/>
                <w:lang w:val="en-US" w:eastAsia="zh-CN"/>
              </w:rPr>
              <w:t>评价的符合性见下表：</w:t>
            </w:r>
          </w:p>
          <w:p w14:paraId="05284762">
            <w:pPr>
              <w:pStyle w:val="3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21"/>
                <w:szCs w:val="21"/>
                <w:u w:val="single" w:color="auto"/>
              </w:rPr>
            </w:pPr>
            <w:r>
              <w:rPr>
                <w:rFonts w:hint="default" w:ascii="Times New Roman" w:hAnsi="Times New Roman" w:eastAsia="宋体" w:cs="Times New Roman"/>
                <w:b/>
                <w:spacing w:val="0"/>
                <w:w w:val="100"/>
                <w:position w:val="0"/>
                <w:sz w:val="21"/>
                <w:szCs w:val="21"/>
                <w:u w:val="single" w:color="auto"/>
              </w:rPr>
              <w:t xml:space="preserve">表1- </w:t>
            </w:r>
            <w:r>
              <w:rPr>
                <w:rFonts w:hint="default" w:ascii="Times New Roman" w:hAnsi="Times New Roman" w:eastAsia="宋体" w:cs="Times New Roman"/>
                <w:b/>
                <w:spacing w:val="0"/>
                <w:w w:val="100"/>
                <w:position w:val="0"/>
                <w:sz w:val="21"/>
                <w:szCs w:val="21"/>
                <w:u w:val="single" w:color="auto"/>
                <w:lang w:val="en-US" w:eastAsia="zh-CN"/>
              </w:rPr>
              <w:t>1</w:t>
            </w:r>
            <w:r>
              <w:rPr>
                <w:rFonts w:hint="default" w:ascii="Times New Roman" w:hAnsi="Times New Roman" w:eastAsia="宋体" w:cs="Times New Roman"/>
                <w:b/>
                <w:spacing w:val="0"/>
                <w:w w:val="100"/>
                <w:position w:val="0"/>
                <w:sz w:val="21"/>
                <w:szCs w:val="21"/>
                <w:u w:val="single" w:color="auto"/>
              </w:rPr>
              <w:t xml:space="preserve">  与新田工业集中区环境影响</w:t>
            </w:r>
            <w:r>
              <w:rPr>
                <w:rFonts w:hint="default" w:ascii="Times New Roman" w:hAnsi="Times New Roman" w:eastAsia="宋体" w:cs="Times New Roman"/>
                <w:b/>
                <w:spacing w:val="0"/>
                <w:w w:val="100"/>
                <w:position w:val="0"/>
                <w:sz w:val="21"/>
                <w:szCs w:val="21"/>
                <w:u w:val="single" w:color="auto"/>
                <w:lang w:val="en-US" w:eastAsia="zh-CN"/>
              </w:rPr>
              <w:t>跟踪</w:t>
            </w:r>
            <w:r>
              <w:rPr>
                <w:rFonts w:hint="default" w:ascii="Times New Roman" w:hAnsi="Times New Roman" w:eastAsia="宋体" w:cs="Times New Roman"/>
                <w:b/>
                <w:spacing w:val="0"/>
                <w:w w:val="100"/>
                <w:position w:val="0"/>
                <w:sz w:val="21"/>
                <w:szCs w:val="21"/>
                <w:u w:val="single" w:color="auto"/>
              </w:rPr>
              <w:t>评价相符性</w:t>
            </w:r>
          </w:p>
          <w:tbl>
            <w:tblPr>
              <w:tblStyle w:val="34"/>
              <w:tblW w:w="4996" w:type="pct"/>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63"/>
              <w:gridCol w:w="2093"/>
              <w:gridCol w:w="844"/>
            </w:tblGrid>
            <w:tr w14:paraId="2F84EB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5BD5A26B">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
                      <w:bCs/>
                      <w:spacing w:val="0"/>
                      <w:w w:val="100"/>
                      <w:sz w:val="21"/>
                      <w:szCs w:val="21"/>
                      <w:u w:val="single" w:color="auto"/>
                    </w:rPr>
                  </w:pPr>
                  <w:r>
                    <w:rPr>
                      <w:rFonts w:hint="default" w:ascii="Times New Roman" w:hAnsi="Times New Roman" w:eastAsia="宋体" w:cs="Times New Roman"/>
                      <w:b/>
                      <w:bCs/>
                      <w:spacing w:val="0"/>
                      <w:w w:val="100"/>
                      <w:sz w:val="21"/>
                      <w:szCs w:val="21"/>
                      <w:u w:val="single" w:color="auto"/>
                      <w:lang w:val="en-US" w:eastAsia="zh-CN"/>
                    </w:rPr>
                    <w:t>跟踪评价</w:t>
                  </w:r>
                  <w:r>
                    <w:rPr>
                      <w:rFonts w:hint="default" w:ascii="Times New Roman" w:hAnsi="Times New Roman" w:eastAsia="宋体" w:cs="Times New Roman"/>
                      <w:b/>
                      <w:bCs/>
                      <w:spacing w:val="0"/>
                      <w:w w:val="100"/>
                      <w:sz w:val="21"/>
                      <w:szCs w:val="21"/>
                      <w:u w:val="single" w:color="auto"/>
                    </w:rPr>
                    <w:t>提出的要求</w:t>
                  </w:r>
                </w:p>
              </w:tc>
              <w:tc>
                <w:tcPr>
                  <w:tcW w:w="1516" w:type="pct"/>
                  <w:tcBorders>
                    <w:tl2br w:val="nil"/>
                    <w:tr2bl w:val="nil"/>
                  </w:tcBorders>
                  <w:vAlign w:val="center"/>
                </w:tcPr>
                <w:p w14:paraId="48DF794E">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
                      <w:bCs/>
                      <w:spacing w:val="0"/>
                      <w:w w:val="100"/>
                      <w:sz w:val="21"/>
                      <w:szCs w:val="21"/>
                      <w:u w:val="single" w:color="auto"/>
                    </w:rPr>
                  </w:pPr>
                  <w:r>
                    <w:rPr>
                      <w:rFonts w:hint="default" w:ascii="Times New Roman" w:hAnsi="Times New Roman" w:eastAsia="宋体" w:cs="Times New Roman"/>
                      <w:b/>
                      <w:bCs/>
                      <w:spacing w:val="0"/>
                      <w:w w:val="100"/>
                      <w:sz w:val="21"/>
                      <w:szCs w:val="21"/>
                      <w:u w:val="single" w:color="auto"/>
                    </w:rPr>
                    <w:t>本项目</w:t>
                  </w:r>
                </w:p>
              </w:tc>
              <w:tc>
                <w:tcPr>
                  <w:tcW w:w="611" w:type="pct"/>
                  <w:tcBorders>
                    <w:tl2br w:val="nil"/>
                    <w:tr2bl w:val="nil"/>
                  </w:tcBorders>
                  <w:vAlign w:val="center"/>
                </w:tcPr>
                <w:p w14:paraId="09605CEC">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b/>
                      <w:bCs/>
                      <w:spacing w:val="0"/>
                      <w:w w:val="100"/>
                      <w:sz w:val="21"/>
                      <w:szCs w:val="21"/>
                      <w:u w:val="single" w:color="auto"/>
                    </w:rPr>
                  </w:pPr>
                  <w:r>
                    <w:rPr>
                      <w:rFonts w:hint="default" w:ascii="Times New Roman" w:hAnsi="Times New Roman" w:eastAsia="宋体" w:cs="Times New Roman"/>
                      <w:b/>
                      <w:bCs/>
                      <w:spacing w:val="0"/>
                      <w:w w:val="100"/>
                      <w:sz w:val="21"/>
                      <w:szCs w:val="21"/>
                      <w:u w:val="single" w:color="auto"/>
                    </w:rPr>
                    <w:t>符合性</w:t>
                  </w:r>
                </w:p>
              </w:tc>
            </w:tr>
            <w:tr w14:paraId="1984AF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7E2051B3">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1、进-步强化园区开发的合规性。园区北区</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新嘉公路以北区域</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未严格按照原规划作为工业开发，现状已成为县城</w:t>
                  </w:r>
                  <w:r>
                    <w:rPr>
                      <w:rFonts w:hint="eastAsia" w:ascii="Times New Roman" w:hAnsi="Times New Roman" w:cs="Times New Roman"/>
                      <w:spacing w:val="0"/>
                      <w:w w:val="100"/>
                      <w:sz w:val="21"/>
                      <w:szCs w:val="21"/>
                      <w:u w:val="single" w:color="auto"/>
                      <w:lang w:val="en-US" w:eastAsia="zh-CN"/>
                    </w:rPr>
                    <w:t>一</w:t>
                  </w:r>
                  <w:r>
                    <w:rPr>
                      <w:rFonts w:hint="default" w:ascii="Times New Roman" w:hAnsi="Times New Roman" w:eastAsia="宋体" w:cs="Times New Roman"/>
                      <w:spacing w:val="0"/>
                      <w:w w:val="100"/>
                      <w:sz w:val="21"/>
                      <w:szCs w:val="21"/>
                      <w:u w:val="single" w:color="auto"/>
                    </w:rPr>
                    <w:t>部分，居住小区密布，功能上已不再适合作为工业集中区开发，应及时开展规划调整并重新开展规划环评论证，后续应加强对规划及规划环评的执行力度，坚决杜绝规划与实际开发两张皮的情况。南区</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新嘉公路以南区域</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以易地扶贫安置小区的名义建设了集中居民区，后续开发应严格控制其周边邻近区块的产业布局，不得新落户污染明显的项目，并对已落户的产业加强污染控制。园区在下</w:t>
                  </w:r>
                  <w:r>
                    <w:rPr>
                      <w:rFonts w:hint="eastAsia" w:ascii="Times New Roman" w:hAnsi="Times New Roman" w:cs="Times New Roman"/>
                      <w:spacing w:val="0"/>
                      <w:w w:val="100"/>
                      <w:sz w:val="21"/>
                      <w:szCs w:val="21"/>
                      <w:u w:val="single" w:color="auto"/>
                      <w:lang w:val="en-US" w:eastAsia="zh-CN"/>
                    </w:rPr>
                    <w:t>一</w:t>
                  </w:r>
                  <w:r>
                    <w:rPr>
                      <w:rFonts w:hint="default" w:ascii="Times New Roman" w:hAnsi="Times New Roman" w:eastAsia="宋体" w:cs="Times New Roman"/>
                      <w:spacing w:val="0"/>
                      <w:w w:val="100"/>
                      <w:sz w:val="21"/>
                      <w:szCs w:val="21"/>
                      <w:u w:val="single" w:color="auto"/>
                    </w:rPr>
                    <w:t>步建设过程中应将污染相对较重环境风险相对较大的项目向园区南部布量，避免对园区内集中居民区及其他环境敏感目标的影响。</w:t>
                  </w:r>
                </w:p>
              </w:tc>
              <w:tc>
                <w:tcPr>
                  <w:tcW w:w="1516" w:type="pct"/>
                  <w:vMerge w:val="restart"/>
                  <w:tcBorders>
                    <w:tl2br w:val="nil"/>
                    <w:tr2bl w:val="nil"/>
                  </w:tcBorders>
                  <w:vAlign w:val="center"/>
                </w:tcPr>
                <w:p w14:paraId="3A0FCB4D">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cs="Times New Roman"/>
                      <w:color w:val="000000" w:themeColor="text1"/>
                      <w:sz w:val="21"/>
                      <w:szCs w:val="21"/>
                      <w:u w:val="single" w:color="auto"/>
                      <w14:textFill>
                        <w14:solidFill>
                          <w14:schemeClr w14:val="tx1"/>
                        </w14:solidFill>
                      </w14:textFill>
                    </w:rPr>
                    <w:t>本项目</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位于</w:t>
                  </w:r>
                  <w:r>
                    <w:rPr>
                      <w:rFonts w:hint="default" w:ascii="Times New Roman" w:hAnsi="Times New Roman" w:cs="Times New Roman"/>
                      <w:color w:val="000000" w:themeColor="text1"/>
                      <w:sz w:val="21"/>
                      <w:szCs w:val="21"/>
                      <w:u w:val="single" w:color="auto"/>
                      <w14:textFill>
                        <w14:solidFill>
                          <w14:schemeClr w14:val="tx1"/>
                        </w14:solidFill>
                      </w14:textFill>
                    </w:rPr>
                    <w:t>永州市新田县龙泉街道工业南园支一路与支三路交叉口西南角</w:t>
                  </w:r>
                  <w:r>
                    <w:rPr>
                      <w:rFonts w:hint="eastAsia" w:ascii="Times New Roman" w:hAnsi="Times New Roman" w:cs="Times New Roman"/>
                      <w:color w:val="000000" w:themeColor="text1"/>
                      <w:sz w:val="21"/>
                      <w:szCs w:val="21"/>
                      <w:u w:val="single" w:color="auto"/>
                      <w:lang w:eastAsia="zh-CN"/>
                      <w14:textFill>
                        <w14:solidFill>
                          <w14:schemeClr w14:val="tx1"/>
                        </w14:solidFill>
                      </w14:textFill>
                    </w:rPr>
                    <w:t>，</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属于园区南区，且本项目租赁湖南龙昶机械股份有限公司现有厂房，不新增用地，基本不会对园区内集中居民区造成影响</w:t>
                  </w:r>
                  <w:r>
                    <w:rPr>
                      <w:rFonts w:hint="default" w:ascii="Times New Roman" w:hAnsi="Times New Roman" w:cs="Times New Roman"/>
                      <w:color w:val="000000" w:themeColor="text1"/>
                      <w:sz w:val="21"/>
                      <w:szCs w:val="21"/>
                      <w:u w:val="single" w:color="auto"/>
                      <w14:textFill>
                        <w14:solidFill>
                          <w14:schemeClr w14:val="tx1"/>
                        </w14:solidFill>
                      </w14:textFill>
                    </w:rPr>
                    <w:t>。</w:t>
                  </w:r>
                </w:p>
              </w:tc>
              <w:tc>
                <w:tcPr>
                  <w:tcW w:w="611" w:type="pct"/>
                  <w:vMerge w:val="restart"/>
                  <w:tcBorders>
                    <w:tl2br w:val="nil"/>
                    <w:tr2bl w:val="nil"/>
                  </w:tcBorders>
                  <w:vAlign w:val="center"/>
                </w:tcPr>
                <w:p w14:paraId="4CFF8115">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符合</w:t>
                  </w:r>
                </w:p>
              </w:tc>
            </w:tr>
            <w:tr w14:paraId="2D9D1A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22DE1E74">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2、进</w:t>
                  </w:r>
                  <w:r>
                    <w:rPr>
                      <w:rFonts w:hint="eastAsia" w:ascii="Times New Roman" w:hAnsi="Times New Roman" w:cs="Times New Roman"/>
                      <w:spacing w:val="0"/>
                      <w:w w:val="100"/>
                      <w:sz w:val="21"/>
                      <w:szCs w:val="21"/>
                      <w:u w:val="single" w:color="auto"/>
                      <w:lang w:val="en-US" w:eastAsia="zh-CN"/>
                    </w:rPr>
                    <w:t>一</w:t>
                  </w:r>
                  <w:r>
                    <w:rPr>
                      <w:rFonts w:hint="default" w:ascii="Times New Roman" w:hAnsi="Times New Roman" w:eastAsia="宋体" w:cs="Times New Roman"/>
                      <w:spacing w:val="0"/>
                      <w:w w:val="100"/>
                      <w:sz w:val="21"/>
                      <w:szCs w:val="21"/>
                      <w:u w:val="single" w:color="auto"/>
                    </w:rPr>
                    <w:t>步严格产业环境准入。园区后续发展与规划调整须符合园区</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三线</w:t>
                  </w:r>
                  <w:r>
                    <w:rPr>
                      <w:rFonts w:hint="eastAsia" w:ascii="Times New Roman" w:hAnsi="Times New Roman" w:cs="Times New Roman"/>
                      <w:spacing w:val="0"/>
                      <w:w w:val="100"/>
                      <w:sz w:val="21"/>
                      <w:szCs w:val="21"/>
                      <w:u w:val="single" w:color="auto"/>
                      <w:lang w:val="en-US" w:eastAsia="zh-CN"/>
                    </w:rPr>
                    <w:t>一</w:t>
                  </w:r>
                  <w:r>
                    <w:rPr>
                      <w:rFonts w:hint="default" w:ascii="Times New Roman" w:hAnsi="Times New Roman" w:eastAsia="宋体" w:cs="Times New Roman"/>
                      <w:spacing w:val="0"/>
                      <w:w w:val="100"/>
                      <w:sz w:val="21"/>
                      <w:szCs w:val="21"/>
                      <w:u w:val="single" w:color="auto"/>
                    </w:rPr>
                    <w:t>单</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环境准入要求及《报告书》提出的环境准入条件和负面清单要求，禁止新引进与之不符的产业，对于不符合园区规划要求的企业</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包括部分已停产的企业</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要按照报告书提出的方案明确子以整改、搬迁或退出。</w:t>
                  </w:r>
                </w:p>
              </w:tc>
              <w:tc>
                <w:tcPr>
                  <w:tcW w:w="1516" w:type="pct"/>
                  <w:tcBorders>
                    <w:tl2br w:val="nil"/>
                    <w:tr2bl w:val="nil"/>
                  </w:tcBorders>
                  <w:vAlign w:val="center"/>
                </w:tcPr>
                <w:p w14:paraId="4479ECAB">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cs="Times New Roman"/>
                      <w:color w:val="000000" w:themeColor="text1"/>
                      <w:sz w:val="21"/>
                      <w:szCs w:val="21"/>
                      <w:u w:val="single" w:color="auto"/>
                      <w14:textFill>
                        <w14:solidFill>
                          <w14:schemeClr w14:val="tx1"/>
                        </w14:solidFill>
                      </w14:textFill>
                    </w:rPr>
                    <w:t>本项目为废旧资源回收利用项目，不属于园区禁止引进的项目，同时不属于严格控制的水泥、铸造、焦化、化工等污染企业，也不属于国家明令淘汰和禁止发展的能耗物耗高、环境污染严重、不符合产业政策的建设项目。</w:t>
                  </w:r>
                </w:p>
              </w:tc>
              <w:tc>
                <w:tcPr>
                  <w:tcW w:w="611" w:type="pct"/>
                  <w:tcBorders>
                    <w:tl2br w:val="nil"/>
                    <w:tr2bl w:val="nil"/>
                  </w:tcBorders>
                  <w:vAlign w:val="center"/>
                </w:tcPr>
                <w:p w14:paraId="7A73B04B">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符合</w:t>
                  </w:r>
                </w:p>
              </w:tc>
            </w:tr>
            <w:tr w14:paraId="1EC15D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23324B4D">
                  <w:pPr>
                    <w:pStyle w:val="33"/>
                    <w:keepNext w:val="0"/>
                    <w:keepLines w:val="0"/>
                    <w:pageBreakBefore w:val="0"/>
                    <w:widowControl/>
                    <w:tabs>
                      <w:tab w:val="left" w:pos="3716"/>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lang w:eastAsia="zh-CN"/>
                    </w:rPr>
                  </w:pPr>
                  <w:r>
                    <w:rPr>
                      <w:rFonts w:hint="default" w:ascii="Times New Roman" w:hAnsi="Times New Roman" w:eastAsia="宋体" w:cs="Times New Roman"/>
                      <w:spacing w:val="0"/>
                      <w:w w:val="100"/>
                      <w:sz w:val="21"/>
                      <w:szCs w:val="21"/>
                      <w:u w:val="single" w:color="auto"/>
                    </w:rPr>
                    <w:t>3、进</w:t>
                  </w:r>
                  <w:r>
                    <w:rPr>
                      <w:rFonts w:hint="eastAsia" w:ascii="Times New Roman" w:hAnsi="Times New Roman" w:cs="Times New Roman"/>
                      <w:spacing w:val="0"/>
                      <w:w w:val="100"/>
                      <w:sz w:val="21"/>
                      <w:szCs w:val="21"/>
                      <w:u w:val="single" w:color="auto"/>
                      <w:lang w:val="en-US" w:eastAsia="zh-CN"/>
                    </w:rPr>
                    <w:t>一</w:t>
                  </w:r>
                  <w:r>
                    <w:rPr>
                      <w:rFonts w:hint="default" w:ascii="Times New Roman" w:hAnsi="Times New Roman" w:eastAsia="宋体" w:cs="Times New Roman"/>
                      <w:spacing w:val="0"/>
                      <w:w w:val="100"/>
                      <w:sz w:val="21"/>
                      <w:szCs w:val="21"/>
                      <w:u w:val="single" w:color="auto"/>
                    </w:rPr>
                    <w:t>步落实园区污染管控措施。加强园区雨污分流系统、污水收集管网及污水提升泵站的管理和维护，确保园区生产生活</w:t>
                  </w:r>
                  <w:r>
                    <w:rPr>
                      <w:rFonts w:hint="eastAsia" w:ascii="Times New Roman" w:hAnsi="Times New Roman" w:cs="Times New Roman"/>
                      <w:spacing w:val="0"/>
                      <w:w w:val="100"/>
                      <w:sz w:val="21"/>
                      <w:szCs w:val="21"/>
                      <w:u w:val="single" w:color="auto"/>
                      <w:lang w:val="en-US" w:eastAsia="zh-CN"/>
                    </w:rPr>
                    <w:t>废</w:t>
                  </w:r>
                  <w:r>
                    <w:rPr>
                      <w:rFonts w:hint="default" w:ascii="Times New Roman" w:hAnsi="Times New Roman" w:eastAsia="宋体" w:cs="Times New Roman"/>
                      <w:spacing w:val="0"/>
                      <w:w w:val="100"/>
                      <w:sz w:val="21"/>
                      <w:szCs w:val="21"/>
                      <w:u w:val="single" w:color="auto"/>
                    </w:rPr>
                    <w:t>水应收尽收，全部送至配套的</w:t>
                  </w:r>
                  <w:r>
                    <w:rPr>
                      <w:rFonts w:hint="eastAsia" w:ascii="Times New Roman" w:hAnsi="Times New Roman" w:cs="Times New Roman"/>
                      <w:spacing w:val="0"/>
                      <w:w w:val="100"/>
                      <w:sz w:val="21"/>
                      <w:szCs w:val="21"/>
                      <w:u w:val="single" w:color="auto"/>
                      <w:lang w:val="en-US" w:eastAsia="zh-CN"/>
                    </w:rPr>
                    <w:t>集中</w:t>
                  </w:r>
                  <w:r>
                    <w:rPr>
                      <w:rFonts w:hint="default" w:ascii="Times New Roman" w:hAnsi="Times New Roman" w:eastAsia="宋体" w:cs="Times New Roman"/>
                      <w:spacing w:val="0"/>
                      <w:w w:val="100"/>
                      <w:sz w:val="21"/>
                      <w:szCs w:val="21"/>
                      <w:u w:val="single" w:color="auto"/>
                    </w:rPr>
                    <w:t>污水处理厂处理，园区企业不单独设置排污口。鉴于现依托的新田县污水处理厂负荷已近饱和，园区应加快推进南部新城污水处理厂及配套管网建设，南部新城污水处理</w:t>
                  </w:r>
                  <w:r>
                    <w:rPr>
                      <w:rFonts w:hint="eastAsia" w:ascii="Times New Roman" w:hAnsi="Times New Roman" w:cs="Times New Roman"/>
                      <w:spacing w:val="0"/>
                      <w:w w:val="100"/>
                      <w:sz w:val="21"/>
                      <w:szCs w:val="21"/>
                      <w:u w:val="single" w:color="auto"/>
                      <w:lang w:val="en-US" w:eastAsia="zh-CN"/>
                    </w:rPr>
                    <w:t>厂</w:t>
                  </w:r>
                  <w:r>
                    <w:rPr>
                      <w:rFonts w:hint="default" w:ascii="Times New Roman" w:hAnsi="Times New Roman" w:eastAsia="宋体" w:cs="Times New Roman"/>
                      <w:spacing w:val="0"/>
                      <w:w w:val="100"/>
                      <w:sz w:val="21"/>
                      <w:szCs w:val="21"/>
                      <w:u w:val="single" w:color="auto"/>
                    </w:rPr>
                    <w:t>未建成前，不得引进新增废水的项目。优化能源结构</w:t>
                  </w:r>
                  <w:r>
                    <w:rPr>
                      <w:rFonts w:hint="eastAsia" w:ascii="Times New Roman" w:hAnsi="Times New Roman" w:cs="Times New Roman"/>
                      <w:spacing w:val="0"/>
                      <w:w w:val="100"/>
                      <w:sz w:val="21"/>
                      <w:szCs w:val="21"/>
                      <w:u w:val="single" w:color="auto"/>
                      <w:lang w:eastAsia="zh-CN"/>
                    </w:rPr>
                    <w:t>，</w:t>
                  </w:r>
                  <w:r>
                    <w:rPr>
                      <w:rFonts w:hint="default" w:ascii="Times New Roman" w:hAnsi="Times New Roman" w:eastAsia="宋体" w:cs="Times New Roman"/>
                      <w:spacing w:val="0"/>
                      <w:w w:val="100"/>
                      <w:sz w:val="21"/>
                      <w:szCs w:val="21"/>
                      <w:u w:val="single" w:color="auto"/>
                    </w:rPr>
                    <w:t>推动清洁能源替代，加强对园区大气污染物特别是VOCs的防治，采取有效措施减少污染物排放总量，严格控制无组织排放。做好工业固体</w:t>
                  </w:r>
                  <w:r>
                    <w:rPr>
                      <w:rFonts w:hint="eastAsia" w:ascii="Times New Roman" w:hAnsi="Times New Roman" w:cs="Times New Roman"/>
                      <w:spacing w:val="0"/>
                      <w:w w:val="100"/>
                      <w:sz w:val="21"/>
                      <w:szCs w:val="21"/>
                      <w:u w:val="single" w:color="auto"/>
                      <w:lang w:val="en-US" w:eastAsia="zh-CN"/>
                    </w:rPr>
                    <w:t>废物</w:t>
                  </w:r>
                  <w:r>
                    <w:rPr>
                      <w:rFonts w:hint="default" w:ascii="Times New Roman" w:hAnsi="Times New Roman" w:eastAsia="宋体" w:cs="Times New Roman"/>
                      <w:spacing w:val="0"/>
                      <w:w w:val="100"/>
                      <w:sz w:val="21"/>
                      <w:szCs w:val="21"/>
                      <w:u w:val="single" w:color="auto"/>
                    </w:rPr>
                    <w:t>和生活垃圾的分类收集、转运、综合利用和无害化处理，建立完善的固度管理体系。对危险</w:t>
                  </w:r>
                  <w:r>
                    <w:rPr>
                      <w:rFonts w:hint="eastAsia" w:ascii="Times New Roman" w:hAnsi="Times New Roman" w:cs="Times New Roman"/>
                      <w:spacing w:val="0"/>
                      <w:w w:val="100"/>
                      <w:sz w:val="21"/>
                      <w:szCs w:val="21"/>
                      <w:u w:val="single" w:color="auto"/>
                      <w:lang w:val="en-US" w:eastAsia="zh-CN"/>
                    </w:rPr>
                    <w:t>废物</w:t>
                  </w:r>
                  <w:r>
                    <w:rPr>
                      <w:rFonts w:hint="default" w:ascii="Times New Roman" w:hAnsi="Times New Roman" w:eastAsia="宋体" w:cs="Times New Roman"/>
                      <w:spacing w:val="0"/>
                      <w:w w:val="100"/>
                      <w:sz w:val="21"/>
                      <w:szCs w:val="21"/>
                      <w:u w:val="single" w:color="auto"/>
                    </w:rPr>
                    <w:t>应严格按照国家有关规定综合利用或妥善处置，对危险废物产生企业和经营单位，应强化日常环境监管。园区须严格落实排污许可制度和污染物排放总量控制，推动重点污染企业完成清洁生产审核以减少污染物的排放量。限期要求园区内企业完善环评、竣工环保验收、突发环境事件应急预案等环保手续，按规划建设污染防治设施充分发挥环保管家作用全方位提升园区和企业环境管理水</w:t>
                  </w:r>
                  <w:r>
                    <w:rPr>
                      <w:rFonts w:hint="eastAsia" w:ascii="Times New Roman" w:hAnsi="Times New Roman" w:cs="Times New Roman"/>
                      <w:spacing w:val="0"/>
                      <w:w w:val="100"/>
                      <w:sz w:val="21"/>
                      <w:szCs w:val="21"/>
                      <w:u w:val="single" w:color="auto"/>
                      <w:lang w:val="en-US" w:eastAsia="zh-CN"/>
                    </w:rPr>
                    <w:t>平</w:t>
                  </w:r>
                  <w:r>
                    <w:rPr>
                      <w:rFonts w:hint="default" w:ascii="Times New Roman" w:hAnsi="Times New Roman" w:eastAsia="宋体" w:cs="Times New Roman"/>
                      <w:spacing w:val="0"/>
                      <w:w w:val="100"/>
                      <w:sz w:val="21"/>
                      <w:szCs w:val="21"/>
                      <w:u w:val="single" w:color="auto"/>
                    </w:rPr>
                    <w:t>。</w:t>
                  </w:r>
                </w:p>
              </w:tc>
              <w:tc>
                <w:tcPr>
                  <w:tcW w:w="1516" w:type="pct"/>
                  <w:tcBorders>
                    <w:tl2br w:val="nil"/>
                    <w:tr2bl w:val="nil"/>
                  </w:tcBorders>
                  <w:vAlign w:val="center"/>
                </w:tcPr>
                <w:p w14:paraId="2BA1999E">
                  <w:pPr>
                    <w:pStyle w:val="33"/>
                    <w:keepNext w:val="0"/>
                    <w:keepLines w:val="0"/>
                    <w:pageBreakBefore w:val="0"/>
                    <w:widowControl/>
                    <w:tabs>
                      <w:tab w:val="left" w:pos="215"/>
                      <w:tab w:val="left" w:pos="1916"/>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lang w:val="en-US" w:eastAsia="zh-CN"/>
                    </w:rPr>
                  </w:pPr>
                  <w:r>
                    <w:rPr>
                      <w:rFonts w:hint="default" w:ascii="Times New Roman" w:hAnsi="Times New Roman" w:eastAsia="宋体" w:cs="Times New Roman"/>
                      <w:spacing w:val="0"/>
                      <w:w w:val="100"/>
                      <w:sz w:val="21"/>
                      <w:szCs w:val="21"/>
                      <w:u w:val="single" w:color="auto"/>
                      <w:lang w:val="en-US" w:eastAsia="zh-CN"/>
                    </w:rPr>
                    <w:t>本项目喷淋用水用于无组织抑尘，随蒸发损耗或随粉尘降落，少量进入产品，不外排。生活污水经龙昶厂区内现有</w:t>
                  </w:r>
                  <w:r>
                    <w:rPr>
                      <w:rFonts w:hint="eastAsia" w:ascii="Times New Roman" w:hAnsi="Times New Roman" w:cs="Times New Roman"/>
                      <w:spacing w:val="0"/>
                      <w:w w:val="100"/>
                      <w:sz w:val="21"/>
                      <w:szCs w:val="21"/>
                      <w:u w:val="single" w:color="auto"/>
                      <w:lang w:val="en-US" w:eastAsia="zh-CN"/>
                    </w:rPr>
                    <w:t>“</w:t>
                  </w:r>
                  <w:r>
                    <w:rPr>
                      <w:rFonts w:hint="default" w:ascii="Times New Roman" w:hAnsi="Times New Roman" w:eastAsia="宋体" w:cs="Times New Roman"/>
                      <w:spacing w:val="0"/>
                      <w:w w:val="100"/>
                      <w:sz w:val="21"/>
                      <w:szCs w:val="21"/>
                      <w:u w:val="single" w:color="auto"/>
                      <w:lang w:val="en-US" w:eastAsia="zh-CN"/>
                    </w:rPr>
                    <w:t>化粪池</w:t>
                  </w:r>
                  <w:r>
                    <w:rPr>
                      <w:rFonts w:hint="eastAsia" w:ascii="Times New Roman" w:hAnsi="Times New Roman" w:cs="Times New Roman"/>
                      <w:spacing w:val="0"/>
                      <w:w w:val="100"/>
                      <w:sz w:val="21"/>
                      <w:szCs w:val="21"/>
                      <w:u w:val="single" w:color="auto"/>
                      <w:lang w:val="en-US" w:eastAsia="zh-CN"/>
                    </w:rPr>
                    <w:t>”</w:t>
                  </w:r>
                  <w:r>
                    <w:rPr>
                      <w:rFonts w:hint="default" w:ascii="Times New Roman" w:hAnsi="Times New Roman" w:eastAsia="宋体" w:cs="Times New Roman"/>
                      <w:spacing w:val="0"/>
                      <w:w w:val="100"/>
                      <w:sz w:val="21"/>
                      <w:szCs w:val="21"/>
                      <w:u w:val="single" w:color="auto"/>
                      <w:lang w:val="en-US" w:eastAsia="zh-CN"/>
                    </w:rPr>
                    <w:t>处理达《污水综合排放标准》（GB8978- 1996）表4中三级标准和新田县污水处理厂设计进水水质标准后，通过龙昶厂区现有生活污水排污口排入园区污水管网，</w:t>
                  </w:r>
                  <w:r>
                    <w:rPr>
                      <w:rFonts w:hint="eastAsia" w:ascii="Times New Roman" w:hAnsi="Times New Roman" w:cs="Times New Roman"/>
                      <w:spacing w:val="0"/>
                      <w:w w:val="100"/>
                      <w:sz w:val="21"/>
                      <w:szCs w:val="21"/>
                      <w:u w:val="single" w:color="auto"/>
                      <w:lang w:val="en-US" w:eastAsia="zh-CN"/>
                    </w:rPr>
                    <w:t>进入</w:t>
                  </w:r>
                  <w:r>
                    <w:rPr>
                      <w:rFonts w:hint="default" w:ascii="Times New Roman" w:hAnsi="Times New Roman" w:eastAsia="宋体" w:cs="Times New Roman"/>
                      <w:spacing w:val="0"/>
                      <w:w w:val="100"/>
                      <w:sz w:val="21"/>
                      <w:szCs w:val="21"/>
                      <w:u w:val="single" w:color="auto"/>
                      <w:lang w:val="en-US" w:eastAsia="zh-CN"/>
                    </w:rPr>
                    <w:t>新田县污水处理厂</w:t>
                  </w:r>
                  <w:r>
                    <w:rPr>
                      <w:rFonts w:hint="eastAsia" w:ascii="Times New Roman" w:hAnsi="Times New Roman" w:cs="Times New Roman"/>
                      <w:spacing w:val="0"/>
                      <w:w w:val="100"/>
                      <w:sz w:val="21"/>
                      <w:szCs w:val="21"/>
                      <w:u w:val="single" w:color="auto"/>
                      <w:lang w:val="en-US" w:eastAsia="zh-CN"/>
                    </w:rPr>
                    <w:t>深度处理；</w:t>
                  </w:r>
                  <w:r>
                    <w:rPr>
                      <w:rFonts w:hint="eastAsia" w:ascii="Times New Roman" w:hAnsi="Times New Roman" w:eastAsia="宋体" w:cs="Times New Roman"/>
                      <w:b w:val="0"/>
                      <w:bCs w:val="0"/>
                      <w:color w:val="000000"/>
                      <w:sz w:val="21"/>
                      <w:szCs w:val="21"/>
                      <w:highlight w:val="none"/>
                      <w:u w:val="single" w:color="auto"/>
                      <w:lang w:val="en-US" w:eastAsia="zh-CN"/>
                    </w:rPr>
                    <w:t>本次评价要求建设单位按相关规定建立一般固废暂存间和危废暂存间。一般工业固废经分类收集后于一般固废暂存间暂存</w:t>
                  </w:r>
                  <w:r>
                    <w:rPr>
                      <w:rFonts w:hint="eastAsia" w:ascii="Times New Roman" w:hAnsi="Times New Roman" w:eastAsia="宋体" w:cs="Times New Roman"/>
                      <w:b w:val="0"/>
                      <w:bCs w:val="0"/>
                      <w:color w:val="000000"/>
                      <w:sz w:val="21"/>
                      <w:szCs w:val="21"/>
                      <w:u w:val="single" w:color="auto"/>
                      <w:lang w:val="en-US" w:eastAsia="zh-CN"/>
                    </w:rPr>
                    <w:t>，定期外售；危险固废经分类收集后于危废暂存间暂存，定期交由有资质的单位处理处置，不乱堆放；生活垃圾经分类收集后，统一交由当地环卫部门清运。</w:t>
                  </w:r>
                </w:p>
              </w:tc>
              <w:tc>
                <w:tcPr>
                  <w:tcW w:w="611" w:type="pct"/>
                  <w:tcBorders>
                    <w:tl2br w:val="nil"/>
                    <w:tr2bl w:val="nil"/>
                  </w:tcBorders>
                  <w:vAlign w:val="center"/>
                </w:tcPr>
                <w:p w14:paraId="5E845B55">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符合</w:t>
                  </w:r>
                </w:p>
              </w:tc>
            </w:tr>
            <w:tr w14:paraId="10CA6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4B46AC4F">
                  <w:pPr>
                    <w:pStyle w:val="33"/>
                    <w:keepNext w:val="0"/>
                    <w:keepLines w:val="0"/>
                    <w:pageBreakBefore w:val="0"/>
                    <w:widowControl/>
                    <w:tabs>
                      <w:tab w:val="left" w:pos="3732"/>
                    </w:tabs>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4、加强对环境敏感点的保护。严格做好控规，杜绝在规划的工业用地上新增环境敏感目标，确保园区开发过程中的居民搬迁</w:t>
                  </w:r>
                  <w:r>
                    <w:rPr>
                      <w:rFonts w:hint="eastAsia" w:ascii="Times New Roman" w:hAnsi="Times New Roman" w:cs="Times New Roman"/>
                      <w:spacing w:val="0"/>
                      <w:w w:val="100"/>
                      <w:sz w:val="21"/>
                      <w:szCs w:val="21"/>
                      <w:u w:val="single" w:color="auto"/>
                      <w:lang w:val="en-US" w:eastAsia="zh-CN"/>
                    </w:rPr>
                    <w:t>安置</w:t>
                  </w:r>
                  <w:r>
                    <w:rPr>
                      <w:rFonts w:hint="default" w:ascii="Times New Roman" w:hAnsi="Times New Roman" w:eastAsia="宋体" w:cs="Times New Roman"/>
                      <w:spacing w:val="0"/>
                      <w:w w:val="100"/>
                      <w:sz w:val="21"/>
                      <w:szCs w:val="21"/>
                      <w:u w:val="single" w:color="auto"/>
                    </w:rPr>
                    <w:t>到位，防止发生居民再次</w:t>
                  </w:r>
                  <w:r>
                    <w:rPr>
                      <w:rFonts w:hint="eastAsia" w:ascii="Times New Roman" w:hAnsi="Times New Roman" w:cs="Times New Roman"/>
                      <w:spacing w:val="0"/>
                      <w:w w:val="100"/>
                      <w:sz w:val="21"/>
                      <w:szCs w:val="21"/>
                      <w:u w:val="single" w:color="auto"/>
                      <w:lang w:val="en-US" w:eastAsia="zh-CN"/>
                    </w:rPr>
                    <w:t>安置</w:t>
                  </w:r>
                  <w:r>
                    <w:rPr>
                      <w:rFonts w:hint="default" w:ascii="Times New Roman" w:hAnsi="Times New Roman" w:eastAsia="宋体" w:cs="Times New Roman"/>
                      <w:spacing w:val="0"/>
                      <w:w w:val="100"/>
                      <w:sz w:val="21"/>
                      <w:szCs w:val="21"/>
                      <w:u w:val="single" w:color="auto"/>
                    </w:rPr>
                    <w:t>和次生环境问题，对于具体项目环评设置防护距离和搬迁要求的，要确保予以落实。</w:t>
                  </w:r>
                </w:p>
              </w:tc>
              <w:tc>
                <w:tcPr>
                  <w:tcW w:w="1516" w:type="pct"/>
                  <w:tcBorders>
                    <w:tl2br w:val="nil"/>
                    <w:tr2bl w:val="nil"/>
                  </w:tcBorders>
                  <w:vAlign w:val="center"/>
                </w:tcPr>
                <w:p w14:paraId="1FF4EBE2">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cs="Times New Roman"/>
                      <w:color w:val="000000" w:themeColor="text1"/>
                      <w:sz w:val="21"/>
                      <w:szCs w:val="21"/>
                      <w:u w:val="single" w:color="auto"/>
                      <w14:textFill>
                        <w14:solidFill>
                          <w14:schemeClr w14:val="tx1"/>
                        </w14:solidFill>
                      </w14:textFill>
                    </w:rPr>
                    <w:t>本项目</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位于</w:t>
                  </w:r>
                  <w:r>
                    <w:rPr>
                      <w:rFonts w:hint="default" w:ascii="Times New Roman" w:hAnsi="Times New Roman" w:cs="Times New Roman"/>
                      <w:color w:val="000000" w:themeColor="text1"/>
                      <w:sz w:val="21"/>
                      <w:szCs w:val="21"/>
                      <w:u w:val="single" w:color="auto"/>
                      <w14:textFill>
                        <w14:solidFill>
                          <w14:schemeClr w14:val="tx1"/>
                        </w14:solidFill>
                      </w14:textFill>
                    </w:rPr>
                    <w:t>永州市新田县龙泉街道工业南园支一路与支三路交叉口西南角</w:t>
                  </w:r>
                  <w:r>
                    <w:rPr>
                      <w:rFonts w:hint="eastAsia" w:ascii="Times New Roman" w:hAnsi="Times New Roman" w:cs="Times New Roman"/>
                      <w:color w:val="000000" w:themeColor="text1"/>
                      <w:sz w:val="21"/>
                      <w:szCs w:val="21"/>
                      <w:u w:val="single" w:color="auto"/>
                      <w:lang w:eastAsia="zh-CN"/>
                      <w14:textFill>
                        <w14:solidFill>
                          <w14:schemeClr w14:val="tx1"/>
                        </w14:solidFill>
                      </w14:textFill>
                    </w:rPr>
                    <w:t>，</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属于园区南区，且本项目租赁湖南龙昶机械股份有限公司现有厂房，不新增用地</w:t>
                  </w:r>
                  <w:r>
                    <w:rPr>
                      <w:rFonts w:hint="eastAsia" w:ascii="Times New Roman" w:hAnsi="Times New Roman" w:eastAsia="宋体" w:cs="Times New Roman"/>
                      <w:spacing w:val="0"/>
                      <w:w w:val="100"/>
                      <w:sz w:val="21"/>
                      <w:szCs w:val="21"/>
                      <w:u w:val="single" w:color="auto"/>
                      <w:lang w:val="en-US" w:eastAsia="zh-CN"/>
                    </w:rPr>
                    <w:t>。</w:t>
                  </w:r>
                </w:p>
              </w:tc>
              <w:tc>
                <w:tcPr>
                  <w:tcW w:w="611" w:type="pct"/>
                  <w:tcBorders>
                    <w:tl2br w:val="nil"/>
                    <w:tr2bl w:val="nil"/>
                  </w:tcBorders>
                  <w:vAlign w:val="center"/>
                </w:tcPr>
                <w:p w14:paraId="660F7833">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r>
                    <w:rPr>
                      <w:rFonts w:hint="default" w:ascii="Times New Roman" w:hAnsi="Times New Roman" w:eastAsia="宋体" w:cs="Times New Roman"/>
                      <w:spacing w:val="0"/>
                      <w:w w:val="100"/>
                      <w:sz w:val="21"/>
                      <w:szCs w:val="21"/>
                      <w:u w:val="single" w:color="auto"/>
                    </w:rPr>
                    <w:t>符合</w:t>
                  </w:r>
                </w:p>
              </w:tc>
            </w:tr>
            <w:tr w14:paraId="020544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871" w:type="pct"/>
                  <w:tcBorders>
                    <w:tl2br w:val="nil"/>
                    <w:tr2bl w:val="nil"/>
                  </w:tcBorders>
                  <w:vAlign w:val="center"/>
                </w:tcPr>
                <w:p w14:paraId="01B10F06">
                  <w:pPr>
                    <w:pStyle w:val="33"/>
                    <w:keepNext w:val="0"/>
                    <w:keepLines w:val="0"/>
                    <w:pageBreakBefore w:val="0"/>
                    <w:widowControl/>
                    <w:tabs>
                      <w:tab w:val="left" w:pos="3732"/>
                    </w:tabs>
                    <w:kinsoku w:val="0"/>
                    <w:wordWrap/>
                    <w:overflowPunct/>
                    <w:topLinePunct w:val="0"/>
                    <w:autoSpaceDE w:val="0"/>
                    <w:autoSpaceDN w:val="0"/>
                    <w:bidi w:val="0"/>
                    <w:adjustRightInd/>
                    <w:snapToGrid/>
                    <w:spacing w:line="240" w:lineRule="auto"/>
                    <w:ind w:left="0" w:right="0" w:firstLine="0"/>
                    <w:jc w:val="center"/>
                    <w:textAlignment w:val="baseline"/>
                    <w:rPr>
                      <w:rFonts w:hint="eastAsia" w:ascii="Times New Roman" w:hAnsi="Times New Roman" w:eastAsia="宋体" w:cs="Times New Roman"/>
                      <w:spacing w:val="0"/>
                      <w:w w:val="100"/>
                      <w:sz w:val="21"/>
                      <w:szCs w:val="21"/>
                      <w:u w:val="single" w:color="auto"/>
                      <w:lang w:val="en-US" w:eastAsia="zh-CN"/>
                    </w:rPr>
                  </w:pPr>
                  <w:r>
                    <w:rPr>
                      <w:rFonts w:hint="eastAsia" w:ascii="Times New Roman" w:hAnsi="Times New Roman" w:cs="Times New Roman"/>
                      <w:spacing w:val="0"/>
                      <w:w w:val="100"/>
                      <w:sz w:val="21"/>
                      <w:szCs w:val="21"/>
                      <w:u w:val="single" w:color="auto"/>
                      <w:lang w:val="en-US" w:eastAsia="zh-CN"/>
                    </w:rPr>
                    <w:t>5、做好园区后续开发过程中生态环境保护。尽可能保留自然水体，施工期对土石方开挖、堆存及回填要实施图挡、护坡等措施，裸露地及时恢复植被，防止后续开发建设中的扬尘污染和水土流失。</w:t>
                  </w:r>
                </w:p>
              </w:tc>
              <w:tc>
                <w:tcPr>
                  <w:tcW w:w="1516" w:type="pct"/>
                  <w:tcBorders>
                    <w:tl2br w:val="nil"/>
                    <w:tr2bl w:val="nil"/>
                  </w:tcBorders>
                  <w:vAlign w:val="center"/>
                </w:tcPr>
                <w:p w14:paraId="33044527">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cs="Times New Roman"/>
                      <w:sz w:val="21"/>
                      <w:szCs w:val="21"/>
                      <w:u w:val="single" w:color="auto"/>
                      <w:lang w:eastAsia="zh-CN"/>
                    </w:rPr>
                  </w:pPr>
                  <w:r>
                    <w:rPr>
                      <w:rFonts w:hint="default" w:ascii="Times New Roman" w:hAnsi="Times New Roman" w:cs="Times New Roman"/>
                      <w:sz w:val="21"/>
                      <w:szCs w:val="21"/>
                      <w:u w:val="single" w:color="auto"/>
                      <w:lang w:eastAsia="zh-CN"/>
                    </w:rPr>
                    <w:t>本项目租赁</w:t>
                  </w:r>
                  <w:r>
                    <w:rPr>
                      <w:rFonts w:hint="eastAsia" w:ascii="Times New Roman" w:hAnsi="Times New Roman" w:cs="Times New Roman"/>
                      <w:color w:val="000000" w:themeColor="text1"/>
                      <w:sz w:val="21"/>
                      <w:szCs w:val="21"/>
                      <w:u w:val="single" w:color="auto"/>
                      <w:lang w:val="en-US" w:eastAsia="zh-CN"/>
                      <w14:textFill>
                        <w14:solidFill>
                          <w14:schemeClr w14:val="tx1"/>
                        </w14:solidFill>
                      </w14:textFill>
                    </w:rPr>
                    <w:t>湖南龙昶机械股份有限公司</w:t>
                  </w:r>
                  <w:r>
                    <w:rPr>
                      <w:rFonts w:hint="default" w:ascii="Times New Roman" w:hAnsi="Times New Roman" w:cs="Times New Roman"/>
                      <w:sz w:val="21"/>
                      <w:szCs w:val="21"/>
                      <w:u w:val="single" w:color="auto"/>
                      <w:lang w:eastAsia="zh-CN"/>
                    </w:rPr>
                    <w:t>内现有生产厂房</w:t>
                  </w:r>
                  <w:r>
                    <w:rPr>
                      <w:rFonts w:hint="eastAsia" w:ascii="Times New Roman" w:hAnsi="Times New Roman" w:eastAsia="宋体" w:cs="Times New Roman"/>
                      <w:sz w:val="21"/>
                      <w:szCs w:val="21"/>
                      <w:u w:val="single" w:color="auto"/>
                      <w:lang w:eastAsia="zh-CN"/>
                    </w:rPr>
                    <w:t>，</w:t>
                  </w:r>
                  <w:r>
                    <w:rPr>
                      <w:rFonts w:hint="eastAsia" w:ascii="Times New Roman" w:hAnsi="Times New Roman" w:eastAsia="宋体" w:cs="Times New Roman"/>
                      <w:sz w:val="21"/>
                      <w:szCs w:val="21"/>
                      <w:u w:val="single" w:color="auto"/>
                      <w:lang w:val="en-US" w:eastAsia="zh-CN"/>
                    </w:rPr>
                    <w:t>不涉及施工期</w:t>
                  </w:r>
                  <w:r>
                    <w:rPr>
                      <w:rFonts w:hint="eastAsia" w:ascii="Times New Roman" w:hAnsi="Times New Roman" w:eastAsia="宋体" w:cs="Times New Roman"/>
                      <w:spacing w:val="0"/>
                      <w:w w:val="100"/>
                      <w:sz w:val="21"/>
                      <w:szCs w:val="21"/>
                      <w:u w:val="single" w:color="auto"/>
                      <w:lang w:val="en-US" w:eastAsia="zh-CN"/>
                    </w:rPr>
                    <w:t>土石方开挖。</w:t>
                  </w:r>
                </w:p>
              </w:tc>
              <w:tc>
                <w:tcPr>
                  <w:tcW w:w="611" w:type="pct"/>
                  <w:tcBorders>
                    <w:tl2br w:val="nil"/>
                    <w:tr2bl w:val="nil"/>
                  </w:tcBorders>
                  <w:vAlign w:val="center"/>
                </w:tcPr>
                <w:p w14:paraId="413378B1">
                  <w:pPr>
                    <w:pStyle w:val="33"/>
                    <w:keepNext w:val="0"/>
                    <w:keepLines w:val="0"/>
                    <w:pageBreakBefore w:val="0"/>
                    <w:widowControl/>
                    <w:kinsoku w:val="0"/>
                    <w:wordWrap/>
                    <w:overflowPunct/>
                    <w:topLinePunct w:val="0"/>
                    <w:autoSpaceDE w:val="0"/>
                    <w:autoSpaceDN w:val="0"/>
                    <w:bidi w:val="0"/>
                    <w:adjustRightInd/>
                    <w:snapToGrid/>
                    <w:spacing w:line="240" w:lineRule="auto"/>
                    <w:ind w:left="0" w:right="0" w:firstLine="0"/>
                    <w:jc w:val="center"/>
                    <w:textAlignment w:val="baseline"/>
                    <w:rPr>
                      <w:rFonts w:hint="default" w:ascii="Times New Roman" w:hAnsi="Times New Roman" w:eastAsia="宋体" w:cs="Times New Roman"/>
                      <w:spacing w:val="0"/>
                      <w:w w:val="100"/>
                      <w:sz w:val="21"/>
                      <w:szCs w:val="21"/>
                      <w:u w:val="single" w:color="auto"/>
                    </w:rPr>
                  </w:pPr>
                </w:p>
              </w:tc>
            </w:tr>
          </w:tbl>
          <w:p w14:paraId="45024240">
            <w:pPr>
              <w:keepNext w:val="0"/>
              <w:keepLines w:val="0"/>
              <w:pageBreakBefore w:val="0"/>
              <w:widowControl w:val="0"/>
              <w:suppressLineNumbers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000000"/>
                <w:kern w:val="0"/>
                <w:sz w:val="24"/>
                <w:szCs w:val="24"/>
                <w:lang w:val="en-US" w:eastAsia="zh-CN" w:bidi="ar"/>
              </w:rPr>
            </w:pPr>
            <w:r>
              <w:rPr>
                <w:rFonts w:hint="eastAsia"/>
                <w:lang w:val="en-US" w:eastAsia="zh-CN"/>
              </w:rPr>
              <w:t xml:space="preserve"> </w:t>
            </w:r>
            <w:r>
              <w:rPr>
                <w:rFonts w:hint="eastAsia" w:cs="Times New Roman"/>
                <w:b/>
                <w:bCs/>
                <w:color w:val="000000"/>
                <w:kern w:val="0"/>
                <w:sz w:val="24"/>
                <w:szCs w:val="24"/>
                <w:lang w:val="en-US" w:eastAsia="zh-CN" w:bidi="ar"/>
              </w:rPr>
              <w:t>3</w:t>
            </w:r>
            <w:r>
              <w:rPr>
                <w:rFonts w:hint="eastAsia" w:ascii="Times New Roman" w:hAnsi="Times New Roman" w:eastAsia="宋体" w:cs="Times New Roman"/>
                <w:b/>
                <w:bCs/>
                <w:color w:val="000000"/>
                <w:kern w:val="0"/>
                <w:sz w:val="24"/>
                <w:szCs w:val="24"/>
                <w:lang w:val="en-US" w:eastAsia="zh-CN" w:bidi="ar"/>
              </w:rPr>
              <w:t>、《湖南省发展和改革委员会、湖南省自然资源厅&lt;关于发布湖南省省级及以上产业园区边界面积及四至范围目录的通知&gt;》符合性分析</w:t>
            </w:r>
          </w:p>
          <w:p w14:paraId="7C2361CA">
            <w:pPr>
              <w:keepNext w:val="0"/>
              <w:keepLines w:val="0"/>
              <w:pageBreakBefore w:val="0"/>
              <w:widowControl w:val="0"/>
              <w:suppressLineNumbers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《湖南省发展和改革委员会、湖南省自然资源厅&lt;关于发布湖南省省级及以上产业园区边界面积及四至范围目录的通知&gt;》明确：新田产业开发区边界范围总面积为</w:t>
            </w:r>
            <w:r>
              <w:rPr>
                <w:rFonts w:hint="eastAsia" w:cs="Times New Roman"/>
                <w:color w:val="000000"/>
                <w:kern w:val="0"/>
                <w:sz w:val="24"/>
                <w:szCs w:val="24"/>
                <w:lang w:val="en-US" w:eastAsia="zh-CN" w:bidi="ar"/>
              </w:rPr>
              <w:t>423.64</w:t>
            </w:r>
            <w:r>
              <w:rPr>
                <w:rFonts w:hint="eastAsia" w:ascii="Times New Roman" w:hAnsi="Times New Roman" w:eastAsia="宋体" w:cs="Times New Roman"/>
                <w:color w:val="000000"/>
                <w:kern w:val="0"/>
                <w:sz w:val="24"/>
                <w:szCs w:val="24"/>
                <w:lang w:val="en-US" w:eastAsia="zh-CN" w:bidi="ar"/>
              </w:rPr>
              <w:t>公顷，共包括</w:t>
            </w:r>
            <w:r>
              <w:rPr>
                <w:rFonts w:hint="eastAsia" w:cs="Times New Roman"/>
                <w:color w:val="000000"/>
                <w:kern w:val="0"/>
                <w:sz w:val="24"/>
                <w:szCs w:val="24"/>
                <w:lang w:val="en-US" w:eastAsia="zh-CN" w:bidi="ar"/>
              </w:rPr>
              <w:t>一</w:t>
            </w:r>
            <w:r>
              <w:rPr>
                <w:rFonts w:hint="eastAsia" w:ascii="Times New Roman" w:hAnsi="Times New Roman" w:eastAsia="宋体" w:cs="Times New Roman"/>
                <w:color w:val="000000"/>
                <w:kern w:val="0"/>
                <w:sz w:val="24"/>
                <w:szCs w:val="24"/>
                <w:lang w:val="en-US" w:eastAsia="zh-CN" w:bidi="ar"/>
              </w:rPr>
              <w:t>个区块，区块面积及四至范围详见下表。</w:t>
            </w:r>
          </w:p>
          <w:p w14:paraId="2C846537">
            <w:pPr>
              <w:autoSpaceDE w:val="0"/>
              <w:autoSpaceDN w:val="0"/>
              <w:adjustRightInd w:val="0"/>
              <w:snapToGrid w:val="0"/>
              <w:spacing w:line="240" w:lineRule="auto"/>
              <w:jc w:val="center"/>
              <w:rPr>
                <w:rFonts w:hint="default" w:ascii="Times New Roman" w:hAnsi="Times New Roman" w:eastAsia="宋体" w:cs="Times New Roman"/>
                <w:b/>
                <w:color w:val="000000"/>
                <w:sz w:val="21"/>
                <w:szCs w:val="21"/>
                <w:highlight w:val="none"/>
                <w:u w:val="none"/>
                <w:lang w:val="en-US" w:eastAsia="zh-CN"/>
              </w:rPr>
            </w:pPr>
            <w:r>
              <w:rPr>
                <w:rFonts w:hint="default" w:ascii="Times New Roman" w:hAnsi="Times New Roman" w:eastAsia="宋体" w:cs="Times New Roman"/>
                <w:b/>
                <w:color w:val="000000"/>
                <w:sz w:val="21"/>
                <w:szCs w:val="21"/>
                <w:highlight w:val="none"/>
                <w:u w:val="none"/>
                <w:lang w:val="en-US" w:eastAsia="zh-CN"/>
              </w:rPr>
              <w:t>表1-</w:t>
            </w:r>
            <w:r>
              <w:rPr>
                <w:rFonts w:hint="eastAsia" w:cs="Times New Roman"/>
                <w:b/>
                <w:color w:val="000000"/>
                <w:sz w:val="21"/>
                <w:szCs w:val="21"/>
                <w:highlight w:val="none"/>
                <w:u w:val="none"/>
                <w:lang w:val="en-US" w:eastAsia="zh-CN"/>
              </w:rPr>
              <w:t>2</w:t>
            </w:r>
            <w:r>
              <w:rPr>
                <w:rFonts w:hint="default" w:ascii="Times New Roman" w:hAnsi="Times New Roman" w:eastAsia="宋体" w:cs="Times New Roman"/>
                <w:b/>
                <w:color w:val="000000"/>
                <w:sz w:val="21"/>
                <w:szCs w:val="21"/>
                <w:highlight w:val="none"/>
                <w:u w:val="none"/>
                <w:lang w:val="en-US" w:eastAsia="zh-CN"/>
              </w:rPr>
              <w:t xml:space="preserve">  新田产业开发区各区块划分情况一览表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142"/>
              <w:gridCol w:w="4804"/>
            </w:tblGrid>
            <w:tr w14:paraId="3CEA1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 w:type="dxa"/>
                  <w:tcBorders>
                    <w:tl2br w:val="nil"/>
                    <w:tr2bl w:val="nil"/>
                  </w:tcBorders>
                  <w:noWrap w:val="0"/>
                  <w:vAlign w:val="center"/>
                </w:tcPr>
                <w:p w14:paraId="074A36E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区块名称</w:t>
                  </w:r>
                </w:p>
              </w:tc>
              <w:tc>
                <w:tcPr>
                  <w:tcW w:w="1121" w:type="dxa"/>
                  <w:tcBorders>
                    <w:tl2br w:val="nil"/>
                    <w:tr2bl w:val="nil"/>
                  </w:tcBorders>
                  <w:noWrap w:val="0"/>
                  <w:vAlign w:val="center"/>
                </w:tcPr>
                <w:p w14:paraId="08C5E55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区块面积</w:t>
                  </w:r>
                </w:p>
                <w:p w14:paraId="2F251E4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（公顷）</w:t>
                  </w:r>
                </w:p>
              </w:tc>
              <w:tc>
                <w:tcPr>
                  <w:tcW w:w="4713" w:type="dxa"/>
                  <w:tcBorders>
                    <w:tl2br w:val="nil"/>
                    <w:tr2bl w:val="nil"/>
                  </w:tcBorders>
                  <w:noWrap w:val="0"/>
                  <w:vAlign w:val="center"/>
                </w:tcPr>
                <w:p w14:paraId="636B1A6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四至范围文字描述</w:t>
                  </w:r>
                </w:p>
              </w:tc>
            </w:tr>
            <w:tr w14:paraId="0CB8E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2" w:type="dxa"/>
                  <w:tcBorders>
                    <w:tl2br w:val="nil"/>
                    <w:tr2bl w:val="nil"/>
                  </w:tcBorders>
                  <w:noWrap w:val="0"/>
                  <w:vAlign w:val="center"/>
                </w:tcPr>
                <w:p w14:paraId="5FF61B5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区块一</w:t>
                  </w:r>
                </w:p>
              </w:tc>
              <w:tc>
                <w:tcPr>
                  <w:tcW w:w="1121" w:type="dxa"/>
                  <w:tcBorders>
                    <w:tl2br w:val="nil"/>
                    <w:tr2bl w:val="nil"/>
                  </w:tcBorders>
                  <w:noWrap w:val="0"/>
                  <w:vAlign w:val="center"/>
                </w:tcPr>
                <w:p w14:paraId="5D47D63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580.18</w:t>
                  </w:r>
                </w:p>
              </w:tc>
              <w:tc>
                <w:tcPr>
                  <w:tcW w:w="4713" w:type="dxa"/>
                  <w:tcBorders>
                    <w:tl2br w:val="nil"/>
                    <w:tr2bl w:val="nil"/>
                  </w:tcBorders>
                  <w:noWrap w:val="0"/>
                  <w:vAlign w:val="center"/>
                </w:tcPr>
                <w:p w14:paraId="7184890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东至东溪路，南至傲春路，西至叠翠街，北至彩云路</w:t>
                  </w:r>
                </w:p>
              </w:tc>
            </w:tr>
          </w:tbl>
          <w:p w14:paraId="70A038B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kern w:val="0"/>
                <w:sz w:val="24"/>
                <w:szCs w:val="24"/>
                <w:u w:val="none"/>
                <w:lang w:val="en-US" w:eastAsia="zh-CN"/>
              </w:rPr>
              <w:t>本项目位于</w:t>
            </w:r>
            <w:r>
              <w:rPr>
                <w:rFonts w:hint="default" w:ascii="Times New Roman" w:hAnsi="Times New Roman" w:eastAsia="宋体" w:cs="Times New Roman"/>
                <w:color w:val="000000"/>
                <w:sz w:val="24"/>
                <w:szCs w:val="24"/>
                <w:highlight w:val="none"/>
                <w:lang w:eastAsia="zh-CN"/>
              </w:rPr>
              <w:t>新田县工业南园支一路与支三路交叉口西南角</w:t>
            </w:r>
            <w:r>
              <w:rPr>
                <w:rFonts w:hint="eastAsia" w:ascii="Times New Roman" w:hAnsi="Times New Roman"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lang w:val="en-US" w:eastAsia="zh-CN"/>
              </w:rPr>
              <w:t>租赁湖南龙昶机械股份有限公司已建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生产厂房</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kern w:val="0"/>
                <w:sz w:val="24"/>
                <w:szCs w:val="24"/>
                <w:u w:val="none"/>
                <w:lang w:val="en-US" w:eastAsia="zh-CN"/>
              </w:rPr>
              <w:t>根据《湖南省发展和改革委员会、湖南省自然资源厅&lt;关于</w:t>
            </w:r>
            <w:r>
              <w:rPr>
                <w:rFonts w:hint="eastAsia" w:ascii="Times New Roman" w:hAnsi="Times New Roman" w:eastAsia="宋体" w:cs="Times New Roman"/>
                <w:color w:val="000000"/>
                <w:kern w:val="0"/>
                <w:sz w:val="24"/>
                <w:szCs w:val="24"/>
                <w:u w:val="none"/>
                <w:lang w:val="en-US" w:eastAsia="zh-CN"/>
              </w:rPr>
              <w:t>发布</w:t>
            </w:r>
            <w:r>
              <w:rPr>
                <w:rFonts w:hint="default" w:ascii="Times New Roman" w:hAnsi="Times New Roman" w:eastAsia="宋体" w:cs="Times New Roman"/>
                <w:color w:val="000000"/>
                <w:kern w:val="0"/>
                <w:sz w:val="24"/>
                <w:szCs w:val="24"/>
                <w:u w:val="none"/>
                <w:lang w:val="en-US" w:eastAsia="zh-CN"/>
              </w:rPr>
              <w:t>湖南省省级及以上</w:t>
            </w:r>
            <w:r>
              <w:rPr>
                <w:rFonts w:hint="default" w:ascii="Times New Roman" w:hAnsi="Times New Roman" w:eastAsia="宋体" w:cs="Times New Roman"/>
                <w:color w:val="000000"/>
                <w:sz w:val="24"/>
                <w:szCs w:val="24"/>
                <w:highlight w:val="none"/>
                <w:lang w:val="en-US" w:eastAsia="zh-CN"/>
              </w:rPr>
              <w:t>产业园区边界面积及四至范围目录的通知&gt;》，本项目所在的</w:t>
            </w:r>
            <w:r>
              <w:rPr>
                <w:rFonts w:hint="eastAsia" w:ascii="Times New Roman" w:hAnsi="Times New Roman" w:eastAsia="宋体" w:cs="Times New Roman"/>
                <w:color w:val="000000"/>
                <w:sz w:val="24"/>
                <w:szCs w:val="24"/>
                <w:highlight w:val="none"/>
                <w:lang w:val="en-US" w:eastAsia="zh-CN"/>
              </w:rPr>
              <w:t>区域</w:t>
            </w:r>
            <w:r>
              <w:rPr>
                <w:rFonts w:hint="default" w:ascii="Times New Roman" w:hAnsi="Times New Roman" w:eastAsia="宋体" w:cs="Times New Roman"/>
                <w:color w:val="000000"/>
                <w:sz w:val="24"/>
                <w:szCs w:val="24"/>
                <w:highlight w:val="none"/>
                <w:lang w:val="en-US" w:eastAsia="zh-CN"/>
              </w:rPr>
              <w:t>位于</w:t>
            </w:r>
            <w:r>
              <w:rPr>
                <w:rFonts w:hint="eastAsia" w:ascii="Times New Roman" w:hAnsi="Times New Roman" w:eastAsia="宋体" w:cs="Times New Roman"/>
                <w:color w:val="000000"/>
                <w:kern w:val="0"/>
                <w:sz w:val="24"/>
                <w:szCs w:val="24"/>
                <w:lang w:val="en-US" w:eastAsia="zh-CN" w:bidi="ar"/>
              </w:rPr>
              <w:t>新田产业开发区</w:t>
            </w:r>
            <w:r>
              <w:rPr>
                <w:rFonts w:hint="default" w:ascii="Times New Roman" w:hAnsi="Times New Roman" w:eastAsia="宋体" w:cs="Times New Roman"/>
                <w:color w:val="000000"/>
                <w:sz w:val="24"/>
                <w:szCs w:val="24"/>
                <w:highlight w:val="none"/>
                <w:lang w:val="en-US" w:eastAsia="zh-CN"/>
              </w:rPr>
              <w:t>区块</w:t>
            </w:r>
            <w:r>
              <w:rPr>
                <w:rFonts w:hint="eastAsia" w:ascii="Times New Roman" w:hAnsi="Times New Roman" w:eastAsia="宋体" w:cs="Times New Roman"/>
                <w:color w:val="000000"/>
                <w:sz w:val="24"/>
                <w:szCs w:val="24"/>
                <w:highlight w:val="none"/>
                <w:lang w:val="en-US" w:eastAsia="zh-CN"/>
              </w:rPr>
              <w:t>一</w:t>
            </w:r>
            <w:r>
              <w:rPr>
                <w:rFonts w:hint="default" w:ascii="Times New Roman" w:hAnsi="Times New Roman" w:eastAsia="宋体" w:cs="Times New Roman"/>
                <w:color w:val="000000"/>
                <w:sz w:val="24"/>
                <w:szCs w:val="24"/>
                <w:highlight w:val="none"/>
                <w:lang w:val="en-US" w:eastAsia="zh-CN"/>
              </w:rPr>
              <w:t>规划范围内。</w:t>
            </w:r>
          </w:p>
          <w:p w14:paraId="41D835ED">
            <w:pPr>
              <w:pStyle w:val="13"/>
              <w:spacing w:line="360" w:lineRule="auto"/>
              <w:ind w:firstLine="480" w:firstLineChars="200"/>
              <w:rPr>
                <w:rFonts w:hint="default"/>
                <w:lang w:val="en-US" w:eastAsia="zh-CN"/>
              </w:rPr>
            </w:pPr>
            <w:r>
              <w:rPr>
                <w:rFonts w:hint="default" w:ascii="Times New Roman" w:hAnsi="Times New Roman" w:eastAsia="宋体" w:cs="Times New Roman"/>
                <w:color w:val="000000"/>
                <w:kern w:val="0"/>
                <w:sz w:val="24"/>
                <w:szCs w:val="24"/>
                <w:u w:val="none"/>
                <w:lang w:val="en-US" w:eastAsia="zh-CN"/>
              </w:rPr>
              <w:t>由此表明，本项目符合《湖南省发展和改革委员会、湖南省自然资源厅&lt;关于</w:t>
            </w:r>
            <w:r>
              <w:rPr>
                <w:rFonts w:hint="eastAsia" w:ascii="Times New Roman" w:hAnsi="Times New Roman" w:eastAsia="宋体" w:cs="Times New Roman"/>
                <w:color w:val="000000"/>
                <w:kern w:val="0"/>
                <w:sz w:val="24"/>
                <w:szCs w:val="24"/>
                <w:u w:val="none"/>
                <w:lang w:val="en-US" w:eastAsia="zh-CN"/>
              </w:rPr>
              <w:t>发布</w:t>
            </w:r>
            <w:r>
              <w:rPr>
                <w:rFonts w:hint="default" w:ascii="Times New Roman" w:hAnsi="Times New Roman" w:eastAsia="宋体" w:cs="Times New Roman"/>
                <w:color w:val="000000"/>
                <w:kern w:val="0"/>
                <w:sz w:val="24"/>
                <w:szCs w:val="24"/>
                <w:u w:val="none"/>
                <w:lang w:val="en-US" w:eastAsia="zh-CN"/>
              </w:rPr>
              <w:t>湖南省省级及以上产业园区边界面积及四至范围目录的通知&gt;》中</w:t>
            </w:r>
            <w:r>
              <w:rPr>
                <w:rFonts w:hint="eastAsia" w:ascii="Times New Roman" w:hAnsi="Times New Roman" w:eastAsia="宋体" w:cs="Times New Roman"/>
                <w:color w:val="000000"/>
                <w:kern w:val="0"/>
                <w:sz w:val="24"/>
                <w:szCs w:val="24"/>
                <w:lang w:val="en-US" w:eastAsia="zh-CN" w:bidi="ar"/>
              </w:rPr>
              <w:t>新田产业开发区</w:t>
            </w:r>
            <w:r>
              <w:rPr>
                <w:rFonts w:hint="default" w:ascii="Times New Roman" w:hAnsi="Times New Roman" w:eastAsia="宋体" w:cs="Times New Roman"/>
                <w:color w:val="000000"/>
                <w:kern w:val="0"/>
                <w:sz w:val="24"/>
                <w:szCs w:val="24"/>
                <w:u w:val="none"/>
                <w:lang w:val="en-US" w:eastAsia="zh-CN"/>
              </w:rPr>
              <w:t>园区规划要求。</w:t>
            </w:r>
          </w:p>
        </w:tc>
      </w:tr>
      <w:tr w14:paraId="447A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tcBorders>
              <w:tl2br w:val="nil"/>
              <w:tr2bl w:val="nil"/>
            </w:tcBorders>
            <w:noWrap w:val="0"/>
            <w:vAlign w:val="center"/>
          </w:tcPr>
          <w:p w14:paraId="2D1BC004">
            <w:pPr>
              <w:adjustRightInd w:val="0"/>
              <w:snapToGrid w:val="0"/>
              <w:jc w:val="center"/>
              <w:rPr>
                <w:rFonts w:hint="eastAsia" w:ascii="Times New Roman" w:hAnsi="Times New Roman" w:eastAsia="宋体" w:cs="Times New Roman"/>
                <w:b/>
                <w:bCs/>
                <w:color w:val="000000"/>
                <w:kern w:val="0"/>
                <w:sz w:val="24"/>
                <w:szCs w:val="24"/>
                <w:lang w:eastAsia="zh-CN"/>
              </w:rPr>
            </w:pPr>
            <w:r>
              <w:rPr>
                <w:rFonts w:hint="default" w:ascii="Times New Roman" w:hAnsi="Times New Roman" w:cs="Times New Roman"/>
                <w:b/>
                <w:bCs/>
                <w:color w:val="auto"/>
                <w:sz w:val="24"/>
                <w:szCs w:val="24"/>
                <w:highlight w:val="none"/>
                <w:u w:val="none" w:color="auto"/>
              </w:rPr>
              <w:t>其他符合性分析</w:t>
            </w:r>
          </w:p>
        </w:tc>
        <w:tc>
          <w:tcPr>
            <w:tcW w:w="4347" w:type="pct"/>
            <w:gridSpan w:val="4"/>
            <w:tcBorders>
              <w:tl2br w:val="nil"/>
              <w:tr2bl w:val="nil"/>
            </w:tcBorders>
            <w:noWrap w:val="0"/>
            <w:vAlign w:val="center"/>
          </w:tcPr>
          <w:p w14:paraId="31812EE2">
            <w:pPr>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textAlignment w:val="auto"/>
              <w:rPr>
                <w:rFonts w:hint="default" w:ascii="Times New Roman" w:hAnsi="Times New Roman" w:eastAsia="宋体" w:cs="Times New Roman"/>
                <w:b w:val="0"/>
                <w:bCs w:val="0"/>
                <w:kern w:val="0"/>
                <w:sz w:val="24"/>
                <w:szCs w:val="24"/>
                <w:u w:val="single" w:color="auto"/>
                <w:lang w:eastAsia="zh-CN"/>
              </w:rPr>
            </w:pPr>
            <w:r>
              <w:rPr>
                <w:rFonts w:hint="default" w:ascii="Times New Roman" w:hAnsi="Times New Roman" w:eastAsia="宋体" w:cs="Times New Roman"/>
                <w:b/>
                <w:bCs/>
                <w:kern w:val="0"/>
                <w:sz w:val="24"/>
                <w:szCs w:val="24"/>
                <w:u w:val="single" w:color="auto"/>
                <w:lang w:val="en-US" w:eastAsia="zh-CN" w:bidi="ar-SA"/>
              </w:rPr>
              <w:t>1、</w:t>
            </w:r>
            <w:r>
              <w:rPr>
                <w:rFonts w:hint="default" w:ascii="Times New Roman" w:hAnsi="Times New Roman" w:eastAsia="宋体" w:cs="Times New Roman"/>
                <w:b/>
                <w:bCs/>
                <w:color w:val="auto"/>
                <w:kern w:val="0"/>
                <w:sz w:val="24"/>
                <w:szCs w:val="24"/>
                <w:u w:val="single" w:color="auto"/>
                <w:lang w:val="en-US" w:eastAsia="zh-CN"/>
              </w:rPr>
              <w:t>与</w:t>
            </w:r>
            <w:r>
              <w:rPr>
                <w:rFonts w:hint="default" w:ascii="Times New Roman" w:hAnsi="Times New Roman" w:eastAsia="宋体" w:cs="Times New Roman"/>
                <w:b/>
                <w:bCs/>
                <w:color w:val="auto"/>
                <w:kern w:val="0"/>
                <w:sz w:val="24"/>
                <w:szCs w:val="24"/>
                <w:u w:val="single" w:color="auto"/>
              </w:rPr>
              <w:t>湖南省</w:t>
            </w:r>
            <w:r>
              <w:rPr>
                <w:rFonts w:hint="eastAsia" w:cs="Times New Roman"/>
                <w:b/>
                <w:bCs/>
                <w:color w:val="auto"/>
                <w:kern w:val="0"/>
                <w:sz w:val="24"/>
                <w:szCs w:val="24"/>
                <w:u w:val="single" w:color="auto"/>
                <w:lang w:eastAsia="zh-CN"/>
              </w:rPr>
              <w:t>“</w:t>
            </w:r>
            <w:r>
              <w:rPr>
                <w:rFonts w:hint="default" w:ascii="Times New Roman" w:hAnsi="Times New Roman" w:eastAsia="宋体" w:cs="Times New Roman"/>
                <w:b/>
                <w:bCs/>
                <w:color w:val="auto"/>
                <w:kern w:val="0"/>
                <w:sz w:val="24"/>
                <w:szCs w:val="24"/>
                <w:u w:val="single" w:color="auto"/>
              </w:rPr>
              <w:t>三线一单</w:t>
            </w:r>
            <w:r>
              <w:rPr>
                <w:rFonts w:hint="eastAsia" w:cs="Times New Roman"/>
                <w:b/>
                <w:bCs/>
                <w:color w:val="auto"/>
                <w:kern w:val="0"/>
                <w:sz w:val="24"/>
                <w:szCs w:val="24"/>
                <w:u w:val="single" w:color="auto"/>
                <w:lang w:eastAsia="zh-CN"/>
              </w:rPr>
              <w:t>”</w:t>
            </w:r>
            <w:r>
              <w:rPr>
                <w:rFonts w:hint="default" w:ascii="Times New Roman" w:hAnsi="Times New Roman" w:eastAsia="宋体" w:cs="Times New Roman"/>
                <w:b/>
                <w:bCs/>
                <w:color w:val="auto"/>
                <w:kern w:val="0"/>
                <w:sz w:val="24"/>
                <w:szCs w:val="24"/>
                <w:u w:val="single" w:color="auto"/>
              </w:rPr>
              <w:t>相关要求的符合性分析</w:t>
            </w:r>
          </w:p>
          <w:p w14:paraId="7BCC7908">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u w:val="single" w:color="auto"/>
                <w:lang w:eastAsia="zh-CN"/>
              </w:rPr>
            </w:pPr>
            <w:r>
              <w:rPr>
                <w:rFonts w:hint="default" w:ascii="Times New Roman" w:hAnsi="Times New Roman" w:eastAsia="宋体" w:cs="Times New Roman"/>
                <w:color w:val="000000"/>
                <w:kern w:val="0"/>
                <w:sz w:val="24"/>
                <w:szCs w:val="24"/>
                <w:u w:val="single" w:color="auto"/>
                <w:lang w:val="en-US" w:eastAsia="zh-CN"/>
              </w:rPr>
              <w:t>根据《</w:t>
            </w:r>
            <w:r>
              <w:rPr>
                <w:rFonts w:hint="default" w:ascii="Times New Roman" w:hAnsi="Times New Roman" w:eastAsia="宋体" w:cs="Times New Roman"/>
                <w:color w:val="000000"/>
                <w:kern w:val="0"/>
                <w:sz w:val="24"/>
                <w:u w:val="single" w:color="auto"/>
              </w:rPr>
              <w:t>湖南省生态环境分区管控总体管控要求暨省级以上产业园区生态环境准入清单</w:t>
            </w:r>
            <w:r>
              <w:rPr>
                <w:rFonts w:hint="default" w:ascii="Times New Roman" w:hAnsi="Times New Roman" w:eastAsia="宋体" w:cs="Times New Roman"/>
                <w:color w:val="000000"/>
                <w:kern w:val="0"/>
                <w:sz w:val="24"/>
                <w:szCs w:val="24"/>
                <w:u w:val="single" w:color="auto"/>
                <w:lang w:val="en-US" w:eastAsia="zh-CN"/>
              </w:rPr>
              <w:t>》（湘环函</w:t>
            </w:r>
            <w:r>
              <w:rPr>
                <w:rFonts w:hint="eastAsia" w:ascii="Times New Roman" w:hAnsi="Times New Roman" w:eastAsia="宋体" w:cs="Times New Roman"/>
                <w:color w:val="000000"/>
                <w:kern w:val="0"/>
                <w:sz w:val="24"/>
                <w:szCs w:val="24"/>
                <w:u w:val="single" w:color="auto"/>
                <w:lang w:val="en-US" w:eastAsia="zh-CN"/>
              </w:rPr>
              <w:t>（</w:t>
            </w:r>
            <w:r>
              <w:rPr>
                <w:rFonts w:hint="default" w:ascii="Times New Roman" w:hAnsi="Times New Roman" w:eastAsia="宋体" w:cs="Times New Roman"/>
                <w:color w:val="000000"/>
                <w:kern w:val="0"/>
                <w:sz w:val="24"/>
                <w:szCs w:val="24"/>
                <w:u w:val="single" w:color="auto"/>
                <w:lang w:val="en-US" w:eastAsia="zh-CN"/>
              </w:rPr>
              <w:t>2024</w:t>
            </w:r>
            <w:r>
              <w:rPr>
                <w:rFonts w:hint="eastAsia" w:ascii="Times New Roman" w:hAnsi="Times New Roman" w:eastAsia="宋体" w:cs="Times New Roman"/>
                <w:color w:val="000000"/>
                <w:kern w:val="0"/>
                <w:sz w:val="24"/>
                <w:szCs w:val="24"/>
                <w:u w:val="single" w:color="auto"/>
                <w:lang w:val="en-US" w:eastAsia="zh-CN"/>
              </w:rPr>
              <w:t>）</w:t>
            </w:r>
            <w:r>
              <w:rPr>
                <w:rFonts w:hint="default" w:ascii="Times New Roman" w:hAnsi="Times New Roman" w:eastAsia="宋体" w:cs="Times New Roman"/>
                <w:color w:val="000000"/>
                <w:kern w:val="0"/>
                <w:sz w:val="24"/>
                <w:szCs w:val="24"/>
                <w:u w:val="single" w:color="auto"/>
                <w:lang w:val="en-US" w:eastAsia="zh-CN"/>
              </w:rPr>
              <w:t>26号）</w:t>
            </w:r>
            <w:r>
              <w:rPr>
                <w:rFonts w:hint="default" w:ascii="Times New Roman" w:hAnsi="Times New Roman" w:eastAsia="宋体" w:cs="Times New Roman"/>
                <w:sz w:val="24"/>
                <w:u w:val="single" w:color="auto"/>
                <w:lang w:val="en-US" w:eastAsia="zh-CN"/>
              </w:rPr>
              <w:t>，对全省按行政区域实行生态环境分区管控。本项目位于</w:t>
            </w:r>
            <w:r>
              <w:rPr>
                <w:rFonts w:hint="default" w:ascii="Times New Roman" w:hAnsi="Times New Roman" w:eastAsia="宋体" w:cs="Times New Roman"/>
                <w:color w:val="000000"/>
                <w:sz w:val="24"/>
                <w:szCs w:val="24"/>
                <w:highlight w:val="none"/>
                <w:u w:val="single" w:color="auto"/>
                <w:lang w:eastAsia="zh-CN"/>
              </w:rPr>
              <w:t>新田县工业南园支一路与支三路交叉口西南角</w:t>
            </w:r>
            <w:r>
              <w:rPr>
                <w:rFonts w:hint="default" w:ascii="Times New Roman" w:hAnsi="Times New Roman" w:eastAsia="宋体" w:cs="Times New Roman"/>
                <w:sz w:val="24"/>
                <w:u w:val="single" w:color="auto"/>
                <w:lang w:val="en-US" w:eastAsia="zh-CN"/>
              </w:rPr>
              <w:t>，属于</w:t>
            </w:r>
            <w:r>
              <w:rPr>
                <w:rFonts w:hint="eastAsia" w:ascii="Times New Roman" w:hAnsi="Times New Roman" w:eastAsia="宋体" w:cs="Times New Roman"/>
                <w:color w:val="000000"/>
                <w:kern w:val="0"/>
                <w:sz w:val="24"/>
                <w:szCs w:val="24"/>
                <w:u w:val="single" w:color="auto"/>
                <w:lang w:val="en-US" w:eastAsia="zh-CN" w:bidi="ar"/>
              </w:rPr>
              <w:t>新田产业开发区</w:t>
            </w:r>
            <w:r>
              <w:rPr>
                <w:rFonts w:hint="default" w:ascii="Times New Roman" w:hAnsi="Times New Roman" w:eastAsia="宋体" w:cs="Times New Roman"/>
                <w:sz w:val="24"/>
                <w:u w:val="single" w:color="auto"/>
                <w:lang w:val="en-US" w:eastAsia="zh-CN"/>
              </w:rPr>
              <w:t>规划环评的</w:t>
            </w:r>
            <w:r>
              <w:rPr>
                <w:rFonts w:hint="default" w:ascii="Times New Roman" w:hAnsi="Times New Roman" w:eastAsia="宋体" w:cs="Times New Roman"/>
                <w:sz w:val="24"/>
                <w:u w:val="single" w:color="auto"/>
                <w:lang w:eastAsia="zh-CN"/>
              </w:rPr>
              <w:t>核准范围，</w:t>
            </w:r>
            <w:r>
              <w:rPr>
                <w:rFonts w:hint="default" w:ascii="Times New Roman" w:hAnsi="Times New Roman" w:eastAsia="宋体" w:cs="Times New Roman"/>
                <w:sz w:val="24"/>
                <w:u w:val="single" w:color="auto"/>
                <w:lang w:val="en-US" w:eastAsia="zh-CN"/>
              </w:rPr>
              <w:t>且</w:t>
            </w:r>
            <w:r>
              <w:rPr>
                <w:rFonts w:hint="default" w:ascii="Times New Roman" w:hAnsi="Times New Roman" w:eastAsia="宋体" w:cs="Times New Roman"/>
                <w:sz w:val="24"/>
                <w:u w:val="single" w:color="auto"/>
                <w:lang w:eastAsia="zh-CN"/>
              </w:rPr>
              <w:t>为环境管控单元中的重点管控单元。</w:t>
            </w:r>
          </w:p>
          <w:p w14:paraId="187BAF4C">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kern w:val="2"/>
                <w:sz w:val="24"/>
                <w:szCs w:val="24"/>
                <w:u w:val="single" w:color="auto"/>
                <w:lang w:val="en-US" w:eastAsia="zh-CN" w:bidi="ar-SA"/>
              </w:rPr>
              <w:t>（1）</w:t>
            </w:r>
            <w:r>
              <w:rPr>
                <w:rFonts w:hint="default" w:ascii="Times New Roman" w:hAnsi="Times New Roman" w:eastAsia="宋体" w:cs="Times New Roman"/>
                <w:sz w:val="24"/>
                <w:u w:val="single" w:color="auto"/>
                <w:lang w:val="en-US" w:eastAsia="zh-CN"/>
              </w:rPr>
              <w:t>生态保护红线</w:t>
            </w:r>
          </w:p>
          <w:p w14:paraId="53E988BA">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lang w:val="en-US" w:eastAsia="zh-CN"/>
              </w:rPr>
              <w:t>根据《湖南省人民政府关于印发&lt;湖南省生态保护红线&gt;的通知》（湘政发〔2018〕20号）中生态保护红线划定情况，本项目位于</w:t>
            </w:r>
            <w:r>
              <w:rPr>
                <w:rFonts w:hint="default" w:ascii="Times New Roman" w:hAnsi="Times New Roman" w:eastAsia="宋体" w:cs="Times New Roman"/>
                <w:color w:val="000000"/>
                <w:sz w:val="24"/>
                <w:szCs w:val="24"/>
                <w:highlight w:val="none"/>
                <w:u w:val="single" w:color="auto"/>
                <w:lang w:eastAsia="zh-CN"/>
              </w:rPr>
              <w:t>新田县工业南园支一路与支三路交叉口西南角</w:t>
            </w:r>
            <w:r>
              <w:rPr>
                <w:rFonts w:hint="default" w:ascii="Times New Roman" w:hAnsi="Times New Roman" w:eastAsia="宋体" w:cs="Times New Roman"/>
                <w:sz w:val="24"/>
                <w:u w:val="single" w:color="auto"/>
                <w:lang w:val="en-US" w:eastAsia="zh-CN"/>
              </w:rPr>
              <w:t>，不生态保护红线范围内；同时，本项目所在区域也未涉及饮用水源、风景区、自然保护区等生态保护区。因此，从选址上，本项目符合湖南省生态保护红线划定的相关要求。</w:t>
            </w:r>
          </w:p>
          <w:p w14:paraId="285EDE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u w:val="single" w:color="auto"/>
              </w:rPr>
            </w:pPr>
            <w:r>
              <w:rPr>
                <w:rFonts w:hint="default" w:ascii="Times New Roman" w:hAnsi="Times New Roman" w:eastAsia="宋体" w:cs="Times New Roman"/>
                <w:b w:val="0"/>
                <w:bCs w:val="0"/>
                <w:color w:val="auto"/>
                <w:kern w:val="0"/>
                <w:sz w:val="24"/>
                <w:szCs w:val="24"/>
                <w:u w:val="single" w:color="auto"/>
              </w:rPr>
              <w:t>（2）环境质量底线</w:t>
            </w:r>
          </w:p>
          <w:p w14:paraId="4A4B224C">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u w:val="single" w:color="auto"/>
              </w:rPr>
            </w:pPr>
            <w:r>
              <w:rPr>
                <w:rFonts w:hint="default" w:ascii="Times New Roman" w:hAnsi="Times New Roman" w:eastAsia="宋体" w:cs="Times New Roman"/>
                <w:b w:val="0"/>
                <w:bCs w:val="0"/>
                <w:color w:val="auto"/>
                <w:kern w:val="0"/>
                <w:sz w:val="24"/>
                <w:szCs w:val="24"/>
                <w:u w:val="single" w:color="auto"/>
              </w:rPr>
              <w:t>项目所在区域的环境质量底线为：环境空气质量目标为《环境空气质量标准》（GB3095-2012）及其修改单</w:t>
            </w:r>
            <w:r>
              <w:rPr>
                <w:rFonts w:hint="eastAsia" w:cs="Times New Roman"/>
                <w:b w:val="0"/>
                <w:bCs w:val="0"/>
                <w:color w:val="auto"/>
                <w:kern w:val="0"/>
                <w:sz w:val="24"/>
                <w:szCs w:val="24"/>
                <w:u w:val="single" w:color="auto"/>
                <w:lang w:eastAsia="zh-CN"/>
              </w:rPr>
              <w:t>“</w:t>
            </w:r>
            <w:r>
              <w:rPr>
                <w:rFonts w:hint="default" w:ascii="Times New Roman" w:hAnsi="Times New Roman" w:eastAsia="宋体" w:cs="Times New Roman"/>
                <w:b w:val="0"/>
                <w:bCs w:val="0"/>
                <w:color w:val="auto"/>
                <w:kern w:val="0"/>
                <w:sz w:val="24"/>
                <w:szCs w:val="24"/>
                <w:u w:val="single" w:color="auto"/>
              </w:rPr>
              <w:t>生态环境部公告2018年第29号</w:t>
            </w:r>
            <w:r>
              <w:rPr>
                <w:rFonts w:hint="eastAsia" w:cs="Times New Roman"/>
                <w:b w:val="0"/>
                <w:bCs w:val="0"/>
                <w:color w:val="auto"/>
                <w:kern w:val="0"/>
                <w:sz w:val="24"/>
                <w:szCs w:val="24"/>
                <w:u w:val="single" w:color="auto"/>
                <w:lang w:eastAsia="zh-CN"/>
              </w:rPr>
              <w:t>”</w:t>
            </w:r>
            <w:r>
              <w:rPr>
                <w:rFonts w:hint="default" w:ascii="Times New Roman" w:hAnsi="Times New Roman" w:eastAsia="宋体" w:cs="Times New Roman"/>
                <w:b w:val="0"/>
                <w:bCs w:val="0"/>
                <w:color w:val="auto"/>
                <w:kern w:val="0"/>
                <w:sz w:val="24"/>
                <w:szCs w:val="24"/>
                <w:u w:val="single" w:color="auto"/>
              </w:rPr>
              <w:t>中二级，声环境质量目标为《声环境质量标准》（GB3096-2008）3类标准，水环境质量目标为《地表水环境质量标准》（GB3838-2002）Ⅲ类标准。</w:t>
            </w:r>
          </w:p>
          <w:p w14:paraId="068997D5">
            <w:pPr>
              <w:pStyle w:val="1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u w:val="single" w:color="auto"/>
                <w14:textFill>
                  <w14:solidFill>
                    <w14:schemeClr w14:val="tx1"/>
                  </w14:solidFill>
                </w14:textFill>
              </w:rPr>
            </w:pPr>
            <w:r>
              <w:rPr>
                <w:rFonts w:hint="default" w:ascii="Times New Roman" w:hAnsi="Times New Roman" w:eastAsia="宋体" w:cs="Times New Roman"/>
                <w:color w:val="000000" w:themeColor="text1"/>
                <w:sz w:val="24"/>
                <w:u w:val="single" w:color="auto"/>
                <w14:textFill>
                  <w14:solidFill>
                    <w14:schemeClr w14:val="tx1"/>
                  </w14:solidFill>
                </w14:textFill>
              </w:rPr>
              <w:t>本项目生活污水经龙昶厂区内现有</w:t>
            </w:r>
            <w:r>
              <w:rPr>
                <w:rFonts w:hint="eastAsia" w:cs="Times New Roman"/>
                <w:color w:val="000000" w:themeColor="text1"/>
                <w:sz w:val="24"/>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u w:val="single" w:color="auto"/>
                <w14:textFill>
                  <w14:solidFill>
                    <w14:schemeClr w14:val="tx1"/>
                  </w14:solidFill>
                </w14:textFill>
              </w:rPr>
              <w:t>化粪池</w:t>
            </w:r>
            <w:r>
              <w:rPr>
                <w:rFonts w:hint="eastAsia" w:cs="Times New Roman"/>
                <w:color w:val="000000" w:themeColor="text1"/>
                <w:sz w:val="24"/>
                <w:u w:val="single" w:color="auto"/>
                <w:lang w:eastAsia="zh-CN"/>
                <w14:textFill>
                  <w14:solidFill>
                    <w14:schemeClr w14:val="tx1"/>
                  </w14:solidFill>
                </w14:textFill>
              </w:rPr>
              <w:t>”</w:t>
            </w:r>
            <w:r>
              <w:rPr>
                <w:rFonts w:hint="default" w:ascii="Times New Roman" w:hAnsi="Times New Roman" w:eastAsia="宋体" w:cs="Times New Roman"/>
                <w:color w:val="000000" w:themeColor="text1"/>
                <w:sz w:val="24"/>
                <w:u w:val="single" w:color="auto"/>
                <w14:textFill>
                  <w14:solidFill>
                    <w14:schemeClr w14:val="tx1"/>
                  </w14:solidFill>
                </w14:textFill>
              </w:rPr>
              <w:t>处理达《污水综合排放标准》（GB8978- 1996）表4中三级标准和新田县污水处理厂设计进水水质标准后，通过龙昶厂区现有生活污水排污口排入园区污水管网，经新田县污水处理厂达到《城镇污水处理厂污染物排放标准》（GB18918-2002）及修改单一级A标准后排入新田河</w:t>
            </w:r>
            <w:r>
              <w:rPr>
                <w:rFonts w:hint="default" w:ascii="Times New Roman" w:hAnsi="Times New Roman" w:cs="Times New Roman"/>
                <w:bCs/>
                <w:color w:val="000000" w:themeColor="text1"/>
                <w:sz w:val="24"/>
                <w:szCs w:val="24"/>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u w:val="single" w:color="auto"/>
                <w:lang w:val="en-US" w:eastAsia="zh-CN"/>
                <w14:textFill>
                  <w14:solidFill>
                    <w14:schemeClr w14:val="tx1"/>
                  </w14:solidFill>
                </w14:textFill>
              </w:rPr>
              <w:t>生产过程中产生的</w:t>
            </w:r>
            <w:r>
              <w:rPr>
                <w:rFonts w:hint="eastAsia" w:cs="Times New Roman"/>
                <w:color w:val="000000" w:themeColor="text1"/>
                <w:sz w:val="24"/>
                <w:u w:val="single" w:color="auto"/>
                <w:lang w:val="en-US" w:eastAsia="zh-CN"/>
                <w14:textFill>
                  <w14:solidFill>
                    <w14:schemeClr w14:val="tx1"/>
                  </w14:solidFill>
                </w14:textFill>
              </w:rPr>
              <w:t>破碎</w:t>
            </w:r>
            <w:r>
              <w:rPr>
                <w:rFonts w:hint="default" w:ascii="Times New Roman" w:hAnsi="Times New Roman" w:eastAsia="宋体" w:cs="Times New Roman"/>
                <w:color w:val="000000" w:themeColor="text1"/>
                <w:sz w:val="24"/>
                <w:u w:val="single" w:color="auto"/>
                <w:lang w:val="en-US" w:eastAsia="zh-CN"/>
                <w14:textFill>
                  <w14:solidFill>
                    <w14:schemeClr w14:val="tx1"/>
                  </w14:solidFill>
                </w14:textFill>
              </w:rPr>
              <w:t>废气经过一套</w:t>
            </w:r>
            <w:r>
              <w:rPr>
                <w:rFonts w:hint="eastAsia" w:cs="Times New Roman"/>
                <w:color w:val="000000" w:themeColor="text1"/>
                <w:sz w:val="24"/>
                <w:u w:val="single" w:color="auto"/>
                <w:lang w:val="en-US" w:eastAsia="zh-CN"/>
                <w14:textFill>
                  <w14:solidFill>
                    <w14:schemeClr w14:val="tx1"/>
                  </w14:solidFill>
                </w14:textFill>
              </w:rPr>
              <w:t>“</w:t>
            </w:r>
            <w:r>
              <w:rPr>
                <w:rFonts w:hint="eastAsia" w:cs="Times New Roman"/>
                <w:color w:val="000000" w:themeColor="text1"/>
                <w:sz w:val="24"/>
                <w:szCs w:val="24"/>
                <w:u w:val="single" w:color="auto"/>
                <w:vertAlign w:val="baseline"/>
                <w:lang w:val="en-US" w:eastAsia="zh-CN"/>
                <w14:textFill>
                  <w14:solidFill>
                    <w14:schemeClr w14:val="tx1"/>
                  </w14:solidFill>
                </w14:textFill>
              </w:rPr>
              <w:t>布袋除尘器</w:t>
            </w:r>
            <w:r>
              <w:rPr>
                <w:rFonts w:hint="eastAsia" w:ascii="Times New Roman" w:hAnsi="Times New Roman" w:eastAsia="宋体" w:cs="Times New Roman"/>
                <w:color w:val="000000" w:themeColor="text1"/>
                <w:sz w:val="24"/>
                <w:szCs w:val="24"/>
                <w:u w:val="single" w:color="auto"/>
                <w:vertAlign w:val="baseline"/>
                <w:lang w:val="en-US" w:eastAsia="zh-CN"/>
                <w14:textFill>
                  <w14:solidFill>
                    <w14:schemeClr w14:val="tx1"/>
                  </w14:solidFill>
                </w14:textFill>
              </w:rPr>
              <w:t>装置</w:t>
            </w:r>
            <w:r>
              <w:rPr>
                <w:rFonts w:hint="eastAsia" w:cs="Times New Roman"/>
                <w:color w:val="000000" w:themeColor="text1"/>
                <w:sz w:val="24"/>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z w:val="24"/>
                <w:u w:val="single" w:color="auto"/>
                <w:lang w:eastAsia="zh-CN"/>
                <w14:textFill>
                  <w14:solidFill>
                    <w14:schemeClr w14:val="tx1"/>
                  </w14:solidFill>
                </w14:textFill>
              </w:rPr>
              <w:t>处理达标后通过</w:t>
            </w:r>
            <w:r>
              <w:rPr>
                <w:rFonts w:hint="default" w:ascii="Times New Roman" w:hAnsi="Times New Roman" w:eastAsia="宋体" w:cs="Times New Roman"/>
                <w:color w:val="000000" w:themeColor="text1"/>
                <w:sz w:val="24"/>
                <w:u w:val="single" w:color="auto"/>
                <w:lang w:val="en-US" w:eastAsia="zh-CN"/>
                <w14:textFill>
                  <w14:solidFill>
                    <w14:schemeClr w14:val="tx1"/>
                  </w14:solidFill>
                </w14:textFill>
              </w:rPr>
              <w:t>一根</w:t>
            </w:r>
            <w:r>
              <w:rPr>
                <w:rFonts w:hint="eastAsia" w:cs="Times New Roman"/>
                <w:color w:val="000000" w:themeColor="text1"/>
                <w:sz w:val="24"/>
                <w:u w:val="single" w:color="auto"/>
                <w:lang w:val="en-US" w:eastAsia="zh-CN"/>
                <w14:textFill>
                  <w14:solidFill>
                    <w14:schemeClr w14:val="tx1"/>
                  </w14:solidFill>
                </w14:textFill>
              </w:rPr>
              <w:t>15</w:t>
            </w:r>
            <w:r>
              <w:rPr>
                <w:rFonts w:hint="default" w:ascii="Times New Roman" w:hAnsi="Times New Roman" w:eastAsia="宋体" w:cs="Times New Roman"/>
                <w:color w:val="000000" w:themeColor="text1"/>
                <w:sz w:val="24"/>
                <w:u w:val="single" w:color="auto"/>
                <w:lang w:eastAsia="zh-CN"/>
                <w14:textFill>
                  <w14:solidFill>
                    <w14:schemeClr w14:val="tx1"/>
                  </w14:solidFill>
                </w14:textFill>
              </w:rPr>
              <w:t>m</w:t>
            </w:r>
            <w:r>
              <w:rPr>
                <w:rFonts w:hint="default" w:ascii="Times New Roman" w:hAnsi="Times New Roman" w:eastAsia="宋体" w:cs="Times New Roman"/>
                <w:color w:val="000000" w:themeColor="text1"/>
                <w:sz w:val="24"/>
                <w:u w:val="single" w:color="auto"/>
                <w:lang w:val="en-US" w:eastAsia="zh-CN"/>
                <w14:textFill>
                  <w14:solidFill>
                    <w14:schemeClr w14:val="tx1"/>
                  </w14:solidFill>
                </w14:textFill>
              </w:rPr>
              <w:t>高</w:t>
            </w:r>
            <w:r>
              <w:rPr>
                <w:rFonts w:hint="default" w:ascii="Times New Roman" w:hAnsi="Times New Roman" w:eastAsia="宋体" w:cs="Times New Roman"/>
                <w:color w:val="000000" w:themeColor="text1"/>
                <w:sz w:val="24"/>
                <w:u w:val="single" w:color="auto"/>
                <w:lang w:eastAsia="zh-CN"/>
                <w14:textFill>
                  <w14:solidFill>
                    <w14:schemeClr w14:val="tx1"/>
                  </w14:solidFill>
                </w14:textFill>
              </w:rPr>
              <w:t>排气筒（</w:t>
            </w:r>
            <w:r>
              <w:rPr>
                <w:rFonts w:hint="default" w:ascii="Times New Roman" w:hAnsi="Times New Roman" w:eastAsia="宋体" w:cs="Times New Roman"/>
                <w:color w:val="000000" w:themeColor="text1"/>
                <w:sz w:val="24"/>
                <w:u w:val="single" w:color="auto"/>
                <w:lang w:val="en-US" w:eastAsia="zh-CN"/>
                <w14:textFill>
                  <w14:solidFill>
                    <w14:schemeClr w14:val="tx1"/>
                  </w14:solidFill>
                </w14:textFill>
              </w:rPr>
              <w:t>DA001</w:t>
            </w:r>
            <w:r>
              <w:rPr>
                <w:rFonts w:hint="default" w:ascii="Times New Roman" w:hAnsi="Times New Roman" w:eastAsia="宋体" w:cs="Times New Roman"/>
                <w:color w:val="000000" w:themeColor="text1"/>
                <w:sz w:val="24"/>
                <w:u w:val="single" w:color="auto"/>
                <w:lang w:eastAsia="zh-CN"/>
                <w14:textFill>
                  <w14:solidFill>
                    <w14:schemeClr w14:val="tx1"/>
                  </w14:solidFill>
                </w14:textFill>
              </w:rPr>
              <w:t>）高空排放，</w:t>
            </w:r>
            <w:r>
              <w:rPr>
                <w:rFonts w:hint="default" w:ascii="Times New Roman" w:hAnsi="Times New Roman" w:eastAsia="宋体" w:cs="Times New Roman"/>
                <w:color w:val="000000" w:themeColor="text1"/>
                <w:u w:val="single" w:color="auto"/>
                <w14:textFill>
                  <w14:solidFill>
                    <w14:schemeClr w14:val="tx1"/>
                  </w14:solidFill>
                </w14:textFill>
              </w:rPr>
              <w:t>颗粒物</w:t>
            </w:r>
            <w:r>
              <w:rPr>
                <w:rFonts w:hint="eastAsia" w:cs="Times New Roman"/>
                <w:color w:val="000000" w:themeColor="text1"/>
                <w:u w:val="single" w:color="auto"/>
                <w:lang w:val="en-US" w:eastAsia="zh-CN"/>
                <w14:textFill>
                  <w14:solidFill>
                    <w14:schemeClr w14:val="tx1"/>
                  </w14:solidFill>
                </w14:textFill>
              </w:rPr>
              <w:t>达到</w:t>
            </w:r>
            <w:r>
              <w:rPr>
                <w:rFonts w:hint="eastAsia"/>
                <w:color w:val="000000" w:themeColor="text1"/>
                <w:u w:val="single" w:color="auto"/>
                <w14:textFill>
                  <w14:solidFill>
                    <w14:schemeClr w14:val="tx1"/>
                  </w14:solidFill>
                </w14:textFill>
              </w:rPr>
              <w:t>《大气污染物综合排放标准》（GB16297-1996）表2中二级标准</w:t>
            </w:r>
            <w:r>
              <w:rPr>
                <w:rFonts w:hint="eastAsia"/>
                <w:color w:val="000000" w:themeColor="text1"/>
                <w:u w:val="single" w:color="auto"/>
                <w:lang w:val="en-US" w:eastAsia="zh-CN"/>
                <w14:textFill>
                  <w14:solidFill>
                    <w14:schemeClr w14:val="tx1"/>
                  </w14:solidFill>
                </w14:textFill>
              </w:rPr>
              <w:t>限值</w:t>
            </w:r>
            <w:r>
              <w:rPr>
                <w:rFonts w:hint="default" w:ascii="Times New Roman" w:hAnsi="Times New Roman" w:eastAsia="宋体" w:cs="Times New Roman"/>
                <w:color w:val="000000" w:themeColor="text1"/>
                <w:sz w:val="24"/>
                <w:u w:val="single" w:color="auto"/>
                <w14:textFill>
                  <w14:solidFill>
                    <w14:schemeClr w14:val="tx1"/>
                  </w14:solidFill>
                </w14:textFill>
              </w:rPr>
              <w:t>；各项固体废物均可得到妥善处置。经采取本环评提出的相关环保措施后，项目污染物排放不会对区域环境质量底线造成明显冲击。</w:t>
            </w:r>
          </w:p>
          <w:p w14:paraId="51AE99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u w:val="single" w:color="auto"/>
              </w:rPr>
            </w:pPr>
            <w:r>
              <w:rPr>
                <w:rFonts w:hint="default" w:ascii="Times New Roman" w:hAnsi="Times New Roman" w:eastAsia="宋体" w:cs="Times New Roman"/>
                <w:b w:val="0"/>
                <w:bCs w:val="0"/>
                <w:color w:val="auto"/>
                <w:kern w:val="0"/>
                <w:sz w:val="24"/>
                <w:szCs w:val="24"/>
                <w:u w:val="single" w:color="auto"/>
                <w:lang w:val="en-US" w:eastAsia="zh-CN" w:bidi="ar-SA"/>
              </w:rPr>
              <w:t>（3）</w:t>
            </w:r>
            <w:r>
              <w:rPr>
                <w:rFonts w:hint="default" w:ascii="Times New Roman" w:hAnsi="Times New Roman" w:eastAsia="宋体" w:cs="Times New Roman"/>
                <w:b w:val="0"/>
                <w:bCs w:val="0"/>
                <w:color w:val="auto"/>
                <w:kern w:val="0"/>
                <w:sz w:val="24"/>
                <w:szCs w:val="24"/>
                <w:u w:val="single" w:color="auto"/>
              </w:rPr>
              <w:t>资源利用上线</w:t>
            </w:r>
          </w:p>
          <w:p w14:paraId="354BD8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kern w:val="0"/>
                <w:sz w:val="24"/>
                <w:szCs w:val="24"/>
                <w:u w:val="single" w:color="auto"/>
                <w14:textFill>
                  <w14:solidFill>
                    <w14:schemeClr w14:val="tx1"/>
                  </w14:solidFill>
                </w14:textFill>
              </w:rPr>
            </w:pPr>
            <w:r>
              <w:rPr>
                <w:rFonts w:hint="default" w:ascii="Times New Roman" w:hAnsi="Times New Roman" w:eastAsia="宋体" w:cs="Times New Roman"/>
                <w:spacing w:val="0"/>
                <w:sz w:val="24"/>
                <w:u w:val="single" w:color="auto"/>
              </w:rPr>
              <w:t>本项目位于</w:t>
            </w:r>
            <w:r>
              <w:rPr>
                <w:rFonts w:hint="default" w:ascii="Times New Roman" w:hAnsi="Times New Roman" w:eastAsia="宋体" w:cs="Times New Roman"/>
                <w:color w:val="000000"/>
                <w:sz w:val="24"/>
                <w:szCs w:val="24"/>
                <w:highlight w:val="none"/>
                <w:u w:val="single" w:color="auto"/>
                <w:lang w:eastAsia="zh-CN"/>
              </w:rPr>
              <w:t>新田县工业南园支一路与支三路交叉口西南角</w:t>
            </w:r>
            <w:r>
              <w:rPr>
                <w:rFonts w:hint="default" w:ascii="Times New Roman" w:hAnsi="Times New Roman" w:eastAsia="宋体" w:cs="Times New Roman"/>
                <w:color w:val="auto"/>
                <w:spacing w:val="0"/>
                <w:sz w:val="24"/>
                <w:u w:val="single" w:color="auto"/>
                <w:lang w:val="en-US" w:eastAsia="zh-CN"/>
              </w:rPr>
              <w:t>，</w:t>
            </w:r>
            <w:r>
              <w:rPr>
                <w:rFonts w:hint="eastAsia" w:cs="Times New Roman"/>
                <w:color w:val="auto"/>
                <w:spacing w:val="0"/>
                <w:sz w:val="24"/>
                <w:u w:val="single" w:color="auto"/>
                <w:lang w:val="en-US" w:eastAsia="zh-CN"/>
              </w:rPr>
              <w:t>根据</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湖南龙昶机械股份有限公司取得的《</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不动产权证书</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》（详见附件4）可知，</w:t>
            </w:r>
            <w:r>
              <w:rPr>
                <w:rFonts w:hint="default" w:ascii="Times New Roman" w:hAnsi="Times New Roman" w:eastAsia="宋体" w:cs="Times New Roman"/>
                <w:color w:val="000000" w:themeColor="text1"/>
                <w:spacing w:val="0"/>
                <w:sz w:val="24"/>
                <w:u w:val="single" w:color="auto"/>
                <w:lang w:val="en-US" w:eastAsia="zh-CN"/>
                <w14:textFill>
                  <w14:solidFill>
                    <w14:schemeClr w14:val="tx1"/>
                  </w14:solidFill>
                </w14:textFill>
              </w:rPr>
              <w:t>该地块用地性质为工业用地</w:t>
            </w:r>
            <w:r>
              <w:rPr>
                <w:rFonts w:hint="default" w:ascii="Times New Roman" w:hAnsi="Times New Roman" w:eastAsia="宋体" w:cs="Times New Roman"/>
                <w:b w:val="0"/>
                <w:bCs w:val="0"/>
                <w:color w:val="000000" w:themeColor="text1"/>
                <w:kern w:val="0"/>
                <w:sz w:val="24"/>
                <w:szCs w:val="24"/>
                <w:u w:val="single" w:color="auto"/>
                <w:lang w:val="en-US" w:eastAsia="zh-CN"/>
                <w14:textFill>
                  <w14:solidFill>
                    <w14:schemeClr w14:val="tx1"/>
                  </w14:solidFill>
                </w14:textFill>
              </w:rPr>
              <w:t>，且本项目</w:t>
            </w:r>
            <w:r>
              <w:rPr>
                <w:rFonts w:hint="default" w:ascii="Times New Roman" w:hAnsi="Times New Roman" w:eastAsia="宋体" w:cs="Times New Roman"/>
                <w:b w:val="0"/>
                <w:bCs w:val="0"/>
                <w:color w:val="000000" w:themeColor="text1"/>
                <w:kern w:val="0"/>
                <w:sz w:val="24"/>
                <w:szCs w:val="24"/>
                <w:u w:val="single" w:color="auto"/>
                <w14:textFill>
                  <w14:solidFill>
                    <w14:schemeClr w14:val="tx1"/>
                  </w14:solidFill>
                </w14:textFill>
              </w:rPr>
              <w:t>不占用耕地、林地、牧地、水域等土地资源。</w:t>
            </w:r>
          </w:p>
          <w:p w14:paraId="138562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0"/>
                <w:sz w:val="24"/>
                <w:szCs w:val="24"/>
                <w:u w:val="single" w:color="auto"/>
              </w:rPr>
            </w:pPr>
            <w:r>
              <w:rPr>
                <w:rFonts w:hint="default" w:ascii="Times New Roman" w:hAnsi="Times New Roman" w:eastAsia="宋体" w:cs="Times New Roman"/>
                <w:b w:val="0"/>
                <w:bCs w:val="0"/>
                <w:color w:val="auto"/>
                <w:kern w:val="0"/>
                <w:sz w:val="24"/>
                <w:szCs w:val="24"/>
                <w:u w:val="single" w:color="auto"/>
              </w:rPr>
              <w:t>项目运行过程中通过内部管理、设备选择、原辅材料的选用和管理、污染治理等多方面，采取合理可行的防治措施，以</w:t>
            </w:r>
            <w:r>
              <w:rPr>
                <w:rFonts w:hint="eastAsia" w:cs="Times New Roman"/>
                <w:color w:val="auto"/>
                <w:kern w:val="0"/>
                <w:sz w:val="24"/>
                <w:szCs w:val="24"/>
                <w:u w:val="single" w:color="auto"/>
                <w:lang w:eastAsia="zh-CN"/>
              </w:rPr>
              <w:t>“</w:t>
            </w:r>
            <w:r>
              <w:rPr>
                <w:rFonts w:hint="default" w:ascii="Times New Roman" w:hAnsi="Times New Roman" w:eastAsia="宋体" w:cs="Times New Roman"/>
                <w:b w:val="0"/>
                <w:bCs w:val="0"/>
                <w:color w:val="auto"/>
                <w:kern w:val="0"/>
                <w:sz w:val="24"/>
                <w:szCs w:val="24"/>
                <w:u w:val="single" w:color="auto"/>
              </w:rPr>
              <w:t>节能、降耗、减污</w:t>
            </w:r>
            <w:r>
              <w:rPr>
                <w:rFonts w:hint="eastAsia" w:cs="Times New Roman"/>
                <w:color w:val="auto"/>
                <w:kern w:val="0"/>
                <w:sz w:val="24"/>
                <w:szCs w:val="24"/>
                <w:u w:val="single" w:color="auto"/>
                <w:lang w:eastAsia="zh-CN"/>
              </w:rPr>
              <w:t>”</w:t>
            </w:r>
            <w:r>
              <w:rPr>
                <w:rFonts w:hint="default" w:ascii="Times New Roman" w:hAnsi="Times New Roman" w:eastAsia="宋体" w:cs="Times New Roman"/>
                <w:b w:val="0"/>
                <w:bCs w:val="0"/>
                <w:color w:val="auto"/>
                <w:kern w:val="0"/>
                <w:sz w:val="24"/>
                <w:szCs w:val="24"/>
                <w:u w:val="single" w:color="auto"/>
              </w:rPr>
              <w:t>为目标，有效的控制污染及资源利用水平。因此，本项目资源利用不会突破区域的资源利用上线。</w:t>
            </w:r>
          </w:p>
          <w:p w14:paraId="4FB86707">
            <w:pPr>
              <w:keepNext w:val="0"/>
              <w:keepLines w:val="0"/>
              <w:pageBreakBefore w:val="0"/>
              <w:widowControl w:val="0"/>
              <w:numPr>
                <w:ilvl w:val="0"/>
                <w:numId w:val="0"/>
              </w:numPr>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u w:val="single" w:color="auto"/>
              </w:rPr>
            </w:pPr>
            <w:r>
              <w:rPr>
                <w:rFonts w:hint="default" w:ascii="Times New Roman" w:hAnsi="Times New Roman" w:eastAsia="宋体" w:cs="Times New Roman"/>
                <w:b w:val="0"/>
                <w:bCs w:val="0"/>
                <w:color w:val="auto"/>
                <w:kern w:val="0"/>
                <w:sz w:val="24"/>
                <w:szCs w:val="24"/>
                <w:u w:val="single" w:color="auto"/>
                <w:lang w:val="en-US" w:eastAsia="zh-CN" w:bidi="ar-SA"/>
              </w:rPr>
              <w:t>（4）</w:t>
            </w:r>
            <w:r>
              <w:rPr>
                <w:rFonts w:hint="default" w:ascii="Times New Roman" w:hAnsi="Times New Roman" w:eastAsia="宋体" w:cs="Times New Roman"/>
                <w:b w:val="0"/>
                <w:bCs w:val="0"/>
                <w:color w:val="auto"/>
                <w:kern w:val="0"/>
                <w:sz w:val="24"/>
                <w:szCs w:val="24"/>
                <w:u w:val="single" w:color="auto"/>
              </w:rPr>
              <w:t>环境准入清单</w:t>
            </w:r>
          </w:p>
          <w:p w14:paraId="53D2C962">
            <w:pPr>
              <w:pStyle w:val="13"/>
              <w:spacing w:line="360" w:lineRule="auto"/>
              <w:ind w:firstLine="480" w:firstLineChars="200"/>
              <w:rPr>
                <w:rFonts w:hint="default" w:ascii="Times New Roman" w:hAnsi="Times New Roman" w:eastAsia="宋体" w:cs="Times New Roman"/>
                <w:color w:val="000000"/>
                <w:kern w:val="0"/>
                <w:sz w:val="24"/>
                <w:szCs w:val="24"/>
                <w:u w:val="none"/>
                <w:lang w:val="en-US" w:eastAsia="zh-CN"/>
              </w:rPr>
            </w:pPr>
            <w:r>
              <w:rPr>
                <w:rFonts w:hint="default" w:ascii="Times New Roman" w:hAnsi="Times New Roman" w:eastAsia="宋体" w:cs="Times New Roman"/>
                <w:sz w:val="24"/>
                <w:u w:val="single" w:color="auto"/>
              </w:rPr>
              <w:t>生态环境准入清单是基于生态保护红线、环境质量底线和资源利用上线，以清单方式列出的禁止、限制等差别化环境准入条件和要求。根据《湖南省生态环境厅关于发布&lt;湖南省</w:t>
            </w:r>
            <w:r>
              <w:rPr>
                <w:rFonts w:hint="eastAsia" w:cs="Times New Roman"/>
                <w:sz w:val="24"/>
                <w:u w:val="single" w:color="auto"/>
                <w:lang w:eastAsia="zh-CN"/>
              </w:rPr>
              <w:t>“</w:t>
            </w:r>
            <w:r>
              <w:rPr>
                <w:rFonts w:hint="default" w:ascii="Times New Roman" w:hAnsi="Times New Roman" w:eastAsia="宋体" w:cs="Times New Roman"/>
                <w:sz w:val="24"/>
                <w:u w:val="single" w:color="auto"/>
              </w:rPr>
              <w:t>三线一单</w:t>
            </w:r>
            <w:r>
              <w:rPr>
                <w:rFonts w:hint="eastAsia" w:cs="Times New Roman"/>
                <w:sz w:val="24"/>
                <w:u w:val="single" w:color="auto"/>
                <w:lang w:eastAsia="zh-CN"/>
              </w:rPr>
              <w:t>”</w:t>
            </w:r>
            <w:r>
              <w:rPr>
                <w:rFonts w:hint="default" w:ascii="Times New Roman" w:hAnsi="Times New Roman" w:eastAsia="宋体" w:cs="Times New Roman"/>
                <w:sz w:val="24"/>
                <w:u w:val="single" w:color="auto"/>
              </w:rPr>
              <w:t>生态环境总体管控要求暨省级以上产业园区生态环境准入清单&gt;的函》</w:t>
            </w:r>
            <w:r>
              <w:rPr>
                <w:rFonts w:hint="eastAsia" w:ascii="Times New Roman" w:hAnsi="Times New Roman" w:eastAsia="宋体" w:cs="Times New Roman"/>
                <w:sz w:val="24"/>
                <w:u w:val="single" w:color="auto"/>
                <w:lang w:eastAsia="zh-CN"/>
              </w:rPr>
              <w:t>（</w:t>
            </w:r>
            <w:r>
              <w:rPr>
                <w:rFonts w:hint="default" w:ascii="Times New Roman" w:hAnsi="Times New Roman" w:eastAsia="宋体" w:cs="Times New Roman"/>
                <w:sz w:val="24"/>
                <w:u w:val="single" w:color="auto"/>
              </w:rPr>
              <w:t>湘环函〔2020〕142号</w:t>
            </w:r>
            <w:r>
              <w:rPr>
                <w:rFonts w:hint="default" w:ascii="Times New Roman" w:hAnsi="Times New Roman" w:eastAsia="宋体" w:cs="Times New Roman"/>
                <w:sz w:val="24"/>
                <w:u w:val="single" w:color="auto"/>
                <w:lang w:eastAsia="zh-CN"/>
              </w:rPr>
              <w:t>）</w:t>
            </w:r>
            <w:r>
              <w:rPr>
                <w:rFonts w:hint="default" w:ascii="Times New Roman" w:hAnsi="Times New Roman" w:eastAsia="宋体" w:cs="Times New Roman"/>
                <w:sz w:val="24"/>
                <w:u w:val="single" w:color="auto"/>
              </w:rPr>
              <w:t>，本项目涉及的生态环境准入清单按照</w:t>
            </w:r>
            <w:r>
              <w:rPr>
                <w:rFonts w:hint="eastAsia" w:ascii="Times New Roman" w:hAnsi="Times New Roman" w:eastAsia="宋体" w:cs="Times New Roman"/>
                <w:color w:val="000000"/>
                <w:kern w:val="0"/>
                <w:sz w:val="24"/>
                <w:szCs w:val="24"/>
                <w:u w:val="single" w:color="auto"/>
                <w:lang w:val="en-US" w:eastAsia="zh-CN" w:bidi="ar"/>
              </w:rPr>
              <w:t>新田产业开发区</w:t>
            </w:r>
            <w:r>
              <w:rPr>
                <w:rFonts w:hint="default" w:ascii="Times New Roman" w:hAnsi="Times New Roman" w:eastAsia="宋体" w:cs="Times New Roman"/>
                <w:sz w:val="24"/>
                <w:u w:val="single" w:color="auto"/>
              </w:rPr>
              <w:t>分析，本项目生态环境准入清单符合性分析见下表</w:t>
            </w:r>
            <w:r>
              <w:rPr>
                <w:rFonts w:hint="eastAsia" w:ascii="Times New Roman" w:hAnsi="Times New Roman" w:eastAsia="宋体" w:cs="Times New Roman"/>
                <w:sz w:val="24"/>
                <w:u w:val="single" w:color="auto"/>
                <w:lang w:eastAsia="zh-CN"/>
              </w:rPr>
              <w:t>。</w:t>
            </w:r>
          </w:p>
        </w:tc>
      </w:tr>
    </w:tbl>
    <w:p w14:paraId="7369B4F1">
      <w:pPr>
        <w:jc w:val="center"/>
        <w:rPr>
          <w:rFonts w:hint="eastAsia" w:asciiTheme="minorEastAsia" w:hAnsiTheme="minorEastAsia" w:eastAsiaTheme="minorEastAsia" w:cstheme="minorEastAsia"/>
          <w:color w:val="000000"/>
          <w:sz w:val="32"/>
          <w:szCs w:val="32"/>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3659"/>
      </w:tblGrid>
      <w:tr w14:paraId="2511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dxa"/>
          </w:tcPr>
          <w:p w14:paraId="294A8BFB">
            <w:pPr>
              <w:jc w:val="center"/>
              <w:rPr>
                <w:rFonts w:hint="eastAsia" w:asciiTheme="minorEastAsia" w:hAnsiTheme="minorEastAsia" w:eastAsiaTheme="minorEastAsia" w:cstheme="minorEastAsia"/>
                <w:color w:val="000000"/>
                <w:sz w:val="32"/>
                <w:szCs w:val="32"/>
                <w:vertAlign w:val="baseline"/>
                <w:lang w:val="en-US" w:eastAsia="zh-CN"/>
              </w:rPr>
            </w:pPr>
          </w:p>
        </w:tc>
        <w:tc>
          <w:tcPr>
            <w:tcW w:w="13659" w:type="dxa"/>
          </w:tcPr>
          <w:p w14:paraId="1894C5D3">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color="auto"/>
                <w:lang w:val="en-US" w:eastAsia="zh-CN"/>
              </w:rPr>
            </w:pPr>
            <w:bookmarkStart w:id="36" w:name="_Toc31105"/>
            <w:bookmarkStart w:id="37" w:name="_Toc11141"/>
            <w:r>
              <w:rPr>
                <w:rFonts w:hint="default" w:ascii="Times New Roman" w:hAnsi="Times New Roman" w:eastAsia="宋体" w:cs="Times New Roman"/>
                <w:b/>
                <w:color w:val="000000"/>
                <w:sz w:val="21"/>
                <w:szCs w:val="21"/>
                <w:highlight w:val="none"/>
                <w:u w:val="single" w:color="auto"/>
                <w:lang w:val="en-US" w:eastAsia="zh-CN"/>
              </w:rPr>
              <w:t>表1-</w:t>
            </w:r>
            <w:r>
              <w:rPr>
                <w:rFonts w:hint="eastAsia" w:ascii="Times New Roman" w:hAnsi="Times New Roman" w:eastAsia="宋体" w:cs="Times New Roman"/>
                <w:b/>
                <w:color w:val="000000"/>
                <w:sz w:val="21"/>
                <w:szCs w:val="21"/>
                <w:highlight w:val="none"/>
                <w:u w:val="single" w:color="auto"/>
                <w:lang w:val="en-US" w:eastAsia="zh-CN"/>
              </w:rPr>
              <w:t xml:space="preserve">3 </w:t>
            </w:r>
            <w:r>
              <w:rPr>
                <w:rFonts w:hint="default" w:ascii="Times New Roman" w:hAnsi="Times New Roman" w:eastAsia="宋体" w:cs="Times New Roman"/>
                <w:b/>
                <w:color w:val="000000"/>
                <w:sz w:val="21"/>
                <w:szCs w:val="21"/>
                <w:highlight w:val="none"/>
                <w:u w:val="single" w:color="auto"/>
                <w:lang w:val="en-US" w:eastAsia="zh-CN"/>
              </w:rPr>
              <w:t xml:space="preserve"> </w:t>
            </w:r>
            <w:r>
              <w:rPr>
                <w:rFonts w:hint="eastAsia" w:ascii="Times New Roman" w:hAnsi="Times New Roman" w:eastAsia="宋体" w:cs="Times New Roman"/>
                <w:b/>
                <w:color w:val="000000"/>
                <w:sz w:val="21"/>
                <w:szCs w:val="21"/>
                <w:highlight w:val="none"/>
                <w:u w:val="single" w:color="auto"/>
                <w:lang w:val="en-US" w:eastAsia="zh-CN"/>
              </w:rPr>
              <w:t>新田产业开发区</w:t>
            </w:r>
            <w:r>
              <w:rPr>
                <w:rFonts w:hint="default" w:ascii="Times New Roman" w:hAnsi="Times New Roman" w:eastAsia="宋体" w:cs="Times New Roman"/>
                <w:b/>
                <w:color w:val="000000"/>
                <w:sz w:val="21"/>
                <w:szCs w:val="21"/>
                <w:highlight w:val="none"/>
                <w:u w:val="single" w:color="auto"/>
                <w:lang w:val="en-US" w:eastAsia="zh-CN"/>
              </w:rPr>
              <w:t>环境管控单元概况一览表</w:t>
            </w:r>
            <w:bookmarkEnd w:id="36"/>
            <w:bookmarkEnd w:id="37"/>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767"/>
              <w:gridCol w:w="431"/>
              <w:gridCol w:w="451"/>
              <w:gridCol w:w="441"/>
              <w:gridCol w:w="595"/>
              <w:gridCol w:w="1224"/>
              <w:gridCol w:w="1181"/>
              <w:gridCol w:w="892"/>
              <w:gridCol w:w="3221"/>
              <w:gridCol w:w="2561"/>
            </w:tblGrid>
            <w:tr w14:paraId="3CF21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51" w:type="dxa"/>
                  <w:vMerge w:val="restart"/>
                  <w:tcBorders>
                    <w:tl2br w:val="nil"/>
                    <w:tr2bl w:val="nil"/>
                  </w:tcBorders>
                  <w:noWrap w:val="0"/>
                  <w:vAlign w:val="center"/>
                </w:tcPr>
                <w:p w14:paraId="57620A6A">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bookmarkStart w:id="38" w:name="_Toc4280"/>
                  <w:bookmarkStart w:id="39" w:name="_Toc399"/>
                  <w:r>
                    <w:rPr>
                      <w:rFonts w:hint="default" w:ascii="Times New Roman" w:hAnsi="Times New Roman" w:eastAsia="宋体" w:cs="Times New Roman"/>
                      <w:b/>
                      <w:bCs/>
                      <w:color w:val="000000"/>
                      <w:sz w:val="21"/>
                      <w:szCs w:val="21"/>
                      <w:u w:val="single" w:color="auto"/>
                      <w:lang w:val="en-US" w:eastAsia="zh-CN"/>
                    </w:rPr>
                    <w:t>环境管控单元编码</w:t>
                  </w:r>
                </w:p>
              </w:tc>
              <w:tc>
                <w:tcPr>
                  <w:tcW w:w="798" w:type="dxa"/>
                  <w:vMerge w:val="restart"/>
                  <w:tcBorders>
                    <w:tl2br w:val="nil"/>
                    <w:tr2bl w:val="nil"/>
                  </w:tcBorders>
                  <w:noWrap w:val="0"/>
                  <w:vAlign w:val="center"/>
                </w:tcPr>
                <w:p w14:paraId="55F17D6C">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单元</w:t>
                  </w:r>
                </w:p>
                <w:p w14:paraId="46FFB913">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sz w:val="21"/>
                      <w:szCs w:val="21"/>
                      <w:u w:val="single" w:color="auto"/>
                      <w:lang w:val="en-US" w:eastAsia="zh-CN"/>
                    </w:rPr>
                    <w:t>名称</w:t>
                  </w:r>
                </w:p>
              </w:tc>
              <w:tc>
                <w:tcPr>
                  <w:tcW w:w="1326" w:type="dxa"/>
                  <w:gridSpan w:val="3"/>
                  <w:tcBorders>
                    <w:tl2br w:val="nil"/>
                    <w:tr2bl w:val="nil"/>
                  </w:tcBorders>
                  <w:noWrap w:val="0"/>
                  <w:vAlign w:val="center"/>
                </w:tcPr>
                <w:p w14:paraId="07CCF1D9">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行政区划</w:t>
                  </w:r>
                </w:p>
              </w:tc>
              <w:tc>
                <w:tcPr>
                  <w:tcW w:w="610" w:type="dxa"/>
                  <w:vMerge w:val="restart"/>
                  <w:tcBorders>
                    <w:tl2br w:val="nil"/>
                    <w:tr2bl w:val="nil"/>
                  </w:tcBorders>
                  <w:noWrap w:val="0"/>
                  <w:vAlign w:val="center"/>
                </w:tcPr>
                <w:p w14:paraId="43E3D984">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单元分类</w:t>
                  </w:r>
                </w:p>
              </w:tc>
              <w:tc>
                <w:tcPr>
                  <w:tcW w:w="1245" w:type="dxa"/>
                  <w:vMerge w:val="restart"/>
                  <w:tcBorders>
                    <w:tl2br w:val="nil"/>
                    <w:tr2bl w:val="nil"/>
                  </w:tcBorders>
                  <w:noWrap w:val="0"/>
                  <w:vAlign w:val="center"/>
                </w:tcPr>
                <w:p w14:paraId="5FCA916C">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单元面积</w:t>
                  </w:r>
                  <w:r>
                    <w:rPr>
                      <w:rFonts w:hint="eastAsia" w:ascii="Times New Roman" w:hAnsi="Times New Roman" w:eastAsia="宋体" w:cs="Times New Roman"/>
                      <w:b/>
                      <w:bCs/>
                      <w:color w:val="000000"/>
                      <w:sz w:val="21"/>
                      <w:szCs w:val="21"/>
                      <w:u w:val="single" w:color="auto"/>
                      <w:lang w:val="en-US" w:eastAsia="zh-CN"/>
                    </w:rPr>
                    <w:t>（km</w:t>
                  </w:r>
                  <w:r>
                    <w:rPr>
                      <w:rFonts w:hint="eastAsia" w:ascii="Times New Roman" w:hAnsi="Times New Roman" w:eastAsia="宋体" w:cs="Times New Roman"/>
                      <w:b/>
                      <w:bCs/>
                      <w:color w:val="000000"/>
                      <w:sz w:val="21"/>
                      <w:szCs w:val="21"/>
                      <w:u w:val="single" w:color="auto"/>
                      <w:vertAlign w:val="superscript"/>
                      <w:lang w:val="en-US" w:eastAsia="zh-CN"/>
                    </w:rPr>
                    <w:t>2</w:t>
                  </w:r>
                  <w:r>
                    <w:rPr>
                      <w:rFonts w:hint="eastAsia" w:ascii="Times New Roman" w:hAnsi="Times New Roman" w:eastAsia="宋体" w:cs="Times New Roman"/>
                      <w:b/>
                      <w:bCs/>
                      <w:color w:val="000000"/>
                      <w:sz w:val="21"/>
                      <w:szCs w:val="21"/>
                      <w:u w:val="single" w:color="auto"/>
                      <w:lang w:val="en-US" w:eastAsia="zh-CN"/>
                    </w:rPr>
                    <w:t>）</w:t>
                  </w:r>
                </w:p>
              </w:tc>
              <w:tc>
                <w:tcPr>
                  <w:tcW w:w="1230" w:type="dxa"/>
                  <w:vMerge w:val="restart"/>
                  <w:tcBorders>
                    <w:tl2br w:val="nil"/>
                    <w:tr2bl w:val="nil"/>
                  </w:tcBorders>
                  <w:noWrap w:val="0"/>
                  <w:vAlign w:val="center"/>
                </w:tcPr>
                <w:p w14:paraId="25D7A59D">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40" w:name="_Toc22517"/>
                  <w:bookmarkStart w:id="41" w:name="_Toc13665"/>
                  <w:r>
                    <w:rPr>
                      <w:rFonts w:hint="default" w:ascii="Times New Roman" w:hAnsi="Times New Roman" w:eastAsia="宋体" w:cs="Times New Roman"/>
                      <w:b/>
                      <w:bCs/>
                      <w:color w:val="000000"/>
                      <w:sz w:val="21"/>
                      <w:szCs w:val="21"/>
                      <w:u w:val="single" w:color="auto"/>
                      <w:lang w:val="en-US" w:eastAsia="zh-CN"/>
                    </w:rPr>
                    <w:t>涉及乡镇（街道）</w:t>
                  </w:r>
                  <w:bookmarkEnd w:id="40"/>
                  <w:bookmarkEnd w:id="41"/>
                </w:p>
              </w:tc>
              <w:tc>
                <w:tcPr>
                  <w:tcW w:w="915" w:type="dxa"/>
                  <w:vMerge w:val="restart"/>
                  <w:tcBorders>
                    <w:tl2br w:val="nil"/>
                    <w:tr2bl w:val="nil"/>
                  </w:tcBorders>
                  <w:noWrap w:val="0"/>
                  <w:vAlign w:val="center"/>
                </w:tcPr>
                <w:p w14:paraId="620D5F4D">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区域主体功能定位</w:t>
                  </w:r>
                </w:p>
              </w:tc>
              <w:tc>
                <w:tcPr>
                  <w:tcW w:w="3418" w:type="dxa"/>
                  <w:vMerge w:val="restart"/>
                  <w:tcBorders>
                    <w:tl2br w:val="nil"/>
                    <w:tr2bl w:val="nil"/>
                  </w:tcBorders>
                  <w:noWrap w:val="0"/>
                  <w:vAlign w:val="center"/>
                </w:tcPr>
                <w:p w14:paraId="2F08E81D">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42" w:name="_Toc30993"/>
                  <w:bookmarkStart w:id="43" w:name="_Toc1288"/>
                  <w:r>
                    <w:rPr>
                      <w:rFonts w:hint="default" w:ascii="Times New Roman" w:hAnsi="Times New Roman" w:eastAsia="宋体" w:cs="Times New Roman"/>
                      <w:b/>
                      <w:bCs/>
                      <w:color w:val="000000"/>
                      <w:sz w:val="21"/>
                      <w:szCs w:val="21"/>
                      <w:u w:val="single" w:color="auto"/>
                      <w:lang w:val="en-US" w:eastAsia="zh-CN"/>
                    </w:rPr>
                    <w:t>主导产业</w:t>
                  </w:r>
                  <w:bookmarkEnd w:id="42"/>
                  <w:bookmarkEnd w:id="43"/>
                </w:p>
              </w:tc>
              <w:tc>
                <w:tcPr>
                  <w:tcW w:w="2736" w:type="dxa"/>
                  <w:vMerge w:val="restart"/>
                  <w:tcBorders>
                    <w:tl2br w:val="nil"/>
                    <w:tr2bl w:val="nil"/>
                  </w:tcBorders>
                  <w:noWrap w:val="0"/>
                  <w:vAlign w:val="center"/>
                </w:tcPr>
                <w:p w14:paraId="3CC94634">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44" w:name="_Toc5660"/>
                  <w:bookmarkStart w:id="45" w:name="_Toc10624"/>
                  <w:r>
                    <w:rPr>
                      <w:rFonts w:hint="default" w:ascii="Times New Roman" w:hAnsi="Times New Roman" w:eastAsia="宋体" w:cs="Times New Roman"/>
                      <w:b/>
                      <w:bCs/>
                      <w:color w:val="000000"/>
                      <w:sz w:val="21"/>
                      <w:szCs w:val="21"/>
                      <w:u w:val="single" w:color="auto"/>
                      <w:lang w:val="en-US" w:eastAsia="zh-CN"/>
                    </w:rPr>
                    <w:t>主要环境问题</w:t>
                  </w:r>
                  <w:bookmarkEnd w:id="44"/>
                  <w:bookmarkEnd w:id="45"/>
                </w:p>
              </w:tc>
            </w:tr>
            <w:tr w14:paraId="3E6DC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51" w:type="dxa"/>
                  <w:vMerge w:val="continue"/>
                  <w:tcBorders>
                    <w:tl2br w:val="nil"/>
                    <w:tr2bl w:val="nil"/>
                  </w:tcBorders>
                  <w:noWrap w:val="0"/>
                  <w:vAlign w:val="center"/>
                </w:tcPr>
                <w:p w14:paraId="26BBFC31">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798" w:type="dxa"/>
                  <w:vMerge w:val="continue"/>
                  <w:tcBorders>
                    <w:tl2br w:val="nil"/>
                    <w:tr2bl w:val="nil"/>
                  </w:tcBorders>
                  <w:noWrap w:val="0"/>
                  <w:vAlign w:val="center"/>
                </w:tcPr>
                <w:p w14:paraId="7F544239">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431" w:type="dxa"/>
                  <w:tcBorders>
                    <w:tl2br w:val="nil"/>
                    <w:tr2bl w:val="nil"/>
                  </w:tcBorders>
                  <w:noWrap w:val="0"/>
                  <w:vAlign w:val="center"/>
                </w:tcPr>
                <w:p w14:paraId="5FDD5644">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sz w:val="21"/>
                      <w:szCs w:val="21"/>
                      <w:u w:val="single" w:color="auto"/>
                      <w:lang w:val="en-US" w:eastAsia="zh-CN"/>
                    </w:rPr>
                    <w:t>省</w:t>
                  </w:r>
                </w:p>
              </w:tc>
              <w:tc>
                <w:tcPr>
                  <w:tcW w:w="453" w:type="dxa"/>
                  <w:tcBorders>
                    <w:tl2br w:val="nil"/>
                    <w:tr2bl w:val="nil"/>
                  </w:tcBorders>
                  <w:noWrap w:val="0"/>
                  <w:vAlign w:val="center"/>
                </w:tcPr>
                <w:p w14:paraId="4D99E75D">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sz w:val="21"/>
                      <w:szCs w:val="21"/>
                      <w:u w:val="single" w:color="auto"/>
                      <w:lang w:val="en-US" w:eastAsia="zh-CN"/>
                    </w:rPr>
                    <w:t>市</w:t>
                  </w:r>
                </w:p>
              </w:tc>
              <w:tc>
                <w:tcPr>
                  <w:tcW w:w="442" w:type="dxa"/>
                  <w:tcBorders>
                    <w:tl2br w:val="nil"/>
                    <w:tr2bl w:val="nil"/>
                  </w:tcBorders>
                  <w:noWrap w:val="0"/>
                  <w:vAlign w:val="center"/>
                </w:tcPr>
                <w:p w14:paraId="781AE69B">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sz w:val="21"/>
                      <w:szCs w:val="21"/>
                      <w:u w:val="single" w:color="auto"/>
                      <w:lang w:val="en-US" w:eastAsia="zh-CN"/>
                    </w:rPr>
                    <w:t>县</w:t>
                  </w:r>
                </w:p>
              </w:tc>
              <w:tc>
                <w:tcPr>
                  <w:tcW w:w="610" w:type="dxa"/>
                  <w:vMerge w:val="continue"/>
                  <w:tcBorders>
                    <w:tl2br w:val="nil"/>
                    <w:tr2bl w:val="nil"/>
                  </w:tcBorders>
                  <w:noWrap w:val="0"/>
                  <w:vAlign w:val="center"/>
                </w:tcPr>
                <w:p w14:paraId="0E154FAB">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1245" w:type="dxa"/>
                  <w:vMerge w:val="continue"/>
                  <w:tcBorders>
                    <w:tl2br w:val="nil"/>
                    <w:tr2bl w:val="nil"/>
                  </w:tcBorders>
                  <w:noWrap w:val="0"/>
                  <w:vAlign w:val="center"/>
                </w:tcPr>
                <w:p w14:paraId="2112B363">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1230" w:type="dxa"/>
                  <w:vMerge w:val="continue"/>
                  <w:tcBorders>
                    <w:tl2br w:val="nil"/>
                    <w:tr2bl w:val="nil"/>
                  </w:tcBorders>
                  <w:noWrap w:val="0"/>
                  <w:vAlign w:val="center"/>
                </w:tcPr>
                <w:p w14:paraId="79C6D5BF">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915" w:type="dxa"/>
                  <w:vMerge w:val="continue"/>
                  <w:tcBorders>
                    <w:tl2br w:val="nil"/>
                    <w:tr2bl w:val="nil"/>
                  </w:tcBorders>
                  <w:noWrap w:val="0"/>
                  <w:vAlign w:val="center"/>
                </w:tcPr>
                <w:p w14:paraId="0842E3A9">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3418" w:type="dxa"/>
                  <w:vMerge w:val="continue"/>
                  <w:tcBorders>
                    <w:tl2br w:val="nil"/>
                    <w:tr2bl w:val="nil"/>
                  </w:tcBorders>
                  <w:noWrap w:val="0"/>
                  <w:vAlign w:val="center"/>
                </w:tcPr>
                <w:p w14:paraId="7C4DF064">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c>
                <w:tcPr>
                  <w:tcW w:w="2736" w:type="dxa"/>
                  <w:vMerge w:val="continue"/>
                  <w:tcBorders>
                    <w:tl2br w:val="nil"/>
                    <w:tr2bl w:val="nil"/>
                  </w:tcBorders>
                  <w:noWrap w:val="0"/>
                  <w:vAlign w:val="center"/>
                </w:tcPr>
                <w:p w14:paraId="3F0D6E03">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p>
              </w:tc>
            </w:tr>
            <w:bookmarkEnd w:id="38"/>
            <w:bookmarkEnd w:id="39"/>
            <w:tr w14:paraId="68E63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51" w:type="dxa"/>
                  <w:tcBorders>
                    <w:tl2br w:val="nil"/>
                    <w:tr2bl w:val="nil"/>
                  </w:tcBorders>
                  <w:noWrap w:val="0"/>
                  <w:vAlign w:val="center"/>
                </w:tcPr>
                <w:p w14:paraId="3423D232">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val="0"/>
                      <w:bCs w:val="0"/>
                      <w:color w:val="000000"/>
                      <w:sz w:val="21"/>
                      <w:szCs w:val="21"/>
                      <w:u w:val="single" w:color="auto"/>
                      <w:lang w:val="en-US" w:eastAsia="zh-CN"/>
                    </w:rPr>
                    <w:t>ZH43112820004</w:t>
                  </w:r>
                </w:p>
              </w:tc>
              <w:tc>
                <w:tcPr>
                  <w:tcW w:w="798" w:type="dxa"/>
                  <w:tcBorders>
                    <w:tl2br w:val="nil"/>
                    <w:tr2bl w:val="nil"/>
                  </w:tcBorders>
                  <w:noWrap w:val="0"/>
                  <w:vAlign w:val="center"/>
                </w:tcPr>
                <w:p w14:paraId="088B6A8C">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eastAsia" w:ascii="Times New Roman" w:hAnsi="Times New Roman" w:eastAsia="宋体" w:cs="Times New Roman"/>
                      <w:b w:val="0"/>
                      <w:bCs w:val="0"/>
                      <w:color w:val="000000"/>
                      <w:sz w:val="21"/>
                      <w:szCs w:val="21"/>
                      <w:u w:val="single" w:color="auto"/>
                      <w:lang w:val="en-US" w:eastAsia="zh-CN"/>
                    </w:rPr>
                    <w:t>新田产业开发区</w:t>
                  </w:r>
                </w:p>
              </w:tc>
              <w:tc>
                <w:tcPr>
                  <w:tcW w:w="431" w:type="dxa"/>
                  <w:tcBorders>
                    <w:tl2br w:val="nil"/>
                    <w:tr2bl w:val="nil"/>
                  </w:tcBorders>
                  <w:noWrap w:val="0"/>
                  <w:vAlign w:val="center"/>
                </w:tcPr>
                <w:p w14:paraId="7B1AC50B">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46" w:name="_Toc8281"/>
                  <w:bookmarkStart w:id="47" w:name="_Toc19417"/>
                  <w:r>
                    <w:rPr>
                      <w:rFonts w:hint="default" w:ascii="Times New Roman" w:hAnsi="Times New Roman" w:eastAsia="宋体" w:cs="Times New Roman"/>
                      <w:b w:val="0"/>
                      <w:bCs w:val="0"/>
                      <w:color w:val="000000"/>
                      <w:sz w:val="21"/>
                      <w:szCs w:val="21"/>
                      <w:u w:val="single" w:color="auto"/>
                      <w:lang w:val="en-US" w:eastAsia="zh-CN"/>
                    </w:rPr>
                    <w:t>湖南省</w:t>
                  </w:r>
                  <w:bookmarkEnd w:id="46"/>
                  <w:bookmarkEnd w:id="47"/>
                </w:p>
              </w:tc>
              <w:tc>
                <w:tcPr>
                  <w:tcW w:w="453" w:type="dxa"/>
                  <w:tcBorders>
                    <w:tl2br w:val="nil"/>
                    <w:tr2bl w:val="nil"/>
                  </w:tcBorders>
                  <w:noWrap w:val="0"/>
                  <w:vAlign w:val="center"/>
                </w:tcPr>
                <w:p w14:paraId="5E5D23B1">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永州市</w:t>
                  </w:r>
                </w:p>
              </w:tc>
              <w:tc>
                <w:tcPr>
                  <w:tcW w:w="442" w:type="dxa"/>
                  <w:tcBorders>
                    <w:tl2br w:val="nil"/>
                    <w:tr2bl w:val="nil"/>
                  </w:tcBorders>
                  <w:noWrap w:val="0"/>
                  <w:vAlign w:val="center"/>
                </w:tcPr>
                <w:p w14:paraId="7BC62F6E">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新田县</w:t>
                  </w:r>
                </w:p>
              </w:tc>
              <w:tc>
                <w:tcPr>
                  <w:tcW w:w="610" w:type="dxa"/>
                  <w:tcBorders>
                    <w:tl2br w:val="nil"/>
                    <w:tr2bl w:val="nil"/>
                  </w:tcBorders>
                  <w:noWrap w:val="0"/>
                  <w:vAlign w:val="center"/>
                </w:tcPr>
                <w:p w14:paraId="1BC412CF">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48" w:name="_Toc15924"/>
                  <w:bookmarkStart w:id="49" w:name="_Toc26229"/>
                  <w:r>
                    <w:rPr>
                      <w:rFonts w:hint="default" w:ascii="Times New Roman" w:hAnsi="Times New Roman" w:eastAsia="宋体" w:cs="Times New Roman"/>
                      <w:b w:val="0"/>
                      <w:bCs w:val="0"/>
                      <w:color w:val="000000"/>
                      <w:sz w:val="21"/>
                      <w:szCs w:val="21"/>
                      <w:u w:val="single" w:color="auto"/>
                      <w:lang w:val="en-US" w:eastAsia="zh-CN"/>
                    </w:rPr>
                    <w:t>重点管控单元</w:t>
                  </w:r>
                  <w:bookmarkEnd w:id="48"/>
                  <w:bookmarkEnd w:id="49"/>
                </w:p>
              </w:tc>
              <w:tc>
                <w:tcPr>
                  <w:tcW w:w="1245" w:type="dxa"/>
                  <w:tcBorders>
                    <w:tl2br w:val="nil"/>
                    <w:tr2bl w:val="nil"/>
                  </w:tcBorders>
                  <w:noWrap w:val="0"/>
                  <w:vAlign w:val="center"/>
                </w:tcPr>
                <w:p w14:paraId="254D911F">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50" w:name="_Toc25020"/>
                  <w:bookmarkStart w:id="51" w:name="_Toc16896"/>
                  <w:r>
                    <w:rPr>
                      <w:rFonts w:hint="default" w:ascii="Times New Roman" w:hAnsi="Times New Roman" w:eastAsia="宋体" w:cs="Times New Roman"/>
                      <w:b w:val="0"/>
                      <w:bCs w:val="0"/>
                      <w:color w:val="000000"/>
                      <w:sz w:val="21"/>
                      <w:szCs w:val="21"/>
                      <w:u w:val="single" w:color="auto"/>
                      <w:lang w:val="en-US" w:eastAsia="zh-CN"/>
                    </w:rPr>
                    <w:t>核准范围：</w:t>
                  </w:r>
                  <w:bookmarkEnd w:id="50"/>
                  <w:bookmarkEnd w:id="51"/>
                  <w:r>
                    <w:rPr>
                      <w:rFonts w:hint="eastAsia" w:ascii="Times New Roman" w:hAnsi="Times New Roman" w:eastAsia="宋体" w:cs="Times New Roman"/>
                      <w:b w:val="0"/>
                      <w:bCs w:val="0"/>
                      <w:color w:val="000000"/>
                      <w:sz w:val="21"/>
                      <w:szCs w:val="21"/>
                      <w:u w:val="single" w:color="auto"/>
                      <w:lang w:val="en-US" w:eastAsia="zh-CN"/>
                    </w:rPr>
                    <w:t>4.2364</w:t>
                  </w:r>
                </w:p>
              </w:tc>
              <w:tc>
                <w:tcPr>
                  <w:tcW w:w="1230" w:type="dxa"/>
                  <w:tcBorders>
                    <w:tl2br w:val="nil"/>
                    <w:tr2bl w:val="nil"/>
                  </w:tcBorders>
                  <w:noWrap w:val="0"/>
                  <w:vAlign w:val="center"/>
                </w:tcPr>
                <w:p w14:paraId="1C830D2E">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val="0"/>
                      <w:bCs w:val="0"/>
                      <w:color w:val="000000"/>
                      <w:sz w:val="21"/>
                      <w:szCs w:val="21"/>
                      <w:u w:val="single" w:color="auto"/>
                      <w:lang w:val="en-US" w:eastAsia="zh-CN"/>
                    </w:rPr>
                    <w:t>核准范围*</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一区一园</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区块一涉及龙泉镇</w:t>
                  </w:r>
                </w:p>
              </w:tc>
              <w:tc>
                <w:tcPr>
                  <w:tcW w:w="915" w:type="dxa"/>
                  <w:tcBorders>
                    <w:tl2br w:val="nil"/>
                    <w:tr2bl w:val="nil"/>
                  </w:tcBorders>
                  <w:noWrap w:val="0"/>
                  <w:vAlign w:val="center"/>
                </w:tcPr>
                <w:p w14:paraId="636532D9">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val="0"/>
                      <w:bCs w:val="0"/>
                      <w:color w:val="000000"/>
                      <w:sz w:val="21"/>
                      <w:szCs w:val="21"/>
                      <w:u w:val="single" w:color="auto"/>
                      <w:lang w:val="en-US" w:eastAsia="zh-CN"/>
                    </w:rPr>
                    <w:t>龙泉镇</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城市化地区</w:t>
                  </w:r>
                  <w:r>
                    <w:rPr>
                      <w:rFonts w:hint="eastAsia" w:cs="Times New Roman"/>
                      <w:b w:val="0"/>
                      <w:bCs w:val="0"/>
                      <w:color w:val="000000"/>
                      <w:sz w:val="21"/>
                      <w:szCs w:val="21"/>
                      <w:u w:val="single" w:color="auto"/>
                      <w:lang w:val="en-US" w:eastAsia="zh-CN"/>
                    </w:rPr>
                    <w:t>。</w:t>
                  </w:r>
                </w:p>
              </w:tc>
              <w:tc>
                <w:tcPr>
                  <w:tcW w:w="3418" w:type="dxa"/>
                  <w:tcBorders>
                    <w:tl2br w:val="nil"/>
                    <w:tr2bl w:val="nil"/>
                  </w:tcBorders>
                  <w:noWrap w:val="0"/>
                  <w:vAlign w:val="center"/>
                </w:tcPr>
                <w:p w14:paraId="21EF67B8">
                  <w:pPr>
                    <w:spacing w:line="240" w:lineRule="auto"/>
                    <w:jc w:val="left"/>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湘环评〔2008〕180号</w:t>
                  </w:r>
                  <w:r>
                    <w:rPr>
                      <w:rFonts w:hint="eastAsia" w:cs="Times New Roman"/>
                      <w:b/>
                      <w:bCs/>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农产品加工、纺织品来料加工、高科技工业</w:t>
                  </w:r>
                  <w:r>
                    <w:rPr>
                      <w:rFonts w:hint="eastAsia" w:cs="Times New Roman"/>
                      <w:b w:val="0"/>
                      <w:bCs w:val="0"/>
                      <w:color w:val="000000"/>
                      <w:sz w:val="21"/>
                      <w:szCs w:val="21"/>
                      <w:u w:val="single" w:color="auto"/>
                      <w:lang w:val="en-US" w:eastAsia="zh-CN"/>
                    </w:rPr>
                    <w:t>；</w:t>
                  </w:r>
                </w:p>
                <w:p w14:paraId="4E6CB6A2">
                  <w:pPr>
                    <w:spacing w:line="240" w:lineRule="auto"/>
                    <w:jc w:val="left"/>
                    <w:rPr>
                      <w:rFonts w:hint="eastAsia" w:cs="Times New Roman"/>
                      <w:b w:val="0"/>
                      <w:bCs w:val="0"/>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六部委公告2018年第4号</w:t>
                  </w:r>
                  <w:r>
                    <w:rPr>
                      <w:rFonts w:hint="eastAsia" w:cs="Times New Roman"/>
                      <w:b/>
                      <w:bCs/>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家具、机械、富硒农产品加工</w:t>
                  </w:r>
                  <w:r>
                    <w:rPr>
                      <w:rFonts w:hint="eastAsia" w:cs="Times New Roman"/>
                      <w:b w:val="0"/>
                      <w:bCs w:val="0"/>
                      <w:color w:val="000000"/>
                      <w:sz w:val="21"/>
                      <w:szCs w:val="21"/>
                      <w:u w:val="single" w:color="auto"/>
                      <w:lang w:val="en-US" w:eastAsia="zh-CN"/>
                    </w:rPr>
                    <w:t>；</w:t>
                  </w:r>
                </w:p>
                <w:p w14:paraId="604AD149">
                  <w:pPr>
                    <w:spacing w:line="240" w:lineRule="auto"/>
                    <w:jc w:val="left"/>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湘发改地区〔2021〕394号</w:t>
                  </w:r>
                  <w:r>
                    <w:rPr>
                      <w:rFonts w:hint="eastAsia" w:cs="Times New Roman"/>
                      <w:b/>
                      <w:bCs/>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主导产业</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农产品加工</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智能家私、富硒农产品</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特色产业:智能装备制造</w:t>
                  </w:r>
                  <w:r>
                    <w:rPr>
                      <w:rFonts w:hint="eastAsia" w:ascii="宋体" w:hAnsi="宋体" w:eastAsia="宋体" w:cs="宋体"/>
                      <w:b w:val="0"/>
                      <w:bCs w:val="0"/>
                      <w:color w:val="000000"/>
                      <w:sz w:val="21"/>
                      <w:szCs w:val="21"/>
                      <w:u w:val="single" w:color="auto"/>
                      <w:lang w:val="en-US" w:eastAsia="zh-CN"/>
                    </w:rPr>
                    <w:t>。</w:t>
                  </w:r>
                </w:p>
              </w:tc>
              <w:tc>
                <w:tcPr>
                  <w:tcW w:w="2736" w:type="dxa"/>
                  <w:tcBorders>
                    <w:tl2br w:val="nil"/>
                    <w:tr2bl w:val="nil"/>
                  </w:tcBorders>
                  <w:noWrap w:val="0"/>
                  <w:vAlign w:val="center"/>
                </w:tcPr>
                <w:p w14:paraId="531D0E78">
                  <w:pPr>
                    <w:numPr>
                      <w:ilvl w:val="0"/>
                      <w:numId w:val="0"/>
                    </w:numPr>
                    <w:spacing w:line="240" w:lineRule="auto"/>
                    <w:jc w:val="left"/>
                    <w:rPr>
                      <w:rFonts w:hint="eastAsia" w:cs="Times New Roman"/>
                      <w:b w:val="0"/>
                      <w:bCs w:val="0"/>
                      <w:color w:val="000000"/>
                      <w:sz w:val="21"/>
                      <w:szCs w:val="21"/>
                      <w:u w:val="single" w:color="auto"/>
                      <w:lang w:val="en-US" w:eastAsia="zh-CN"/>
                    </w:rPr>
                  </w:pPr>
                  <w:r>
                    <w:rPr>
                      <w:rFonts w:hint="eastAsia" w:ascii="Times New Roman" w:hAnsi="Times New Roman" w:eastAsia="宋体" w:cs="Times New Roman"/>
                      <w:b w:val="0"/>
                      <w:bCs w:val="0"/>
                      <w:color w:val="000000"/>
                      <w:kern w:val="2"/>
                      <w:sz w:val="21"/>
                      <w:szCs w:val="21"/>
                      <w:u w:val="single" w:color="auto"/>
                      <w:lang w:val="en-US" w:eastAsia="zh-CN" w:bidi="ar-SA"/>
                    </w:rPr>
                    <w:t>1.</w:t>
                  </w:r>
                  <w:r>
                    <w:rPr>
                      <w:rFonts w:hint="default" w:ascii="Times New Roman" w:hAnsi="Times New Roman" w:eastAsia="宋体" w:cs="Times New Roman"/>
                      <w:b w:val="0"/>
                      <w:bCs w:val="0"/>
                      <w:color w:val="000000"/>
                      <w:sz w:val="21"/>
                      <w:szCs w:val="21"/>
                      <w:u w:val="single" w:color="auto"/>
                      <w:lang w:val="en-US" w:eastAsia="zh-CN"/>
                    </w:rPr>
                    <w:t>开发区北部</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新嘉公路以北区域</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位于新田县建成区，居住小区密布</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开发区南部</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新嘉公路以南区域</w:t>
                  </w:r>
                  <w:r>
                    <w:rPr>
                      <w:rFonts w:hint="eastAsia" w:cs="Times New Roman"/>
                      <w:b w:val="0"/>
                      <w:bCs w:val="0"/>
                      <w:color w:val="000000"/>
                      <w:sz w:val="21"/>
                      <w:szCs w:val="21"/>
                      <w:u w:val="single" w:color="auto"/>
                      <w:lang w:val="en-US" w:eastAsia="zh-CN"/>
                    </w:rPr>
                    <w:t>）</w:t>
                  </w:r>
                  <w:r>
                    <w:rPr>
                      <w:rFonts w:hint="default" w:ascii="Times New Roman" w:hAnsi="Times New Roman" w:eastAsia="宋体" w:cs="Times New Roman"/>
                      <w:b w:val="0"/>
                      <w:bCs w:val="0"/>
                      <w:color w:val="000000"/>
                      <w:sz w:val="21"/>
                      <w:szCs w:val="21"/>
                      <w:u w:val="single" w:color="auto"/>
                      <w:lang w:val="en-US" w:eastAsia="zh-CN"/>
                    </w:rPr>
                    <w:t>不同产业交替分布，且居住区与工业区混杂</w:t>
                  </w:r>
                  <w:r>
                    <w:rPr>
                      <w:rFonts w:hint="eastAsia" w:cs="Times New Roman"/>
                      <w:b w:val="0"/>
                      <w:bCs w:val="0"/>
                      <w:color w:val="000000"/>
                      <w:sz w:val="21"/>
                      <w:szCs w:val="21"/>
                      <w:u w:val="single" w:color="auto"/>
                      <w:lang w:val="en-US" w:eastAsia="zh-CN"/>
                    </w:rPr>
                    <w:t>；</w:t>
                  </w:r>
                </w:p>
                <w:p w14:paraId="3F48F30E">
                  <w:pPr>
                    <w:numPr>
                      <w:ilvl w:val="0"/>
                      <w:numId w:val="0"/>
                    </w:numPr>
                    <w:spacing w:line="240" w:lineRule="auto"/>
                    <w:jc w:val="left"/>
                    <w:rPr>
                      <w:rFonts w:hint="default" w:ascii="Times New Roman" w:hAnsi="Times New Roman" w:eastAsia="宋体" w:cs="Times New Roman"/>
                      <w:b w:val="0"/>
                      <w:bCs w:val="0"/>
                      <w:color w:val="000000"/>
                      <w:sz w:val="21"/>
                      <w:szCs w:val="21"/>
                      <w:u w:val="single" w:color="auto"/>
                      <w:lang w:val="en-US" w:eastAsia="zh-CN"/>
                    </w:rPr>
                  </w:pPr>
                  <w:r>
                    <w:rPr>
                      <w:rFonts w:hint="default" w:ascii="Times New Roman" w:hAnsi="Times New Roman" w:eastAsia="宋体" w:cs="Times New Roman"/>
                      <w:b w:val="0"/>
                      <w:bCs w:val="0"/>
                      <w:color w:val="000000"/>
                      <w:sz w:val="21"/>
                      <w:szCs w:val="21"/>
                      <w:u w:val="single" w:color="auto"/>
                      <w:lang w:val="en-US" w:eastAsia="zh-CN"/>
                    </w:rPr>
                    <w:t>2.园区配套污水处理厂尚未完成建设，现依托的新田县污水处理厂负荷已近饱和。</w:t>
                  </w:r>
                </w:p>
              </w:tc>
            </w:tr>
          </w:tbl>
          <w:p w14:paraId="7D3D3E3D">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color="auto"/>
                <w:lang w:val="en-US" w:eastAsia="zh-CN"/>
              </w:rPr>
            </w:pPr>
            <w:r>
              <w:rPr>
                <w:rFonts w:hint="eastAsia" w:asciiTheme="minorEastAsia" w:hAnsiTheme="minorEastAsia" w:eastAsiaTheme="minorEastAsia" w:cstheme="minorEastAsia"/>
                <w:color w:val="000000"/>
                <w:sz w:val="32"/>
                <w:szCs w:val="32"/>
                <w:u w:val="single" w:color="auto"/>
                <w:vertAlign w:val="baseline"/>
                <w:lang w:val="en-US" w:eastAsia="zh-CN"/>
              </w:rPr>
              <w:t xml:space="preserve"> </w:t>
            </w:r>
            <w:r>
              <w:rPr>
                <w:rFonts w:hint="default" w:ascii="Times New Roman" w:hAnsi="Times New Roman" w:eastAsia="宋体" w:cs="Times New Roman"/>
                <w:b/>
                <w:color w:val="000000"/>
                <w:sz w:val="21"/>
                <w:szCs w:val="21"/>
                <w:highlight w:val="none"/>
                <w:u w:val="single" w:color="auto"/>
                <w:lang w:val="en-US" w:eastAsia="zh-CN"/>
              </w:rPr>
              <w:t>表1-</w:t>
            </w:r>
            <w:r>
              <w:rPr>
                <w:rFonts w:hint="eastAsia" w:ascii="Times New Roman" w:hAnsi="Times New Roman" w:eastAsia="宋体" w:cs="Times New Roman"/>
                <w:b/>
                <w:color w:val="000000"/>
                <w:sz w:val="21"/>
                <w:szCs w:val="21"/>
                <w:highlight w:val="none"/>
                <w:u w:val="single" w:color="auto"/>
                <w:lang w:val="en-US" w:eastAsia="zh-CN"/>
              </w:rPr>
              <w:t>4  本项目与新田产业开发区</w:t>
            </w:r>
            <w:r>
              <w:rPr>
                <w:rFonts w:hint="default" w:ascii="Times New Roman" w:hAnsi="Times New Roman" w:eastAsia="宋体" w:cs="Times New Roman"/>
                <w:b/>
                <w:color w:val="000000"/>
                <w:sz w:val="21"/>
                <w:szCs w:val="21"/>
                <w:highlight w:val="none"/>
                <w:u w:val="single" w:color="auto"/>
                <w:lang w:val="en-US" w:eastAsia="zh-CN"/>
              </w:rPr>
              <w:t>生态环境准入清单</w:t>
            </w:r>
            <w:r>
              <w:rPr>
                <w:rFonts w:hint="eastAsia" w:ascii="Times New Roman" w:hAnsi="Times New Roman" w:eastAsia="宋体" w:cs="Times New Roman"/>
                <w:b/>
                <w:color w:val="000000"/>
                <w:sz w:val="21"/>
                <w:szCs w:val="21"/>
                <w:highlight w:val="none"/>
                <w:u w:val="single" w:color="auto"/>
                <w:lang w:val="en-US" w:eastAsia="zh-CN"/>
              </w:rPr>
              <w:t>的</w:t>
            </w:r>
            <w:r>
              <w:rPr>
                <w:rFonts w:hint="default" w:ascii="Times New Roman" w:hAnsi="Times New Roman" w:eastAsia="宋体" w:cs="Times New Roman"/>
                <w:b/>
                <w:color w:val="000000"/>
                <w:sz w:val="21"/>
                <w:szCs w:val="21"/>
                <w:highlight w:val="none"/>
                <w:u w:val="single" w:color="auto"/>
                <w:lang w:val="en-US" w:eastAsia="zh-CN"/>
              </w:rPr>
              <w:t>管控要求</w:t>
            </w:r>
            <w:r>
              <w:rPr>
                <w:rFonts w:hint="eastAsia" w:ascii="Times New Roman" w:hAnsi="Times New Roman" w:eastAsia="宋体" w:cs="Times New Roman"/>
                <w:b/>
                <w:color w:val="000000"/>
                <w:sz w:val="21"/>
                <w:szCs w:val="21"/>
                <w:highlight w:val="none"/>
                <w:u w:val="single" w:color="auto"/>
                <w:lang w:val="en-US" w:eastAsia="zh-CN"/>
              </w:rPr>
              <w:t>符合性分析</w:t>
            </w:r>
            <w:r>
              <w:rPr>
                <w:rFonts w:hint="default" w:ascii="Times New Roman" w:hAnsi="Times New Roman" w:eastAsia="宋体" w:cs="Times New Roman"/>
                <w:b/>
                <w:color w:val="000000"/>
                <w:sz w:val="21"/>
                <w:szCs w:val="21"/>
                <w:highlight w:val="none"/>
                <w:u w:val="single" w:color="auto"/>
                <w:lang w:val="en-US" w:eastAsia="zh-CN"/>
              </w:rPr>
              <w:t>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6525"/>
              <w:gridCol w:w="5377"/>
              <w:gridCol w:w="834"/>
            </w:tblGrid>
            <w:tr w14:paraId="0FA7B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dxa"/>
                  <w:tcBorders>
                    <w:tl2br w:val="nil"/>
                    <w:tr2bl w:val="nil"/>
                  </w:tcBorders>
                  <w:noWrap w:val="0"/>
                  <w:vAlign w:val="center"/>
                </w:tcPr>
                <w:p w14:paraId="11D44F63">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52" w:name="_Toc17548"/>
                  <w:bookmarkStart w:id="53" w:name="_Toc6355"/>
                  <w:r>
                    <w:rPr>
                      <w:rFonts w:hint="eastAsia" w:ascii="Times New Roman" w:hAnsi="Times New Roman" w:eastAsia="宋体" w:cs="Times New Roman"/>
                      <w:b/>
                      <w:bCs/>
                      <w:color w:val="000000"/>
                      <w:sz w:val="21"/>
                      <w:szCs w:val="21"/>
                      <w:u w:val="single" w:color="auto"/>
                      <w:lang w:val="en-US" w:eastAsia="zh-CN"/>
                    </w:rPr>
                    <w:t>管控纬度</w:t>
                  </w:r>
                  <w:bookmarkEnd w:id="52"/>
                  <w:bookmarkEnd w:id="53"/>
                </w:p>
              </w:tc>
              <w:tc>
                <w:tcPr>
                  <w:tcW w:w="6699" w:type="dxa"/>
                  <w:tcBorders>
                    <w:tl2br w:val="nil"/>
                    <w:tr2bl w:val="nil"/>
                  </w:tcBorders>
                  <w:noWrap w:val="0"/>
                  <w:vAlign w:val="center"/>
                </w:tcPr>
                <w:p w14:paraId="23961B4D">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54" w:name="_Toc29958"/>
                  <w:bookmarkStart w:id="55" w:name="_Toc21731"/>
                  <w:r>
                    <w:rPr>
                      <w:rFonts w:hint="eastAsia" w:ascii="Times New Roman" w:hAnsi="Times New Roman" w:eastAsia="宋体" w:cs="Times New Roman"/>
                      <w:b/>
                      <w:bCs/>
                      <w:color w:val="000000"/>
                      <w:sz w:val="21"/>
                      <w:szCs w:val="21"/>
                      <w:u w:val="single" w:color="auto"/>
                      <w:lang w:val="en-US" w:eastAsia="zh-CN"/>
                    </w:rPr>
                    <w:t>管控要求</w:t>
                  </w:r>
                  <w:bookmarkEnd w:id="54"/>
                  <w:bookmarkEnd w:id="55"/>
                </w:p>
              </w:tc>
              <w:tc>
                <w:tcPr>
                  <w:tcW w:w="5486" w:type="dxa"/>
                  <w:tcBorders>
                    <w:tl2br w:val="nil"/>
                    <w:tr2bl w:val="nil"/>
                  </w:tcBorders>
                  <w:noWrap w:val="0"/>
                  <w:vAlign w:val="center"/>
                </w:tcPr>
                <w:p w14:paraId="641F5720">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56" w:name="_Toc20314"/>
                  <w:bookmarkStart w:id="57" w:name="_Toc21958"/>
                  <w:r>
                    <w:rPr>
                      <w:rFonts w:hint="eastAsia" w:ascii="Times New Roman" w:hAnsi="Times New Roman" w:eastAsia="宋体" w:cs="Times New Roman"/>
                      <w:b/>
                      <w:bCs/>
                      <w:color w:val="000000"/>
                      <w:sz w:val="21"/>
                      <w:szCs w:val="21"/>
                      <w:u w:val="single" w:color="auto"/>
                      <w:lang w:val="en-US" w:eastAsia="zh-CN"/>
                    </w:rPr>
                    <w:t>本项目情况</w:t>
                  </w:r>
                  <w:bookmarkEnd w:id="56"/>
                  <w:bookmarkEnd w:id="57"/>
                </w:p>
              </w:tc>
              <w:tc>
                <w:tcPr>
                  <w:tcW w:w="847" w:type="dxa"/>
                  <w:tcBorders>
                    <w:tl2br w:val="nil"/>
                    <w:tr2bl w:val="nil"/>
                  </w:tcBorders>
                  <w:noWrap w:val="0"/>
                  <w:vAlign w:val="center"/>
                </w:tcPr>
                <w:p w14:paraId="296A6877">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58" w:name="_Toc13205"/>
                  <w:bookmarkStart w:id="59" w:name="_Toc9800"/>
                  <w:r>
                    <w:rPr>
                      <w:rFonts w:hint="eastAsia" w:ascii="Times New Roman" w:hAnsi="Times New Roman" w:eastAsia="宋体" w:cs="Times New Roman"/>
                      <w:b/>
                      <w:bCs/>
                      <w:color w:val="000000"/>
                      <w:sz w:val="21"/>
                      <w:szCs w:val="21"/>
                      <w:u w:val="single" w:color="auto"/>
                      <w:lang w:val="en-US" w:eastAsia="zh-CN"/>
                    </w:rPr>
                    <w:t>符合性分析</w:t>
                  </w:r>
                  <w:bookmarkEnd w:id="58"/>
                  <w:bookmarkEnd w:id="59"/>
                </w:p>
              </w:tc>
            </w:tr>
            <w:tr w14:paraId="093D1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dxa"/>
                  <w:tcBorders>
                    <w:tl2br w:val="nil"/>
                    <w:tr2bl w:val="nil"/>
                  </w:tcBorders>
                  <w:noWrap w:val="0"/>
                  <w:vAlign w:val="center"/>
                </w:tcPr>
                <w:p w14:paraId="527065E9">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60" w:name="_Toc22062"/>
                  <w:bookmarkStart w:id="61" w:name="_Toc6065"/>
                  <w:r>
                    <w:rPr>
                      <w:rFonts w:hint="eastAsia" w:ascii="Times New Roman" w:hAnsi="Times New Roman" w:eastAsia="宋体" w:cs="Times New Roman"/>
                      <w:b/>
                      <w:bCs/>
                      <w:color w:val="000000"/>
                      <w:sz w:val="21"/>
                      <w:szCs w:val="21"/>
                      <w:u w:val="single" w:color="auto"/>
                      <w:lang w:val="en-US" w:eastAsia="zh-CN"/>
                    </w:rPr>
                    <w:t>空间布局约束</w:t>
                  </w:r>
                  <w:bookmarkEnd w:id="60"/>
                  <w:bookmarkEnd w:id="61"/>
                </w:p>
              </w:tc>
              <w:tc>
                <w:tcPr>
                  <w:tcW w:w="6699" w:type="dxa"/>
                  <w:tcBorders>
                    <w:tl2br w:val="nil"/>
                    <w:tr2bl w:val="nil"/>
                  </w:tcBorders>
                  <w:noWrap w:val="0"/>
                  <w:vAlign w:val="center"/>
                </w:tcPr>
                <w:p w14:paraId="71450992">
                  <w:pPr>
                    <w:spacing w:line="240" w:lineRule="auto"/>
                    <w:jc w:val="left"/>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（1.1）开发区引入项目应符合国家生态功能区产业准入负面清单的有关规定。</w:t>
                  </w:r>
                </w:p>
                <w:p w14:paraId="6047955C">
                  <w:pPr>
                    <w:spacing w:line="240" w:lineRule="auto"/>
                    <w:jc w:val="left"/>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（1.2）开发区仅允许发展一、二类工业，禁止引进和建设三类工业；按照园区主导产业定位要求，限制农产品初加工项目进入；禁止建设印染、印刷电路板、半导体材料制造项目。</w:t>
                  </w:r>
                </w:p>
                <w:p w14:paraId="51F58D57">
                  <w:pPr>
                    <w:spacing w:line="240" w:lineRule="auto"/>
                    <w:jc w:val="left"/>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（1.3）严格限制大气污染物排放量较大的企业，防止对县城空气质量产生不利影响。</w:t>
                  </w:r>
                </w:p>
              </w:tc>
              <w:tc>
                <w:tcPr>
                  <w:tcW w:w="5486" w:type="dxa"/>
                  <w:tcBorders>
                    <w:tl2br w:val="nil"/>
                    <w:tr2bl w:val="nil"/>
                  </w:tcBorders>
                  <w:noWrap w:val="0"/>
                  <w:vAlign w:val="center"/>
                </w:tcPr>
                <w:p w14:paraId="5482BB6E">
                  <w:pPr>
                    <w:spacing w:line="240" w:lineRule="auto"/>
                    <w:jc w:val="left"/>
                    <w:rPr>
                      <w:rFonts w:hint="eastAsia" w:ascii="Times New Roman" w:hAnsi="Times New Roman" w:eastAsia="宋体" w:cs="Times New Roman"/>
                      <w:b w:val="0"/>
                      <w:bCs w:val="0"/>
                      <w:color w:val="FF0000"/>
                      <w:sz w:val="21"/>
                      <w:szCs w:val="21"/>
                      <w:highlight w:val="none"/>
                      <w:u w:val="single" w:color="auto"/>
                      <w:lang w:val="en-US" w:eastAsia="zh-CN"/>
                    </w:rPr>
                  </w:pPr>
                  <w:bookmarkStart w:id="62" w:name="_Toc9031"/>
                  <w:r>
                    <w:rPr>
                      <w:rFonts w:hint="default" w:ascii="Times New Roman" w:hAnsi="Times New Roman" w:cs="Times New Roman"/>
                      <w:color w:val="000000" w:themeColor="text1"/>
                      <w:sz w:val="21"/>
                      <w:szCs w:val="21"/>
                      <w:u w:val="single" w:color="auto"/>
                      <w14:textFill>
                        <w14:solidFill>
                          <w14:schemeClr w14:val="tx1"/>
                        </w14:solidFill>
                      </w14:textFill>
                    </w:rPr>
                    <w:t>本项目为废旧资源回收利用项目，不属于园区禁止引进的项目，同时不属于严格控制的水泥、铸造、焦化、化工等污染企业，也不属于国家明令淘汰和禁止发展的能耗物耗高、环境污染严重、不符合产业政策的建设项目</w:t>
                  </w:r>
                  <w:bookmarkEnd w:id="62"/>
                  <w:r>
                    <w:rPr>
                      <w:rFonts w:hint="eastAsia" w:ascii="Times New Roman" w:hAnsi="Times New Roman" w:cs="Times New Roman"/>
                      <w:color w:val="000000" w:themeColor="text1"/>
                      <w:sz w:val="21"/>
                      <w:szCs w:val="21"/>
                      <w:u w:val="single" w:color="auto"/>
                      <w:lang w:eastAsia="zh-CN"/>
                      <w14:textFill>
                        <w14:solidFill>
                          <w14:schemeClr w14:val="tx1"/>
                        </w14:solidFill>
                      </w14:textFill>
                    </w:rPr>
                    <w:t>。</w:t>
                  </w:r>
                </w:p>
              </w:tc>
              <w:tc>
                <w:tcPr>
                  <w:tcW w:w="847" w:type="dxa"/>
                  <w:tcBorders>
                    <w:tl2br w:val="nil"/>
                    <w:tr2bl w:val="nil"/>
                  </w:tcBorders>
                  <w:noWrap w:val="0"/>
                  <w:vAlign w:val="center"/>
                </w:tcPr>
                <w:p w14:paraId="2B3083A9">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63" w:name="_Toc31353"/>
                  <w:bookmarkStart w:id="64" w:name="_Toc21442"/>
                  <w:r>
                    <w:rPr>
                      <w:rFonts w:hint="eastAsia" w:ascii="Times New Roman" w:hAnsi="Times New Roman" w:eastAsia="宋体" w:cs="Times New Roman"/>
                      <w:b w:val="0"/>
                      <w:bCs w:val="0"/>
                      <w:color w:val="000000"/>
                      <w:sz w:val="21"/>
                      <w:szCs w:val="21"/>
                      <w:u w:val="single" w:color="auto"/>
                      <w:lang w:val="en-US" w:eastAsia="zh-CN"/>
                    </w:rPr>
                    <w:t>符合</w:t>
                  </w:r>
                  <w:bookmarkEnd w:id="63"/>
                  <w:bookmarkEnd w:id="64"/>
                </w:p>
              </w:tc>
            </w:tr>
            <w:tr w14:paraId="3C011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dxa"/>
                  <w:tcBorders>
                    <w:tl2br w:val="nil"/>
                    <w:tr2bl w:val="nil"/>
                  </w:tcBorders>
                  <w:noWrap w:val="0"/>
                  <w:vAlign w:val="center"/>
                </w:tcPr>
                <w:p w14:paraId="67E6D9C5">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65" w:name="_Toc15192"/>
                  <w:bookmarkStart w:id="66" w:name="_Toc3827"/>
                  <w:r>
                    <w:rPr>
                      <w:rFonts w:hint="eastAsia" w:ascii="Times New Roman" w:hAnsi="Times New Roman" w:eastAsia="宋体" w:cs="Times New Roman"/>
                      <w:b/>
                      <w:bCs/>
                      <w:color w:val="000000"/>
                      <w:sz w:val="21"/>
                      <w:szCs w:val="21"/>
                      <w:u w:val="single" w:color="auto"/>
                      <w:lang w:val="en-US" w:eastAsia="zh-CN"/>
                    </w:rPr>
                    <w:t>污染物排放管控</w:t>
                  </w:r>
                  <w:bookmarkEnd w:id="65"/>
                  <w:bookmarkEnd w:id="66"/>
                </w:p>
              </w:tc>
              <w:tc>
                <w:tcPr>
                  <w:tcW w:w="6699" w:type="dxa"/>
                  <w:tcBorders>
                    <w:tl2br w:val="nil"/>
                    <w:tr2bl w:val="nil"/>
                  </w:tcBorders>
                  <w:noWrap w:val="0"/>
                  <w:vAlign w:val="center"/>
                </w:tcPr>
                <w:p w14:paraId="288E4EFA">
                  <w:pPr>
                    <w:spacing w:line="240" w:lineRule="auto"/>
                    <w:jc w:val="both"/>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（2.1）废水：开发区实行雨污分流，废污水依托新田县污水处理厂处理达标后排入新田河；雨水通过雨水管网排入新田河，初期雨水可能产生环境污染的企业应建设初期雨水池。</w:t>
                  </w:r>
                </w:p>
                <w:p w14:paraId="6A9F83FC">
                  <w:pPr>
                    <w:spacing w:line="240" w:lineRule="auto"/>
                    <w:jc w:val="both"/>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2.2）废气：新、改、扩建涉及VOCs排放项目，从原辅材料和工艺过程大力推广使用低（无）VOCs含量的涂料、有机溶剂、胶黏剂、油墨等原辅材料，配套改进生产工艺。开发区内水泥等行业大气污染物排放应满足《湖南省生态环境厅关于执行污染物特别排放限值（第一批）的公告》中的要求。</w:t>
                  </w:r>
                </w:p>
                <w:p w14:paraId="340C430D">
                  <w:pPr>
                    <w:spacing w:line="240" w:lineRule="auto"/>
                    <w:jc w:val="both"/>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2.3）固废：开发区应建立统一的固废收集、贮存、运输、综合利用和安全处置的运营管理体系，做好工业固体废物和生活垃圾的分类收集、转运、综合利用和无害化处理。对各类工业企业产生固体废物特别是危险固废应严格按照国家有关规定综合利用或妥善处置，严防二次污染。</w:t>
                  </w:r>
                </w:p>
              </w:tc>
              <w:tc>
                <w:tcPr>
                  <w:tcW w:w="5486" w:type="dxa"/>
                  <w:tcBorders>
                    <w:tl2br w:val="nil"/>
                    <w:tr2bl w:val="nil"/>
                  </w:tcBorders>
                  <w:noWrap w:val="0"/>
                  <w:vAlign w:val="center"/>
                </w:tcPr>
                <w:p w14:paraId="544C90F0">
                  <w:pPr>
                    <w:numPr>
                      <w:ilvl w:val="0"/>
                      <w:numId w:val="0"/>
                    </w:numPr>
                    <w:spacing w:line="240" w:lineRule="auto"/>
                    <w:jc w:val="both"/>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pPr>
                  <w:bookmarkStart w:id="67" w:name="_Toc25328"/>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①</w:t>
                  </w:r>
                  <w:r>
                    <w:rPr>
                      <w:rFonts w:hint="default" w:ascii="Times New Roman" w:hAnsi="Times New Roman" w:eastAsia="宋体" w:cs="Times New Roman"/>
                      <w:color w:val="000000" w:themeColor="text1"/>
                      <w:spacing w:val="0"/>
                      <w:w w:val="100"/>
                      <w:sz w:val="21"/>
                      <w:szCs w:val="21"/>
                      <w:u w:val="single" w:color="auto"/>
                      <w:lang w:val="en-US" w:eastAsia="zh-CN"/>
                      <w14:textFill>
                        <w14:solidFill>
                          <w14:schemeClr w14:val="tx1"/>
                        </w14:solidFill>
                      </w14:textFill>
                    </w:rPr>
                    <w:t>本项目喷淋用水用于无组织抑尘，随蒸发损耗或随粉尘降落，少量进入产品，不外排。生活污水经龙昶厂区内现有</w:t>
                  </w:r>
                  <w:r>
                    <w:rPr>
                      <w:rFonts w:hint="eastAsia" w:cs="Times New Roman"/>
                      <w:color w:val="000000" w:themeColor="text1"/>
                      <w:spacing w:val="0"/>
                      <w:w w:val="100"/>
                      <w:sz w:val="21"/>
                      <w:szCs w:val="21"/>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u w:val="single" w:color="auto"/>
                      <w:lang w:val="en-US" w:eastAsia="zh-CN"/>
                      <w14:textFill>
                        <w14:solidFill>
                          <w14:schemeClr w14:val="tx1"/>
                        </w14:solidFill>
                      </w14:textFill>
                    </w:rPr>
                    <w:t>化粪池</w:t>
                  </w:r>
                  <w:r>
                    <w:rPr>
                      <w:rFonts w:hint="eastAsia" w:cs="Times New Roman"/>
                      <w:color w:val="000000" w:themeColor="text1"/>
                      <w:spacing w:val="0"/>
                      <w:w w:val="100"/>
                      <w:sz w:val="21"/>
                      <w:szCs w:val="21"/>
                      <w:u w:val="singl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u w:val="single" w:color="auto"/>
                      <w:lang w:val="en-US" w:eastAsia="zh-CN"/>
                      <w14:textFill>
                        <w14:solidFill>
                          <w14:schemeClr w14:val="tx1"/>
                        </w14:solidFill>
                      </w14:textFill>
                    </w:rPr>
                    <w:t>处理达《污水综合排放标准》（GB8978- 1996）表4中三级标准和新田县污水处理厂设计进水水质标准后，通过龙昶厂区现有生活污水排污口排入园区污水管网，</w:t>
                  </w:r>
                  <w:r>
                    <w:rPr>
                      <w:rFonts w:hint="eastAsia" w:ascii="Times New Roman" w:hAnsi="Times New Roman" w:cs="Times New Roman"/>
                      <w:color w:val="000000" w:themeColor="text1"/>
                      <w:spacing w:val="0"/>
                      <w:w w:val="100"/>
                      <w:sz w:val="21"/>
                      <w:szCs w:val="21"/>
                      <w:u w:val="single" w:color="auto"/>
                      <w:lang w:val="en-US" w:eastAsia="zh-CN"/>
                      <w14:textFill>
                        <w14:solidFill>
                          <w14:schemeClr w14:val="tx1"/>
                        </w14:solidFill>
                      </w14:textFill>
                    </w:rPr>
                    <w:t>进入</w:t>
                  </w:r>
                  <w:r>
                    <w:rPr>
                      <w:rFonts w:hint="default" w:ascii="Times New Roman" w:hAnsi="Times New Roman" w:eastAsia="宋体" w:cs="Times New Roman"/>
                      <w:color w:val="000000" w:themeColor="text1"/>
                      <w:spacing w:val="0"/>
                      <w:w w:val="100"/>
                      <w:sz w:val="21"/>
                      <w:szCs w:val="21"/>
                      <w:u w:val="single" w:color="auto"/>
                      <w:lang w:val="en-US" w:eastAsia="zh-CN"/>
                      <w14:textFill>
                        <w14:solidFill>
                          <w14:schemeClr w14:val="tx1"/>
                        </w14:solidFill>
                      </w14:textFill>
                    </w:rPr>
                    <w:t>新田县污水处理厂</w:t>
                  </w:r>
                  <w:r>
                    <w:rPr>
                      <w:rFonts w:hint="eastAsia" w:ascii="Times New Roman" w:hAnsi="Times New Roman" w:cs="Times New Roman"/>
                      <w:color w:val="000000" w:themeColor="text1"/>
                      <w:spacing w:val="0"/>
                      <w:w w:val="100"/>
                      <w:sz w:val="21"/>
                      <w:szCs w:val="21"/>
                      <w:u w:val="single" w:color="auto"/>
                      <w:lang w:val="en-US" w:eastAsia="zh-CN"/>
                      <w14:textFill>
                        <w14:solidFill>
                          <w14:schemeClr w14:val="tx1"/>
                        </w14:solidFill>
                      </w14:textFill>
                    </w:rPr>
                    <w:t>深度处理</w:t>
                  </w:r>
                  <w:r>
                    <w:rPr>
                      <w:rFonts w:hint="eastAsia" w:cs="Times New Roman"/>
                      <w:b w:val="0"/>
                      <w:bCs w:val="0"/>
                      <w:color w:val="000000" w:themeColor="text1"/>
                      <w:kern w:val="2"/>
                      <w:sz w:val="21"/>
                      <w:szCs w:val="21"/>
                      <w:highlight w:val="none"/>
                      <w:u w:val="single" w:color="auto"/>
                      <w:lang w:val="en-US" w:eastAsia="zh-CN" w:bidi="ar-SA"/>
                      <w14:textFill>
                        <w14:solidFill>
                          <w14:schemeClr w14:val="tx1"/>
                        </w14:solidFill>
                      </w14:textFill>
                    </w:rPr>
                    <w:t>；</w:t>
                  </w:r>
                </w:p>
                <w:bookmarkEnd w:id="67"/>
                <w:p w14:paraId="28FB33A1">
                  <w:pPr>
                    <w:spacing w:line="240" w:lineRule="auto"/>
                    <w:jc w:val="both"/>
                    <w:rPr>
                      <w:rFonts w:hint="default"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pPr>
                  <w:bookmarkStart w:id="68" w:name="_Toc24796"/>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②</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本项目</w:t>
                  </w:r>
                  <w:bookmarkEnd w:id="68"/>
                  <w:r>
                    <w:rPr>
                      <w:rFonts w:hint="eastAsia" w:ascii="Times New Roman" w:cs="Times New Roman"/>
                      <w:color w:val="000000" w:themeColor="text1"/>
                      <w:sz w:val="21"/>
                      <w:szCs w:val="21"/>
                      <w:u w:val="single" w:color="auto"/>
                      <w:vertAlign w:val="baseline"/>
                      <w:lang w:val="en-US" w:eastAsia="zh-CN"/>
                      <w14:textFill>
                        <w14:solidFill>
                          <w14:schemeClr w14:val="tx1"/>
                        </w14:solidFill>
                      </w14:textFill>
                    </w:rPr>
                    <w:t>废气所含污染物主要为颗粒物、氨、硫化氢、臭气浓度</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生产过程中产生的破碎废气经过一套“布袋除尘器装置”处理达标后通过一根15m高排气筒（DA001）高空排放，颗粒物达到《大气污染物综合排放标准》（GB16297-1996）表2中二级标准限值；且本项目生产原辅料和生产过程中不涉及</w:t>
                  </w:r>
                  <w:r>
                    <w:rPr>
                      <w:rFonts w:hint="default"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 xml:space="preserve"> VOCs</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w:t>
                  </w:r>
                </w:p>
                <w:p w14:paraId="4257332E">
                  <w:pPr>
                    <w:spacing w:line="240" w:lineRule="auto"/>
                    <w:jc w:val="left"/>
                    <w:rPr>
                      <w:rFonts w:hint="default" w:ascii="Times New Roman" w:hAnsi="Times New Roman" w:eastAsia="宋体" w:cs="Times New Roman"/>
                      <w:b w:val="0"/>
                      <w:bCs w:val="0"/>
                      <w:color w:val="FF0000"/>
                      <w:sz w:val="21"/>
                      <w:szCs w:val="21"/>
                      <w:highlight w:val="none"/>
                      <w:u w:val="single" w:color="auto"/>
                      <w:lang w:val="en-US" w:eastAsia="zh-CN"/>
                    </w:rPr>
                  </w:pPr>
                  <w:bookmarkStart w:id="69" w:name="_Toc29291"/>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③本项目运营期固废主要为员工办公生活垃圾、一般工业固废和危险固废。本次评价要求建设单位按相关规定建立一般固废暂存间和危废暂存间。一般工业固废经分类收集后于一般固废暂存间暂存，定期外售或回用于生产；危险固废经分类收集后于危废暂存间暂存，定期交由有资质的单位处理处置，不乱堆放；生活垃圾经分类收集后，统一交由当地环卫部门清运。</w:t>
                  </w:r>
                  <w:bookmarkEnd w:id="69"/>
                </w:p>
              </w:tc>
              <w:tc>
                <w:tcPr>
                  <w:tcW w:w="847" w:type="dxa"/>
                  <w:tcBorders>
                    <w:tl2br w:val="nil"/>
                    <w:tr2bl w:val="nil"/>
                  </w:tcBorders>
                  <w:noWrap w:val="0"/>
                  <w:vAlign w:val="center"/>
                </w:tcPr>
                <w:p w14:paraId="08967736">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70" w:name="_Toc14211"/>
                  <w:bookmarkStart w:id="71" w:name="_Toc22128"/>
                  <w:r>
                    <w:rPr>
                      <w:rFonts w:hint="eastAsia" w:ascii="Times New Roman" w:hAnsi="Times New Roman" w:eastAsia="宋体" w:cs="Times New Roman"/>
                      <w:b w:val="0"/>
                      <w:bCs w:val="0"/>
                      <w:color w:val="000000"/>
                      <w:sz w:val="21"/>
                      <w:szCs w:val="21"/>
                      <w:u w:val="single" w:color="auto"/>
                      <w:lang w:val="en-US" w:eastAsia="zh-CN"/>
                    </w:rPr>
                    <w:t>符合</w:t>
                  </w:r>
                  <w:bookmarkEnd w:id="70"/>
                  <w:bookmarkEnd w:id="71"/>
                </w:p>
              </w:tc>
            </w:tr>
            <w:tr w14:paraId="7C381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dxa"/>
                  <w:tcBorders>
                    <w:tl2br w:val="nil"/>
                    <w:tr2bl w:val="nil"/>
                  </w:tcBorders>
                  <w:noWrap w:val="0"/>
                  <w:vAlign w:val="center"/>
                </w:tcPr>
                <w:p w14:paraId="0D44E1E9">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72" w:name="_Toc16541"/>
                  <w:bookmarkStart w:id="73" w:name="_Toc27663"/>
                  <w:r>
                    <w:rPr>
                      <w:rFonts w:hint="eastAsia" w:ascii="Times New Roman" w:hAnsi="Times New Roman" w:eastAsia="宋体" w:cs="Times New Roman"/>
                      <w:b/>
                      <w:bCs/>
                      <w:color w:val="000000"/>
                      <w:sz w:val="21"/>
                      <w:szCs w:val="21"/>
                      <w:u w:val="single" w:color="auto"/>
                      <w:lang w:val="en-US" w:eastAsia="zh-CN"/>
                    </w:rPr>
                    <w:t>环境风险管控</w:t>
                  </w:r>
                  <w:bookmarkEnd w:id="72"/>
                  <w:bookmarkEnd w:id="73"/>
                </w:p>
              </w:tc>
              <w:tc>
                <w:tcPr>
                  <w:tcW w:w="6699" w:type="dxa"/>
                  <w:tcBorders>
                    <w:tl2br w:val="nil"/>
                    <w:tr2bl w:val="nil"/>
                  </w:tcBorders>
                  <w:noWrap w:val="0"/>
                  <w:vAlign w:val="center"/>
                </w:tcPr>
                <w:p w14:paraId="4213B49A">
                  <w:pPr>
                    <w:spacing w:line="240" w:lineRule="auto"/>
                    <w:jc w:val="both"/>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（3.1）开发区应建立健全环境风险防控体系，组织严格落实开发区突发环境事件应急预案的相关要求，加强环境风险事故防范和应急管理。</w:t>
                  </w:r>
                </w:p>
                <w:p w14:paraId="1F3BBB5E">
                  <w:pPr>
                    <w:spacing w:line="240" w:lineRule="auto"/>
                    <w:jc w:val="both"/>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3.2）开发区可能发生突发环境事件的污染物排放企业，生产、储存、运输、使用危险化学品的企业，产生、收集、贮存、运输危险废物的企业，应当编制和实施环境应急预案；鼓励其他企业制定单独的环境应急预案，或在突发事件应急预案中制定环境应急预案专章，并备案。</w:t>
                  </w:r>
                </w:p>
              </w:tc>
              <w:tc>
                <w:tcPr>
                  <w:tcW w:w="5486" w:type="dxa"/>
                  <w:tcBorders>
                    <w:tl2br w:val="nil"/>
                    <w:tr2bl w:val="nil"/>
                  </w:tcBorders>
                  <w:noWrap w:val="0"/>
                  <w:vAlign w:val="center"/>
                </w:tcPr>
                <w:p w14:paraId="6758A1FB">
                  <w:pPr>
                    <w:spacing w:line="240" w:lineRule="auto"/>
                    <w:jc w:val="left"/>
                    <w:rPr>
                      <w:rFonts w:hint="eastAsia"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pPr>
                  <w:bookmarkStart w:id="74" w:name="_Toc283"/>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本次评价要求建设单位制定突发环境事件应急预案，并设置专门的风险应急领导小组。</w:t>
                  </w:r>
                  <w:bookmarkEnd w:id="74"/>
                </w:p>
                <w:p w14:paraId="0BF8820B">
                  <w:pPr>
                    <w:spacing w:line="240" w:lineRule="auto"/>
                    <w:jc w:val="left"/>
                    <w:rPr>
                      <w:rFonts w:hint="default" w:ascii="Times New Roman" w:hAnsi="Times New Roman" w:eastAsia="宋体" w:cs="Times New Roman"/>
                      <w:b w:val="0"/>
                      <w:bCs w:val="0"/>
                      <w:color w:val="FF0000"/>
                      <w:sz w:val="21"/>
                      <w:szCs w:val="21"/>
                      <w:u w:val="single" w:color="auto"/>
                      <w:lang w:val="en-US" w:eastAsia="zh-CN"/>
                    </w:rPr>
                  </w:pP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②</w:t>
                  </w:r>
                  <w:r>
                    <w:rPr>
                      <w:rFonts w:hint="eastAsia" w:cs="Times New Roman"/>
                      <w:b w:val="0"/>
                      <w:bCs w:val="0"/>
                      <w:color w:val="000000" w:themeColor="text1"/>
                      <w:sz w:val="21"/>
                      <w:szCs w:val="21"/>
                      <w:u w:val="single" w:color="auto"/>
                      <w:lang w:val="en-US" w:eastAsia="zh-CN"/>
                      <w14:textFill>
                        <w14:solidFill>
                          <w14:schemeClr w14:val="tx1"/>
                        </w14:solidFill>
                      </w14:textFill>
                    </w:rPr>
                    <w:t>本</w:t>
                  </w:r>
                  <w:r>
                    <w:rPr>
                      <w:rFonts w:hint="eastAsia"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项目无新增用地，无土壤风险源，符合环境风险管控要求。</w:t>
                  </w:r>
                </w:p>
              </w:tc>
              <w:tc>
                <w:tcPr>
                  <w:tcW w:w="847" w:type="dxa"/>
                  <w:tcBorders>
                    <w:tl2br w:val="nil"/>
                    <w:tr2bl w:val="nil"/>
                  </w:tcBorders>
                  <w:noWrap w:val="0"/>
                  <w:vAlign w:val="center"/>
                </w:tcPr>
                <w:p w14:paraId="6F746A40">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75" w:name="_Toc22365"/>
                  <w:bookmarkStart w:id="76" w:name="_Toc18534"/>
                  <w:r>
                    <w:rPr>
                      <w:rFonts w:hint="eastAsia" w:ascii="Times New Roman" w:hAnsi="Times New Roman" w:eastAsia="宋体" w:cs="Times New Roman"/>
                      <w:b w:val="0"/>
                      <w:bCs w:val="0"/>
                      <w:color w:val="000000"/>
                      <w:sz w:val="21"/>
                      <w:szCs w:val="21"/>
                      <w:u w:val="single" w:color="auto"/>
                      <w:lang w:val="en-US" w:eastAsia="zh-CN"/>
                    </w:rPr>
                    <w:t>符合</w:t>
                  </w:r>
                  <w:bookmarkEnd w:id="75"/>
                  <w:bookmarkEnd w:id="76"/>
                </w:p>
              </w:tc>
            </w:tr>
            <w:tr w14:paraId="4ED70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5" w:type="dxa"/>
                  <w:tcBorders>
                    <w:tl2br w:val="nil"/>
                    <w:tr2bl w:val="nil"/>
                  </w:tcBorders>
                  <w:noWrap w:val="0"/>
                  <w:vAlign w:val="center"/>
                </w:tcPr>
                <w:p w14:paraId="601C8446">
                  <w:pPr>
                    <w:spacing w:line="240" w:lineRule="auto"/>
                    <w:jc w:val="center"/>
                    <w:rPr>
                      <w:rFonts w:hint="default" w:ascii="Times New Roman" w:hAnsi="Times New Roman" w:eastAsia="宋体" w:cs="Times New Roman"/>
                      <w:b/>
                      <w:bCs/>
                      <w:color w:val="000000"/>
                      <w:sz w:val="21"/>
                      <w:szCs w:val="21"/>
                      <w:u w:val="single" w:color="auto"/>
                      <w:lang w:val="en-US" w:eastAsia="zh-CN"/>
                    </w:rPr>
                  </w:pPr>
                  <w:bookmarkStart w:id="77" w:name="_Toc6037"/>
                  <w:bookmarkStart w:id="78" w:name="_Toc3520"/>
                  <w:r>
                    <w:rPr>
                      <w:rFonts w:hint="eastAsia" w:ascii="Times New Roman" w:hAnsi="Times New Roman" w:eastAsia="宋体" w:cs="Times New Roman"/>
                      <w:b/>
                      <w:bCs/>
                      <w:color w:val="000000"/>
                      <w:sz w:val="21"/>
                      <w:szCs w:val="21"/>
                      <w:u w:val="single" w:color="auto"/>
                      <w:lang w:val="en-US" w:eastAsia="zh-CN"/>
                    </w:rPr>
                    <w:t>资源开发效率要求</w:t>
                  </w:r>
                  <w:bookmarkEnd w:id="77"/>
                  <w:bookmarkEnd w:id="78"/>
                </w:p>
              </w:tc>
              <w:tc>
                <w:tcPr>
                  <w:tcW w:w="6699" w:type="dxa"/>
                  <w:tcBorders>
                    <w:tl2br w:val="nil"/>
                    <w:tr2bl w:val="nil"/>
                  </w:tcBorders>
                  <w:noWrap w:val="0"/>
                  <w:vAlign w:val="center"/>
                </w:tcPr>
                <w:p w14:paraId="7B20E37E">
                  <w:pPr>
                    <w:spacing w:line="240" w:lineRule="auto"/>
                    <w:jc w:val="both"/>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（4.1）能源：全面淘汰燃煤锅炉，全面推广天然气等清洁能源。到2025年，园区单位GDP能耗控制在0.152吨标准煤/万元，能源消费总量控制在39866.40吨标准煤（当量值）以内。</w:t>
                  </w:r>
                </w:p>
                <w:p w14:paraId="38DEA6C8">
                  <w:pPr>
                    <w:spacing w:line="240" w:lineRule="auto"/>
                    <w:jc w:val="both"/>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（4.2）水资源：到2025年，开发区指标应符合相应行政区域的管控要求，新田县用水总量目标为15187万m</w:t>
                  </w:r>
                  <w:r>
                    <w:rPr>
                      <w:rFonts w:hint="eastAsia" w:cs="Times New Roman"/>
                      <w:b w:val="0"/>
                      <w:bCs w:val="0"/>
                      <w:color w:val="000000"/>
                      <w:sz w:val="21"/>
                      <w:szCs w:val="21"/>
                      <w:u w:val="single" w:color="auto"/>
                      <w:vertAlign w:val="superscript"/>
                      <w:lang w:val="en-US" w:eastAsia="zh-CN"/>
                    </w:rPr>
                    <w:t>3</w:t>
                  </w:r>
                  <w:r>
                    <w:rPr>
                      <w:rFonts w:hint="eastAsia" w:cs="Times New Roman"/>
                      <w:b w:val="0"/>
                      <w:bCs w:val="0"/>
                      <w:color w:val="000000"/>
                      <w:sz w:val="21"/>
                      <w:szCs w:val="21"/>
                      <w:u w:val="single" w:color="auto"/>
                      <w:lang w:val="en-US" w:eastAsia="zh-CN"/>
                    </w:rPr>
                    <w:t>，万元地区生产总值用水量、万元工业增加值用水量分别比2020年降低18.06%、8.87%。</w:t>
                  </w:r>
                </w:p>
                <w:p w14:paraId="5DE34390">
                  <w:pPr>
                    <w:spacing w:line="240" w:lineRule="auto"/>
                    <w:jc w:val="both"/>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4.3）土地资源：按照严控增量、盘活存量、管住总量、集约高效的原则，着力调整建设用地结构，保障重点建设项目用地，加大存量建设用地盘活力度，提高土地利用效益，切实推进土地利用向集约型利用方式转变。促进园区土地高质量利用：在详细规划编制、用地预审与选址、用地报批、土地出让、规划许可竣工验收等环节，全面推行工业项目建设用地引导指标和工业项目供地负面清单管理，园区工业用地固定资产投入强度达到250万元/亩，工业用地地均税收达到15万元/亩。</w:t>
                  </w:r>
                </w:p>
              </w:tc>
              <w:tc>
                <w:tcPr>
                  <w:tcW w:w="5486" w:type="dxa"/>
                  <w:tcBorders>
                    <w:tl2br w:val="nil"/>
                    <w:tr2bl w:val="nil"/>
                  </w:tcBorders>
                  <w:noWrap w:val="0"/>
                  <w:vAlign w:val="center"/>
                </w:tcPr>
                <w:p w14:paraId="6686FDD3">
                  <w:pPr>
                    <w:spacing w:line="240" w:lineRule="auto"/>
                    <w:jc w:val="left"/>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pPr>
                  <w:bookmarkStart w:id="79" w:name="_Toc25301"/>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①本项目所消耗的能源种类为电能。项目能耗占</w:t>
                  </w:r>
                  <w:r>
                    <w:rPr>
                      <w:rFonts w:hint="default"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区域年综合能耗消费量预测当量值</w:t>
                  </w:r>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比例较小。</w:t>
                  </w:r>
                </w:p>
                <w:p w14:paraId="7EA4AF74">
                  <w:pPr>
                    <w:spacing w:line="240" w:lineRule="auto"/>
                    <w:jc w:val="left"/>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②本项目用水主要为员工办公生活用水</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和生产用水；</w:t>
                  </w:r>
                  <w:r>
                    <w:rPr>
                      <w:rFonts w:hint="default" w:ascii="Times New Roman" w:hAnsi="Times New Roman" w:eastAsia="宋体" w:cs="Times New Roman"/>
                      <w:color w:val="000000" w:themeColor="text1"/>
                      <w:spacing w:val="0"/>
                      <w:w w:val="100"/>
                      <w:sz w:val="21"/>
                      <w:szCs w:val="21"/>
                      <w:u w:val="single" w:color="auto"/>
                      <w:lang w:val="en-US" w:eastAsia="zh-CN"/>
                      <w14:textFill>
                        <w14:solidFill>
                          <w14:schemeClr w14:val="tx1"/>
                        </w14:solidFill>
                      </w14:textFill>
                    </w:rPr>
                    <w:t>喷淋用水用于无组织抑尘，随蒸发损耗或随粉尘降落，少量进入产品，不外排</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，实现了水资源循环利用</w:t>
                  </w:r>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w:t>
                  </w:r>
                </w:p>
                <w:p w14:paraId="3590AE7E">
                  <w:pPr>
                    <w:spacing w:line="240" w:lineRule="auto"/>
                    <w:jc w:val="left"/>
                    <w:rPr>
                      <w:rFonts w:hint="default" w:ascii="Times New Roman" w:hAnsi="Times New Roman" w:eastAsia="宋体" w:cs="Times New Roman"/>
                      <w:b w:val="0"/>
                      <w:bCs w:val="0"/>
                      <w:color w:val="FF0000"/>
                      <w:sz w:val="21"/>
                      <w:szCs w:val="21"/>
                      <w:highlight w:val="none"/>
                      <w:u w:val="single" w:color="auto"/>
                      <w:lang w:val="en-US" w:eastAsia="zh-CN"/>
                    </w:rPr>
                  </w:pPr>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③本项目</w:t>
                  </w:r>
                  <w:r>
                    <w:rPr>
                      <w:rFonts w:hint="eastAsia" w:cs="Times New Roman"/>
                      <w:b w:val="0"/>
                      <w:bCs w:val="0"/>
                      <w:color w:val="000000" w:themeColor="text1"/>
                      <w:sz w:val="21"/>
                      <w:szCs w:val="21"/>
                      <w:highlight w:val="none"/>
                      <w:u w:val="single" w:color="auto"/>
                      <w:lang w:val="en-US" w:eastAsia="zh-CN"/>
                      <w14:textFill>
                        <w14:solidFill>
                          <w14:schemeClr w14:val="tx1"/>
                        </w14:solidFill>
                      </w14:textFill>
                    </w:rPr>
                    <w:t>租赁湖南龙昶机械股份有限公司位于永州市新田县龙泉街道工业南园支一路与支三路交叉口西南角的现有厂房，</w:t>
                  </w:r>
                  <w:r>
                    <w:rPr>
                      <w:rFonts w:hint="eastAsia" w:ascii="Times New Roman" w:hAnsi="Times New Roman" w:eastAsia="宋体" w:cs="Times New Roman"/>
                      <w:b w:val="0"/>
                      <w:bCs w:val="0"/>
                      <w:color w:val="000000" w:themeColor="text1"/>
                      <w:sz w:val="21"/>
                      <w:szCs w:val="21"/>
                      <w:highlight w:val="none"/>
                      <w:u w:val="single" w:color="auto"/>
                      <w:lang w:val="en-US" w:eastAsia="zh-CN"/>
                      <w14:textFill>
                        <w14:solidFill>
                          <w14:schemeClr w14:val="tx1"/>
                        </w14:solidFill>
                      </w14:textFill>
                    </w:rPr>
                    <w:t>无新增用地。综上所述，本项目建设不会突破区域资源利用上线。</w:t>
                  </w:r>
                  <w:bookmarkEnd w:id="79"/>
                </w:p>
              </w:tc>
              <w:tc>
                <w:tcPr>
                  <w:tcW w:w="847" w:type="dxa"/>
                  <w:tcBorders>
                    <w:tl2br w:val="nil"/>
                    <w:tr2bl w:val="nil"/>
                  </w:tcBorders>
                  <w:noWrap w:val="0"/>
                  <w:vAlign w:val="center"/>
                </w:tcPr>
                <w:p w14:paraId="4D283FE2">
                  <w:pPr>
                    <w:spacing w:line="240" w:lineRule="auto"/>
                    <w:jc w:val="center"/>
                    <w:rPr>
                      <w:rFonts w:hint="default" w:ascii="Times New Roman" w:hAnsi="Times New Roman" w:eastAsia="宋体" w:cs="Times New Roman"/>
                      <w:b w:val="0"/>
                      <w:bCs w:val="0"/>
                      <w:color w:val="000000"/>
                      <w:sz w:val="21"/>
                      <w:szCs w:val="21"/>
                      <w:u w:val="single" w:color="auto"/>
                      <w:lang w:val="en-US" w:eastAsia="zh-CN"/>
                    </w:rPr>
                  </w:pPr>
                  <w:bookmarkStart w:id="80" w:name="_Toc20527"/>
                  <w:bookmarkStart w:id="81" w:name="_Toc16049"/>
                  <w:r>
                    <w:rPr>
                      <w:rFonts w:hint="eastAsia" w:ascii="Times New Roman" w:hAnsi="Times New Roman" w:eastAsia="宋体" w:cs="Times New Roman"/>
                      <w:b w:val="0"/>
                      <w:bCs w:val="0"/>
                      <w:color w:val="000000"/>
                      <w:sz w:val="21"/>
                      <w:szCs w:val="21"/>
                      <w:u w:val="single" w:color="auto"/>
                      <w:lang w:val="en-US" w:eastAsia="zh-CN"/>
                    </w:rPr>
                    <w:t>符合</w:t>
                  </w:r>
                  <w:bookmarkEnd w:id="80"/>
                  <w:bookmarkEnd w:id="81"/>
                </w:p>
              </w:tc>
            </w:tr>
          </w:tbl>
          <w:p w14:paraId="0C351561">
            <w:pPr>
              <w:ind w:firstLine="480" w:firstLineChars="200"/>
              <w:jc w:val="both"/>
              <w:rPr>
                <w:rFonts w:hint="default" w:ascii="Times New Roman" w:hAnsi="Times New Roman" w:eastAsia="宋体" w:cs="Times New Roman"/>
                <w:color w:val="000000"/>
                <w:kern w:val="0"/>
                <w:sz w:val="24"/>
                <w:szCs w:val="24"/>
                <w:u w:val="none"/>
                <w:lang w:val="en-US" w:eastAsia="zh-CN"/>
              </w:rPr>
            </w:pPr>
            <w:r>
              <w:rPr>
                <w:rFonts w:hint="default" w:ascii="Times New Roman" w:hAnsi="Times New Roman" w:eastAsia="宋体" w:cs="Times New Roman"/>
                <w:color w:val="000000"/>
                <w:kern w:val="0"/>
                <w:sz w:val="24"/>
                <w:szCs w:val="24"/>
                <w:u w:val="single" w:color="auto"/>
                <w:lang w:val="en-US" w:eastAsia="zh-CN"/>
              </w:rPr>
              <w:t>根据</w:t>
            </w:r>
            <w:r>
              <w:rPr>
                <w:rFonts w:hint="eastAsia" w:ascii="Times New Roman" w:hAnsi="Times New Roman" w:eastAsia="宋体" w:cs="Times New Roman"/>
                <w:color w:val="000000"/>
                <w:kern w:val="0"/>
                <w:sz w:val="24"/>
                <w:szCs w:val="24"/>
                <w:u w:val="single" w:color="auto"/>
                <w:lang w:val="en-US" w:eastAsia="zh-CN"/>
              </w:rPr>
              <w:t>上表</w:t>
            </w:r>
            <w:r>
              <w:rPr>
                <w:rFonts w:hint="default" w:ascii="Times New Roman" w:hAnsi="Times New Roman" w:eastAsia="宋体" w:cs="Times New Roman"/>
                <w:color w:val="000000"/>
                <w:kern w:val="0"/>
                <w:sz w:val="24"/>
                <w:szCs w:val="24"/>
                <w:u w:val="single" w:color="auto"/>
                <w:lang w:val="en-US" w:eastAsia="zh-CN"/>
              </w:rPr>
              <w:t>分析结果可知，本项目</w:t>
            </w:r>
            <w:r>
              <w:rPr>
                <w:rFonts w:hint="eastAsia" w:ascii="Times New Roman" w:hAnsi="Times New Roman" w:eastAsia="宋体" w:cs="Times New Roman"/>
                <w:color w:val="000000"/>
                <w:kern w:val="0"/>
                <w:sz w:val="24"/>
                <w:szCs w:val="24"/>
                <w:u w:val="single" w:color="auto"/>
                <w:lang w:val="en-US" w:eastAsia="zh-CN"/>
              </w:rPr>
              <w:t>建设</w:t>
            </w:r>
            <w:r>
              <w:rPr>
                <w:rFonts w:hint="default" w:ascii="Times New Roman" w:hAnsi="Times New Roman" w:eastAsia="宋体" w:cs="Times New Roman"/>
                <w:color w:val="000000"/>
                <w:kern w:val="0"/>
                <w:sz w:val="24"/>
                <w:szCs w:val="24"/>
                <w:u w:val="single" w:color="auto"/>
                <w:lang w:val="en-US" w:eastAsia="zh-CN"/>
              </w:rPr>
              <w:t>符合</w:t>
            </w:r>
            <w:r>
              <w:rPr>
                <w:rFonts w:hint="eastAsia" w:ascii="Times New Roman" w:hAnsi="Times New Roman" w:eastAsia="宋体" w:cs="Times New Roman"/>
                <w:color w:val="000000"/>
                <w:kern w:val="0"/>
                <w:sz w:val="24"/>
                <w:szCs w:val="24"/>
                <w:u w:val="single" w:color="auto"/>
                <w:lang w:val="en-US" w:eastAsia="zh-CN"/>
              </w:rPr>
              <w:t>新田产业开发区生态环境准入清单</w:t>
            </w:r>
            <w:r>
              <w:rPr>
                <w:rFonts w:hint="default" w:ascii="Times New Roman" w:hAnsi="Times New Roman" w:eastAsia="宋体" w:cs="Times New Roman"/>
                <w:color w:val="000000"/>
                <w:kern w:val="0"/>
                <w:sz w:val="24"/>
                <w:szCs w:val="24"/>
                <w:u w:val="single" w:color="auto"/>
                <w:lang w:val="en-US" w:eastAsia="zh-CN"/>
              </w:rPr>
              <w:t>要求。</w:t>
            </w:r>
          </w:p>
          <w:p w14:paraId="78B7E081">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22633486">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6FA6772B">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25D91516">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6190A276">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2D93A259">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5B171B7C">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0392DA85">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445F18DF">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67138098">
            <w:pPr>
              <w:ind w:firstLine="480" w:firstLineChars="200"/>
              <w:jc w:val="both"/>
              <w:rPr>
                <w:rFonts w:hint="default" w:ascii="Times New Roman" w:hAnsi="Times New Roman" w:eastAsia="宋体" w:cs="Times New Roman"/>
                <w:color w:val="000000"/>
                <w:kern w:val="0"/>
                <w:sz w:val="24"/>
                <w:szCs w:val="24"/>
                <w:u w:val="none"/>
                <w:lang w:val="en-US" w:eastAsia="zh-CN"/>
              </w:rPr>
            </w:pPr>
          </w:p>
          <w:p w14:paraId="596DCD80">
            <w:pPr>
              <w:ind w:firstLine="480" w:firstLineChars="200"/>
              <w:jc w:val="both"/>
              <w:rPr>
                <w:rFonts w:hint="eastAsia" w:ascii="Times New Roman" w:hAnsi="Times New Roman" w:eastAsia="宋体" w:cs="Times New Roman"/>
                <w:color w:val="000000"/>
                <w:kern w:val="0"/>
                <w:sz w:val="24"/>
                <w:szCs w:val="24"/>
                <w:u w:val="none"/>
                <w:lang w:val="en-US" w:eastAsia="zh-CN"/>
              </w:rPr>
            </w:pPr>
          </w:p>
        </w:tc>
      </w:tr>
    </w:tbl>
    <w:p w14:paraId="29FC843C">
      <w:pPr>
        <w:jc w:val="center"/>
        <w:rPr>
          <w:rFonts w:hint="eastAsia" w:asciiTheme="minorEastAsia" w:hAnsiTheme="minorEastAsia" w:eastAsiaTheme="minorEastAsia" w:cstheme="minorEastAsia"/>
          <w:color w:val="000000"/>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7636"/>
      </w:tblGrid>
      <w:tr w14:paraId="7B8F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14:paraId="3A5C04E5">
            <w:pPr>
              <w:jc w:val="center"/>
              <w:rPr>
                <w:rFonts w:hint="eastAsia" w:asciiTheme="minorEastAsia" w:hAnsiTheme="minorEastAsia" w:eastAsiaTheme="minorEastAsia" w:cstheme="minorEastAsia"/>
                <w:color w:val="000000"/>
                <w:sz w:val="32"/>
                <w:szCs w:val="32"/>
                <w:vertAlign w:val="baseline"/>
                <w:lang w:val="en-US" w:eastAsia="zh-CN"/>
              </w:rPr>
            </w:pPr>
          </w:p>
        </w:tc>
        <w:tc>
          <w:tcPr>
            <w:tcW w:w="7636" w:type="dxa"/>
          </w:tcPr>
          <w:p w14:paraId="6B84B52E">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ascii="Times New Roman" w:hAnsi="Times New Roman" w:eastAsia="宋体" w:cs="Times New Roman"/>
                <w:b/>
                <w:bCs/>
                <w:color w:val="000000"/>
                <w:kern w:val="0"/>
                <w:sz w:val="24"/>
                <w:szCs w:val="24"/>
                <w:u w:val="none"/>
                <w:lang w:val="en-US" w:eastAsia="zh-CN"/>
              </w:rPr>
            </w:pPr>
            <w:bookmarkStart w:id="82" w:name="_Toc25781"/>
            <w:bookmarkStart w:id="83" w:name="_Toc24485"/>
            <w:bookmarkStart w:id="84" w:name="_Toc24461"/>
            <w:r>
              <w:rPr>
                <w:rFonts w:hint="eastAsia" w:cs="Times New Roman"/>
                <w:b/>
                <w:bCs/>
                <w:color w:val="000000"/>
                <w:kern w:val="0"/>
                <w:sz w:val="24"/>
                <w:szCs w:val="24"/>
                <w:u w:val="none"/>
                <w:lang w:val="en-US" w:eastAsia="zh-CN"/>
              </w:rPr>
              <w:t>2</w:t>
            </w:r>
            <w:r>
              <w:rPr>
                <w:rFonts w:hint="eastAsia" w:ascii="Times New Roman" w:hAnsi="Times New Roman" w:eastAsia="宋体" w:cs="Times New Roman"/>
                <w:b/>
                <w:bCs/>
                <w:color w:val="000000"/>
                <w:kern w:val="0"/>
                <w:sz w:val="24"/>
                <w:szCs w:val="24"/>
                <w:u w:val="none"/>
                <w:lang w:val="en-US" w:eastAsia="zh-CN"/>
              </w:rPr>
              <w:t>、产业政策符合性分析</w:t>
            </w:r>
            <w:bookmarkEnd w:id="82"/>
            <w:bookmarkEnd w:id="83"/>
            <w:bookmarkEnd w:id="84"/>
          </w:p>
          <w:p w14:paraId="289E355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u w:val="none"/>
                <w:lang w:val="en-US" w:eastAsia="zh-CN"/>
              </w:rPr>
            </w:pPr>
            <w:bookmarkStart w:id="85" w:name="_Toc14231"/>
            <w:bookmarkStart w:id="86" w:name="_Toc22283"/>
            <w:bookmarkStart w:id="87" w:name="_Toc611"/>
            <w:r>
              <w:rPr>
                <w:rFonts w:hint="eastAsia" w:ascii="Times New Roman" w:hAnsi="Times New Roman" w:eastAsia="宋体" w:cs="Times New Roman"/>
                <w:color w:val="000000"/>
                <w:kern w:val="0"/>
                <w:sz w:val="24"/>
                <w:szCs w:val="24"/>
                <w:u w:val="none"/>
                <w:lang w:val="en-US" w:eastAsia="zh-CN"/>
              </w:rPr>
              <w:t>本项目</w:t>
            </w:r>
            <w:r>
              <w:rPr>
                <w:rFonts w:hint="eastAsia" w:cs="Times New Roman"/>
                <w:color w:val="000000"/>
                <w:kern w:val="0"/>
                <w:sz w:val="24"/>
                <w:szCs w:val="24"/>
                <w:u w:val="none"/>
                <w:lang w:val="en-US" w:eastAsia="zh-CN"/>
              </w:rPr>
              <w:t>为</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废旧资源回收利用项目，所使用的原料为废纺织面料、废鞋材料、废箱包材料、废塑胶、废塑料、废纸/纸箱、废旧整衣服，</w:t>
            </w:r>
            <w:r>
              <w:rPr>
                <w:rFonts w:hint="eastAsia" w:ascii="Times New Roman" w:hAnsi="Times New Roman" w:eastAsia="宋体" w:cs="Times New Roman"/>
                <w:color w:val="000000"/>
                <w:kern w:val="0"/>
                <w:sz w:val="24"/>
                <w:szCs w:val="24"/>
                <w:u w:val="none"/>
                <w:lang w:val="en-US" w:eastAsia="zh-CN"/>
              </w:rPr>
              <w:t>其国民经济行业代码分别为《国民经济行业分类》（GB/T 4754-2017）分类中的</w:t>
            </w:r>
            <w:r>
              <w:rPr>
                <w:rFonts w:hint="eastAsia" w:cs="Times New Roman"/>
                <w:color w:val="000000"/>
                <w:kern w:val="0"/>
                <w:sz w:val="24"/>
                <w:szCs w:val="24"/>
                <w:u w:val="none"/>
                <w:lang w:val="en-US" w:eastAsia="zh-CN"/>
              </w:rPr>
              <w:t>“</w:t>
            </w:r>
            <w:r>
              <w:rPr>
                <w:rFonts w:hint="default" w:ascii="Times New Roman" w:hAnsi="Times New Roman" w:eastAsia="宋体" w:cs="Times New Roman"/>
                <w:sz w:val="24"/>
                <w:szCs w:val="24"/>
                <w:lang w:val="en-US" w:eastAsia="zh-CN"/>
              </w:rPr>
              <w:t>C4220 非金属废料和碎屑加工处理</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，不属于《产业结构调整指导目录（20</w:t>
            </w:r>
            <w:r>
              <w:rPr>
                <w:rFonts w:hint="eastAsia" w:cs="Times New Roman"/>
                <w:color w:val="000000"/>
                <w:kern w:val="0"/>
                <w:sz w:val="24"/>
                <w:szCs w:val="24"/>
                <w:u w:val="none"/>
                <w:lang w:val="en-US" w:eastAsia="zh-CN"/>
              </w:rPr>
              <w:t>24</w:t>
            </w:r>
            <w:r>
              <w:rPr>
                <w:rFonts w:hint="eastAsia" w:ascii="Times New Roman" w:hAnsi="Times New Roman" w:eastAsia="宋体" w:cs="Times New Roman"/>
                <w:color w:val="000000"/>
                <w:kern w:val="0"/>
                <w:sz w:val="24"/>
                <w:szCs w:val="24"/>
                <w:u w:val="none"/>
                <w:lang w:val="en-US" w:eastAsia="zh-CN"/>
              </w:rPr>
              <w:t>年本）》中限制类和淘汰类。同时，本项目采用的生产设备和生产的产品均不涉及《产业结构调整指导目录（20</w:t>
            </w:r>
            <w:r>
              <w:rPr>
                <w:rFonts w:hint="eastAsia" w:cs="Times New Roman"/>
                <w:color w:val="000000"/>
                <w:kern w:val="0"/>
                <w:sz w:val="24"/>
                <w:szCs w:val="24"/>
                <w:u w:val="none"/>
                <w:lang w:val="en-US" w:eastAsia="zh-CN"/>
              </w:rPr>
              <w:t>24</w:t>
            </w:r>
            <w:r>
              <w:rPr>
                <w:rFonts w:hint="eastAsia" w:ascii="Times New Roman" w:hAnsi="Times New Roman" w:eastAsia="宋体" w:cs="Times New Roman"/>
                <w:color w:val="000000"/>
                <w:kern w:val="0"/>
                <w:sz w:val="24"/>
                <w:szCs w:val="24"/>
                <w:u w:val="none"/>
                <w:lang w:val="en-US" w:eastAsia="zh-CN"/>
              </w:rPr>
              <w:t>年本）》中</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淘汰落后设备</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和</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落后产品</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w:t>
            </w:r>
            <w:bookmarkEnd w:id="85"/>
            <w:bookmarkEnd w:id="86"/>
            <w:bookmarkEnd w:id="87"/>
          </w:p>
          <w:p w14:paraId="412EA377">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ascii="Times New Roman" w:hAnsi="Times New Roman" w:eastAsia="宋体" w:cs="Times New Roman"/>
                <w:color w:val="000000"/>
                <w:kern w:val="0"/>
                <w:sz w:val="24"/>
                <w:szCs w:val="24"/>
                <w:u w:val="none"/>
                <w:lang w:val="en-US" w:eastAsia="zh-CN"/>
              </w:rPr>
            </w:pPr>
            <w:r>
              <w:rPr>
                <w:rFonts w:hint="eastAsia" w:cs="Times New Roman"/>
                <w:b/>
                <w:bCs/>
                <w:color w:val="000000"/>
                <w:kern w:val="0"/>
                <w:sz w:val="24"/>
                <w:szCs w:val="24"/>
                <w:u w:val="none"/>
                <w:lang w:val="en-US" w:eastAsia="zh-CN"/>
              </w:rPr>
              <w:t>3</w:t>
            </w:r>
            <w:r>
              <w:rPr>
                <w:rFonts w:hint="eastAsia" w:ascii="Times New Roman" w:hAnsi="Times New Roman" w:eastAsia="宋体" w:cs="Times New Roman"/>
                <w:b/>
                <w:bCs/>
                <w:color w:val="000000"/>
                <w:kern w:val="0"/>
                <w:sz w:val="24"/>
                <w:szCs w:val="24"/>
                <w:u w:val="none"/>
                <w:lang w:val="en-US" w:eastAsia="zh-CN"/>
              </w:rPr>
              <w:t>、选址符合性分析</w:t>
            </w:r>
            <w:r>
              <w:rPr>
                <w:rFonts w:hint="eastAsia" w:ascii="Times New Roman" w:hAnsi="Times New Roman" w:eastAsia="宋体" w:cs="Times New Roman"/>
                <w:color w:val="000000"/>
                <w:kern w:val="0"/>
                <w:sz w:val="24"/>
                <w:szCs w:val="24"/>
                <w:u w:val="none"/>
                <w:lang w:val="en-US" w:eastAsia="zh-CN"/>
              </w:rPr>
              <w:t xml:space="preserve"> </w:t>
            </w:r>
          </w:p>
          <w:p w14:paraId="66803E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vertAlign w:val="baseline"/>
              </w:rPr>
            </w:pPr>
            <w:r>
              <w:rPr>
                <w:rFonts w:hint="default" w:ascii="Times New Roman" w:hAnsi="Times New Roman" w:eastAsia="宋体" w:cs="Times New Roman"/>
                <w:color w:val="auto"/>
                <w:sz w:val="24"/>
                <w:szCs w:val="24"/>
                <w:highlight w:val="none"/>
                <w:u w:val="none" w:color="auto"/>
                <w:vertAlign w:val="baseline"/>
              </w:rPr>
              <w:t>（1）</w:t>
            </w:r>
            <w:r>
              <w:rPr>
                <w:spacing w:val="0"/>
                <w:sz w:val="24"/>
                <w:szCs w:val="24"/>
              </w:rPr>
              <w:t>本项目</w:t>
            </w:r>
            <w:r>
              <w:rPr>
                <w:rFonts w:hint="default" w:ascii="Times New Roman" w:hAnsi="Times New Roman" w:cs="Times New Roman"/>
                <w:color w:val="auto"/>
                <w:sz w:val="24"/>
                <w:szCs w:val="24"/>
              </w:rPr>
              <w:t>租赁</w:t>
            </w:r>
            <w:r>
              <w:rPr>
                <w:rFonts w:hint="eastAsia" w:ascii="Times New Roman" w:hAnsi="Times New Roman" w:eastAsia="宋体" w:cs="Times New Roman"/>
                <w:color w:val="000000"/>
                <w:sz w:val="24"/>
                <w:szCs w:val="24"/>
                <w:highlight w:val="none"/>
                <w:lang w:val="en-US" w:eastAsia="zh-CN"/>
              </w:rPr>
              <w:t>南龙昶机械股份有限公司</w:t>
            </w:r>
            <w:r>
              <w:rPr>
                <w:rFonts w:hint="default" w:ascii="Times New Roman" w:hAnsi="Times New Roman" w:cs="Times New Roman"/>
                <w:color w:val="auto"/>
                <w:sz w:val="24"/>
                <w:szCs w:val="24"/>
              </w:rPr>
              <w:t>位于</w:t>
            </w:r>
            <w:r>
              <w:rPr>
                <w:rFonts w:hint="default" w:ascii="Times New Roman" w:hAnsi="Times New Roman" w:eastAsia="宋体" w:cs="Times New Roman"/>
                <w:color w:val="000000"/>
                <w:sz w:val="24"/>
                <w:szCs w:val="24"/>
                <w:highlight w:val="none"/>
                <w:lang w:eastAsia="zh-CN"/>
              </w:rPr>
              <w:t>新田县工业南园支一路与支三路交叉口西南角</w:t>
            </w:r>
            <w:r>
              <w:rPr>
                <w:rFonts w:hint="default" w:ascii="Times New Roman" w:hAnsi="Times New Roman" w:cs="Times New Roman"/>
                <w:color w:val="auto"/>
                <w:sz w:val="24"/>
                <w:szCs w:val="24"/>
              </w:rPr>
              <w:t>的现有厂</w:t>
            </w:r>
            <w:r>
              <w:rPr>
                <w:rFonts w:hint="default" w:ascii="Times New Roman" w:hAnsi="Times New Roman" w:cs="Times New Roman"/>
                <w:color w:val="000000" w:themeColor="text1"/>
                <w:sz w:val="24"/>
                <w:szCs w:val="24"/>
                <w14:textFill>
                  <w14:solidFill>
                    <w14:schemeClr w14:val="tx1"/>
                  </w14:solidFill>
                </w14:textFill>
              </w:rPr>
              <w:t>房</w:t>
            </w:r>
            <w:r>
              <w:rPr>
                <w:rFonts w:hint="eastAsia" w:cs="Times New Roman"/>
                <w:color w:val="000000" w:themeColor="text1"/>
                <w:sz w:val="24"/>
                <w:szCs w:val="24"/>
                <w:lang w:eastAsia="zh-CN"/>
                <w14:textFill>
                  <w14:solidFill>
                    <w14:schemeClr w14:val="tx1"/>
                  </w14:solidFill>
                </w14:textFill>
              </w:rPr>
              <w:t>，</w:t>
            </w:r>
            <w:r>
              <w:rPr>
                <w:rFonts w:hint="default"/>
                <w:color w:val="auto"/>
                <w:sz w:val="24"/>
                <w:lang w:val="en-US" w:eastAsia="zh-CN"/>
              </w:rPr>
              <w:t>属于</w:t>
            </w:r>
            <w:r>
              <w:rPr>
                <w:rFonts w:hint="eastAsia" w:ascii="Times New Roman" w:hAnsi="Times New Roman" w:eastAsia="宋体" w:cs="Times New Roman"/>
                <w:color w:val="000000"/>
                <w:kern w:val="0"/>
                <w:sz w:val="24"/>
                <w:szCs w:val="24"/>
                <w:u w:val="none"/>
                <w:lang w:val="en-US" w:eastAsia="zh-CN"/>
              </w:rPr>
              <w:t>新田产业开发区</w:t>
            </w:r>
            <w:r>
              <w:rPr>
                <w:rFonts w:hint="default"/>
                <w:color w:val="auto"/>
                <w:sz w:val="24"/>
                <w:lang w:val="en-US" w:eastAsia="zh-CN"/>
              </w:rPr>
              <w:t>工业用地，</w:t>
            </w:r>
            <w:r>
              <w:rPr>
                <w:rFonts w:hint="eastAsia" w:cs="Times New Roman"/>
                <w:color w:val="000000" w:themeColor="text1"/>
                <w:sz w:val="24"/>
                <w:szCs w:val="24"/>
                <w:lang w:val="en-US" w:eastAsia="zh-CN"/>
                <w14:textFill>
                  <w14:solidFill>
                    <w14:schemeClr w14:val="tx1"/>
                  </w14:solidFill>
                </w14:textFill>
              </w:rPr>
              <w:t>不新增用地</w:t>
            </w:r>
            <w:r>
              <w:rPr>
                <w:rFonts w:hint="eastAsia" w:ascii="Times New Roman" w:hAnsi="Times New Roman" w:eastAsia="宋体" w:cs="Times New Roman"/>
                <w:b w:val="0"/>
                <w:bCs w:val="0"/>
                <w:color w:val="auto"/>
                <w:kern w:val="0"/>
                <w:sz w:val="24"/>
                <w:szCs w:val="24"/>
                <w:u w:val="none" w:color="auto"/>
                <w:lang w:eastAsia="zh-CN"/>
              </w:rPr>
              <w:t>。</w:t>
            </w:r>
            <w:r>
              <w:rPr>
                <w:rFonts w:hint="eastAsia" w:cs="Times New Roman"/>
                <w:b w:val="0"/>
                <w:bCs w:val="0"/>
                <w:color w:val="auto"/>
                <w:kern w:val="0"/>
                <w:sz w:val="24"/>
                <w:szCs w:val="24"/>
                <w:u w:val="none" w:color="auto"/>
                <w:lang w:val="en-US" w:eastAsia="zh-CN"/>
              </w:rPr>
              <w:t>且</w:t>
            </w:r>
            <w:r>
              <w:rPr>
                <w:rFonts w:hint="eastAsia" w:ascii="Times New Roman" w:hAnsi="Times New Roman" w:eastAsia="宋体" w:cs="Times New Roman"/>
                <w:b w:val="0"/>
                <w:bCs w:val="0"/>
                <w:color w:val="auto"/>
                <w:kern w:val="0"/>
                <w:sz w:val="24"/>
                <w:szCs w:val="24"/>
                <w:u w:val="none" w:color="auto"/>
                <w:lang w:val="en-US" w:eastAsia="zh-CN"/>
              </w:rPr>
              <w:t>本项目</w:t>
            </w:r>
            <w:r>
              <w:rPr>
                <w:rFonts w:hint="default" w:ascii="Times New Roman" w:hAnsi="Times New Roman" w:eastAsia="宋体" w:cs="Times New Roman"/>
                <w:b w:val="0"/>
                <w:bCs w:val="0"/>
                <w:color w:val="auto"/>
                <w:kern w:val="0"/>
                <w:sz w:val="24"/>
                <w:szCs w:val="24"/>
                <w:u w:val="none" w:color="auto"/>
              </w:rPr>
              <w:t>不占用耕地、林地、牧地、水域等土地资源</w:t>
            </w:r>
            <w:r>
              <w:rPr>
                <w:rFonts w:hint="eastAsia" w:ascii="Times New Roman" w:hAnsi="Times New Roman" w:eastAsia="宋体" w:cs="Times New Roman"/>
                <w:b w:val="0"/>
                <w:bCs w:val="0"/>
                <w:color w:val="auto"/>
                <w:kern w:val="0"/>
                <w:sz w:val="24"/>
                <w:szCs w:val="24"/>
                <w:u w:val="none" w:color="auto"/>
                <w:lang w:eastAsia="zh-CN"/>
              </w:rPr>
              <w:t>，</w:t>
            </w:r>
            <w:r>
              <w:rPr>
                <w:rFonts w:hint="default" w:ascii="Times New Roman" w:hAnsi="Times New Roman" w:eastAsia="宋体" w:cs="Times New Roman"/>
                <w:color w:val="auto"/>
                <w:sz w:val="24"/>
                <w:szCs w:val="24"/>
                <w:highlight w:val="none"/>
                <w:u w:val="none" w:color="auto"/>
                <w:vertAlign w:val="baseline"/>
              </w:rPr>
              <w:t>符合国家现行的土地使用政策。</w:t>
            </w:r>
          </w:p>
          <w:p w14:paraId="26F3B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vertAlign w:val="baseline"/>
              </w:rPr>
            </w:pPr>
            <w:r>
              <w:rPr>
                <w:rFonts w:hint="default" w:ascii="Times New Roman" w:hAnsi="Times New Roman" w:eastAsia="宋体" w:cs="Times New Roman"/>
                <w:color w:val="auto"/>
                <w:sz w:val="24"/>
                <w:szCs w:val="24"/>
                <w:highlight w:val="none"/>
                <w:u w:val="none" w:color="auto"/>
                <w:vertAlign w:val="baseline"/>
              </w:rPr>
              <w:t>（2）本项目在总图布置、设计上充分利用现有场地和供电、供水等设施。根据生产规模，生产采用整套生产设备，总体上建设条件较好。项目选址地区交通运输条件良好，公路运输条件优良；因此，区域交通便捷，满足项目运输要求。生活、生产水源均由当地自来水管网供给，供水能得到保障。生活、生产电源由当地电网通过电缆送到厂内各用电设备，满足生产、生活用电需要，总体上电源可靠。</w:t>
            </w:r>
          </w:p>
          <w:p w14:paraId="36995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vertAlign w:val="baseline"/>
              </w:rPr>
            </w:pPr>
            <w:r>
              <w:rPr>
                <w:rFonts w:hint="default" w:ascii="Times New Roman" w:hAnsi="Times New Roman" w:eastAsia="宋体" w:cs="Times New Roman"/>
                <w:color w:val="auto"/>
                <w:sz w:val="24"/>
                <w:szCs w:val="24"/>
                <w:highlight w:val="none"/>
                <w:u w:val="none" w:color="auto"/>
                <w:vertAlign w:val="baseline"/>
              </w:rPr>
              <w:t>（3）</w:t>
            </w:r>
            <w:r>
              <w:rPr>
                <w:rFonts w:hint="default" w:ascii="Times New Roman" w:hAnsi="Times New Roman" w:eastAsia="宋体" w:cs="Times New Roman"/>
                <w:color w:val="000000"/>
                <w:sz w:val="24"/>
                <w:szCs w:val="24"/>
                <w:highlight w:val="none"/>
                <w:u w:val="none" w:color="auto"/>
                <w:vertAlign w:val="baseline"/>
              </w:rPr>
              <w:t>项目区域属《环境空气质量标准》（GB3095-2012）及其2018年修改单中二类环境空气功能区</w:t>
            </w:r>
            <w:r>
              <w:rPr>
                <w:rFonts w:hint="eastAsia" w:ascii="Times New Roman" w:hAnsi="Times New Roman" w:eastAsia="宋体" w:cs="Times New Roman"/>
                <w:color w:val="000000"/>
                <w:sz w:val="24"/>
                <w:szCs w:val="24"/>
                <w:highlight w:val="none"/>
                <w:u w:val="none" w:color="auto"/>
                <w:vertAlign w:val="baseline"/>
                <w:lang w:eastAsia="zh-CN"/>
              </w:rPr>
              <w:t>、</w:t>
            </w:r>
            <w:r>
              <w:rPr>
                <w:rFonts w:hint="default" w:ascii="Times New Roman" w:hAnsi="Times New Roman" w:eastAsia="宋体" w:cs="Times New Roman"/>
                <w:color w:val="000000"/>
                <w:sz w:val="24"/>
                <w:szCs w:val="24"/>
                <w:highlight w:val="none"/>
                <w:u w:val="none" w:color="auto"/>
                <w:vertAlign w:val="baseline"/>
              </w:rPr>
              <w:t>《声环境质量标准》（GB3096-2008）</w:t>
            </w:r>
            <w:r>
              <w:rPr>
                <w:rFonts w:hint="eastAsia" w:ascii="Times New Roman" w:hAnsi="Times New Roman" w:eastAsia="宋体" w:cs="Times New Roman"/>
                <w:color w:val="000000"/>
                <w:sz w:val="24"/>
                <w:szCs w:val="24"/>
                <w:highlight w:val="none"/>
                <w:u w:val="none" w:color="auto"/>
                <w:vertAlign w:val="baseline"/>
                <w:lang w:eastAsia="zh-CN"/>
              </w:rPr>
              <w:t>中</w:t>
            </w:r>
            <w:r>
              <w:rPr>
                <w:rFonts w:hint="eastAsia" w:ascii="Times New Roman" w:hAnsi="Times New Roman" w:eastAsia="宋体" w:cs="Times New Roman"/>
                <w:color w:val="000000"/>
                <w:sz w:val="24"/>
                <w:szCs w:val="24"/>
                <w:highlight w:val="none"/>
                <w:u w:val="none" w:color="auto"/>
                <w:vertAlign w:val="baseline"/>
                <w:lang w:val="en-US" w:eastAsia="zh-CN"/>
              </w:rPr>
              <w:t>3</w:t>
            </w:r>
            <w:r>
              <w:rPr>
                <w:rFonts w:hint="default" w:ascii="Times New Roman" w:hAnsi="Times New Roman" w:eastAsia="宋体" w:cs="Times New Roman"/>
                <w:color w:val="000000"/>
                <w:sz w:val="24"/>
                <w:szCs w:val="24"/>
                <w:highlight w:val="none"/>
                <w:u w:val="none" w:color="auto"/>
                <w:vertAlign w:val="baseline"/>
              </w:rPr>
              <w:t>类声环境质量功能区</w:t>
            </w:r>
            <w:r>
              <w:rPr>
                <w:rFonts w:hint="eastAsia" w:ascii="Times New Roman" w:hAnsi="Times New Roman" w:eastAsia="宋体" w:cs="Times New Roman"/>
                <w:color w:val="000000"/>
                <w:sz w:val="24"/>
                <w:szCs w:val="24"/>
                <w:highlight w:val="none"/>
                <w:u w:val="none" w:color="auto"/>
                <w:vertAlign w:val="baseline"/>
                <w:lang w:eastAsia="zh-CN"/>
              </w:rPr>
              <w:t>；</w:t>
            </w:r>
            <w:r>
              <w:rPr>
                <w:rFonts w:hint="default" w:ascii="Times New Roman" w:hAnsi="Times New Roman" w:eastAsia="宋体" w:cs="Times New Roman"/>
                <w:color w:val="000000"/>
                <w:sz w:val="24"/>
                <w:szCs w:val="24"/>
                <w:highlight w:val="none"/>
                <w:u w:val="none" w:color="auto"/>
                <w:vertAlign w:val="baseline"/>
              </w:rPr>
              <w:t>周边地表水为《地表水环境质量标准》（GB3838-2002）中Ⅲ类水域。</w:t>
            </w:r>
            <w:r>
              <w:rPr>
                <w:rFonts w:hint="default" w:ascii="Times New Roman" w:hAnsi="Times New Roman" w:eastAsia="宋体" w:cs="Times New Roman"/>
                <w:color w:val="auto"/>
                <w:sz w:val="24"/>
                <w:szCs w:val="24"/>
                <w:highlight w:val="none"/>
                <w:u w:val="none" w:color="auto"/>
                <w:vertAlign w:val="baseline"/>
              </w:rPr>
              <w:t>项目运营过程采取环境污染防治措施，运营过程中不会产生对周边环境造成重大不利影响的污染。项目在采取</w:t>
            </w:r>
            <w:r>
              <w:rPr>
                <w:rFonts w:hint="eastAsia" w:ascii="Times New Roman" w:hAnsi="Times New Roman" w:eastAsia="宋体" w:cs="Times New Roman"/>
                <w:color w:val="auto"/>
                <w:sz w:val="24"/>
                <w:szCs w:val="24"/>
                <w:highlight w:val="none"/>
                <w:u w:val="none" w:color="auto"/>
                <w:vertAlign w:val="baseline"/>
                <w:lang w:eastAsia="zh-CN"/>
              </w:rPr>
              <w:t>本次评价所</w:t>
            </w:r>
            <w:r>
              <w:rPr>
                <w:rFonts w:hint="default" w:ascii="Times New Roman" w:hAnsi="Times New Roman" w:eastAsia="宋体" w:cs="Times New Roman"/>
                <w:color w:val="auto"/>
                <w:sz w:val="24"/>
                <w:szCs w:val="24"/>
                <w:highlight w:val="none"/>
                <w:u w:val="none" w:color="auto"/>
                <w:vertAlign w:val="baseline"/>
              </w:rPr>
              <w:t>提出的污染防治措施后，对项目周边的影响较小，项目对周边产生的环境影响在可接受范围内。</w:t>
            </w:r>
          </w:p>
          <w:p w14:paraId="65397C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vertAlign w:val="baseline"/>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u w:val="none" w:color="auto"/>
                <w:vertAlign w:val="baseline"/>
                <w14:textFill>
                  <w14:solidFill>
                    <w14:schemeClr w14:val="tx1"/>
                  </w14:solidFill>
                </w14:textFill>
              </w:rPr>
              <w:t>）</w:t>
            </w:r>
            <w:r>
              <w:rPr>
                <w:rFonts w:hint="eastAsia" w:ascii="Times New Roman" w:hAnsi="Times New Roman" w:eastAsia="宋体" w:cs="Times New Roman"/>
                <w:b w:val="0"/>
                <w:bCs/>
                <w:color w:val="000000" w:themeColor="text1"/>
                <w:spacing w:val="0"/>
                <w:w w:val="100"/>
                <w:position w:val="0"/>
                <w:sz w:val="24"/>
                <w:szCs w:val="28"/>
                <w:u w:val="none"/>
                <w:lang w:val="en-US" w:eastAsia="zh-CN"/>
                <w14:textFill>
                  <w14:solidFill>
                    <w14:schemeClr w14:val="tx1"/>
                  </w14:solidFill>
                </w14:textFill>
              </w:rPr>
              <w:t>本项目为废旧资源回收利用项目，不属于园区禁止引进的项目，同时不属于严格控制的水泥、铸造、焦化、化工等污染企业，也不属于国家明令淘汰和禁止发展的能耗物耗高、环境污染严重、不符合产业政策的建设项目。因此，</w:t>
            </w:r>
            <w:r>
              <w:rPr>
                <w:rFonts w:hint="default" w:ascii="Times New Roman" w:hAnsi="Times New Roman" w:eastAsia="宋体" w:cs="Times New Roman"/>
                <w:color w:val="000000" w:themeColor="text1"/>
                <w:sz w:val="24"/>
                <w:szCs w:val="24"/>
                <w:highlight w:val="none"/>
                <w:u w:val="none" w:color="auto"/>
                <w:vertAlign w:val="baseline"/>
                <w14:textFill>
                  <w14:solidFill>
                    <w14:schemeClr w14:val="tx1"/>
                  </w14:solidFill>
                </w14:textFill>
              </w:rPr>
              <w:t>本项目符合</w:t>
            </w:r>
            <w:r>
              <w:rPr>
                <w:rFonts w:hint="eastAsia" w:ascii="Times New Roman" w:hAnsi="Times New Roman" w:eastAsia="宋体" w:cs="Times New Roman"/>
                <w:color w:val="000000" w:themeColor="text1"/>
                <w:kern w:val="0"/>
                <w:sz w:val="24"/>
                <w:szCs w:val="24"/>
                <w:u w:val="none"/>
                <w:lang w:val="en-US" w:eastAsia="zh-CN"/>
                <w14:textFill>
                  <w14:solidFill>
                    <w14:schemeClr w14:val="tx1"/>
                  </w14:solidFill>
                </w14:textFill>
              </w:rPr>
              <w:t>新田产业开发区</w:t>
            </w:r>
            <w:r>
              <w:rPr>
                <w:rFonts w:hint="default" w:ascii="Times New Roman" w:hAnsi="Times New Roman" w:eastAsia="宋体" w:cs="Times New Roman"/>
                <w:color w:val="000000" w:themeColor="text1"/>
                <w:sz w:val="24"/>
                <w:szCs w:val="24"/>
                <w:highlight w:val="none"/>
                <w:u w:val="none" w:color="auto"/>
                <w:vertAlign w:val="baseline"/>
                <w14:textFill>
                  <w14:solidFill>
                    <w14:schemeClr w14:val="tx1"/>
                  </w14:solidFill>
                </w14:textFill>
              </w:rPr>
              <w:t>总体规划。</w:t>
            </w:r>
          </w:p>
          <w:p w14:paraId="7FC6CD40">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color w:val="auto"/>
                <w:sz w:val="24"/>
                <w:highlight w:val="none"/>
                <w:u w:val="none" w:color="auto"/>
              </w:rPr>
            </w:pPr>
            <w:r>
              <w:rPr>
                <w:rFonts w:hint="default" w:ascii="Times New Roman" w:hAnsi="Times New Roman" w:eastAsia="宋体" w:cs="Times New Roman"/>
                <w:color w:val="auto"/>
                <w:sz w:val="24"/>
                <w:szCs w:val="24"/>
                <w:highlight w:val="none"/>
                <w:u w:val="none" w:color="auto"/>
                <w:vertAlign w:val="baseline"/>
              </w:rPr>
              <w:t>综上所述，所在地交通便利，给排水、供电条件较好，排水管网及污水处理设施配套完善，评价范围内无风景名胜、自然保护区、保护文物、生态敏感点</w:t>
            </w:r>
            <w:r>
              <w:rPr>
                <w:rFonts w:hint="eastAsia" w:cs="Times New Roman"/>
                <w:color w:val="auto"/>
                <w:sz w:val="24"/>
                <w:szCs w:val="24"/>
                <w:highlight w:val="none"/>
                <w:u w:val="none" w:color="auto"/>
                <w:vertAlign w:val="baseline"/>
                <w:lang w:eastAsia="zh-CN"/>
              </w:rPr>
              <w:t>或其他</w:t>
            </w:r>
            <w:r>
              <w:rPr>
                <w:rFonts w:hint="default" w:ascii="Times New Roman" w:hAnsi="Times New Roman" w:eastAsia="宋体" w:cs="Times New Roman"/>
                <w:color w:val="auto"/>
                <w:sz w:val="24"/>
                <w:szCs w:val="24"/>
                <w:highlight w:val="none"/>
                <w:u w:val="none" w:color="auto"/>
                <w:vertAlign w:val="baseline"/>
              </w:rPr>
              <w:t>需要特别保护的对象。</w:t>
            </w:r>
            <w:r>
              <w:rPr>
                <w:rFonts w:hint="default"/>
                <w:color w:val="auto"/>
                <w:sz w:val="24"/>
                <w:highlight w:val="none"/>
                <w:u w:val="none" w:color="auto"/>
              </w:rPr>
              <w:t>项目的建设对周边环境的影响较小，在做好本环评提出的环保措施的前提下，从环保角度考虑，项目选址合理。</w:t>
            </w:r>
          </w:p>
          <w:p w14:paraId="371BCC82">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2" w:firstLineChars="200"/>
              <w:textAlignment w:val="auto"/>
              <w:rPr>
                <w:rFonts w:hint="default" w:ascii="Times New Roman" w:hAnsi="Times New Roman" w:eastAsia="宋体" w:cs="Times New Roman"/>
                <w:color w:val="auto"/>
                <w:sz w:val="24"/>
                <w:highlight w:val="none"/>
                <w:u w:val="none" w:color="auto"/>
                <w:vertAlign w:val="baseline"/>
              </w:rPr>
            </w:pPr>
            <w:r>
              <w:rPr>
                <w:rFonts w:hint="eastAsia" w:cs="Times New Roman"/>
                <w:b/>
                <w:bCs/>
                <w:color w:val="auto"/>
                <w:sz w:val="24"/>
                <w:highlight w:val="none"/>
                <w:u w:val="none" w:color="auto"/>
                <w:vertAlign w:val="baseline"/>
                <w:lang w:val="en-US" w:eastAsia="zh-CN"/>
              </w:rPr>
              <w:t>4</w:t>
            </w:r>
            <w:r>
              <w:rPr>
                <w:rFonts w:hint="default" w:ascii="Times New Roman" w:hAnsi="Times New Roman" w:eastAsia="宋体" w:cs="Times New Roman"/>
                <w:b/>
                <w:bCs/>
                <w:color w:val="auto"/>
                <w:sz w:val="24"/>
                <w:highlight w:val="none"/>
                <w:u w:val="none" w:color="auto"/>
                <w:vertAlign w:val="baseline"/>
              </w:rPr>
              <w:t>、与《湖南省</w:t>
            </w:r>
            <w:r>
              <w:rPr>
                <w:rFonts w:hint="eastAsia" w:cs="Times New Roman"/>
                <w:b/>
                <w:bCs/>
                <w:color w:val="auto"/>
                <w:sz w:val="24"/>
                <w:highlight w:val="none"/>
                <w:u w:val="none" w:color="auto"/>
                <w:vertAlign w:val="baseline"/>
                <w:lang w:eastAsia="zh-CN"/>
              </w:rPr>
              <w:t>“</w:t>
            </w:r>
            <w:r>
              <w:rPr>
                <w:rFonts w:hint="default" w:ascii="Times New Roman" w:hAnsi="Times New Roman" w:eastAsia="宋体" w:cs="Times New Roman"/>
                <w:b/>
                <w:bCs/>
                <w:color w:val="auto"/>
                <w:sz w:val="24"/>
                <w:highlight w:val="none"/>
                <w:u w:val="none" w:color="auto"/>
                <w:vertAlign w:val="baseline"/>
              </w:rPr>
              <w:t>十四五</w:t>
            </w:r>
            <w:r>
              <w:rPr>
                <w:rFonts w:hint="eastAsia" w:cs="Times New Roman"/>
                <w:b/>
                <w:bCs/>
                <w:color w:val="auto"/>
                <w:sz w:val="24"/>
                <w:highlight w:val="none"/>
                <w:u w:val="none" w:color="auto"/>
                <w:vertAlign w:val="baseline"/>
                <w:lang w:eastAsia="zh-CN"/>
              </w:rPr>
              <w:t>”</w:t>
            </w:r>
            <w:r>
              <w:rPr>
                <w:rFonts w:hint="default" w:ascii="Times New Roman" w:hAnsi="Times New Roman" w:eastAsia="宋体" w:cs="Times New Roman"/>
                <w:b/>
                <w:bCs/>
                <w:color w:val="auto"/>
                <w:sz w:val="24"/>
                <w:highlight w:val="none"/>
                <w:u w:val="none" w:color="auto"/>
                <w:vertAlign w:val="baseline"/>
              </w:rPr>
              <w:t>生态环境保护规划》</w:t>
            </w:r>
            <w:r>
              <w:rPr>
                <w:rFonts w:hint="default" w:ascii="Times New Roman" w:hAnsi="Times New Roman" w:eastAsia="宋体" w:cs="Times New Roman"/>
                <w:b/>
                <w:bCs/>
                <w:color w:val="auto"/>
                <w:kern w:val="0"/>
                <w:sz w:val="24"/>
                <w:szCs w:val="24"/>
                <w:u w:val="none"/>
              </w:rPr>
              <w:t>符合</w:t>
            </w:r>
            <w:r>
              <w:rPr>
                <w:rFonts w:hint="default" w:ascii="Times New Roman" w:hAnsi="Times New Roman" w:eastAsia="宋体" w:cs="Times New Roman"/>
                <w:b/>
                <w:bCs/>
                <w:color w:val="auto"/>
                <w:sz w:val="24"/>
                <w:highlight w:val="none"/>
                <w:u w:val="none" w:color="auto"/>
                <w:vertAlign w:val="baseline"/>
              </w:rPr>
              <w:t>性分析</w:t>
            </w:r>
          </w:p>
          <w:p w14:paraId="6F975606">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0" w:firstLineChars="200"/>
              <w:textAlignment w:val="auto"/>
              <w:rPr>
                <w:rFonts w:hint="default" w:ascii="Times New Roman" w:hAnsi="Times New Roman" w:eastAsia="宋体" w:cs="Times New Roman"/>
                <w:color w:val="auto"/>
                <w:sz w:val="24"/>
                <w:highlight w:val="none"/>
                <w:u w:val="none" w:color="auto"/>
                <w:vertAlign w:val="baseline"/>
              </w:rPr>
            </w:pPr>
            <w:r>
              <w:rPr>
                <w:rFonts w:hint="default" w:ascii="Times New Roman" w:hAnsi="Times New Roman" w:eastAsia="宋体" w:cs="Times New Roman"/>
                <w:color w:val="auto"/>
                <w:sz w:val="24"/>
                <w:highlight w:val="none"/>
                <w:u w:val="none" w:color="auto"/>
                <w:vertAlign w:val="baseline"/>
              </w:rPr>
              <w:t>《湖南省</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十四五</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生态环境保护规划》明确：</w:t>
            </w:r>
          </w:p>
          <w:p w14:paraId="0175F934">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0" w:firstLineChars="200"/>
              <w:textAlignment w:val="auto"/>
              <w:rPr>
                <w:rFonts w:hint="default" w:ascii="Times New Roman" w:hAnsi="Times New Roman" w:eastAsia="宋体" w:cs="Times New Roman"/>
                <w:color w:val="auto"/>
                <w:sz w:val="24"/>
                <w:highlight w:val="none"/>
                <w:u w:val="none" w:color="auto"/>
                <w:vertAlign w:val="baseline"/>
              </w:rPr>
            </w:pPr>
            <w:r>
              <w:rPr>
                <w:rFonts w:hint="default" w:ascii="Times New Roman" w:hAnsi="Times New Roman" w:eastAsia="宋体" w:cs="Times New Roman"/>
                <w:color w:val="auto"/>
                <w:sz w:val="24"/>
                <w:highlight w:val="none"/>
                <w:u w:val="none" w:color="auto"/>
                <w:vertAlign w:val="baseline"/>
              </w:rPr>
              <w:t>（1）推动能源结构持续优化。实施终端能源清洁化替代，加快工业、建筑、交通等领域电气化发展，推行清洁能源替代，逐步改善农村用能结构，提倡使用太阳能、石油液化气、电、沼气等清洁能源。</w:t>
            </w:r>
          </w:p>
          <w:p w14:paraId="2B3B4AF1">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0" w:firstLineChars="200"/>
              <w:textAlignment w:val="auto"/>
              <w:rPr>
                <w:rFonts w:hint="default" w:ascii="Times New Roman" w:hAnsi="Times New Roman" w:eastAsia="宋体" w:cs="Times New Roman"/>
                <w:color w:val="auto"/>
                <w:sz w:val="24"/>
                <w:highlight w:val="none"/>
                <w:u w:val="none" w:color="auto"/>
                <w:vertAlign w:val="baseline"/>
              </w:rPr>
            </w:pPr>
            <w:r>
              <w:rPr>
                <w:rFonts w:hint="default" w:ascii="Times New Roman" w:hAnsi="Times New Roman" w:eastAsia="宋体" w:cs="Times New Roman"/>
                <w:color w:val="auto"/>
                <w:sz w:val="24"/>
                <w:highlight w:val="none"/>
                <w:u w:val="none" w:color="auto"/>
                <w:vertAlign w:val="baseline"/>
              </w:rPr>
              <w:t>（2）推动资源高效循环利用。加强工业生产用水、用能全过程管理，提高水资源、能源利用效率，严格实行用水、用能总量和强度管理，开展工业能效、水效</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领跑者</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制度。</w:t>
            </w:r>
          </w:p>
          <w:p w14:paraId="1B02ED87">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0" w:firstLineChars="200"/>
              <w:textAlignment w:val="auto"/>
              <w:rPr>
                <w:rFonts w:hint="eastAsia" w:ascii="Times New Roman" w:hAnsi="Times New Roman" w:eastAsia="宋体" w:cs="Times New Roman"/>
                <w:color w:val="auto"/>
                <w:sz w:val="24"/>
                <w:highlight w:val="none"/>
                <w:u w:val="none" w:color="auto"/>
                <w:vertAlign w:val="baseline"/>
                <w:lang w:val="en-US" w:eastAsia="zh-CN"/>
              </w:rPr>
            </w:pPr>
            <w:r>
              <w:rPr>
                <w:rFonts w:hint="eastAsia" w:ascii="Times New Roman" w:hAnsi="Times New Roman" w:eastAsia="宋体"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val="en-US" w:eastAsia="zh-CN"/>
              </w:rPr>
              <w:t>3）持续推动塑料污染全链条治理。建立健全塑料污染治理协调推进机制、责任落实机制，将塑料污染治理纳入污染防治攻坚战和省级生态环保督察范围。加强监管执法，全面禁止废塑料进口，推广使用可降解塑料制品、塑料替代产品。常态化开展河湖水域、岸线、滩涂等重点区域塑料垃圾清理。大力宣传引导，鼓励支持涉塑机构、企业搭建合作平台，制定行业标准，开展试点示范，强化科研攻关，培育新业态新模式。</w:t>
            </w:r>
          </w:p>
          <w:p w14:paraId="38DEC32B">
            <w:pPr>
              <w:keepNext w:val="0"/>
              <w:keepLines w:val="0"/>
              <w:pageBreakBefore w:val="0"/>
              <w:widowControl w:val="0"/>
              <w:kinsoku/>
              <w:wordWrap/>
              <w:overflowPunct/>
              <w:topLinePunct w:val="0"/>
              <w:autoSpaceDE/>
              <w:autoSpaceDN/>
              <w:bidi w:val="0"/>
              <w:adjustRightInd w:val="0"/>
              <w:snapToGrid/>
              <w:spacing w:before="0" w:beforeLines="0" w:line="360" w:lineRule="auto"/>
              <w:ind w:firstLine="480" w:firstLineChars="200"/>
              <w:textAlignment w:val="auto"/>
              <w:rPr>
                <w:rFonts w:hint="eastAsia" w:ascii="Times New Roman" w:hAnsi="Times New Roman" w:eastAsia="宋体" w:cs="Times New Roman"/>
                <w:color w:val="auto"/>
                <w:sz w:val="24"/>
                <w:highlight w:val="none"/>
                <w:u w:val="none" w:color="auto"/>
                <w:vertAlign w:val="baseline"/>
                <w:lang w:eastAsia="zh-CN"/>
              </w:rPr>
            </w:pPr>
            <w:r>
              <w:rPr>
                <w:rFonts w:hint="eastAsia" w:cs="Times New Roman"/>
                <w:color w:val="auto"/>
                <w:sz w:val="24"/>
                <w:highlight w:val="none"/>
                <w:u w:val="none" w:color="auto"/>
                <w:vertAlign w:val="baseline"/>
                <w:lang w:eastAsia="zh-CN"/>
              </w:rPr>
              <w:t>（</w:t>
            </w:r>
            <w:r>
              <w:rPr>
                <w:rFonts w:hint="eastAsia" w:cs="Times New Roman"/>
                <w:color w:val="auto"/>
                <w:sz w:val="24"/>
                <w:highlight w:val="none"/>
                <w:u w:val="none" w:color="auto"/>
                <w:vertAlign w:val="baseline"/>
                <w:lang w:val="en-US" w:eastAsia="zh-CN"/>
              </w:rPr>
              <w:t>4</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推进一般工业固体废物综合利用。鼓励县级以上地方人民政府统筹或联合规划建设一般工业固体废物集中处置设施，支持资源化利用新技术、新设备、新产品的研发与应用</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在环境风险可控下，充分利用工业窑炉、水泥窑等设施消纳采选尾矿、粉煤灰、炉渣、冶炼废渣、脱硫石膏等大宗工业固体废物</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构建以水泥、建材、冶金等行业为核心的工业固体废物综合利用系统</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推动工业固体废物资源综合利用示范基地</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园区</w:t>
            </w:r>
            <w:r>
              <w:rPr>
                <w:rFonts w:hint="eastAsia" w:cs="Times New Roman"/>
                <w:color w:val="auto"/>
                <w:sz w:val="24"/>
                <w:highlight w:val="none"/>
                <w:u w:val="none" w:color="auto"/>
                <w:vertAlign w:val="baseline"/>
                <w:lang w:eastAsia="zh-CN"/>
              </w:rPr>
              <w:t>）</w:t>
            </w:r>
            <w:r>
              <w:rPr>
                <w:rFonts w:hint="eastAsia" w:ascii="Times New Roman" w:hAnsi="Times New Roman" w:eastAsia="宋体" w:cs="Times New Roman"/>
                <w:color w:val="auto"/>
                <w:sz w:val="24"/>
                <w:highlight w:val="none"/>
                <w:u w:val="none" w:color="auto"/>
                <w:vertAlign w:val="baseline"/>
                <w:lang w:eastAsia="zh-CN"/>
              </w:rPr>
              <w:t>、示范企业、示范项目建设，到2025年，全省一般工业固体废物资源综合利用率达到80%。</w:t>
            </w:r>
          </w:p>
          <w:p w14:paraId="38BC4F9F">
            <w:pPr>
              <w:keepNext w:val="0"/>
              <w:keepLines w:val="0"/>
              <w:pageBreakBefore w:val="0"/>
              <w:kinsoku/>
              <w:wordWrap/>
              <w:overflowPunct/>
              <w:topLinePunct w:val="0"/>
              <w:autoSpaceDE w:val="0"/>
              <w:autoSpaceDN w:val="0"/>
              <w:bidi w:val="0"/>
              <w:adjustRightInd w:val="0"/>
              <w:snapToGrid/>
              <w:spacing w:before="0" w:after="0"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u w:val="none" w:color="auto"/>
                <w:vertAlign w:val="baseline"/>
                <w14:textFill>
                  <w14:solidFill>
                    <w14:schemeClr w14:val="tx1"/>
                  </w14:solidFill>
                </w14:textFill>
              </w:rPr>
            </w:pPr>
            <w:r>
              <w:rPr>
                <w:rFonts w:hint="eastAsia" w:ascii="Times New Roman" w:hAnsi="Times New Roman" w:eastAsia="宋体" w:cs="Times New Roman"/>
                <w:color w:val="000000" w:themeColor="text1"/>
                <w:spacing w:val="0"/>
                <w:sz w:val="24"/>
                <w:szCs w:val="24"/>
                <w:u w:val="none" w:color="auto"/>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新田县工业南园支一路与支三路交叉口西南角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租赁湖南龙昶机械股份有限公司已建生产厂房</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不新增用地，</w:t>
            </w:r>
            <w:r>
              <w:rPr>
                <w:rFonts w:hint="default" w:ascii="Times New Roman" w:hAnsi="Times New Roman" w:eastAsia="宋体" w:cs="Times New Roman"/>
                <w:b w:val="0"/>
                <w:bCs w:val="0"/>
                <w:color w:val="000000" w:themeColor="text1"/>
                <w:kern w:val="0"/>
                <w:sz w:val="24"/>
                <w:szCs w:val="24"/>
                <w:u w:val="none"/>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不占用耕地、林地、牧地、水域等土地资源。</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本项目主要使用电能，为</w:t>
            </w:r>
            <w:r>
              <w:rPr>
                <w:rFonts w:hint="eastAsia" w:ascii="Times New Roman" w:hAnsi="Times New Roman" w:eastAsia="宋体" w:cs="Times New Roman"/>
                <w:color w:val="000000" w:themeColor="text1"/>
                <w:kern w:val="0"/>
                <w:sz w:val="24"/>
                <w:szCs w:val="24"/>
                <w:u w:val="none"/>
                <w:lang w:val="en-US" w:eastAsia="zh-CN" w:bidi="ar-SA"/>
                <w14:textFill>
                  <w14:solidFill>
                    <w14:schemeClr w14:val="tx1"/>
                  </w14:solidFill>
                </w14:textFill>
              </w:rPr>
              <w:t>清洁能源</w:t>
            </w:r>
            <w:r>
              <w:rPr>
                <w:rFonts w:hint="default" w:ascii="Times New Roman" w:hAnsi="Times New Roman" w:eastAsia="宋体" w:cs="Times New Roman"/>
                <w:b w:val="0"/>
                <w:bCs w:val="0"/>
                <w:color w:val="000000" w:themeColor="text1"/>
                <w:kern w:val="0"/>
                <w:sz w:val="24"/>
                <w:szCs w:val="24"/>
                <w:u w:val="none"/>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kern w:val="0"/>
                <w:sz w:val="24"/>
                <w:szCs w:val="24"/>
                <w:u w:val="none"/>
                <w:lang w:val="en-US" w:eastAsia="zh-CN"/>
                <w14:textFill>
                  <w14:solidFill>
                    <w14:schemeClr w14:val="tx1"/>
                  </w14:solidFill>
                </w14:textFill>
              </w:rPr>
              <w:t>废旧资源回收利用项目</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不属于</w:t>
            </w:r>
            <w:r>
              <w:rPr>
                <w:rFonts w:hint="eastAsia" w:ascii="Times New Roman" w:hAnsi="Times New Roman" w:eastAsia="宋体" w:cs="Times New Roman"/>
                <w:color w:val="000000" w:themeColor="text1"/>
                <w:sz w:val="24"/>
                <w:highlight w:val="none"/>
                <w:u w:val="none" w:color="auto"/>
                <w:vertAlign w:val="baseline"/>
                <w:lang w:eastAsia="zh-CN"/>
                <w14:textFill>
                  <w14:solidFill>
                    <w14:schemeClr w14:val="tx1"/>
                  </w14:solidFill>
                </w14:textFill>
              </w:rPr>
              <w:t>烧结砖瓦</w:t>
            </w:r>
            <w:r>
              <w:rPr>
                <w:rFonts w:hint="eastAsia" w:cs="Times New Roman"/>
                <w:color w:val="000000" w:themeColor="text1"/>
                <w:sz w:val="24"/>
                <w:highlight w:val="none"/>
                <w:u w:val="none" w:color="auto"/>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color="auto"/>
                <w:vertAlign w:val="baseline"/>
                <w:lang w:eastAsia="zh-CN"/>
                <w14:textFill>
                  <w14:solidFill>
                    <w14:schemeClr w14:val="tx1"/>
                  </w14:solidFill>
                </w14:textFill>
              </w:rPr>
              <w:t>水泥行业</w:t>
            </w:r>
            <w:r>
              <w:rPr>
                <w:rFonts w:hint="eastAsia" w:cs="Times New Roman"/>
                <w:color w:val="000000" w:themeColor="text1"/>
                <w:sz w:val="24"/>
                <w:highlight w:val="none"/>
                <w:u w:val="none" w:color="auto"/>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生产过程中产生的</w:t>
            </w:r>
            <w:r>
              <w:rPr>
                <w:rFonts w:hint="eastAsia" w:cs="Times New Roman"/>
                <w:color w:val="000000" w:themeColor="text1"/>
                <w:sz w:val="24"/>
                <w:szCs w:val="24"/>
                <w:u w:val="none" w:color="auto"/>
                <w:lang w:val="en-US" w:eastAsia="zh-CN"/>
                <w14:textFill>
                  <w14:solidFill>
                    <w14:schemeClr w14:val="tx1"/>
                  </w14:solidFill>
                </w14:textFill>
              </w:rPr>
              <w:t>破碎</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废气采取有组织排放</w:t>
            </w:r>
            <w:r>
              <w:rPr>
                <w:rFonts w:hint="eastAsia" w:cs="Times New Roman"/>
                <w:color w:val="000000" w:themeColor="text1"/>
                <w:sz w:val="24"/>
                <w:szCs w:val="24"/>
                <w:u w:val="none" w:color="auto"/>
                <w:lang w:val="en-US" w:eastAsia="zh-CN"/>
                <w14:textFill>
                  <w14:solidFill>
                    <w14:schemeClr w14:val="tx1"/>
                  </w14:solidFill>
                </w14:textFill>
              </w:rPr>
              <w:t>，并</w:t>
            </w:r>
            <w:r>
              <w:rPr>
                <w:rFonts w:hint="eastAsia" w:cs="Times New Roman"/>
                <w:color w:val="000000" w:themeColor="text1"/>
                <w:sz w:val="24"/>
                <w:highlight w:val="none"/>
                <w:u w:val="none" w:color="auto"/>
                <w:vertAlign w:val="baseline"/>
                <w:lang w:val="en-US" w:eastAsia="zh-CN"/>
                <w14:textFill>
                  <w14:solidFill>
                    <w14:schemeClr w14:val="tx1"/>
                  </w14:solidFill>
                </w14:textFill>
              </w:rPr>
              <w:t>采用一套“布袋除尘器装置”处理后经15m排气筒外排</w:t>
            </w:r>
            <w:r>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t>。</w:t>
            </w:r>
            <w:r>
              <w:rPr>
                <w:rFonts w:hint="default"/>
                <w:color w:val="000000" w:themeColor="text1"/>
                <w:sz w:val="24"/>
                <w:u w:val="none" w:color="auto"/>
                <w14:textFill>
                  <w14:solidFill>
                    <w14:schemeClr w14:val="tx1"/>
                  </w14:solidFill>
                </w14:textFill>
              </w:rPr>
              <w:t>本项目主要为再生资源回收利用、废弃物资综合利用企业</w:t>
            </w:r>
            <w:r>
              <w:rPr>
                <w:rFonts w:hint="eastAsia" w:cs="Times New Roman"/>
                <w:color w:val="000000" w:themeColor="text1"/>
                <w:kern w:val="0"/>
                <w:sz w:val="24"/>
                <w:szCs w:val="24"/>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项目运行过程中通过内部管理、设备选择、原辅材料的选用和管理、污染治理等多方面，采取合理可行的防治措施，以</w:t>
            </w:r>
            <w:r>
              <w:rPr>
                <w:rFonts w:hint="eastAsia"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节能、降耗、减污</w:t>
            </w:r>
            <w:r>
              <w:rPr>
                <w:rFonts w:hint="eastAsia" w:cs="Times New Roman"/>
                <w:color w:val="000000" w:themeColor="text1"/>
                <w:kern w:val="0"/>
                <w:sz w:val="24"/>
                <w:szCs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u w:val="none"/>
                <w14:textFill>
                  <w14:solidFill>
                    <w14:schemeClr w14:val="tx1"/>
                  </w14:solidFill>
                </w14:textFill>
              </w:rPr>
              <w:t>为目标，有效的控制污染及资源利用水平。</w:t>
            </w:r>
          </w:p>
          <w:p w14:paraId="32AD0159">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cs="Times New Roman"/>
                <w:color w:val="000000" w:themeColor="text1"/>
                <w:sz w:val="24"/>
                <w:highlight w:val="none"/>
                <w:u w:val="none" w:color="auto"/>
                <w:vertAlign w:val="baseline"/>
                <w:lang w:eastAsia="zh-CN"/>
                <w14:textFill>
                  <w14:solidFill>
                    <w14:schemeClr w14:val="tx1"/>
                  </w14:solidFill>
                </w14:textFill>
              </w:rPr>
            </w:pPr>
            <w:r>
              <w:rPr>
                <w:rFonts w:hint="eastAsia" w:cs="Times New Roman"/>
                <w:color w:val="FF0000"/>
                <w:sz w:val="24"/>
                <w:highlight w:val="none"/>
                <w:u w:val="none" w:color="auto"/>
                <w:vertAlign w:val="baseline"/>
                <w:lang w:val="en-US" w:eastAsia="zh-CN"/>
              </w:rPr>
              <w:t xml:space="preserve"> </w:t>
            </w:r>
            <w:r>
              <w:rPr>
                <w:rFonts w:hint="eastAsia" w:cs="Times New Roman"/>
                <w:color w:val="000000" w:themeColor="text1"/>
                <w:sz w:val="24"/>
                <w:highlight w:val="none"/>
                <w:u w:val="none" w:color="auto"/>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u w:val="none" w:color="auto"/>
                <w:vertAlign w:val="baseline"/>
                <w14:textFill>
                  <w14:solidFill>
                    <w14:schemeClr w14:val="tx1"/>
                  </w14:solidFill>
                </w14:textFill>
              </w:rPr>
              <w:t>因此，本项目符合《湖南省</w:t>
            </w:r>
            <w:r>
              <w:rPr>
                <w:rFonts w:hint="eastAsia" w:cs="Times New Roman"/>
                <w:color w:val="000000" w:themeColor="text1"/>
                <w:sz w:val="24"/>
                <w:highlight w:val="none"/>
                <w:u w:val="none" w:color="auto"/>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vertAlign w:val="baseline"/>
                <w14:textFill>
                  <w14:solidFill>
                    <w14:schemeClr w14:val="tx1"/>
                  </w14:solidFill>
                </w14:textFill>
              </w:rPr>
              <w:t>十四五</w:t>
            </w:r>
            <w:r>
              <w:rPr>
                <w:rFonts w:hint="eastAsia" w:cs="Times New Roman"/>
                <w:color w:val="000000" w:themeColor="text1"/>
                <w:sz w:val="24"/>
                <w:highlight w:val="none"/>
                <w:u w:val="none" w:color="auto"/>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vertAlign w:val="baseline"/>
                <w14:textFill>
                  <w14:solidFill>
                    <w14:schemeClr w14:val="tx1"/>
                  </w14:solidFill>
                </w14:textFill>
              </w:rPr>
              <w:t>生态环境保护规划》相关要求</w:t>
            </w:r>
            <w:r>
              <w:rPr>
                <w:rFonts w:hint="eastAsia" w:cs="Times New Roman"/>
                <w:color w:val="000000" w:themeColor="text1"/>
                <w:sz w:val="24"/>
                <w:highlight w:val="none"/>
                <w:u w:val="none" w:color="auto"/>
                <w:vertAlign w:val="baseline"/>
                <w:lang w:eastAsia="zh-CN"/>
                <w14:textFill>
                  <w14:solidFill>
                    <w14:schemeClr w14:val="tx1"/>
                  </w14:solidFill>
                </w14:textFill>
              </w:rPr>
              <w:t>。</w:t>
            </w:r>
          </w:p>
          <w:p w14:paraId="3B574611">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eastAsia" w:ascii="Times New Roman" w:hAnsi="Times New Roman" w:eastAsia="宋体" w:cs="Times New Roman"/>
                <w:b/>
                <w:color w:val="000000"/>
                <w:sz w:val="24"/>
                <w:szCs w:val="24"/>
                <w:u w:val="none" w:color="auto"/>
                <w:lang w:val="en-US" w:eastAsia="zh-CN" w:bidi="ar"/>
              </w:rPr>
            </w:pPr>
            <w:r>
              <w:rPr>
                <w:rFonts w:hint="eastAsia" w:ascii="Times New Roman" w:hAnsi="Times New Roman" w:eastAsia="宋体" w:cs="Times New Roman"/>
                <w:b/>
                <w:color w:val="000000"/>
                <w:kern w:val="2"/>
                <w:sz w:val="24"/>
                <w:szCs w:val="24"/>
                <w:u w:color="auto"/>
                <w:lang w:val="en-US" w:eastAsia="zh-CN" w:bidi="ar"/>
              </w:rPr>
              <w:t>5、</w:t>
            </w:r>
            <w:r>
              <w:rPr>
                <w:rFonts w:hint="eastAsia" w:ascii="Times New Roman" w:hAnsi="Times New Roman" w:eastAsia="宋体" w:cs="Times New Roman"/>
                <w:b/>
                <w:color w:val="000000"/>
                <w:sz w:val="24"/>
                <w:szCs w:val="24"/>
                <w:u w:val="none" w:color="auto"/>
                <w:lang w:val="en-US" w:eastAsia="zh-CN" w:bidi="ar"/>
              </w:rPr>
              <w:t>与《湖南省</w:t>
            </w:r>
            <w:r>
              <w:rPr>
                <w:rFonts w:hint="eastAsia" w:cs="Times New Roman"/>
                <w:b/>
                <w:color w:val="000000"/>
                <w:sz w:val="24"/>
                <w:szCs w:val="24"/>
                <w:u w:val="none" w:color="auto"/>
                <w:lang w:val="en-US" w:eastAsia="zh-CN" w:bidi="ar"/>
              </w:rPr>
              <w:t>“</w:t>
            </w:r>
            <w:r>
              <w:rPr>
                <w:rFonts w:hint="eastAsia" w:ascii="Times New Roman" w:hAnsi="Times New Roman" w:eastAsia="宋体" w:cs="Times New Roman"/>
                <w:b/>
                <w:color w:val="000000"/>
                <w:sz w:val="24"/>
                <w:szCs w:val="24"/>
                <w:u w:val="none" w:color="auto"/>
                <w:lang w:val="en-US" w:eastAsia="zh-CN" w:bidi="ar"/>
              </w:rPr>
              <w:t>十四五</w:t>
            </w:r>
            <w:r>
              <w:rPr>
                <w:rFonts w:hint="eastAsia" w:cs="Times New Roman"/>
                <w:b/>
                <w:color w:val="000000"/>
                <w:sz w:val="24"/>
                <w:szCs w:val="24"/>
                <w:u w:val="none" w:color="auto"/>
                <w:lang w:val="en-US" w:eastAsia="zh-CN" w:bidi="ar"/>
              </w:rPr>
              <w:t>”</w:t>
            </w:r>
            <w:r>
              <w:rPr>
                <w:rFonts w:hint="eastAsia" w:ascii="Times New Roman" w:hAnsi="Times New Roman" w:eastAsia="宋体" w:cs="Times New Roman"/>
                <w:b/>
                <w:color w:val="000000"/>
                <w:sz w:val="24"/>
                <w:szCs w:val="24"/>
                <w:u w:val="none" w:color="auto"/>
                <w:lang w:val="en-US" w:eastAsia="zh-CN" w:bidi="ar"/>
              </w:rPr>
              <w:t>固体废物环境管理规划》相符性分析</w:t>
            </w:r>
          </w:p>
          <w:p w14:paraId="4D8C057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vertAlign w:val="baseline"/>
              </w:rPr>
            </w:pPr>
            <w:r>
              <w:rPr>
                <w:rFonts w:hint="default" w:ascii="Times New Roman" w:hAnsi="Times New Roman" w:eastAsia="宋体" w:cs="Times New Roman"/>
                <w:color w:val="auto"/>
                <w:sz w:val="24"/>
                <w:highlight w:val="none"/>
                <w:u w:val="none" w:color="auto"/>
                <w:vertAlign w:val="baseline"/>
              </w:rPr>
              <w:t>《湖南省</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十四五</w:t>
            </w:r>
            <w:r>
              <w:rPr>
                <w:rFonts w:hint="eastAsia" w:cs="Times New Roman"/>
                <w:color w:val="auto"/>
                <w:sz w:val="24"/>
                <w:highlight w:val="none"/>
                <w:u w:val="none" w:color="auto"/>
                <w:vertAlign w:val="baseline"/>
                <w:lang w:eastAsia="zh-CN"/>
              </w:rPr>
              <w:t>”</w:t>
            </w:r>
            <w:r>
              <w:rPr>
                <w:rFonts w:hint="default" w:ascii="Times New Roman" w:hAnsi="Times New Roman" w:eastAsia="宋体" w:cs="Times New Roman"/>
                <w:color w:val="auto"/>
                <w:sz w:val="24"/>
                <w:highlight w:val="none"/>
                <w:u w:val="none" w:color="auto"/>
                <w:vertAlign w:val="baseline"/>
              </w:rPr>
              <w:t>固体废物环境管理规划》明确：</w:t>
            </w:r>
          </w:p>
          <w:p w14:paraId="5F6F89B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color w:val="000000"/>
                <w:sz w:val="24"/>
                <w:szCs w:val="24"/>
                <w:highlight w:val="none"/>
                <w:u w:val="none" w:color="auto"/>
                <w:lang w:val="en-US" w:eastAsia="zh-CN"/>
              </w:rPr>
            </w:pPr>
            <w:r>
              <w:rPr>
                <w:rFonts w:hint="eastAsia" w:ascii="Times New Roman" w:hAnsi="Times New Roman" w:eastAsia="宋体" w:cs="Times New Roman"/>
                <w:b w:val="0"/>
                <w:bCs w:val="0"/>
                <w:color w:val="000000"/>
                <w:kern w:val="2"/>
                <w:sz w:val="24"/>
                <w:szCs w:val="24"/>
                <w:u w:color="auto"/>
                <w:lang w:val="en-US" w:eastAsia="zh-CN" w:bidi="ar-SA"/>
              </w:rPr>
              <w:t>（1）</w:t>
            </w:r>
            <w:r>
              <w:rPr>
                <w:rFonts w:hint="eastAsia" w:ascii="Times New Roman" w:hAnsi="Times New Roman" w:eastAsia="宋体" w:cs="Times New Roman"/>
                <w:b w:val="0"/>
                <w:bCs w:val="0"/>
                <w:color w:val="000000"/>
                <w:sz w:val="24"/>
                <w:szCs w:val="24"/>
                <w:highlight w:val="none"/>
                <w:u w:val="none" w:color="auto"/>
                <w:lang w:val="en-US" w:eastAsia="zh-CN"/>
              </w:rPr>
              <w:t>要求提高一般工业固体废物综合利用率。省级工信主管部门会同省直相关部门组织开展工业固体废物资源综合利用审查与评价，促进一般工业固体废物资源综合利用产业规范化、绿色化、规模化、高技术化发展。充分利用工业窑炉、水泥窑等设施消纳尾矿、粉煤灰、煤矸石、炉渣、冶炼废渣、脱硫石膏等一般工业固体废物，构建以水泥、建材、冶金等行业为核心的一般工业固体废物综合利用系统，提高一般工业固体废物综合利用率；</w:t>
            </w:r>
          </w:p>
          <w:p w14:paraId="3FB247B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color w:val="000000"/>
                <w:sz w:val="24"/>
                <w:szCs w:val="24"/>
                <w:highlight w:val="none"/>
                <w:u w:val="none" w:color="auto"/>
                <w:lang w:val="en-US" w:eastAsia="zh-CN"/>
              </w:rPr>
            </w:pPr>
            <w:r>
              <w:rPr>
                <w:rFonts w:hint="eastAsia" w:ascii="Times New Roman" w:hAnsi="Times New Roman" w:eastAsia="宋体" w:cs="Times New Roman"/>
                <w:b w:val="0"/>
                <w:bCs w:val="0"/>
                <w:color w:val="000000"/>
                <w:kern w:val="2"/>
                <w:sz w:val="24"/>
                <w:szCs w:val="24"/>
                <w:u w:color="auto"/>
                <w:lang w:val="en-US" w:eastAsia="zh-CN" w:bidi="ar-SA"/>
              </w:rPr>
              <w:t>（2）</w:t>
            </w:r>
            <w:r>
              <w:rPr>
                <w:rFonts w:hint="eastAsia" w:ascii="Times New Roman" w:hAnsi="Times New Roman" w:eastAsia="宋体" w:cs="Times New Roman"/>
                <w:b w:val="0"/>
                <w:bCs w:val="0"/>
                <w:color w:val="000000"/>
                <w:sz w:val="24"/>
                <w:szCs w:val="24"/>
                <w:highlight w:val="none"/>
                <w:u w:val="none" w:color="auto"/>
                <w:lang w:val="en-US" w:eastAsia="zh-CN"/>
              </w:rPr>
              <w:t xml:space="preserve">要求加快一般工业固体废物综合利用处置设施建设。县级人民政府组织制定本辖区一般工业固体废物污染环境防治工作规划。各市州人民政府根据辖区内产废实际和产废特点，统筹规划建设一般工业固体废物利用处置设施，可联合周边地区规划建设区域性一般工业固体废物利用处置设施，确保一般工业固废利用处置能力能够满足实际需求；   </w:t>
            </w:r>
          </w:p>
          <w:p w14:paraId="1FB49CA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b w:val="0"/>
                <w:bCs w:val="0"/>
                <w:color w:val="000000"/>
                <w:sz w:val="24"/>
                <w:szCs w:val="24"/>
                <w:highlight w:val="none"/>
                <w:u w:val="none" w:color="auto"/>
                <w:lang w:val="en-US" w:eastAsia="zh-CN"/>
              </w:rPr>
            </w:pPr>
            <w:r>
              <w:rPr>
                <w:rFonts w:hint="eastAsia" w:ascii="Times New Roman" w:hAnsi="Times New Roman" w:eastAsia="宋体" w:cs="Times New Roman"/>
                <w:b w:val="0"/>
                <w:bCs w:val="0"/>
                <w:color w:val="000000"/>
                <w:sz w:val="24"/>
                <w:szCs w:val="24"/>
                <w:highlight w:val="none"/>
                <w:u w:val="none" w:color="auto"/>
                <w:lang w:val="en-US" w:eastAsia="zh-CN"/>
              </w:rPr>
              <w:t>（3）建设大宗工业固废综合利用基地。支持大宗固体废弃物的综合利用，到2022年，力争打造5个左右省级及以上工业固体废物资源综合利用示范基地（园区），培育10个左右工业固体废物资源综合利用示范企业，建设15个工业固体废物资源综合利用示范项目，使我省大宗工业固体废物综合利用率提高到60%及以上。</w:t>
            </w:r>
          </w:p>
          <w:p w14:paraId="1C3FD3D8">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eastAsia" w:cs="Times New Roman"/>
                <w:color w:val="000000" w:themeColor="text1"/>
                <w:sz w:val="24"/>
                <w:szCs w:val="24"/>
                <w:highlight w:val="none"/>
                <w:u w:val="none" w:color="auto"/>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本项目通过回收县域固体废物，对固废进行分类后，一部分直接作为二次利用原料外售，其余部分在厂区内进行综合处理后，运往水泥厂作为替代燃料，项目属于《湖南省</w:t>
            </w:r>
            <w:r>
              <w:rPr>
                <w:rFonts w:hint="eastAsia" w:cs="Times New Roman"/>
                <w:b w:val="0"/>
                <w:bCs w:val="0"/>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十四五</w:t>
            </w:r>
            <w:r>
              <w:rPr>
                <w:rFonts w:hint="eastAsia" w:cs="Times New Roman"/>
                <w:b w:val="0"/>
                <w:bCs w:val="0"/>
                <w:color w:val="000000" w:themeColor="text1"/>
                <w:sz w:val="24"/>
                <w:szCs w:val="24"/>
                <w:highlight w:val="none"/>
                <w:u w:val="none" w:color="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color="auto"/>
                <w:lang w:val="en-US" w:eastAsia="zh-CN"/>
                <w14:textFill>
                  <w14:solidFill>
                    <w14:schemeClr w14:val="tx1"/>
                  </w14:solidFill>
                </w14:textFill>
              </w:rPr>
              <w:t>固体废物环境管理规划》要求的基础固废设施，故本项目的建设与该《规划》相符。</w:t>
            </w:r>
          </w:p>
          <w:p w14:paraId="5F99CA45">
            <w:pPr>
              <w:spacing w:line="360" w:lineRule="auto"/>
              <w:ind w:firstLine="482" w:firstLineChars="200"/>
              <w:rPr>
                <w:rFonts w:hint="eastAsia"/>
                <w:b/>
                <w:bCs/>
                <w:u w:val="none"/>
              </w:rPr>
            </w:pPr>
            <w:r>
              <w:rPr>
                <w:rFonts w:hint="eastAsia"/>
                <w:b/>
                <w:bCs/>
                <w:sz w:val="24"/>
                <w:szCs w:val="24"/>
                <w:u w:val="none"/>
                <w:lang w:val="en-US" w:eastAsia="zh-CN"/>
              </w:rPr>
              <w:t>6</w:t>
            </w:r>
            <w:r>
              <w:rPr>
                <w:rFonts w:hint="eastAsia"/>
                <w:b/>
                <w:bCs/>
                <w:sz w:val="24"/>
                <w:szCs w:val="24"/>
                <w:u w:val="none"/>
              </w:rPr>
              <w:t>、</w:t>
            </w:r>
            <w:r>
              <w:rPr>
                <w:rFonts w:hint="eastAsia" w:hAnsi="宋体"/>
                <w:b/>
                <w:sz w:val="24"/>
                <w:szCs w:val="24"/>
                <w:u w:val="none"/>
              </w:rPr>
              <w:t>与湖南省《再生资源回收管理办法》</w:t>
            </w:r>
            <w:r>
              <w:rPr>
                <w:rFonts w:hint="eastAsia"/>
                <w:b/>
                <w:bCs/>
                <w:sz w:val="24"/>
                <w:szCs w:val="24"/>
                <w:u w:val="none"/>
              </w:rPr>
              <w:t>相符性分析</w:t>
            </w:r>
          </w:p>
          <w:p w14:paraId="26D44F55">
            <w:pPr>
              <w:pStyle w:val="17"/>
              <w:spacing w:after="0" w:line="240" w:lineRule="auto"/>
              <w:ind w:left="0" w:leftChars="0" w:firstLine="0"/>
              <w:jc w:val="center"/>
              <w:rPr>
                <w:rFonts w:hint="eastAsia"/>
                <w:u w:val="none"/>
              </w:rPr>
            </w:pPr>
            <w:r>
              <w:rPr>
                <w:rFonts w:hint="eastAsia"/>
                <w:b/>
                <w:bCs/>
                <w:sz w:val="21"/>
                <w:szCs w:val="21"/>
                <w:u w:val="none"/>
              </w:rPr>
              <w:t>表1-5  与</w:t>
            </w:r>
            <w:r>
              <w:rPr>
                <w:rFonts w:hint="eastAsia" w:hAnsi="宋体"/>
                <w:b/>
                <w:sz w:val="21"/>
                <w:szCs w:val="21"/>
                <w:u w:val="none"/>
              </w:rPr>
              <w:t>湖南省《再生资源回收管理办法》</w:t>
            </w:r>
            <w:r>
              <w:rPr>
                <w:rFonts w:hint="eastAsia"/>
                <w:b/>
                <w:bCs/>
                <w:sz w:val="21"/>
                <w:szCs w:val="21"/>
                <w:u w:val="none"/>
              </w:rPr>
              <w:t>相符性分析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092"/>
              <w:gridCol w:w="2306"/>
              <w:gridCol w:w="992"/>
            </w:tblGrid>
            <w:tr w14:paraId="18D77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7" w:hRule="atLeast"/>
                <w:jc w:val="center"/>
              </w:trPr>
              <w:tc>
                <w:tcPr>
                  <w:tcW w:w="2768" w:type="pct"/>
                  <w:noWrap w:val="0"/>
                  <w:vAlign w:val="center"/>
                </w:tcPr>
                <w:p w14:paraId="3271D5AA">
                  <w:pPr>
                    <w:widowControl/>
                    <w:spacing w:line="240" w:lineRule="auto"/>
                    <w:jc w:val="center"/>
                    <w:rPr>
                      <w:sz w:val="21"/>
                      <w:szCs w:val="21"/>
                      <w:u w:val="none"/>
                    </w:rPr>
                  </w:pPr>
                  <w:r>
                    <w:rPr>
                      <w:b/>
                      <w:bCs/>
                      <w:kern w:val="0"/>
                      <w:sz w:val="21"/>
                      <w:szCs w:val="21"/>
                      <w:u w:val="none"/>
                      <w:lang w:bidi="ar"/>
                    </w:rPr>
                    <w:t>相关要求（节选）</w:t>
                  </w:r>
                </w:p>
              </w:tc>
              <w:tc>
                <w:tcPr>
                  <w:tcW w:w="1560" w:type="pct"/>
                  <w:noWrap w:val="0"/>
                  <w:vAlign w:val="center"/>
                </w:tcPr>
                <w:p w14:paraId="6C1F3478">
                  <w:pPr>
                    <w:widowControl/>
                    <w:spacing w:line="240" w:lineRule="auto"/>
                    <w:jc w:val="center"/>
                    <w:rPr>
                      <w:sz w:val="21"/>
                      <w:szCs w:val="21"/>
                      <w:u w:val="none"/>
                    </w:rPr>
                  </w:pPr>
                  <w:r>
                    <w:rPr>
                      <w:b/>
                      <w:bCs/>
                      <w:kern w:val="0"/>
                      <w:sz w:val="21"/>
                      <w:szCs w:val="21"/>
                      <w:u w:val="none"/>
                      <w:lang w:bidi="ar"/>
                    </w:rPr>
                    <w:t>项目情况</w:t>
                  </w:r>
                </w:p>
              </w:tc>
              <w:tc>
                <w:tcPr>
                  <w:tcW w:w="671" w:type="pct"/>
                  <w:noWrap w:val="0"/>
                  <w:vAlign w:val="center"/>
                </w:tcPr>
                <w:p w14:paraId="112D8538">
                  <w:pPr>
                    <w:widowControl/>
                    <w:spacing w:line="240" w:lineRule="auto"/>
                    <w:jc w:val="center"/>
                    <w:rPr>
                      <w:b/>
                      <w:bCs/>
                      <w:kern w:val="0"/>
                      <w:sz w:val="21"/>
                      <w:szCs w:val="21"/>
                      <w:u w:val="none"/>
                      <w:lang w:bidi="ar"/>
                    </w:rPr>
                  </w:pPr>
                  <w:r>
                    <w:rPr>
                      <w:b/>
                      <w:bCs/>
                      <w:kern w:val="0"/>
                      <w:sz w:val="21"/>
                      <w:szCs w:val="21"/>
                      <w:u w:val="none"/>
                      <w:lang w:bidi="ar"/>
                    </w:rPr>
                    <w:t>符合性分析</w:t>
                  </w:r>
                </w:p>
              </w:tc>
            </w:tr>
            <w:tr w14:paraId="6B3C7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1148B28D">
                  <w:pPr>
                    <w:widowControl/>
                    <w:spacing w:line="240" w:lineRule="auto"/>
                    <w:jc w:val="center"/>
                    <w:rPr>
                      <w:sz w:val="21"/>
                      <w:szCs w:val="21"/>
                      <w:u w:val="none"/>
                    </w:rPr>
                  </w:pPr>
                  <w:r>
                    <w:rPr>
                      <w:kern w:val="0"/>
                      <w:sz w:val="21"/>
                      <w:szCs w:val="21"/>
                      <w:u w:val="none"/>
                      <w:lang w:bidi="ar"/>
                    </w:rPr>
                    <w:t>（</w:t>
                  </w:r>
                  <w:r>
                    <w:rPr>
                      <w:rFonts w:hint="eastAsia"/>
                      <w:kern w:val="0"/>
                      <w:sz w:val="21"/>
                      <w:szCs w:val="21"/>
                      <w:u w:val="none"/>
                      <w:lang w:bidi="ar"/>
                    </w:rPr>
                    <w:t>一</w:t>
                  </w:r>
                  <w:r>
                    <w:rPr>
                      <w:kern w:val="0"/>
                      <w:sz w:val="21"/>
                      <w:szCs w:val="21"/>
                      <w:u w:val="none"/>
                      <w:lang w:bidi="ar"/>
                    </w:rPr>
                    <w:t>）</w:t>
                  </w:r>
                  <w:r>
                    <w:rPr>
                      <w:rFonts w:hint="eastAsia"/>
                      <w:kern w:val="0"/>
                      <w:sz w:val="21"/>
                      <w:szCs w:val="21"/>
                      <w:u w:val="none"/>
                      <w:lang w:bidi="ar"/>
                    </w:rPr>
                    <w:t>从事再生资源回收经营活动，必须符合工商行政管理登记条件，领取营业执照后，方可从事经营活动。</w:t>
                  </w:r>
                </w:p>
              </w:tc>
              <w:tc>
                <w:tcPr>
                  <w:tcW w:w="1560" w:type="pct"/>
                  <w:noWrap w:val="0"/>
                  <w:vAlign w:val="center"/>
                </w:tcPr>
                <w:p w14:paraId="5C06E80C">
                  <w:pPr>
                    <w:widowControl/>
                    <w:spacing w:line="240" w:lineRule="auto"/>
                    <w:jc w:val="center"/>
                    <w:rPr>
                      <w:sz w:val="21"/>
                      <w:szCs w:val="21"/>
                      <w:u w:val="none"/>
                    </w:rPr>
                  </w:pPr>
                  <w:r>
                    <w:rPr>
                      <w:rFonts w:hint="eastAsia"/>
                      <w:sz w:val="21"/>
                      <w:szCs w:val="21"/>
                      <w:u w:val="none"/>
                    </w:rPr>
                    <w:t>项目已办理营业执照。</w:t>
                  </w:r>
                </w:p>
              </w:tc>
              <w:tc>
                <w:tcPr>
                  <w:tcW w:w="671" w:type="pct"/>
                  <w:noWrap w:val="0"/>
                  <w:vAlign w:val="center"/>
                </w:tcPr>
                <w:p w14:paraId="182F0B0E">
                  <w:pPr>
                    <w:widowControl/>
                    <w:spacing w:line="240" w:lineRule="auto"/>
                    <w:jc w:val="center"/>
                    <w:rPr>
                      <w:kern w:val="0"/>
                      <w:sz w:val="21"/>
                      <w:szCs w:val="21"/>
                      <w:u w:val="none"/>
                      <w:lang w:bidi="ar"/>
                    </w:rPr>
                  </w:pPr>
                  <w:r>
                    <w:rPr>
                      <w:rFonts w:hint="eastAsia"/>
                      <w:kern w:val="0"/>
                      <w:sz w:val="21"/>
                      <w:szCs w:val="21"/>
                      <w:u w:val="none"/>
                      <w:lang w:bidi="ar"/>
                    </w:rPr>
                    <w:t>符合</w:t>
                  </w:r>
                </w:p>
              </w:tc>
            </w:tr>
            <w:tr w14:paraId="2D511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63B865E0">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二</w:t>
                  </w:r>
                  <w:r>
                    <w:rPr>
                      <w:rFonts w:hint="eastAsia"/>
                      <w:kern w:val="0"/>
                      <w:sz w:val="21"/>
                      <w:szCs w:val="21"/>
                      <w:u w:val="none"/>
                      <w:lang w:bidi="ar"/>
                    </w:rPr>
                    <w:t>）生产企业应当通过与再生资源回收企业签订收购合同的方式交售生产性废旧金属。收购合同中应当约定所回收生产性废旧金属的名称、数量、规格，回收期次，结算方式等。</w:t>
                  </w:r>
                </w:p>
              </w:tc>
              <w:tc>
                <w:tcPr>
                  <w:tcW w:w="1560" w:type="pct"/>
                  <w:noWrap w:val="0"/>
                  <w:vAlign w:val="center"/>
                </w:tcPr>
                <w:p w14:paraId="28C5CF3A">
                  <w:pPr>
                    <w:widowControl/>
                    <w:spacing w:line="240" w:lineRule="auto"/>
                    <w:jc w:val="center"/>
                    <w:rPr>
                      <w:color w:val="000000" w:themeColor="text1"/>
                      <w:kern w:val="0"/>
                      <w:sz w:val="21"/>
                      <w:szCs w:val="21"/>
                      <w:u w:val="none"/>
                      <w:lang w:bidi="ar"/>
                      <w14:textFill>
                        <w14:solidFill>
                          <w14:schemeClr w14:val="tx1"/>
                        </w14:solidFill>
                      </w14:textFill>
                    </w:rPr>
                  </w:pPr>
                  <w:r>
                    <w:rPr>
                      <w:rFonts w:hint="eastAsia"/>
                      <w:color w:val="000000" w:themeColor="text1"/>
                      <w:kern w:val="0"/>
                      <w:sz w:val="21"/>
                      <w:szCs w:val="21"/>
                      <w:u w:val="none"/>
                      <w:lang w:bidi="ar"/>
                      <w14:textFill>
                        <w14:solidFill>
                          <w14:schemeClr w14:val="tx1"/>
                        </w14:solidFill>
                      </w14:textFill>
                    </w:rPr>
                    <w:t>项目不回收废旧金属。</w:t>
                  </w:r>
                </w:p>
              </w:tc>
              <w:tc>
                <w:tcPr>
                  <w:tcW w:w="671" w:type="pct"/>
                  <w:noWrap w:val="0"/>
                  <w:vAlign w:val="center"/>
                </w:tcPr>
                <w:p w14:paraId="573F333D">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r w14:paraId="55F7D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3604FB2A">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三</w:t>
                  </w:r>
                  <w:r>
                    <w:rPr>
                      <w:rFonts w:hint="eastAsia"/>
                      <w:kern w:val="0"/>
                      <w:sz w:val="21"/>
                      <w:szCs w:val="21"/>
                      <w:u w:val="none"/>
                      <w:lang w:bidi="ar"/>
                    </w:rPr>
                    <w:t>）再生资源回收企业回收生产性废旧金属时，应当对物品的名称、数量、规格、新旧程度等如实进行登记。出售人为单位的，应当查验出售单位开具的证明，并如实登记出售单位名称、经办人姓名、住址、身份证号码；出售人为个人的，应当如实登记出售人的姓名、住址、身份证号码。登记资料保存期限不得少于两年。</w:t>
                  </w:r>
                </w:p>
              </w:tc>
              <w:tc>
                <w:tcPr>
                  <w:tcW w:w="1560" w:type="pct"/>
                  <w:noWrap w:val="0"/>
                  <w:vAlign w:val="center"/>
                </w:tcPr>
                <w:p w14:paraId="43D1E91C">
                  <w:pPr>
                    <w:widowControl/>
                    <w:spacing w:line="240" w:lineRule="auto"/>
                    <w:jc w:val="center"/>
                    <w:rPr>
                      <w:color w:val="000000" w:themeColor="text1"/>
                      <w:kern w:val="0"/>
                      <w:sz w:val="21"/>
                      <w:szCs w:val="21"/>
                      <w:u w:val="none"/>
                      <w:lang w:bidi="ar"/>
                      <w14:textFill>
                        <w14:solidFill>
                          <w14:schemeClr w14:val="tx1"/>
                        </w14:solidFill>
                      </w14:textFill>
                    </w:rPr>
                  </w:pPr>
                  <w:r>
                    <w:rPr>
                      <w:rFonts w:hint="eastAsia"/>
                      <w:color w:val="000000" w:themeColor="text1"/>
                      <w:kern w:val="0"/>
                      <w:sz w:val="21"/>
                      <w:szCs w:val="21"/>
                      <w:u w:val="none"/>
                      <w:lang w:bidi="ar"/>
                      <w14:textFill>
                        <w14:solidFill>
                          <w14:schemeClr w14:val="tx1"/>
                        </w14:solidFill>
                      </w14:textFill>
                    </w:rPr>
                    <w:t>项目不回收废旧金属。</w:t>
                  </w:r>
                </w:p>
              </w:tc>
              <w:tc>
                <w:tcPr>
                  <w:tcW w:w="671" w:type="pct"/>
                  <w:noWrap w:val="0"/>
                  <w:vAlign w:val="center"/>
                </w:tcPr>
                <w:p w14:paraId="57302E96">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r w14:paraId="62BC3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069E7DFC">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四</w:t>
                  </w:r>
                  <w:r>
                    <w:rPr>
                      <w:rFonts w:hint="eastAsia"/>
                      <w:kern w:val="0"/>
                      <w:sz w:val="21"/>
                      <w:szCs w:val="21"/>
                      <w:u w:val="none"/>
                      <w:lang w:bidi="ar"/>
                    </w:rPr>
                    <w:t>）再生资源回收经营者在经营活动中发现有公安机关通报寻查的赃物或有赃物嫌疑的物品时，应当立即报告公安机关。公安机关对再生资源回收经营者在经营活动中发现的赃物或有赃物嫌疑的物品应当依法予以扣押，并开列扣押清单。有赃物嫌疑的物品经查明不是赃物的，应当依法及时退还；经查明确属赃物的，依照国家有关规定处理。</w:t>
                  </w:r>
                </w:p>
              </w:tc>
              <w:tc>
                <w:tcPr>
                  <w:tcW w:w="1560" w:type="pct"/>
                  <w:noWrap w:val="0"/>
                  <w:vAlign w:val="center"/>
                </w:tcPr>
                <w:p w14:paraId="562EF2C7">
                  <w:pPr>
                    <w:widowControl/>
                    <w:spacing w:line="240" w:lineRule="auto"/>
                    <w:jc w:val="center"/>
                    <w:rPr>
                      <w:kern w:val="0"/>
                      <w:sz w:val="21"/>
                      <w:szCs w:val="21"/>
                      <w:u w:val="none"/>
                      <w:lang w:bidi="ar"/>
                    </w:rPr>
                  </w:pPr>
                  <w:r>
                    <w:rPr>
                      <w:rFonts w:hint="eastAsia"/>
                      <w:kern w:val="0"/>
                      <w:sz w:val="21"/>
                      <w:szCs w:val="21"/>
                      <w:u w:val="none"/>
                      <w:lang w:bidi="ar"/>
                    </w:rPr>
                    <w:t>项目未建设，未在经营活动中发现有公安机关通报寻查的赃物或有赃物嫌疑的物品。</w:t>
                  </w:r>
                </w:p>
              </w:tc>
              <w:tc>
                <w:tcPr>
                  <w:tcW w:w="671" w:type="pct"/>
                  <w:noWrap w:val="0"/>
                  <w:vAlign w:val="center"/>
                </w:tcPr>
                <w:p w14:paraId="7BDF4DC6">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r w14:paraId="20135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4658029B">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五</w:t>
                  </w:r>
                  <w:r>
                    <w:rPr>
                      <w:rFonts w:hint="eastAsia"/>
                      <w:kern w:val="0"/>
                      <w:sz w:val="21"/>
                      <w:szCs w:val="21"/>
                      <w:u w:val="none"/>
                      <w:lang w:bidi="ar"/>
                    </w:rPr>
                    <w:t>）再生资源的收集、储存、运输、处理等全过程应当遵守相关国家污染防治标准、技术政策和技术规范。</w:t>
                  </w:r>
                </w:p>
              </w:tc>
              <w:tc>
                <w:tcPr>
                  <w:tcW w:w="1560" w:type="pct"/>
                  <w:noWrap w:val="0"/>
                  <w:vAlign w:val="center"/>
                </w:tcPr>
                <w:p w14:paraId="507DF1AC">
                  <w:pPr>
                    <w:widowControl/>
                    <w:spacing w:line="240" w:lineRule="auto"/>
                    <w:jc w:val="center"/>
                    <w:rPr>
                      <w:rFonts w:hint="eastAsia"/>
                      <w:kern w:val="0"/>
                      <w:sz w:val="21"/>
                      <w:szCs w:val="21"/>
                      <w:u w:val="none"/>
                      <w:lang w:bidi="ar"/>
                    </w:rPr>
                  </w:pPr>
                  <w:r>
                    <w:rPr>
                      <w:rFonts w:hint="eastAsia"/>
                      <w:kern w:val="0"/>
                      <w:sz w:val="21"/>
                      <w:szCs w:val="21"/>
                      <w:u w:val="none"/>
                      <w:lang w:bidi="ar"/>
                    </w:rPr>
                    <w:t>项目收集、储存、运输、处理等全过程遵守相关国家污染防治标准、技术政策和技术规范。</w:t>
                  </w:r>
                </w:p>
              </w:tc>
              <w:tc>
                <w:tcPr>
                  <w:tcW w:w="671" w:type="pct"/>
                  <w:noWrap w:val="0"/>
                  <w:vAlign w:val="center"/>
                </w:tcPr>
                <w:p w14:paraId="7E989208">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r w14:paraId="44D0B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55E4D5A1">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六</w:t>
                  </w:r>
                  <w:r>
                    <w:rPr>
                      <w:rFonts w:hint="eastAsia"/>
                      <w:kern w:val="0"/>
                      <w:sz w:val="21"/>
                      <w:szCs w:val="21"/>
                      <w:u w:val="none"/>
                      <w:lang w:bidi="ar"/>
                    </w:rPr>
                    <w:t>）再生资源回收经营者从事旧货收购、销售、储存、运输等经营活动应当遵守旧货流通的有关规定。</w:t>
                  </w:r>
                </w:p>
              </w:tc>
              <w:tc>
                <w:tcPr>
                  <w:tcW w:w="1560" w:type="pct"/>
                  <w:noWrap w:val="0"/>
                  <w:vAlign w:val="center"/>
                </w:tcPr>
                <w:p w14:paraId="492B0A0A">
                  <w:pPr>
                    <w:widowControl/>
                    <w:spacing w:line="240" w:lineRule="auto"/>
                    <w:jc w:val="center"/>
                    <w:rPr>
                      <w:rFonts w:hint="eastAsia"/>
                      <w:kern w:val="0"/>
                      <w:sz w:val="21"/>
                      <w:szCs w:val="21"/>
                      <w:u w:val="none"/>
                      <w:lang w:bidi="ar"/>
                    </w:rPr>
                  </w:pPr>
                  <w:r>
                    <w:rPr>
                      <w:rFonts w:hint="eastAsia"/>
                      <w:kern w:val="0"/>
                      <w:sz w:val="21"/>
                      <w:szCs w:val="21"/>
                      <w:u w:val="none"/>
                      <w:lang w:bidi="ar"/>
                    </w:rPr>
                    <w:t>项目旧货收购、销售、储存、运输等经营活动遵守了旧货流通的有关规定。</w:t>
                  </w:r>
                </w:p>
              </w:tc>
              <w:tc>
                <w:tcPr>
                  <w:tcW w:w="671" w:type="pct"/>
                  <w:noWrap w:val="0"/>
                  <w:vAlign w:val="center"/>
                </w:tcPr>
                <w:p w14:paraId="65DB61F8">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r w14:paraId="68DCC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768" w:type="pct"/>
                  <w:noWrap w:val="0"/>
                  <w:vAlign w:val="center"/>
                </w:tcPr>
                <w:p w14:paraId="62559691">
                  <w:pPr>
                    <w:widowControl/>
                    <w:spacing w:line="240" w:lineRule="auto"/>
                    <w:jc w:val="center"/>
                    <w:rPr>
                      <w:rFonts w:hint="eastAsia"/>
                      <w:kern w:val="0"/>
                      <w:sz w:val="21"/>
                      <w:szCs w:val="21"/>
                      <w:u w:val="none"/>
                      <w:lang w:bidi="ar"/>
                    </w:rPr>
                  </w:pPr>
                  <w:r>
                    <w:rPr>
                      <w:rFonts w:hint="eastAsia"/>
                      <w:kern w:val="0"/>
                      <w:sz w:val="21"/>
                      <w:szCs w:val="21"/>
                      <w:u w:val="none"/>
                      <w:lang w:bidi="ar"/>
                    </w:rPr>
                    <w:t>（</w:t>
                  </w:r>
                  <w:r>
                    <w:rPr>
                      <w:rFonts w:hint="eastAsia"/>
                      <w:kern w:val="0"/>
                      <w:sz w:val="21"/>
                      <w:szCs w:val="21"/>
                      <w:u w:val="none"/>
                      <w:lang w:val="en-US" w:eastAsia="zh-CN" w:bidi="ar"/>
                    </w:rPr>
                    <w:t>七</w:t>
                  </w:r>
                  <w:r>
                    <w:rPr>
                      <w:rFonts w:hint="eastAsia"/>
                      <w:kern w:val="0"/>
                      <w:sz w:val="21"/>
                      <w:szCs w:val="21"/>
                      <w:u w:val="none"/>
                      <w:lang w:bidi="ar"/>
                    </w:rPr>
                    <w:t>）再生资源回收可以采取上门回收、流动回收、固定地点回收等方式。再生资源回收经营者可以通过电话、互联网等形式与居民、企业建立信息互动，实现便民、快捷的回收服务。</w:t>
                  </w:r>
                </w:p>
              </w:tc>
              <w:tc>
                <w:tcPr>
                  <w:tcW w:w="1560" w:type="pct"/>
                  <w:noWrap w:val="0"/>
                  <w:vAlign w:val="center"/>
                </w:tcPr>
                <w:p w14:paraId="40A97134">
                  <w:pPr>
                    <w:widowControl/>
                    <w:spacing w:line="240" w:lineRule="auto"/>
                    <w:jc w:val="center"/>
                    <w:rPr>
                      <w:rFonts w:hint="eastAsia"/>
                      <w:kern w:val="0"/>
                      <w:sz w:val="21"/>
                      <w:szCs w:val="21"/>
                      <w:u w:val="none"/>
                      <w:lang w:bidi="ar"/>
                    </w:rPr>
                  </w:pPr>
                  <w:r>
                    <w:rPr>
                      <w:rFonts w:hint="eastAsia"/>
                      <w:kern w:val="0"/>
                      <w:sz w:val="21"/>
                      <w:szCs w:val="21"/>
                      <w:u w:val="none"/>
                      <w:lang w:bidi="ar"/>
                    </w:rPr>
                    <w:t>项目通过电话、互联网等形式与居民、企业建立信息互动，实现便民、快捷的回收服务。</w:t>
                  </w:r>
                </w:p>
              </w:tc>
              <w:tc>
                <w:tcPr>
                  <w:tcW w:w="671" w:type="pct"/>
                  <w:noWrap w:val="0"/>
                  <w:vAlign w:val="center"/>
                </w:tcPr>
                <w:p w14:paraId="3DD12159">
                  <w:pPr>
                    <w:widowControl/>
                    <w:spacing w:line="240" w:lineRule="auto"/>
                    <w:jc w:val="center"/>
                    <w:rPr>
                      <w:rFonts w:hint="eastAsia"/>
                      <w:kern w:val="0"/>
                      <w:sz w:val="21"/>
                      <w:szCs w:val="21"/>
                      <w:u w:val="none"/>
                      <w:lang w:bidi="ar"/>
                    </w:rPr>
                  </w:pPr>
                  <w:r>
                    <w:rPr>
                      <w:rFonts w:hint="eastAsia"/>
                      <w:kern w:val="0"/>
                      <w:sz w:val="21"/>
                      <w:szCs w:val="21"/>
                      <w:u w:val="none"/>
                      <w:lang w:bidi="ar"/>
                    </w:rPr>
                    <w:t>符合</w:t>
                  </w:r>
                </w:p>
              </w:tc>
            </w:tr>
          </w:tbl>
          <w:p w14:paraId="1B57C56A">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r>
              <w:rPr>
                <w:rFonts w:hint="eastAsia" w:ascii="宋体" w:hAnsi="宋体" w:cs="宋体"/>
                <w:kern w:val="0"/>
                <w:sz w:val="24"/>
                <w:szCs w:val="24"/>
                <w:u w:val="none"/>
                <w:lang w:bidi="ar"/>
              </w:rPr>
              <w:t>综上，项目符合湖南省《再生资源回收管理办法》的相关要求。</w:t>
            </w:r>
          </w:p>
          <w:p w14:paraId="7FA9AFEE">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148175EA">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70A33B93">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785FF726">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4A0EC251">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1C6647B2">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5C1245ED">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281E6A98">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0D31B1D3">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1B4BB002">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12B6A21D">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38A7659F">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431A5801">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27F3B4AC">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5B2C27D9">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68676C4D">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4D99D33F">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327AA02D">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3D1016EF">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2A5D51A2">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45BE533F">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bidi="ar"/>
              </w:rPr>
            </w:pPr>
          </w:p>
          <w:p w14:paraId="01448A25">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宋体" w:hAnsi="宋体" w:cs="宋体"/>
                <w:kern w:val="0"/>
                <w:sz w:val="24"/>
                <w:szCs w:val="24"/>
                <w:u w:val="none"/>
                <w:lang w:val="en-US" w:eastAsia="zh-CN" w:bidi="ar"/>
              </w:rPr>
            </w:pPr>
          </w:p>
        </w:tc>
      </w:tr>
    </w:tbl>
    <w:p w14:paraId="56527D38">
      <w:pPr>
        <w:jc w:val="center"/>
        <w:rPr>
          <w:rFonts w:hint="eastAsia" w:asciiTheme="minorEastAsia" w:hAnsiTheme="minorEastAsia" w:eastAsiaTheme="minorEastAsia" w:cstheme="minorEastAsia"/>
          <w:color w:val="00000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8EB77DA">
      <w:pPr>
        <w:pStyle w:val="1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jc w:val="center"/>
        <w:textAlignment w:val="auto"/>
        <w:outlineLvl w:val="0"/>
        <w:rPr>
          <w:rFonts w:hint="eastAsia" w:ascii="黑体" w:hAnsi="黑体" w:eastAsia="黑体"/>
          <w:snapToGrid w:val="0"/>
          <w:color w:val="000000"/>
          <w:sz w:val="30"/>
          <w:szCs w:val="30"/>
        </w:rPr>
      </w:pPr>
      <w:bookmarkStart w:id="88" w:name="_Toc15944"/>
      <w:bookmarkStart w:id="89" w:name="_Toc19764"/>
      <w:bookmarkStart w:id="90" w:name="_Toc20136"/>
      <w:bookmarkStart w:id="91" w:name="_Toc19857"/>
      <w:bookmarkStart w:id="92" w:name="_Toc22036"/>
      <w:bookmarkStart w:id="93" w:name="_Toc18212"/>
      <w:bookmarkStart w:id="94" w:name="_Toc19234"/>
      <w:bookmarkStart w:id="95" w:name="_Toc3461"/>
      <w:bookmarkStart w:id="96" w:name="_Toc27985"/>
      <w:bookmarkStart w:id="97" w:name="_Toc23429"/>
      <w:bookmarkStart w:id="98" w:name="_Toc32179"/>
      <w:bookmarkStart w:id="99" w:name="_Toc27265"/>
      <w:r>
        <w:rPr>
          <w:rFonts w:hint="eastAsia" w:ascii="黑体" w:hAnsi="黑体" w:eastAsia="黑体" w:cs="Times New Roman"/>
          <w:snapToGrid w:val="0"/>
          <w:color w:val="000000"/>
          <w:kern w:val="0"/>
          <w:sz w:val="30"/>
          <w:szCs w:val="30"/>
          <w:lang w:val="en-US" w:eastAsia="zh-CN" w:bidi="ar-SA"/>
        </w:rPr>
        <w:t>二、</w:t>
      </w:r>
      <w:r>
        <w:rPr>
          <w:rFonts w:hint="eastAsia" w:ascii="黑体" w:hAnsi="黑体" w:eastAsia="黑体"/>
          <w:snapToGrid w:val="0"/>
          <w:color w:val="000000"/>
          <w:sz w:val="30"/>
          <w:szCs w:val="30"/>
        </w:rPr>
        <w:t>建设项目工程分析</w:t>
      </w:r>
      <w:bookmarkEnd w:id="88"/>
      <w:bookmarkEnd w:id="89"/>
      <w:bookmarkEnd w:id="90"/>
      <w:bookmarkEnd w:id="91"/>
      <w:bookmarkEnd w:id="92"/>
      <w:bookmarkEnd w:id="93"/>
      <w:bookmarkEnd w:id="94"/>
      <w:bookmarkEnd w:id="95"/>
      <w:bookmarkEnd w:id="96"/>
      <w:bookmarkEnd w:id="97"/>
      <w:bookmarkEnd w:id="98"/>
      <w:bookmarkEnd w:id="99"/>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86"/>
      </w:tblGrid>
      <w:tr w14:paraId="2D21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07751A5B">
            <w:pPr>
              <w:pStyle w:val="19"/>
              <w:numPr>
                <w:ilvl w:val="0"/>
                <w:numId w:val="0"/>
              </w:numPr>
              <w:spacing w:line="240" w:lineRule="auto"/>
              <w:jc w:val="center"/>
              <w:rPr>
                <w:rFonts w:hint="eastAsia"/>
                <w:vertAlign w:val="baseline"/>
                <w:lang w:val="en-US" w:eastAsia="zh-CN"/>
              </w:rPr>
            </w:pPr>
            <w:r>
              <w:rPr>
                <w:rFonts w:ascii="Times New Roman" w:hAnsi="Times New Roman"/>
                <w:sz w:val="24"/>
                <w:szCs w:val="24"/>
              </w:rPr>
              <w:t>建设内容</w:t>
            </w:r>
          </w:p>
        </w:tc>
        <w:tc>
          <w:tcPr>
            <w:tcW w:w="7786" w:type="dxa"/>
          </w:tcPr>
          <w:p w14:paraId="27E37BFD">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Times New Roman" w:hAnsi="Times New Roman" w:eastAsia="宋体" w:cs="Times New Roman"/>
                <w:b/>
                <w:bCs/>
                <w:color w:val="000000"/>
                <w:kern w:val="0"/>
                <w:sz w:val="24"/>
                <w:szCs w:val="24"/>
                <w:u w:val="none"/>
                <w:lang w:val="en-US" w:eastAsia="zh-CN"/>
              </w:rPr>
            </w:pPr>
            <w:r>
              <w:rPr>
                <w:rFonts w:hint="eastAsia" w:ascii="Times New Roman" w:hAnsi="Times New Roman" w:eastAsia="宋体" w:cs="Times New Roman"/>
                <w:b/>
                <w:bCs/>
                <w:color w:val="000000"/>
                <w:kern w:val="0"/>
                <w:sz w:val="24"/>
                <w:szCs w:val="24"/>
                <w:u w:val="single"/>
                <w:lang w:val="en-US" w:eastAsia="zh-CN" w:bidi="ar-SA"/>
              </w:rPr>
              <w:t>1、</w:t>
            </w:r>
            <w:r>
              <w:rPr>
                <w:rFonts w:hint="eastAsia" w:ascii="Times New Roman" w:hAnsi="Times New Roman" w:eastAsia="宋体" w:cs="Times New Roman"/>
                <w:b/>
                <w:bCs/>
                <w:color w:val="000000"/>
                <w:kern w:val="0"/>
                <w:sz w:val="24"/>
                <w:szCs w:val="24"/>
                <w:u w:val="single"/>
                <w:lang w:val="en-US" w:eastAsia="zh-CN"/>
              </w:rPr>
              <w:t>项目由来</w:t>
            </w:r>
          </w:p>
          <w:p w14:paraId="40668CC8">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pPr>
            <w:r>
              <w:rPr>
                <w:rFonts w:hint="eastAsia"/>
                <w:color w:val="000000" w:themeColor="text1"/>
                <w:sz w:val="24"/>
                <w:szCs w:val="24"/>
                <w:u w:val="single"/>
                <w14:textFill>
                  <w14:solidFill>
                    <w14:schemeClr w14:val="tx1"/>
                  </w14:solidFill>
                </w14:textFill>
              </w:rPr>
              <w:t>在当前生态文明建设背景下，水泥行业面临</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双碳</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、能源</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双控</w:t>
            </w: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14:textFill>
                  <w14:solidFill>
                    <w14:schemeClr w14:val="tx1"/>
                  </w14:solidFill>
                </w14:textFill>
              </w:rPr>
              <w:t>双重压力，按照《高耗能行业重点领域节能降碳改造升级实施指南（2022年版）》（发改产业〔2022〕200号）要求，推广大比例替代燃料技术，利用生活垃圾、固体废弃物和生物质燃料等替代煤炭，减少化石燃料的消耗量</w:t>
            </w:r>
            <w:r>
              <w:rPr>
                <w:rFonts w:hint="eastAsia"/>
                <w:color w:val="000000" w:themeColor="text1"/>
                <w:sz w:val="24"/>
                <w:szCs w:val="24"/>
                <w:u w:val="single"/>
                <w:lang w:eastAsia="zh-CN"/>
                <w14:textFill>
                  <w14:solidFill>
                    <w14:schemeClr w14:val="tx1"/>
                  </w14:solidFill>
                </w14:textFill>
              </w:rPr>
              <w:t>。</w:t>
            </w:r>
            <w:r>
              <w:rPr>
                <w:rFonts w:hint="eastAsia" w:ascii="Times New Roman" w:hAnsi="Times New Roman" w:eastAsia="宋体" w:cs="Times New Roman"/>
                <w:color w:val="000000" w:themeColor="text1"/>
                <w:sz w:val="24"/>
                <w:szCs w:val="24"/>
                <w:u w:val="single"/>
                <w14:textFill>
                  <w14:solidFill>
                    <w14:schemeClr w14:val="tx1"/>
                  </w14:solidFill>
                </w14:textFill>
              </w:rPr>
              <w:t>为满足</w:t>
            </w:r>
            <w:r>
              <w:rPr>
                <w:rFonts w:hint="eastAsia" w:cs="Times New Roman"/>
                <w:color w:val="000000" w:themeColor="text1"/>
                <w:sz w:val="24"/>
                <w:szCs w:val="24"/>
                <w:u w:val="single"/>
                <w:lang w:val="en-US" w:eastAsia="zh-CN"/>
                <w14:textFill>
                  <w14:solidFill>
                    <w14:schemeClr w14:val="tx1"/>
                  </w14:solidFill>
                </w14:textFill>
              </w:rPr>
              <w:t>新田县</w:t>
            </w:r>
            <w:r>
              <w:rPr>
                <w:rFonts w:hint="eastAsia" w:ascii="Times New Roman" w:hAnsi="Times New Roman" w:eastAsia="宋体" w:cs="Times New Roman"/>
                <w:color w:val="000000" w:themeColor="text1"/>
                <w:sz w:val="24"/>
                <w:szCs w:val="24"/>
                <w:u w:val="single"/>
                <w14:textFill>
                  <w14:solidFill>
                    <w14:schemeClr w14:val="tx1"/>
                  </w14:solidFill>
                </w14:textFill>
              </w:rPr>
              <w:t>区域废弃物无害化、资源化处理要求</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，发挥减污降碳协同效应，推动城市全面绿色转型</w:t>
            </w:r>
            <w:r>
              <w:rPr>
                <w:rFonts w:hint="eastAsia" w:cs="Times New Roman"/>
                <w:color w:val="000000" w:themeColor="text1"/>
                <w:sz w:val="24"/>
                <w:szCs w:val="24"/>
                <w:u w:val="singl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永州市杭润环保科技有限公司</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与</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新田县鸿发大型打包厂</w:t>
            </w:r>
            <w:r>
              <w:rPr>
                <w:rFonts w:hint="eastAsia" w:cs="Times New Roman"/>
                <w:color w:val="000000" w:themeColor="text1"/>
                <w:sz w:val="24"/>
                <w:szCs w:val="24"/>
                <w:u w:val="single"/>
                <w:lang w:val="en-US" w:eastAsia="zh-CN"/>
                <w14:textFill>
                  <w14:solidFill>
                    <w14:schemeClr w14:val="tx1"/>
                  </w14:solidFill>
                </w14:textFill>
              </w:rPr>
              <w:t>、新田县星源锌钢科技有限公司、新田县咔嗒废品回收站签订一般固废回收协议（详见附件6），</w:t>
            </w:r>
            <w:r>
              <w:rPr>
                <w:rFonts w:hint="eastAsia" w:cs="Times New Roman"/>
                <w:color w:val="000000" w:themeColor="text1"/>
                <w:sz w:val="24"/>
                <w:szCs w:val="24"/>
                <w:highlight w:val="none"/>
                <w:u w:val="single"/>
                <w:lang w:val="en-US" w:eastAsia="zh-CN"/>
                <w14:textFill>
                  <w14:solidFill>
                    <w14:schemeClr w14:val="tx1"/>
                  </w14:solidFill>
                </w14:textFill>
              </w:rPr>
              <w:t>并</w:t>
            </w:r>
            <w:r>
              <w:rPr>
                <w:rFonts w:hint="default" w:ascii="Times New Roman" w:hAnsi="Times New Roman" w:cs="Times New Roman"/>
                <w:color w:val="auto"/>
                <w:sz w:val="24"/>
                <w:szCs w:val="24"/>
                <w:u w:val="single"/>
              </w:rPr>
              <w:t>租赁</w:t>
            </w:r>
            <w:r>
              <w:rPr>
                <w:rFonts w:hint="eastAsia" w:ascii="Times New Roman" w:hAnsi="Times New Roman" w:eastAsia="宋体" w:cs="Times New Roman"/>
                <w:color w:val="000000"/>
                <w:sz w:val="24"/>
                <w:szCs w:val="24"/>
                <w:highlight w:val="none"/>
                <w:u w:val="single"/>
                <w:lang w:val="en-US" w:eastAsia="zh-CN"/>
              </w:rPr>
              <w:t>湖南龙昶机械股份有限公司</w:t>
            </w:r>
            <w:r>
              <w:rPr>
                <w:rFonts w:hint="default" w:ascii="Times New Roman" w:hAnsi="Times New Roman" w:cs="Times New Roman"/>
                <w:color w:val="auto"/>
                <w:sz w:val="24"/>
                <w:szCs w:val="24"/>
                <w:u w:val="single"/>
              </w:rPr>
              <w:t>位于</w:t>
            </w:r>
            <w:r>
              <w:rPr>
                <w:rFonts w:hint="default" w:ascii="Times New Roman" w:hAnsi="Times New Roman" w:eastAsia="宋体" w:cs="Times New Roman"/>
                <w:color w:val="000000"/>
                <w:sz w:val="24"/>
                <w:szCs w:val="24"/>
                <w:highlight w:val="none"/>
                <w:u w:val="single"/>
                <w:lang w:eastAsia="zh-CN"/>
              </w:rPr>
              <w:t>永州市新田县龙泉街道工业南园支一路与支三路交叉口西南角</w:t>
            </w:r>
            <w:r>
              <w:rPr>
                <w:rFonts w:hint="default" w:ascii="Times New Roman" w:hAnsi="Times New Roman" w:cs="Times New Roman"/>
                <w:color w:val="auto"/>
                <w:sz w:val="24"/>
                <w:szCs w:val="24"/>
                <w:u w:val="single"/>
              </w:rPr>
              <w:t>的现有厂</w:t>
            </w:r>
            <w:r>
              <w:rPr>
                <w:rFonts w:hint="default" w:ascii="Times New Roman" w:hAnsi="Times New Roman" w:cs="Times New Roman"/>
                <w:color w:val="000000" w:themeColor="text1"/>
                <w:sz w:val="24"/>
                <w:szCs w:val="24"/>
                <w:u w:val="single"/>
                <w14:textFill>
                  <w14:solidFill>
                    <w14:schemeClr w14:val="tx1"/>
                  </w14:solidFill>
                </w14:textFill>
              </w:rPr>
              <w:t>房</w:t>
            </w:r>
            <w:r>
              <w:rPr>
                <w:rFonts w:hint="default"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租赁协议详见附件</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3</w:t>
            </w:r>
            <w:r>
              <w:rPr>
                <w:rFonts w:hint="default"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空置厂房</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rPr>
              <w:t>拟投资</w:t>
            </w:r>
            <w:r>
              <w:rPr>
                <w:rFonts w:hint="eastAsia" w:cs="Times New Roman"/>
                <w:color w:val="auto"/>
                <w:sz w:val="24"/>
                <w:szCs w:val="24"/>
                <w:u w:val="single"/>
                <w:lang w:val="en-US" w:eastAsia="zh-CN"/>
              </w:rPr>
              <w:t>4</w:t>
            </w:r>
            <w:r>
              <w:rPr>
                <w:rFonts w:hint="eastAsia" w:ascii="Times New Roman" w:hAnsi="Times New Roman" w:cs="Times New Roman"/>
                <w:color w:val="auto"/>
                <w:sz w:val="24"/>
                <w:szCs w:val="24"/>
                <w:u w:val="single"/>
                <w:lang w:val="en-US" w:eastAsia="zh-CN"/>
              </w:rPr>
              <w:t>0</w:t>
            </w:r>
            <w:r>
              <w:rPr>
                <w:rFonts w:hint="default" w:ascii="Times New Roman" w:hAnsi="Times New Roman" w:cs="Times New Roman"/>
                <w:color w:val="auto"/>
                <w:sz w:val="24"/>
                <w:szCs w:val="24"/>
                <w:u w:val="single"/>
                <w:lang w:val="en-US" w:eastAsia="zh-CN"/>
              </w:rPr>
              <w:t>0</w:t>
            </w:r>
            <w:r>
              <w:rPr>
                <w:rFonts w:hint="default" w:ascii="Times New Roman" w:hAnsi="Times New Roman" w:cs="Times New Roman"/>
                <w:color w:val="auto"/>
                <w:sz w:val="24"/>
                <w:szCs w:val="24"/>
                <w:u w:val="single"/>
              </w:rPr>
              <w:t>万建设</w:t>
            </w:r>
            <w:r>
              <w:rPr>
                <w:rFonts w:hint="eastAsia" w:cs="Times New Roman"/>
                <w:color w:val="auto"/>
                <w:sz w:val="24"/>
                <w:szCs w:val="24"/>
                <w:u w:val="single"/>
                <w:lang w:eastAsia="zh-CN"/>
              </w:rPr>
              <w:t>“</w:t>
            </w:r>
            <w:r>
              <w:rPr>
                <w:rFonts w:hint="eastAsia" w:ascii="Times New Roman" w:hAnsi="Times New Roman" w:eastAsia="宋体" w:cs="Times New Roman"/>
                <w:color w:val="000000" w:themeColor="text1"/>
                <w:sz w:val="24"/>
                <w:szCs w:val="24"/>
                <w:highlight w:val="none"/>
                <w:u w:val="single"/>
                <w:lang w:eastAsia="zh-CN"/>
                <w14:textFill>
                  <w14:solidFill>
                    <w14:schemeClr w14:val="tx1"/>
                  </w14:solidFill>
                </w14:textFill>
              </w:rPr>
              <w:t>永州市杭润环保科技有限公司一般工业固废资源回收利用项目</w:t>
            </w:r>
            <w:r>
              <w:rPr>
                <w:rFonts w:hint="eastAsia" w:cs="Times New Roman"/>
                <w:color w:val="auto"/>
                <w:sz w:val="24"/>
                <w:szCs w:val="24"/>
                <w:u w:val="single"/>
                <w:lang w:eastAsia="zh-CN"/>
              </w:rPr>
              <w:t>”（</w:t>
            </w:r>
            <w:r>
              <w:rPr>
                <w:rFonts w:hint="eastAsia" w:cs="Times New Roman"/>
                <w:color w:val="auto"/>
                <w:sz w:val="24"/>
                <w:szCs w:val="24"/>
                <w:u w:val="single"/>
                <w:lang w:val="en-US" w:eastAsia="zh-CN"/>
              </w:rPr>
              <w:t>简称“本项目”</w:t>
            </w:r>
            <w:r>
              <w:rPr>
                <w:rFonts w:hint="eastAsia" w:cs="Times New Roman"/>
                <w:color w:val="auto"/>
                <w:sz w:val="24"/>
                <w:szCs w:val="24"/>
                <w:u w:val="single"/>
                <w:lang w:eastAsia="zh-CN"/>
              </w:rPr>
              <w:t>）</w:t>
            </w:r>
            <w:r>
              <w:rPr>
                <w:rFonts w:hint="default" w:ascii="Times New Roman" w:hAnsi="Times New Roman" w:cs="Times New Roman"/>
                <w:color w:val="auto"/>
                <w:sz w:val="24"/>
                <w:szCs w:val="24"/>
                <w:u w:val="single"/>
                <w:lang w:eastAsia="zh-CN"/>
              </w:rPr>
              <w:t>，</w:t>
            </w:r>
            <w:r>
              <w:rPr>
                <w:rFonts w:hint="default" w:ascii="Times New Roman" w:hAnsi="Times New Roman" w:cs="Times New Roman"/>
                <w:color w:val="auto"/>
                <w:sz w:val="24"/>
                <w:szCs w:val="24"/>
                <w:u w:val="single"/>
              </w:rPr>
              <w:t>主要</w:t>
            </w:r>
            <w:r>
              <w:rPr>
                <w:rFonts w:hint="eastAsia" w:cs="Times New Roman"/>
                <w:color w:val="auto"/>
                <w:sz w:val="24"/>
                <w:szCs w:val="24"/>
                <w:u w:val="single"/>
                <w:lang w:val="en-US" w:eastAsia="zh-CN"/>
              </w:rPr>
              <w:t>利用回收的</w:t>
            </w:r>
            <w:r>
              <w:rPr>
                <w:rFonts w:hint="eastAsia" w:ascii="Times New Roman" w:hAnsi="Times New Roman" w:eastAsia="宋体" w:cs="Times New Roman"/>
                <w:color w:val="auto"/>
                <w:sz w:val="24"/>
                <w:szCs w:val="24"/>
                <w:u w:val="single"/>
                <w:lang w:val="en-US" w:eastAsia="zh-CN"/>
              </w:rPr>
              <w:t>废纺织布料、废鞋材料、废箱包材料、废塑胶</w:t>
            </w:r>
            <w:r>
              <w:rPr>
                <w:rFonts w:hint="default" w:ascii="Times New Roman" w:hAnsi="Times New Roman" w:cs="Times New Roman"/>
                <w:color w:val="auto"/>
                <w:sz w:val="24"/>
                <w:szCs w:val="24"/>
                <w:u w:val="single"/>
              </w:rPr>
              <w:t>生产RDF替代燃料</w:t>
            </w:r>
            <w:r>
              <w:rPr>
                <w:rFonts w:hint="eastAsia" w:ascii="Times New Roman" w:hAnsi="Times New Roman" w:eastAsia="宋体" w:cs="Times New Roman"/>
                <w:color w:val="000000" w:themeColor="text1"/>
                <w:sz w:val="24"/>
                <w:szCs w:val="24"/>
                <w:highlight w:val="none"/>
                <w:u w:val="single"/>
                <w:lang w:val="en-US" w:eastAsia="zh-CN"/>
                <w14:textFill>
                  <w14:solidFill>
                    <w14:schemeClr w14:val="tx1"/>
                  </w14:solidFill>
                </w14:textFill>
              </w:rPr>
              <w:t>，其年产量为50000吨；并年处理回收10000吨废塑料、10000吨废纸/纸箱、10000吨废旧整衣服。</w:t>
            </w:r>
            <w:r>
              <w:rPr>
                <w:rFonts w:hint="eastAsia" w:cs="Times New Roman"/>
                <w:color w:val="000000" w:themeColor="text1"/>
                <w:sz w:val="24"/>
                <w:szCs w:val="24"/>
                <w:u w:val="single"/>
                <w:lang w:val="en-US" w:eastAsia="zh-CN"/>
                <w14:textFill>
                  <w14:solidFill>
                    <w14:schemeClr w14:val="tx1"/>
                  </w14:solidFill>
                </w14:textFill>
              </w:rPr>
              <w:t>本</w:t>
            </w:r>
            <w:r>
              <w:rPr>
                <w:rFonts w:hint="eastAsia" w:ascii="Times New Roman" w:hAnsi="Times New Roman" w:cs="Times New Roman"/>
                <w:color w:val="000000" w:themeColor="text1"/>
                <w:kern w:val="0"/>
                <w:sz w:val="24"/>
                <w:szCs w:val="24"/>
                <w:highlight w:val="none"/>
                <w:u w:val="single"/>
                <w:lang w:val="en-US" w:eastAsia="zh-CN" w:bidi="ar-SA"/>
                <w14:textFill>
                  <w14:solidFill>
                    <w14:schemeClr w14:val="tx1"/>
                  </w14:solidFill>
                </w14:textFill>
              </w:rPr>
              <w:t>项目于202</w:t>
            </w:r>
            <w:r>
              <w:rPr>
                <w:rFonts w:hint="eastAsia" w:cs="Times New Roman"/>
                <w:color w:val="000000" w:themeColor="text1"/>
                <w:kern w:val="0"/>
                <w:sz w:val="24"/>
                <w:szCs w:val="24"/>
                <w:highlight w:val="none"/>
                <w:u w:val="single"/>
                <w:lang w:val="en-US" w:eastAsia="zh-CN" w:bidi="ar-SA"/>
                <w14:textFill>
                  <w14:solidFill>
                    <w14:schemeClr w14:val="tx1"/>
                  </w14:solidFill>
                </w14:textFill>
              </w:rPr>
              <w:t>4</w:t>
            </w:r>
            <w:r>
              <w:rPr>
                <w:rFonts w:hint="eastAsia" w:ascii="Times New Roman" w:hAnsi="Times New Roman" w:cs="Times New Roman"/>
                <w:color w:val="000000" w:themeColor="text1"/>
                <w:kern w:val="0"/>
                <w:sz w:val="24"/>
                <w:szCs w:val="24"/>
                <w:highlight w:val="none"/>
                <w:u w:val="single"/>
                <w:lang w:val="en-US" w:eastAsia="zh-CN" w:bidi="ar-SA"/>
                <w14:textFill>
                  <w14:solidFill>
                    <w14:schemeClr w14:val="tx1"/>
                  </w14:solidFill>
                </w14:textFill>
              </w:rPr>
              <w:t>年</w:t>
            </w:r>
            <w:r>
              <w:rPr>
                <w:rFonts w:hint="eastAsia" w:cs="Times New Roman"/>
                <w:color w:val="000000" w:themeColor="text1"/>
                <w:kern w:val="0"/>
                <w:sz w:val="24"/>
                <w:szCs w:val="24"/>
                <w:highlight w:val="none"/>
                <w:u w:val="single"/>
                <w:lang w:val="en-US" w:eastAsia="zh-CN" w:bidi="ar-SA"/>
                <w14:textFill>
                  <w14:solidFill>
                    <w14:schemeClr w14:val="tx1"/>
                  </w14:solidFill>
                </w14:textFill>
              </w:rPr>
              <w:t>12</w:t>
            </w:r>
            <w:r>
              <w:rPr>
                <w:rFonts w:hint="eastAsia" w:ascii="Times New Roman" w:hAnsi="Times New Roman" w:cs="Times New Roman"/>
                <w:color w:val="000000" w:themeColor="text1"/>
                <w:kern w:val="0"/>
                <w:sz w:val="24"/>
                <w:szCs w:val="24"/>
                <w:highlight w:val="none"/>
                <w:u w:val="single"/>
                <w:lang w:val="en-US" w:eastAsia="zh-CN" w:bidi="ar-SA"/>
                <w14:textFill>
                  <w14:solidFill>
                    <w14:schemeClr w14:val="tx1"/>
                  </w14:solidFill>
                </w14:textFill>
              </w:rPr>
              <w:t>月</w:t>
            </w:r>
            <w:r>
              <w:rPr>
                <w:rFonts w:hint="eastAsia" w:cs="Times New Roman"/>
                <w:color w:val="000000" w:themeColor="text1"/>
                <w:kern w:val="0"/>
                <w:sz w:val="24"/>
                <w:szCs w:val="24"/>
                <w:highlight w:val="none"/>
                <w:u w:val="single"/>
                <w:lang w:val="en-US" w:eastAsia="zh-CN" w:bidi="ar-SA"/>
                <w14:textFill>
                  <w14:solidFill>
                    <w14:schemeClr w14:val="tx1"/>
                  </w14:solidFill>
                </w14:textFill>
              </w:rPr>
              <w:t>24</w:t>
            </w:r>
            <w:r>
              <w:rPr>
                <w:rFonts w:hint="eastAsia" w:ascii="Times New Roman" w:hAnsi="Times New Roman" w:cs="Times New Roman"/>
                <w:color w:val="000000" w:themeColor="text1"/>
                <w:kern w:val="0"/>
                <w:sz w:val="24"/>
                <w:szCs w:val="24"/>
                <w:highlight w:val="none"/>
                <w:u w:val="single"/>
                <w:lang w:val="en-US" w:eastAsia="zh-CN" w:bidi="ar-SA"/>
                <w14:textFill>
                  <w14:solidFill>
                    <w14:schemeClr w14:val="tx1"/>
                  </w14:solidFill>
                </w14:textFill>
              </w:rPr>
              <w:t>日在</w:t>
            </w:r>
            <w:r>
              <w:rPr>
                <w:rFonts w:hint="eastAsia" w:cs="Times New Roman"/>
                <w:color w:val="000000" w:themeColor="text1"/>
                <w:kern w:val="0"/>
                <w:sz w:val="24"/>
                <w:szCs w:val="24"/>
                <w:highlight w:val="none"/>
                <w:u w:val="single"/>
                <w:lang w:val="en-US" w:eastAsia="zh-CN" w:bidi="ar-SA"/>
                <w14:textFill>
                  <w14:solidFill>
                    <w14:schemeClr w14:val="tx1"/>
                  </w14:solidFill>
                </w14:textFill>
              </w:rPr>
              <w:t>新田县发展和改革局申报备案，并取得《永州市杭润环保科技有限公司一般工业固废资源回收利用项目备案证明》（新发改备案〔2024〕164号，详见附件7）</w:t>
            </w:r>
            <w:r>
              <w:rPr>
                <w:rFonts w:hint="eastAsia" w:ascii="Times New Roman" w:hAnsi="Times New Roman" w:cs="Times New Roman"/>
                <w:color w:val="000000" w:themeColor="text1"/>
                <w:kern w:val="0"/>
                <w:sz w:val="24"/>
                <w:szCs w:val="24"/>
                <w:highlight w:val="none"/>
                <w:u w:val="single"/>
                <w:lang w:val="en-US" w:eastAsia="zh-CN" w:bidi="ar-SA"/>
                <w14:textFill>
                  <w14:solidFill>
                    <w14:schemeClr w14:val="tx1"/>
                  </w14:solidFill>
                </w14:textFill>
              </w:rPr>
              <w:t>。</w:t>
            </w:r>
          </w:p>
          <w:p w14:paraId="0299BFE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根据《中华人民共和国环境保护法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中华人民共和国环境影响评价法》、 《建设项目环境保护管理条例》</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国务院第</w:t>
            </w:r>
            <w:r>
              <w:rPr>
                <w:rFonts w:hint="default" w:ascii="Times New Roman" w:hAnsi="Times New Roman" w:eastAsia="宋体" w:cs="Times New Roman"/>
                <w:color w:val="auto"/>
                <w:sz w:val="24"/>
                <w:szCs w:val="24"/>
              </w:rPr>
              <w:t>253号</w:t>
            </w:r>
            <w:r>
              <w:rPr>
                <w:rFonts w:hint="eastAsia" w:ascii="Times New Roman" w:hAnsi="Times New Roman" w:eastAsia="宋体" w:cs="Times New Roman"/>
                <w:color w:val="auto"/>
                <w:sz w:val="24"/>
                <w:szCs w:val="24"/>
              </w:rPr>
              <w:t>令</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的有关规定及《建设项目环境影响评价分类管理名录》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2021年版</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b w:val="0"/>
                <w:bCs/>
                <w:color w:val="000000" w:themeColor="text1"/>
                <w:spacing w:val="0"/>
                <w:w w:val="100"/>
                <w:position w:val="0"/>
                <w:sz w:val="24"/>
                <w:szCs w:val="28"/>
                <w:u w:val="none"/>
                <w:lang w:val="en-US" w:eastAsia="zh-CN"/>
                <w14:textFill>
                  <w14:solidFill>
                    <w14:schemeClr w14:val="tx1"/>
                  </w14:solidFill>
                </w14:textFill>
              </w:rPr>
              <w:t>为</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废旧资源回收利用项目</w:t>
            </w:r>
            <w:r>
              <w:rPr>
                <w:rFonts w:hint="eastAsia" w:ascii="Times New Roman" w:hAnsi="Times New Roman" w:eastAsia="宋体" w:cs="Times New Roman"/>
                <w:b w:val="0"/>
                <w:bCs/>
                <w:color w:val="000000" w:themeColor="text1"/>
                <w:spacing w:val="0"/>
                <w:w w:val="100"/>
                <w:position w:val="0"/>
                <w:sz w:val="24"/>
                <w:szCs w:val="28"/>
                <w:u w:val="none"/>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其国民经济行业代码</w:t>
            </w:r>
            <w:r>
              <w:rPr>
                <w:rFonts w:hint="eastAsia" w:cs="Times New Roman"/>
                <w:color w:val="auto"/>
                <w:sz w:val="24"/>
                <w:szCs w:val="24"/>
                <w:lang w:val="en-US" w:eastAsia="zh-CN"/>
              </w:rPr>
              <w:t>为“</w:t>
            </w:r>
            <w:r>
              <w:rPr>
                <w:rFonts w:hint="default" w:ascii="Times New Roman" w:hAnsi="Times New Roman" w:eastAsia="宋体" w:cs="Times New Roman"/>
                <w:sz w:val="24"/>
                <w:szCs w:val="24"/>
                <w:lang w:val="en-US" w:eastAsia="zh-CN"/>
              </w:rPr>
              <w:t>C4220 非金属废料和碎屑加工处理</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。根据《建设项目环境影响评价分类管理名录》（2021年版），</w:t>
            </w:r>
            <w:r>
              <w:rPr>
                <w:rFonts w:hint="eastAsia" w:cs="Times New Roman"/>
                <w:color w:val="auto"/>
                <w:sz w:val="24"/>
                <w:szCs w:val="24"/>
                <w:lang w:val="en-US" w:eastAsia="zh-CN"/>
              </w:rPr>
              <w:t>本项目所回收处理的</w:t>
            </w:r>
            <w:r>
              <w:rPr>
                <w:rFonts w:hint="eastAsia" w:ascii="Times New Roman" w:hAnsi="Times New Roman" w:eastAsia="宋体" w:cs="Times New Roman"/>
                <w:color w:val="auto"/>
                <w:sz w:val="24"/>
                <w:szCs w:val="24"/>
                <w:lang w:val="en-US" w:eastAsia="zh-CN"/>
              </w:rPr>
              <w:t>废纺织布料、废鞋材料、废箱包材料、废塑胶、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废塑料、废纸/纸箱、废旧整衣服</w:t>
            </w:r>
            <w:r>
              <w:rPr>
                <w:rFonts w:hint="eastAsia" w:cs="Times New Roman"/>
                <w:color w:val="auto"/>
                <w:sz w:val="24"/>
                <w:szCs w:val="24"/>
                <w:lang w:val="en-US" w:eastAsia="zh-CN"/>
              </w:rPr>
              <w:t>的</w:t>
            </w:r>
            <w:r>
              <w:rPr>
                <w:rFonts w:hint="eastAsia" w:ascii="Times New Roman" w:hAnsi="Times New Roman" w:eastAsia="宋体" w:cs="Times New Roman"/>
                <w:color w:val="auto"/>
                <w:sz w:val="24"/>
                <w:szCs w:val="24"/>
                <w:lang w:val="en-US" w:eastAsia="zh-CN"/>
              </w:rPr>
              <w:t>项目类别为</w:t>
            </w:r>
            <w:r>
              <w:rPr>
                <w:rFonts w:hint="eastAsia" w:cs="Times New Roman"/>
                <w:color w:val="auto"/>
                <w:sz w:val="24"/>
                <w:szCs w:val="24"/>
                <w:lang w:val="en-US" w:eastAsia="zh-CN"/>
              </w:rPr>
              <w:t>“三十九、废弃资源综合利用业 42-85</w:t>
            </w:r>
            <w:r>
              <w:rPr>
                <w:rFonts w:hint="eastAsia" w:ascii="Times New Roman" w:hAnsi="Times New Roman" w:eastAsia="宋体" w:cs="Times New Roman"/>
                <w:color w:val="000000"/>
                <w:sz w:val="24"/>
                <w:szCs w:val="24"/>
                <w:highlight w:val="none"/>
                <w:lang w:val="en-US" w:eastAsia="zh-CN"/>
              </w:rPr>
              <w:t>非金属废料和碎屑加工处理422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w:t>
            </w:r>
            <w:r>
              <w:rPr>
                <w:rFonts w:hint="eastAsia" w:cs="Times New Roman"/>
                <w:color w:val="auto"/>
                <w:sz w:val="24"/>
                <w:szCs w:val="24"/>
                <w:lang w:val="en-US" w:eastAsia="zh-CN"/>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eastAsia" w:ascii="Times New Roman" w:hAnsi="Times New Roman" w:eastAsia="宋体" w:cs="Times New Roman"/>
                <w:color w:val="auto"/>
                <w:kern w:val="0"/>
                <w:sz w:val="24"/>
                <w:szCs w:val="24"/>
                <w:u w:val="none" w:color="auto"/>
                <w:lang w:val="en-US" w:eastAsia="zh-CN"/>
              </w:rPr>
              <w:t>应编制环境影响报告表</w:t>
            </w:r>
            <w:r>
              <w:rPr>
                <w:rFonts w:hint="eastAsia" w:ascii="Times New Roman" w:hAnsi="Times New Roman" w:eastAsia="宋体" w:cs="Times New Roman"/>
                <w:color w:val="auto"/>
                <w:sz w:val="24"/>
                <w:szCs w:val="24"/>
                <w:lang w:val="en-US" w:eastAsia="zh-CN"/>
              </w:rPr>
              <w:t>。</w:t>
            </w:r>
          </w:p>
          <w:p w14:paraId="20DFE5B6">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为此，</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永州市杭润环保科技有限公司</w:t>
            </w:r>
            <w:r>
              <w:rPr>
                <w:rFonts w:hint="eastAsia" w:ascii="Times New Roman" w:hAnsi="Times New Roman" w:eastAsia="宋体" w:cs="Times New Roman"/>
                <w:color w:val="auto"/>
                <w:sz w:val="24"/>
                <w:szCs w:val="24"/>
                <w:lang w:val="en-US" w:eastAsia="zh-CN"/>
              </w:rPr>
              <w:t>委托湖南仕学环保科技有限公司承担本项目的环境影响评价工作</w:t>
            </w:r>
            <w:r>
              <w:rPr>
                <w:rFonts w:hint="eastAsia" w:ascii="Times New Roman" w:hAnsi="Times New Roman" w:eastAsia="宋体" w:cs="Times New Roman"/>
                <w:color w:val="000000"/>
                <w:kern w:val="0"/>
                <w:sz w:val="24"/>
                <w:szCs w:val="24"/>
                <w:highlight w:val="none"/>
                <w:lang w:val="en-US" w:eastAsia="zh-CN" w:bidi="ar-SA"/>
              </w:rPr>
              <w:t>（详见附件1），</w:t>
            </w:r>
            <w:r>
              <w:rPr>
                <w:rFonts w:hint="eastAsia" w:ascii="Times New Roman" w:hAnsi="Times New Roman" w:eastAsia="宋体" w:cs="Times New Roman"/>
                <w:color w:val="auto"/>
                <w:sz w:val="24"/>
                <w:szCs w:val="24"/>
                <w:lang w:val="en-US" w:eastAsia="zh-CN"/>
              </w:rPr>
              <w:t>接受委托后，环评单位立即组织相关技术人员进行现场踏勘、类比调查、收集相关资料，在此基础上，按照建设项目环境影响评价的有关规定和有关环保政策、技术规范，编制完成《</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永州市杭润环保科技有限公司一般工业固废资源回收利用项目</w:t>
            </w:r>
            <w:r>
              <w:rPr>
                <w:rFonts w:hint="eastAsia" w:ascii="Times New Roman" w:hAnsi="Times New Roman" w:eastAsia="宋体" w:cs="Times New Roman"/>
                <w:color w:val="auto"/>
                <w:sz w:val="24"/>
                <w:szCs w:val="24"/>
                <w:lang w:val="en-US" w:eastAsia="zh-CN"/>
              </w:rPr>
              <w:t>环境影响报告表》。</w:t>
            </w:r>
          </w:p>
          <w:p w14:paraId="6E9D154B">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eastAsia="宋体" w:cs="Times New Roman"/>
                <w:b/>
                <w:bCs/>
                <w:color w:val="000000"/>
                <w:kern w:val="0"/>
                <w:sz w:val="24"/>
                <w:szCs w:val="24"/>
                <w:u w:val="none"/>
                <w:lang w:val="en-US" w:eastAsia="zh-CN"/>
              </w:rPr>
            </w:pPr>
            <w:r>
              <w:rPr>
                <w:rFonts w:hint="default" w:ascii="Times New Roman" w:hAnsi="Times New Roman" w:eastAsia="宋体" w:cs="Times New Roman"/>
                <w:b/>
                <w:bCs/>
                <w:color w:val="000000"/>
                <w:kern w:val="0"/>
                <w:sz w:val="24"/>
                <w:szCs w:val="24"/>
                <w:u w:val="none"/>
                <w:lang w:val="en-US" w:eastAsia="zh-CN"/>
              </w:rPr>
              <w:t>2、</w:t>
            </w:r>
            <w:r>
              <w:rPr>
                <w:rFonts w:hint="eastAsia" w:ascii="Times New Roman" w:hAnsi="Times New Roman" w:eastAsia="宋体" w:cs="Times New Roman"/>
                <w:b/>
                <w:bCs/>
                <w:color w:val="000000"/>
                <w:kern w:val="0"/>
                <w:sz w:val="24"/>
                <w:szCs w:val="24"/>
                <w:u w:val="none"/>
                <w:lang w:val="en-US" w:eastAsia="zh-CN"/>
              </w:rPr>
              <w:t>项目</w:t>
            </w:r>
            <w:r>
              <w:rPr>
                <w:rFonts w:hint="eastAsia" w:cs="Times New Roman"/>
                <w:b/>
                <w:bCs/>
                <w:color w:val="000000"/>
                <w:kern w:val="0"/>
                <w:sz w:val="24"/>
                <w:szCs w:val="24"/>
                <w:u w:val="none"/>
                <w:lang w:val="en-US" w:eastAsia="zh-CN"/>
              </w:rPr>
              <w:t>基本</w:t>
            </w:r>
            <w:r>
              <w:rPr>
                <w:rFonts w:hint="eastAsia" w:ascii="Times New Roman" w:hAnsi="Times New Roman" w:eastAsia="宋体" w:cs="Times New Roman"/>
                <w:b/>
                <w:bCs/>
                <w:color w:val="000000"/>
                <w:kern w:val="0"/>
                <w:sz w:val="24"/>
                <w:szCs w:val="24"/>
                <w:u w:val="none"/>
                <w:lang w:val="en-US" w:eastAsia="zh-CN"/>
              </w:rPr>
              <w:t>概况</w:t>
            </w:r>
          </w:p>
          <w:p w14:paraId="6CE4489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（1）</w:t>
            </w:r>
            <w:r>
              <w:rPr>
                <w:rFonts w:hint="eastAsia" w:ascii="Times New Roman" w:hAnsi="Times New Roman" w:cs="Times New Roman"/>
                <w:color w:val="000000"/>
                <w:kern w:val="0"/>
                <w:sz w:val="24"/>
                <w:szCs w:val="24"/>
                <w:highlight w:val="none"/>
                <w:lang w:val="en-US" w:eastAsia="zh-CN" w:bidi="ar-SA"/>
              </w:rPr>
              <w:t>项目名称：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永州市杭润环保科技有限公司一般工业固废资源回收利用项目</w:t>
            </w:r>
            <w:r>
              <w:rPr>
                <w:rFonts w:hint="eastAsia" w:ascii="Times New Roman" w:hAnsi="Times New Roman" w:cs="Times New Roman"/>
                <w:color w:val="000000"/>
                <w:kern w:val="0"/>
                <w:sz w:val="24"/>
                <w:szCs w:val="24"/>
                <w:highlight w:val="none"/>
                <w:lang w:val="en-US" w:eastAsia="zh-CN" w:bidi="ar-SA"/>
              </w:rPr>
              <w:t>。</w:t>
            </w:r>
          </w:p>
          <w:p w14:paraId="2F35B71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（2）</w:t>
            </w:r>
            <w:r>
              <w:rPr>
                <w:rFonts w:hint="eastAsia" w:ascii="Times New Roman" w:hAnsi="Times New Roman" w:cs="Times New Roman"/>
                <w:color w:val="000000"/>
                <w:kern w:val="0"/>
                <w:sz w:val="24"/>
                <w:szCs w:val="24"/>
                <w:highlight w:val="none"/>
                <w:lang w:val="en-US" w:eastAsia="zh-CN" w:bidi="ar-SA"/>
              </w:rPr>
              <w:t>建设单位：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永州市杭润环保科技有限公司</w:t>
            </w:r>
            <w:r>
              <w:rPr>
                <w:rFonts w:hint="eastAsia" w:ascii="Times New Roman" w:hAnsi="Times New Roman" w:cs="Times New Roman"/>
                <w:color w:val="000000"/>
                <w:kern w:val="0"/>
                <w:sz w:val="24"/>
                <w:szCs w:val="24"/>
                <w:highlight w:val="none"/>
                <w:lang w:val="en-US" w:eastAsia="zh-CN" w:bidi="ar-SA"/>
              </w:rPr>
              <w:t>。</w:t>
            </w:r>
          </w:p>
          <w:p w14:paraId="55D13ED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（3）</w:t>
            </w:r>
            <w:r>
              <w:rPr>
                <w:rFonts w:hint="eastAsia" w:ascii="Times New Roman" w:hAnsi="Times New Roman" w:cs="Times New Roman"/>
                <w:color w:val="000000"/>
                <w:kern w:val="0"/>
                <w:sz w:val="24"/>
                <w:szCs w:val="24"/>
                <w:highlight w:val="none"/>
                <w:lang w:val="en-US" w:eastAsia="zh-CN" w:bidi="ar-SA"/>
              </w:rPr>
              <w:t>建设地点：</w:t>
            </w:r>
            <w:r>
              <w:rPr>
                <w:rFonts w:hint="default" w:ascii="Times New Roman" w:hAnsi="Times New Roman" w:eastAsia="宋体" w:cs="Times New Roman"/>
                <w:color w:val="000000"/>
                <w:sz w:val="24"/>
                <w:szCs w:val="24"/>
                <w:highlight w:val="none"/>
                <w:lang w:eastAsia="zh-CN"/>
              </w:rPr>
              <w:t>永州市新田县龙泉街道工业南园支一路与支三路交叉口西南角</w:t>
            </w:r>
            <w:r>
              <w:rPr>
                <w:rFonts w:hint="eastAsia" w:ascii="Times New Roman" w:hAnsi="Times New Roman" w:cs="Times New Roman"/>
                <w:color w:val="000000"/>
                <w:kern w:val="0"/>
                <w:sz w:val="24"/>
                <w:szCs w:val="24"/>
                <w:highlight w:val="none"/>
                <w:lang w:val="en-US" w:eastAsia="zh-CN" w:bidi="ar-SA"/>
              </w:rPr>
              <w:t>。</w:t>
            </w:r>
          </w:p>
          <w:p w14:paraId="7D78640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color w:val="auto"/>
                <w:kern w:val="0"/>
                <w:sz w:val="24"/>
                <w:szCs w:val="24"/>
                <w:highlight w:val="none"/>
                <w:lang w:val="en-US" w:eastAsia="zh-CN" w:bidi="ar-SA"/>
              </w:rPr>
            </w:pPr>
            <w:r>
              <w:rPr>
                <w:rFonts w:hint="eastAsia" w:cs="Times New Roman"/>
                <w:color w:val="000000"/>
                <w:kern w:val="0"/>
                <w:sz w:val="24"/>
                <w:szCs w:val="24"/>
                <w:highlight w:val="none"/>
                <w:lang w:val="en-US" w:eastAsia="zh-CN" w:bidi="ar-SA"/>
              </w:rPr>
              <w:t>（4）</w:t>
            </w:r>
            <w:r>
              <w:rPr>
                <w:rFonts w:hint="eastAsia" w:ascii="Times New Roman" w:hAnsi="Times New Roman" w:cs="Times New Roman"/>
                <w:color w:val="000000"/>
                <w:kern w:val="0"/>
                <w:sz w:val="24"/>
                <w:szCs w:val="24"/>
                <w:highlight w:val="none"/>
                <w:lang w:val="en-US" w:eastAsia="zh-CN" w:bidi="ar-SA"/>
              </w:rPr>
              <w:t>建设性质：新建。</w:t>
            </w:r>
          </w:p>
          <w:p w14:paraId="161A1AB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auto"/>
                <w:kern w:val="0"/>
                <w:sz w:val="24"/>
                <w:szCs w:val="24"/>
                <w:highlight w:val="none"/>
                <w:lang w:val="en-US" w:eastAsia="zh-CN" w:bidi="ar-SA"/>
              </w:rPr>
              <w:t>（5）</w:t>
            </w:r>
            <w:r>
              <w:rPr>
                <w:rFonts w:hint="eastAsia" w:ascii="Times New Roman" w:hAnsi="Times New Roman" w:cs="Times New Roman"/>
                <w:color w:val="auto"/>
                <w:kern w:val="0"/>
                <w:sz w:val="24"/>
                <w:szCs w:val="24"/>
                <w:highlight w:val="none"/>
                <w:lang w:val="en-US" w:eastAsia="zh-CN" w:bidi="ar-SA"/>
              </w:rPr>
              <w:t>总投资及环保投资：项目总投资</w:t>
            </w:r>
            <w:r>
              <w:rPr>
                <w:rFonts w:hint="eastAsia" w:cs="Times New Roman"/>
                <w:color w:val="auto"/>
                <w:kern w:val="0"/>
                <w:sz w:val="24"/>
                <w:szCs w:val="24"/>
                <w:highlight w:val="none"/>
                <w:lang w:val="en-US" w:eastAsia="zh-CN" w:bidi="ar-SA"/>
              </w:rPr>
              <w:t>400</w:t>
            </w:r>
            <w:r>
              <w:rPr>
                <w:rFonts w:hint="eastAsia" w:ascii="Times New Roman" w:hAnsi="Times New Roman" w:cs="Times New Roman"/>
                <w:color w:val="auto"/>
                <w:kern w:val="0"/>
                <w:sz w:val="24"/>
                <w:szCs w:val="24"/>
                <w:highlight w:val="none"/>
                <w:lang w:val="en-US" w:eastAsia="zh-CN" w:bidi="ar-SA"/>
              </w:rPr>
              <w:t>万元，</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环保投资</w:t>
            </w:r>
            <w:r>
              <w:rPr>
                <w:rFonts w:hint="eastAsia" w:cs="Times New Roman"/>
                <w:color w:val="000000" w:themeColor="text1"/>
                <w:sz w:val="24"/>
                <w:szCs w:val="24"/>
                <w:highlight w:val="none"/>
                <w:lang w:val="en-US" w:eastAsia="zh-CN"/>
                <w14:textFill>
                  <w14:solidFill>
                    <w14:schemeClr w14:val="tx1"/>
                  </w14:solidFill>
                </w14:textFill>
              </w:rPr>
              <w:t>23.5</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万元，占项目建设投资的比例为</w:t>
            </w:r>
            <w:r>
              <w:rPr>
                <w:rFonts w:hint="eastAsia" w:cs="Times New Roman"/>
                <w:b w:val="0"/>
                <w:bCs w:val="0"/>
                <w:color w:val="000000" w:themeColor="text1"/>
                <w:sz w:val="24"/>
                <w:szCs w:val="24"/>
                <w:lang w:val="en-US" w:eastAsia="zh-CN"/>
                <w14:textFill>
                  <w14:solidFill>
                    <w14:schemeClr w14:val="tx1"/>
                  </w14:solidFill>
                </w14:textFill>
              </w:rPr>
              <w:t>5.9</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0CDA4EC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（6）</w:t>
            </w:r>
            <w:r>
              <w:rPr>
                <w:rFonts w:hint="eastAsia" w:ascii="Times New Roman" w:hAnsi="Times New Roman" w:cs="Times New Roman"/>
                <w:color w:val="000000"/>
                <w:kern w:val="0"/>
                <w:sz w:val="24"/>
                <w:szCs w:val="24"/>
                <w:highlight w:val="none"/>
                <w:lang w:val="en-US" w:eastAsia="zh-CN" w:bidi="ar-SA"/>
              </w:rPr>
              <w:t>劳动定员：</w:t>
            </w:r>
            <w:r>
              <w:rPr>
                <w:rFonts w:hint="default" w:ascii="Times New Roman" w:hAnsi="Times New Roman" w:eastAsia="宋体" w:cs="Times New Roman"/>
                <w:bCs/>
                <w:color w:val="auto"/>
                <w:sz w:val="24"/>
                <w:szCs w:val="24"/>
                <w:u w:val="none"/>
                <w:lang w:eastAsia="zh-CN"/>
              </w:rPr>
              <w:t>本项目</w:t>
            </w:r>
            <w:r>
              <w:rPr>
                <w:rFonts w:hint="default" w:ascii="Times New Roman" w:hAnsi="Times New Roman" w:cs="Times New Roman"/>
                <w:bCs/>
                <w:color w:val="auto"/>
                <w:sz w:val="24"/>
                <w:szCs w:val="24"/>
                <w:u w:val="none"/>
                <w:lang w:val="en-US" w:eastAsia="zh-CN"/>
              </w:rPr>
              <w:t>劳动定员共</w:t>
            </w:r>
            <w:r>
              <w:rPr>
                <w:rFonts w:hint="eastAsia" w:cs="Times New Roman"/>
                <w:bCs/>
                <w:color w:val="auto"/>
                <w:sz w:val="24"/>
                <w:szCs w:val="24"/>
                <w:u w:val="none"/>
                <w:lang w:val="en-US" w:eastAsia="zh-CN"/>
              </w:rPr>
              <w:t>10</w:t>
            </w:r>
            <w:r>
              <w:rPr>
                <w:rFonts w:hint="default" w:ascii="Times New Roman" w:hAnsi="Times New Roman" w:eastAsia="宋体" w:cs="Times New Roman"/>
                <w:bCs/>
                <w:color w:val="auto"/>
                <w:sz w:val="24"/>
                <w:szCs w:val="24"/>
                <w:u w:val="none"/>
                <w:lang w:eastAsia="zh-CN"/>
              </w:rPr>
              <w:t>人</w:t>
            </w:r>
            <w:r>
              <w:rPr>
                <w:rFonts w:hint="eastAsia" w:cs="Times New Roman"/>
                <w:color w:val="000000"/>
                <w:kern w:val="0"/>
                <w:sz w:val="24"/>
                <w:szCs w:val="24"/>
                <w:highlight w:val="none"/>
                <w:lang w:val="en-US" w:eastAsia="zh-CN" w:bidi="ar-SA"/>
              </w:rPr>
              <w:t>，厂区内不</w:t>
            </w:r>
            <w:r>
              <w:rPr>
                <w:rFonts w:hint="eastAsia" w:ascii="Times New Roman" w:hAnsi="Times New Roman" w:cs="Times New Roman"/>
                <w:color w:val="000000"/>
                <w:kern w:val="0"/>
                <w:sz w:val="24"/>
                <w:szCs w:val="24"/>
                <w:highlight w:val="none"/>
                <w:lang w:val="en-US" w:eastAsia="zh-CN" w:bidi="ar-SA"/>
              </w:rPr>
              <w:t>提供</w:t>
            </w:r>
            <w:r>
              <w:rPr>
                <w:rFonts w:hint="eastAsia" w:cs="Times New Roman"/>
                <w:color w:val="000000"/>
                <w:kern w:val="0"/>
                <w:sz w:val="24"/>
                <w:szCs w:val="24"/>
                <w:highlight w:val="none"/>
                <w:lang w:val="en-US" w:eastAsia="zh-CN" w:bidi="ar-SA"/>
              </w:rPr>
              <w:t>食宿</w:t>
            </w:r>
            <w:r>
              <w:rPr>
                <w:rFonts w:hint="eastAsia" w:cs="Times New Roman"/>
                <w:bCs/>
                <w:color w:val="auto"/>
                <w:sz w:val="24"/>
                <w:highlight w:val="none"/>
                <w:lang w:val="en-US" w:eastAsia="zh-CN"/>
              </w:rPr>
              <w:t>。</w:t>
            </w:r>
          </w:p>
          <w:p w14:paraId="6B02D8F5">
            <w:pPr>
              <w:keepNext w:val="0"/>
              <w:keepLines w:val="0"/>
              <w:pageBreakBefore w:val="0"/>
              <w:widowControl w:val="0"/>
              <w:kinsoku/>
              <w:wordWrap/>
              <w:overflowPunct/>
              <w:topLinePunct w:val="0"/>
              <w:autoSpaceDE w:val="0"/>
              <w:autoSpaceDN w:val="0"/>
              <w:bidi w:val="0"/>
              <w:adjustRightInd w:val="0"/>
              <w:snapToGrid/>
              <w:spacing w:line="360" w:lineRule="auto"/>
              <w:ind w:right="0" w:firstLine="480" w:firstLineChars="200"/>
              <w:jc w:val="both"/>
              <w:textAlignment w:val="auto"/>
              <w:rPr>
                <w:rFonts w:hint="default" w:ascii="Times New Roman" w:hAnsi="Times New Roman"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（7）</w:t>
            </w:r>
            <w:r>
              <w:rPr>
                <w:rFonts w:hint="eastAsia" w:ascii="Times New Roman" w:hAnsi="Times New Roman" w:cs="Times New Roman"/>
                <w:color w:val="000000"/>
                <w:kern w:val="0"/>
                <w:sz w:val="24"/>
                <w:szCs w:val="24"/>
                <w:highlight w:val="none"/>
                <w:lang w:val="en-US" w:eastAsia="zh-CN" w:bidi="ar-SA"/>
              </w:rPr>
              <w:t>工作制度：</w:t>
            </w:r>
            <w:r>
              <w:rPr>
                <w:rFonts w:hint="default" w:ascii="Times New Roman" w:hAnsi="Times New Roman" w:cs="Times New Roman"/>
                <w:color w:val="000000"/>
                <w:kern w:val="0"/>
                <w:sz w:val="24"/>
                <w:szCs w:val="24"/>
                <w:highlight w:val="none"/>
                <w:lang w:val="en-US" w:eastAsia="zh-CN" w:bidi="ar-SA"/>
              </w:rPr>
              <w:t>年</w:t>
            </w:r>
            <w:r>
              <w:rPr>
                <w:rFonts w:hint="eastAsia" w:ascii="Times New Roman" w:hAnsi="Times New Roman" w:cs="Times New Roman"/>
                <w:color w:val="000000"/>
                <w:kern w:val="0"/>
                <w:sz w:val="24"/>
                <w:szCs w:val="24"/>
                <w:highlight w:val="none"/>
                <w:lang w:val="en-US" w:eastAsia="zh-CN" w:bidi="ar-SA"/>
              </w:rPr>
              <w:t>工作</w:t>
            </w:r>
            <w:r>
              <w:rPr>
                <w:rFonts w:hint="eastAsia" w:cs="Times New Roman"/>
                <w:color w:val="000000"/>
                <w:kern w:val="0"/>
                <w:sz w:val="24"/>
                <w:szCs w:val="24"/>
                <w:highlight w:val="none"/>
                <w:lang w:val="en-US" w:eastAsia="zh-CN" w:bidi="ar-SA"/>
              </w:rPr>
              <w:t>300</w:t>
            </w:r>
            <w:r>
              <w:rPr>
                <w:rFonts w:hint="default" w:ascii="Times New Roman" w:hAnsi="Times New Roman" w:cs="Times New Roman"/>
                <w:color w:val="000000"/>
                <w:kern w:val="0"/>
                <w:sz w:val="24"/>
                <w:szCs w:val="24"/>
                <w:highlight w:val="none"/>
                <w:lang w:val="en-US" w:eastAsia="zh-CN" w:bidi="ar-SA"/>
              </w:rPr>
              <w:t>天，实行</w:t>
            </w:r>
            <w:r>
              <w:rPr>
                <w:rFonts w:hint="eastAsia" w:cs="Times New Roman"/>
                <w:color w:val="000000"/>
                <w:kern w:val="0"/>
                <w:sz w:val="24"/>
                <w:szCs w:val="24"/>
                <w:highlight w:val="none"/>
                <w:lang w:val="en-US" w:eastAsia="zh-CN" w:bidi="ar-SA"/>
              </w:rPr>
              <w:t>两</w:t>
            </w:r>
            <w:r>
              <w:rPr>
                <w:rFonts w:hint="eastAsia" w:ascii="Times New Roman" w:hAnsi="Times New Roman" w:eastAsia="宋体" w:cs="Times New Roman"/>
                <w:color w:val="000000"/>
                <w:kern w:val="0"/>
                <w:sz w:val="24"/>
                <w:szCs w:val="24"/>
                <w:highlight w:val="none"/>
                <w:lang w:val="en-US" w:eastAsia="zh-CN" w:bidi="ar-SA"/>
              </w:rPr>
              <w:t>班制</w:t>
            </w:r>
            <w:r>
              <w:rPr>
                <w:rFonts w:hint="default" w:ascii="Times New Roman" w:hAnsi="Times New Roman" w:cs="Times New Roman"/>
                <w:color w:val="000000"/>
                <w:kern w:val="0"/>
                <w:sz w:val="24"/>
                <w:szCs w:val="24"/>
                <w:highlight w:val="none"/>
                <w:lang w:val="en-US" w:eastAsia="zh-CN" w:bidi="ar-SA"/>
              </w:rPr>
              <w:t>，每</w:t>
            </w:r>
            <w:r>
              <w:rPr>
                <w:rFonts w:hint="eastAsia" w:ascii="Times New Roman" w:hAnsi="Times New Roman" w:cs="Times New Roman"/>
                <w:color w:val="000000"/>
                <w:kern w:val="0"/>
                <w:sz w:val="24"/>
                <w:szCs w:val="24"/>
                <w:highlight w:val="none"/>
                <w:lang w:val="en-US" w:eastAsia="zh-CN" w:bidi="ar-SA"/>
              </w:rPr>
              <w:t>班</w:t>
            </w:r>
            <w:r>
              <w:rPr>
                <w:rFonts w:hint="default" w:ascii="Times New Roman" w:hAnsi="Times New Roman" w:cs="Times New Roman"/>
                <w:color w:val="000000"/>
                <w:kern w:val="0"/>
                <w:sz w:val="24"/>
                <w:szCs w:val="24"/>
                <w:highlight w:val="none"/>
                <w:lang w:val="en-US" w:eastAsia="zh-CN" w:bidi="ar-SA"/>
              </w:rPr>
              <w:t>工作</w:t>
            </w:r>
            <w:r>
              <w:rPr>
                <w:rFonts w:hint="eastAsia" w:ascii="Times New Roman" w:hAnsi="Times New Roman" w:cs="Times New Roman"/>
                <w:color w:val="000000"/>
                <w:kern w:val="0"/>
                <w:sz w:val="24"/>
                <w:szCs w:val="24"/>
                <w:highlight w:val="none"/>
                <w:lang w:val="en-US" w:eastAsia="zh-CN" w:bidi="ar-SA"/>
              </w:rPr>
              <w:t>8</w:t>
            </w:r>
            <w:r>
              <w:rPr>
                <w:rFonts w:hint="eastAsia" w:cs="Times New Roman"/>
                <w:color w:val="000000"/>
                <w:kern w:val="0"/>
                <w:sz w:val="24"/>
                <w:szCs w:val="24"/>
                <w:highlight w:val="none"/>
                <w:lang w:val="en-US" w:eastAsia="zh-CN" w:bidi="ar-SA"/>
              </w:rPr>
              <w:t>小时</w:t>
            </w:r>
            <w:r>
              <w:rPr>
                <w:rFonts w:hint="default" w:ascii="Times New Roman" w:hAnsi="Times New Roman" w:cs="Times New Roman"/>
                <w:color w:val="000000"/>
                <w:kern w:val="0"/>
                <w:sz w:val="24"/>
                <w:szCs w:val="24"/>
                <w:highlight w:val="none"/>
                <w:lang w:val="en-US" w:eastAsia="zh-CN" w:bidi="ar-SA"/>
              </w:rPr>
              <w:t>。</w:t>
            </w:r>
          </w:p>
          <w:p w14:paraId="331003A8">
            <w:pPr>
              <w:keepNext w:val="0"/>
              <w:keepLines w:val="0"/>
              <w:pageBreakBefore w:val="0"/>
              <w:widowControl w:val="0"/>
              <w:kinsoku/>
              <w:wordWrap/>
              <w:overflowPunct/>
              <w:topLinePunct w:val="0"/>
              <w:autoSpaceDE w:val="0"/>
              <w:autoSpaceDN w:val="0"/>
              <w:bidi w:val="0"/>
              <w:adjustRightInd w:val="0"/>
              <w:snapToGrid/>
              <w:spacing w:line="360" w:lineRule="auto"/>
              <w:ind w:right="0" w:firstLine="482" w:firstLineChars="200"/>
              <w:jc w:val="both"/>
              <w:textAlignment w:val="auto"/>
              <w:rPr>
                <w:rFonts w:hint="default" w:ascii="Times New Roman" w:hAnsi="Times New Roman" w:eastAsia="宋体" w:cs="Times New Roman"/>
                <w:b/>
                <w:bCs/>
                <w:color w:val="000000"/>
                <w:kern w:val="0"/>
                <w:sz w:val="24"/>
                <w:szCs w:val="24"/>
                <w:u w:val="single" w:color="auto"/>
                <w:lang w:val="en-US" w:eastAsia="zh-CN"/>
              </w:rPr>
            </w:pPr>
            <w:r>
              <w:rPr>
                <w:rFonts w:hint="eastAsia" w:eastAsia="宋体" w:cs="Times New Roman"/>
                <w:b/>
                <w:bCs/>
                <w:color w:val="000000"/>
                <w:kern w:val="0"/>
                <w:sz w:val="24"/>
                <w:szCs w:val="24"/>
                <w:u w:val="single" w:color="auto"/>
                <w:lang w:val="en-US" w:eastAsia="zh-CN"/>
              </w:rPr>
              <w:t>3</w:t>
            </w:r>
            <w:r>
              <w:rPr>
                <w:rFonts w:hint="default" w:ascii="Times New Roman" w:hAnsi="Times New Roman" w:eastAsia="宋体" w:cs="Times New Roman"/>
                <w:b/>
                <w:bCs/>
                <w:color w:val="000000"/>
                <w:kern w:val="0"/>
                <w:sz w:val="24"/>
                <w:szCs w:val="24"/>
                <w:u w:val="single" w:color="auto"/>
                <w:lang w:val="en-US" w:eastAsia="zh-CN"/>
              </w:rPr>
              <w:t>、</w:t>
            </w:r>
            <w:r>
              <w:rPr>
                <w:rFonts w:hint="eastAsia" w:ascii="Times New Roman" w:hAnsi="Times New Roman" w:eastAsia="宋体" w:cs="Times New Roman"/>
                <w:b/>
                <w:bCs/>
                <w:color w:val="000000"/>
                <w:kern w:val="0"/>
                <w:sz w:val="24"/>
                <w:szCs w:val="24"/>
                <w:u w:val="single" w:color="auto"/>
                <w:lang w:val="en-US" w:eastAsia="zh-CN"/>
              </w:rPr>
              <w:t>建设内容及规模</w:t>
            </w:r>
          </w:p>
          <w:p w14:paraId="72792A6D">
            <w:pPr>
              <w:keepNext w:val="0"/>
              <w:keepLines w:val="0"/>
              <w:pageBreakBefore w:val="0"/>
              <w:suppressLineNumbers w:val="0"/>
              <w:kinsoku/>
              <w:wordWrap/>
              <w:overflowPunct/>
              <w:topLinePunct w:val="0"/>
              <w:autoSpaceDE/>
              <w:autoSpaceDN/>
              <w:bidi w:val="0"/>
              <w:adjustRightInd w:val="0"/>
              <w:snapToGrid/>
              <w:spacing w:beforeAutospacing="0" w:afterAutospacing="0" w:line="360" w:lineRule="auto"/>
              <w:ind w:left="0" w:right="0" w:firstLine="480" w:firstLineChars="200"/>
              <w:jc w:val="both"/>
              <w:textAlignment w:val="auto"/>
              <w:rPr>
                <w:rFonts w:hint="default" w:ascii="Times New Roman" w:hAnsi="Times New Roman" w:cs="Times New Roman"/>
                <w:bCs/>
                <w:color w:val="auto"/>
                <w:sz w:val="24"/>
                <w:szCs w:val="24"/>
                <w:u w:val="single" w:color="auto"/>
                <w:lang w:val="en-US" w:eastAsia="zh-CN"/>
              </w:rPr>
            </w:pPr>
            <w:r>
              <w:rPr>
                <w:rFonts w:hint="default" w:ascii="Times New Roman" w:hAnsi="Times New Roman" w:eastAsia="宋体" w:cs="Times New Roman"/>
                <w:bCs/>
                <w:color w:val="auto"/>
                <w:sz w:val="24"/>
                <w:szCs w:val="24"/>
                <w:u w:val="single" w:color="auto"/>
              </w:rPr>
              <w:t>本项目位于</w:t>
            </w:r>
            <w:r>
              <w:rPr>
                <w:rFonts w:hint="default" w:ascii="Times New Roman" w:hAnsi="Times New Roman" w:eastAsia="宋体" w:cs="Times New Roman"/>
                <w:color w:val="000000"/>
                <w:sz w:val="24"/>
                <w:szCs w:val="24"/>
                <w:highlight w:val="none"/>
                <w:u w:val="single" w:color="auto"/>
                <w:lang w:eastAsia="zh-CN"/>
              </w:rPr>
              <w:t>永州市新田县龙泉街道工业南园支一路与支三路交叉口西南角</w:t>
            </w:r>
            <w:r>
              <w:rPr>
                <w:rFonts w:hint="default" w:ascii="Times New Roman" w:hAnsi="Times New Roman" w:eastAsia="宋体" w:cs="Times New Roman"/>
                <w:bCs/>
                <w:color w:val="auto"/>
                <w:sz w:val="24"/>
                <w:szCs w:val="24"/>
                <w:u w:val="single" w:color="auto"/>
              </w:rPr>
              <w:t>，</w:t>
            </w:r>
            <w:r>
              <w:rPr>
                <w:rFonts w:hint="default" w:ascii="Times New Roman" w:hAnsi="Times New Roman" w:cs="Times New Roman"/>
                <w:bCs/>
                <w:color w:val="auto"/>
                <w:sz w:val="24"/>
                <w:szCs w:val="24"/>
                <w:u w:val="single" w:color="auto"/>
                <w:lang w:val="en-US" w:eastAsia="zh-CN"/>
              </w:rPr>
              <w:t>租赁</w:t>
            </w:r>
            <w:r>
              <w:rPr>
                <w:rFonts w:hint="eastAsia" w:ascii="Times New Roman" w:hAnsi="Times New Roman" w:eastAsia="宋体" w:cs="Times New Roman"/>
                <w:color w:val="000000"/>
                <w:sz w:val="24"/>
                <w:szCs w:val="24"/>
                <w:highlight w:val="none"/>
                <w:u w:val="single" w:color="auto"/>
                <w:lang w:val="en-US" w:eastAsia="zh-CN"/>
              </w:rPr>
              <w:t>湖南龙昶机械股份有限公司</w:t>
            </w:r>
            <w:r>
              <w:rPr>
                <w:rFonts w:hint="default" w:ascii="Times New Roman" w:hAnsi="Times New Roman" w:cs="Times New Roman"/>
                <w:bCs/>
                <w:color w:val="auto"/>
                <w:sz w:val="24"/>
                <w:szCs w:val="24"/>
                <w:u w:val="single" w:color="auto"/>
                <w:lang w:val="en-US" w:eastAsia="zh-CN"/>
              </w:rPr>
              <w:t>厂区内现有生产厂房</w:t>
            </w:r>
            <w:r>
              <w:rPr>
                <w:rFonts w:hint="eastAsia"/>
                <w:u w:val="single" w:color="auto"/>
                <w:lang w:eastAsia="zh-CN"/>
              </w:rPr>
              <w:t>，</w:t>
            </w:r>
            <w:r>
              <w:rPr>
                <w:rFonts w:hint="default" w:ascii="Times New Roman" w:hAnsi="Times New Roman" w:cs="Times New Roman"/>
                <w:bCs/>
                <w:color w:val="auto"/>
                <w:sz w:val="24"/>
                <w:szCs w:val="24"/>
                <w:u w:val="single" w:color="auto"/>
                <w:lang w:val="en-US" w:eastAsia="zh-CN"/>
              </w:rPr>
              <w:t>化粪池</w:t>
            </w:r>
            <w:r>
              <w:rPr>
                <w:rFonts w:hint="eastAsia" w:cs="Times New Roman"/>
                <w:bCs/>
                <w:color w:val="auto"/>
                <w:sz w:val="24"/>
                <w:szCs w:val="24"/>
                <w:u w:val="single" w:color="auto"/>
                <w:lang w:val="en-US" w:eastAsia="zh-CN"/>
              </w:rPr>
              <w:t>、</w:t>
            </w:r>
            <w:r>
              <w:rPr>
                <w:rFonts w:hint="eastAsia" w:ascii="Times New Roman" w:hAnsi="Times New Roman" w:eastAsia="宋体" w:cs="Times New Roman"/>
                <w:bCs/>
                <w:color w:val="auto"/>
                <w:sz w:val="24"/>
                <w:szCs w:val="24"/>
                <w:u w:val="single" w:color="auto"/>
                <w:lang w:val="en-US" w:eastAsia="zh-CN"/>
              </w:rPr>
              <w:t>办公生活区</w:t>
            </w:r>
            <w:r>
              <w:rPr>
                <w:rFonts w:hint="default" w:ascii="Times New Roman" w:hAnsi="Times New Roman" w:eastAsia="宋体" w:cs="Times New Roman"/>
                <w:bCs/>
                <w:color w:val="auto"/>
                <w:sz w:val="24"/>
                <w:szCs w:val="24"/>
                <w:u w:val="single" w:color="auto"/>
                <w:lang w:val="en-US" w:eastAsia="zh-CN"/>
              </w:rPr>
              <w:t>及</w:t>
            </w:r>
            <w:r>
              <w:rPr>
                <w:rFonts w:hint="default" w:ascii="Times New Roman" w:hAnsi="Times New Roman" w:cs="Times New Roman"/>
                <w:bCs/>
                <w:color w:val="auto"/>
                <w:sz w:val="24"/>
                <w:szCs w:val="24"/>
                <w:u w:val="single" w:color="auto"/>
                <w:lang w:val="en-US" w:eastAsia="zh-CN"/>
              </w:rPr>
              <w:t>供水、供电等公用工程均依托</w:t>
            </w:r>
            <w:r>
              <w:rPr>
                <w:rFonts w:hint="eastAsia" w:ascii="Times New Roman" w:hAnsi="Times New Roman" w:eastAsia="宋体" w:cs="Times New Roman"/>
                <w:color w:val="000000"/>
                <w:sz w:val="24"/>
                <w:szCs w:val="24"/>
                <w:highlight w:val="none"/>
                <w:u w:val="single" w:color="auto"/>
                <w:lang w:val="en-US" w:eastAsia="zh-CN"/>
              </w:rPr>
              <w:t>湖南龙昶机械股份有限公司</w:t>
            </w:r>
            <w:r>
              <w:rPr>
                <w:rFonts w:hint="default" w:ascii="Times New Roman" w:hAnsi="Times New Roman" w:cs="Times New Roman"/>
                <w:bCs/>
                <w:color w:val="auto"/>
                <w:sz w:val="24"/>
                <w:szCs w:val="24"/>
                <w:u w:val="single" w:color="auto"/>
                <w:lang w:val="en-US" w:eastAsia="zh-CN"/>
              </w:rPr>
              <w:t>。</w:t>
            </w:r>
          </w:p>
          <w:p w14:paraId="6438CB36">
            <w:pPr>
              <w:pStyle w:val="13"/>
              <w:keepNext w:val="0"/>
              <w:keepLines w:val="0"/>
              <w:pageBreakBefore w:val="0"/>
              <w:kinsoku/>
              <w:wordWrap/>
              <w:overflowPunct/>
              <w:topLinePunct w:val="0"/>
              <w:bidi w:val="0"/>
              <w:snapToGrid/>
              <w:spacing w:before="0" w:after="0" w:line="360" w:lineRule="auto"/>
              <w:ind w:right="0" w:firstLine="480" w:firstLineChars="200"/>
              <w:textAlignment w:val="auto"/>
              <w:rPr>
                <w:rFonts w:hint="default" w:ascii="Times New Roman" w:hAnsi="Times New Roman" w:eastAsia="宋体" w:cs="Times New Roman"/>
                <w:bCs/>
                <w:color w:val="auto"/>
                <w:sz w:val="24"/>
                <w:szCs w:val="24"/>
                <w:u w:val="single" w:color="auto"/>
              </w:rPr>
            </w:pPr>
            <w:r>
              <w:rPr>
                <w:rFonts w:hint="default" w:ascii="Times New Roman" w:hAnsi="Times New Roman" w:cs="Times New Roman"/>
                <w:bCs/>
                <w:color w:val="auto"/>
                <w:sz w:val="24"/>
                <w:szCs w:val="24"/>
                <w:u w:val="single" w:color="auto"/>
                <w:lang w:val="en-US" w:eastAsia="zh-CN"/>
              </w:rPr>
              <w:t>本项目</w:t>
            </w:r>
            <w:r>
              <w:rPr>
                <w:rFonts w:hint="default" w:ascii="Times New Roman" w:hAnsi="Times New Roman" w:eastAsia="宋体" w:cs="Times New Roman"/>
                <w:bCs/>
                <w:color w:val="auto"/>
                <w:sz w:val="24"/>
                <w:szCs w:val="24"/>
                <w:u w:val="single" w:color="auto"/>
              </w:rPr>
              <w:t>总占地面积</w:t>
            </w:r>
            <w:r>
              <w:rPr>
                <w:rFonts w:hint="eastAsia" w:cs="Times New Roman"/>
                <w:color w:val="auto"/>
                <w:sz w:val="24"/>
                <w:szCs w:val="24"/>
                <w:highlight w:val="none"/>
                <w:u w:val="single" w:color="auto"/>
                <w:lang w:val="en-US" w:eastAsia="zh-CN"/>
              </w:rPr>
              <w:t>3723</w:t>
            </w:r>
            <w:r>
              <w:rPr>
                <w:rFonts w:hint="default" w:ascii="Times New Roman" w:hAnsi="Times New Roman" w:eastAsia="宋体" w:cs="Times New Roman"/>
                <w:bCs/>
                <w:color w:val="auto"/>
                <w:sz w:val="24"/>
                <w:szCs w:val="24"/>
                <w:u w:val="single" w:color="auto"/>
              </w:rPr>
              <w:t>m</w:t>
            </w:r>
            <w:r>
              <w:rPr>
                <w:rFonts w:hint="default" w:ascii="Times New Roman" w:hAnsi="Times New Roman" w:eastAsia="宋体" w:cs="Times New Roman"/>
                <w:bCs/>
                <w:color w:val="auto"/>
                <w:sz w:val="24"/>
                <w:szCs w:val="24"/>
                <w:u w:val="single" w:color="auto"/>
                <w:vertAlign w:val="superscript"/>
              </w:rPr>
              <w:t>2</w:t>
            </w:r>
            <w:r>
              <w:rPr>
                <w:rFonts w:hint="default" w:ascii="Times New Roman" w:hAnsi="Times New Roman" w:eastAsia="宋体" w:cs="Times New Roman"/>
                <w:bCs/>
                <w:color w:val="auto"/>
                <w:sz w:val="24"/>
                <w:szCs w:val="24"/>
                <w:u w:val="single" w:color="auto"/>
              </w:rPr>
              <w:t>，建筑面积为</w:t>
            </w:r>
            <w:r>
              <w:rPr>
                <w:rFonts w:hint="eastAsia" w:cs="Times New Roman"/>
                <w:color w:val="auto"/>
                <w:sz w:val="24"/>
                <w:szCs w:val="24"/>
                <w:highlight w:val="none"/>
                <w:u w:val="single" w:color="auto"/>
                <w:lang w:val="en-US" w:eastAsia="zh-CN"/>
              </w:rPr>
              <w:t>3723</w:t>
            </w:r>
            <w:r>
              <w:rPr>
                <w:rFonts w:hint="default" w:ascii="Times New Roman" w:hAnsi="Times New Roman" w:eastAsia="宋体" w:cs="Times New Roman"/>
                <w:bCs/>
                <w:color w:val="000000" w:themeColor="text1"/>
                <w:sz w:val="24"/>
                <w:szCs w:val="24"/>
                <w:u w:val="single" w:color="auto"/>
                <w14:textFill>
                  <w14:solidFill>
                    <w14:schemeClr w14:val="tx1"/>
                  </w14:solidFill>
                </w14:textFill>
              </w:rPr>
              <w:t>m</w:t>
            </w:r>
            <w:r>
              <w:rPr>
                <w:rFonts w:hint="default" w:ascii="Times New Roman" w:hAnsi="Times New Roman" w:eastAsia="宋体" w:cs="Times New Roman"/>
                <w:bCs/>
                <w:color w:val="000000" w:themeColor="text1"/>
                <w:sz w:val="24"/>
                <w:szCs w:val="24"/>
                <w:u w:val="single" w:color="auto"/>
                <w:vertAlign w:val="superscript"/>
                <w14:textFill>
                  <w14:solidFill>
                    <w14:schemeClr w14:val="tx1"/>
                  </w14:solidFill>
                </w14:textFill>
              </w:rPr>
              <w:t>2</w:t>
            </w:r>
            <w:r>
              <w:rPr>
                <w:rFonts w:hint="default" w:ascii="Times New Roman" w:hAnsi="Times New Roman" w:eastAsia="宋体" w:cs="Times New Roman"/>
                <w:bCs/>
                <w:color w:val="auto"/>
                <w:sz w:val="24"/>
                <w:szCs w:val="24"/>
                <w:u w:val="single" w:color="auto"/>
              </w:rPr>
              <w:t>，主要建设</w:t>
            </w:r>
            <w:r>
              <w:rPr>
                <w:rFonts w:hint="eastAsia" w:cs="Times New Roman"/>
                <w:bCs/>
                <w:color w:val="auto"/>
                <w:sz w:val="24"/>
                <w:szCs w:val="24"/>
                <w:u w:val="single" w:color="auto"/>
                <w:lang w:val="en-US" w:eastAsia="zh-CN"/>
              </w:rPr>
              <w:t>生产厂房</w:t>
            </w:r>
            <w:r>
              <w:rPr>
                <w:rFonts w:hint="default" w:ascii="Times New Roman" w:hAnsi="Times New Roman" w:eastAsia="宋体" w:cs="Times New Roman"/>
                <w:bCs/>
                <w:color w:val="auto"/>
                <w:sz w:val="24"/>
                <w:szCs w:val="24"/>
                <w:u w:val="single" w:color="auto"/>
                <w:lang w:val="en-US" w:eastAsia="zh-CN"/>
              </w:rPr>
              <w:t>（</w:t>
            </w:r>
            <w:r>
              <w:rPr>
                <w:rFonts w:hint="default" w:ascii="Times New Roman" w:hAnsi="Times New Roman" w:cs="Times New Roman"/>
                <w:bCs/>
                <w:color w:val="auto"/>
                <w:sz w:val="24"/>
                <w:szCs w:val="24"/>
                <w:u w:val="single" w:color="auto"/>
                <w:lang w:val="en-US" w:eastAsia="zh-CN"/>
              </w:rPr>
              <w:t>生产区、原料存放区、产品存放区）及</w:t>
            </w:r>
            <w:r>
              <w:rPr>
                <w:rFonts w:hint="default" w:ascii="Times New Roman" w:hAnsi="Times New Roman" w:eastAsia="宋体" w:cs="Times New Roman"/>
                <w:bCs/>
                <w:color w:val="auto"/>
                <w:sz w:val="24"/>
                <w:szCs w:val="24"/>
                <w:u w:val="single" w:color="auto"/>
              </w:rPr>
              <w:t>配套环保工程等</w:t>
            </w:r>
            <w:r>
              <w:rPr>
                <w:rFonts w:hint="default" w:ascii="Times New Roman" w:hAnsi="Times New Roman" w:eastAsia="宋体" w:cs="Times New Roman"/>
                <w:color w:val="auto"/>
                <w:spacing w:val="11"/>
                <w:sz w:val="24"/>
                <w:szCs w:val="24"/>
                <w:u w:val="single" w:color="auto"/>
                <w:lang w:val="en-US" w:eastAsia="zh-CN"/>
              </w:rPr>
              <w:t>。</w:t>
            </w:r>
            <w:r>
              <w:rPr>
                <w:rFonts w:hint="default" w:ascii="Times New Roman" w:hAnsi="Times New Roman" w:eastAsia="宋体" w:cs="Times New Roman"/>
                <w:bCs/>
                <w:color w:val="auto"/>
                <w:sz w:val="24"/>
                <w:szCs w:val="24"/>
                <w:u w:val="single" w:color="auto"/>
              </w:rPr>
              <w:t>项目建设内容见表2-1。</w:t>
            </w:r>
          </w:p>
          <w:p w14:paraId="22AB39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Cs/>
                <w:color w:val="auto"/>
                <w:sz w:val="24"/>
                <w:szCs w:val="24"/>
                <w:u w:val="single" w:color="auto"/>
              </w:rPr>
            </w:pPr>
            <w:r>
              <w:rPr>
                <w:rFonts w:hint="default" w:ascii="Times New Roman" w:hAnsi="Times New Roman" w:eastAsia="宋体" w:cs="Times New Roman"/>
                <w:b/>
                <w:bCs w:val="0"/>
                <w:color w:val="auto"/>
                <w:sz w:val="21"/>
                <w:szCs w:val="21"/>
                <w:u w:val="single" w:color="auto"/>
              </w:rPr>
              <w:t>表2-</w:t>
            </w:r>
            <w:r>
              <w:rPr>
                <w:rFonts w:hint="default" w:ascii="Times New Roman" w:hAnsi="Times New Roman" w:cs="Times New Roman"/>
                <w:b/>
                <w:bCs w:val="0"/>
                <w:color w:val="auto"/>
                <w:sz w:val="21"/>
                <w:szCs w:val="21"/>
                <w:u w:val="single" w:color="auto"/>
                <w:lang w:val="en-US" w:eastAsia="zh-CN"/>
              </w:rPr>
              <w:t xml:space="preserve">1  </w:t>
            </w:r>
            <w:r>
              <w:rPr>
                <w:rFonts w:hint="default" w:ascii="Times New Roman" w:hAnsi="Times New Roman" w:eastAsia="宋体" w:cs="Times New Roman"/>
                <w:b/>
                <w:bCs w:val="0"/>
                <w:color w:val="auto"/>
                <w:sz w:val="21"/>
                <w:szCs w:val="21"/>
                <w:u w:val="single" w:color="auto"/>
              </w:rPr>
              <w:t>项目主要组成一览表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0"/>
              <w:gridCol w:w="808"/>
              <w:gridCol w:w="1242"/>
              <w:gridCol w:w="4214"/>
              <w:gridCol w:w="586"/>
            </w:tblGrid>
            <w:tr w14:paraId="6BB55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tcBorders>
                    <w:tl2br w:val="nil"/>
                    <w:tr2bl w:val="nil"/>
                  </w:tcBorders>
                  <w:noWrap w:val="0"/>
                  <w:vAlign w:val="center"/>
                </w:tcPr>
                <w:p w14:paraId="23A69E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9"/>
                      <w:sz w:val="21"/>
                      <w:szCs w:val="21"/>
                      <w:u w:val="single" w:color="auto"/>
                    </w:rPr>
                    <w:t>工</w:t>
                  </w:r>
                  <w:r>
                    <w:rPr>
                      <w:rFonts w:hint="default" w:ascii="Times New Roman" w:hAnsi="Times New Roman" w:eastAsia="宋体" w:cs="Times New Roman"/>
                      <w:b/>
                      <w:bCs/>
                      <w:color w:val="auto"/>
                      <w:spacing w:val="6"/>
                      <w:sz w:val="21"/>
                      <w:szCs w:val="21"/>
                      <w:u w:val="single" w:color="auto"/>
                    </w:rPr>
                    <w:t>程类别</w:t>
                  </w:r>
                </w:p>
              </w:tc>
              <w:tc>
                <w:tcPr>
                  <w:tcW w:w="808" w:type="dxa"/>
                  <w:tcBorders>
                    <w:tl2br w:val="nil"/>
                    <w:tr2bl w:val="nil"/>
                  </w:tcBorders>
                  <w:noWrap w:val="0"/>
                  <w:vAlign w:val="center"/>
                </w:tcPr>
                <w:p w14:paraId="382C5F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9"/>
                      <w:sz w:val="21"/>
                      <w:szCs w:val="21"/>
                      <w:u w:val="single" w:color="auto"/>
                    </w:rPr>
                    <w:t>工</w:t>
                  </w:r>
                  <w:r>
                    <w:rPr>
                      <w:rFonts w:hint="default" w:ascii="Times New Roman" w:hAnsi="Times New Roman" w:eastAsia="宋体" w:cs="Times New Roman"/>
                      <w:b/>
                      <w:bCs/>
                      <w:color w:val="auto"/>
                      <w:spacing w:val="6"/>
                      <w:sz w:val="21"/>
                      <w:szCs w:val="21"/>
                      <w:u w:val="single" w:color="auto"/>
                    </w:rPr>
                    <w:t>程名称</w:t>
                  </w:r>
                </w:p>
              </w:tc>
              <w:tc>
                <w:tcPr>
                  <w:tcW w:w="5456" w:type="dxa"/>
                  <w:gridSpan w:val="2"/>
                  <w:tcBorders>
                    <w:tl2br w:val="nil"/>
                    <w:tr2bl w:val="nil"/>
                  </w:tcBorders>
                  <w:noWrap w:val="0"/>
                  <w:vAlign w:val="center"/>
                </w:tcPr>
                <w:p w14:paraId="322968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9"/>
                      <w:sz w:val="21"/>
                      <w:szCs w:val="21"/>
                      <w:u w:val="single" w:color="auto"/>
                    </w:rPr>
                    <w:t>工</w:t>
                  </w:r>
                  <w:r>
                    <w:rPr>
                      <w:rFonts w:hint="default" w:ascii="Times New Roman" w:hAnsi="Times New Roman" w:eastAsia="宋体" w:cs="Times New Roman"/>
                      <w:b/>
                      <w:bCs/>
                      <w:color w:val="auto"/>
                      <w:spacing w:val="6"/>
                      <w:sz w:val="21"/>
                      <w:szCs w:val="21"/>
                      <w:u w:val="single" w:color="auto"/>
                    </w:rPr>
                    <w:t>程内容</w:t>
                  </w:r>
                </w:p>
              </w:tc>
              <w:tc>
                <w:tcPr>
                  <w:tcW w:w="586" w:type="dxa"/>
                  <w:tcBorders>
                    <w:tl2br w:val="nil"/>
                    <w:tr2bl w:val="nil"/>
                  </w:tcBorders>
                  <w:noWrap w:val="0"/>
                  <w:vAlign w:val="center"/>
                </w:tcPr>
                <w:p w14:paraId="2BA2B2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4"/>
                      <w:sz w:val="21"/>
                      <w:szCs w:val="21"/>
                      <w:u w:val="single" w:color="auto"/>
                    </w:rPr>
                    <w:t>备</w:t>
                  </w:r>
                  <w:r>
                    <w:rPr>
                      <w:rFonts w:hint="default" w:ascii="Times New Roman" w:hAnsi="Times New Roman" w:eastAsia="宋体" w:cs="Times New Roman"/>
                      <w:b/>
                      <w:bCs/>
                      <w:color w:val="auto"/>
                      <w:spacing w:val="3"/>
                      <w:sz w:val="21"/>
                      <w:szCs w:val="21"/>
                      <w:u w:val="single" w:color="auto"/>
                    </w:rPr>
                    <w:t>注</w:t>
                  </w:r>
                </w:p>
              </w:tc>
            </w:tr>
            <w:tr w14:paraId="3FAD2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restart"/>
                  <w:tcBorders>
                    <w:tl2br w:val="nil"/>
                    <w:tr2bl w:val="nil"/>
                  </w:tcBorders>
                  <w:noWrap w:val="0"/>
                  <w:vAlign w:val="center"/>
                </w:tcPr>
                <w:p w14:paraId="4BD5D6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u w:val="single" w:color="auto"/>
                    </w:rPr>
                  </w:pPr>
                  <w:r>
                    <w:rPr>
                      <w:rFonts w:hint="default" w:ascii="Times New Roman" w:hAnsi="Times New Roman" w:eastAsia="宋体" w:cs="Times New Roman"/>
                      <w:color w:val="auto"/>
                      <w:spacing w:val="7"/>
                      <w:sz w:val="21"/>
                      <w:szCs w:val="21"/>
                      <w:u w:val="single" w:color="auto"/>
                    </w:rPr>
                    <w:t>主体工</w:t>
                  </w:r>
                  <w:r>
                    <w:rPr>
                      <w:rFonts w:hint="default" w:ascii="Times New Roman" w:hAnsi="Times New Roman" w:eastAsia="宋体" w:cs="Times New Roman"/>
                      <w:color w:val="auto"/>
                      <w:spacing w:val="6"/>
                      <w:sz w:val="21"/>
                      <w:szCs w:val="21"/>
                      <w:u w:val="single" w:color="auto"/>
                    </w:rPr>
                    <w:t>程</w:t>
                  </w:r>
                </w:p>
                <w:p w14:paraId="23E049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restart"/>
                  <w:tcBorders>
                    <w:tl2br w:val="nil"/>
                    <w:tr2bl w:val="nil"/>
                  </w:tcBorders>
                  <w:noWrap w:val="0"/>
                  <w:vAlign w:val="center"/>
                </w:tcPr>
                <w:p w14:paraId="20160F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u w:val="single" w:color="auto"/>
                      <w:lang w:val="en-US" w:eastAsia="zh-CN"/>
                    </w:rPr>
                  </w:pPr>
                  <w:r>
                    <w:rPr>
                      <w:rFonts w:hint="default" w:ascii="Times New Roman" w:hAnsi="Times New Roman" w:eastAsia="宋体" w:cs="Times New Roman"/>
                      <w:color w:val="auto"/>
                      <w:spacing w:val="7"/>
                      <w:sz w:val="21"/>
                      <w:szCs w:val="21"/>
                      <w:u w:val="single" w:color="auto"/>
                      <w:lang w:val="en-US" w:eastAsia="zh-CN"/>
                    </w:rPr>
                    <w:t>生产</w:t>
                  </w:r>
                  <w:r>
                    <w:rPr>
                      <w:rFonts w:hint="eastAsia" w:cs="Times New Roman"/>
                      <w:color w:val="auto"/>
                      <w:spacing w:val="7"/>
                      <w:sz w:val="21"/>
                      <w:szCs w:val="21"/>
                      <w:u w:val="single" w:color="auto"/>
                      <w:lang w:val="en-US" w:eastAsia="zh-CN"/>
                    </w:rPr>
                    <w:t>厂房</w:t>
                  </w:r>
                </w:p>
              </w:tc>
              <w:tc>
                <w:tcPr>
                  <w:tcW w:w="1242" w:type="dxa"/>
                  <w:tcBorders>
                    <w:tl2br w:val="nil"/>
                    <w:tr2bl w:val="nil"/>
                  </w:tcBorders>
                  <w:noWrap w:val="0"/>
                  <w:vAlign w:val="center"/>
                </w:tcPr>
                <w:p w14:paraId="600A1A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生产区</w:t>
                  </w:r>
                </w:p>
              </w:tc>
              <w:tc>
                <w:tcPr>
                  <w:tcW w:w="4214" w:type="dxa"/>
                  <w:tcBorders>
                    <w:tl2br w:val="nil"/>
                    <w:tr2bl w:val="nil"/>
                  </w:tcBorders>
                  <w:noWrap w:val="0"/>
                  <w:vAlign w:val="center"/>
                </w:tcPr>
                <w:p w14:paraId="1877A1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一</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层</w:t>
                  </w:r>
                  <w:r>
                    <w:rPr>
                      <w:rFonts w:hint="default" w:ascii="Times New Roman" w:hAnsi="Times New Roman" w:eastAsia="宋体" w:cs="Times New Roman"/>
                      <w:color w:val="000000" w:themeColor="text1"/>
                      <w:spacing w:val="-2"/>
                      <w:sz w:val="21"/>
                      <w:szCs w:val="21"/>
                      <w:u w:val="single" w:color="auto"/>
                      <w14:textFill>
                        <w14:solidFill>
                          <w14:schemeClr w14:val="tx1"/>
                        </w14:solidFill>
                      </w14:textFill>
                    </w:rPr>
                    <w:t>钢结构</w:t>
                  </w:r>
                  <w:r>
                    <w:rPr>
                      <w:rFonts w:hint="eastAsia" w:cs="Times New Roman"/>
                      <w:color w:val="000000" w:themeColor="text1"/>
                      <w:spacing w:val="-2"/>
                      <w:sz w:val="21"/>
                      <w:szCs w:val="21"/>
                      <w:u w:val="single" w:color="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建筑面积</w:t>
                  </w:r>
                  <w:r>
                    <w:rPr>
                      <w:rFonts w:hint="eastAsia" w:cs="Times New Roman"/>
                      <w:color w:val="000000" w:themeColor="text1"/>
                      <w:sz w:val="21"/>
                      <w:szCs w:val="21"/>
                      <w:u w:val="single" w:color="auto"/>
                      <w:lang w:val="en-US" w:eastAsia="zh-CN"/>
                      <w14:textFill>
                        <w14:solidFill>
                          <w14:schemeClr w14:val="tx1"/>
                        </w14:solidFill>
                      </w14:textFill>
                    </w:rPr>
                    <w:t>2703</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u w:val="singl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，主要</w:t>
                  </w:r>
                  <w:r>
                    <w:rPr>
                      <w:rFonts w:hint="eastAsia" w:cs="Times New Roman"/>
                      <w:color w:val="000000" w:themeColor="text1"/>
                      <w:sz w:val="21"/>
                      <w:szCs w:val="21"/>
                      <w:u w:val="single" w:color="auto"/>
                      <w:vertAlign w:val="baseline"/>
                      <w:lang w:val="en-US" w:eastAsia="zh-CN"/>
                      <w14:textFill>
                        <w14:solidFill>
                          <w14:schemeClr w14:val="tx1"/>
                        </w14:solidFill>
                      </w14:textFill>
                    </w:rPr>
                    <w:t>设置一条RDF替代燃料生产线，</w:t>
                  </w:r>
                  <w:r>
                    <w:rPr>
                      <w:rFonts w:hint="default" w:ascii="Times New Roman" w:hAnsi="Times New Roman" w:eastAsia="宋体" w:cs="Times New Roman"/>
                      <w:color w:val="000000" w:themeColor="text1"/>
                      <w:spacing w:val="6"/>
                      <w:sz w:val="21"/>
                      <w:szCs w:val="21"/>
                      <w:u w:val="single" w:color="auto"/>
                      <w14:textFill>
                        <w14:solidFill>
                          <w14:schemeClr w14:val="tx1"/>
                        </w14:solidFill>
                      </w14:textFill>
                    </w:rPr>
                    <w:t>包</w:t>
                  </w:r>
                  <w:r>
                    <w:rPr>
                      <w:rFonts w:hint="default" w:ascii="Times New Roman" w:hAnsi="Times New Roman" w:eastAsia="宋体" w:cs="Times New Roman"/>
                      <w:color w:val="000000" w:themeColor="text1"/>
                      <w:spacing w:val="5"/>
                      <w:sz w:val="21"/>
                      <w:szCs w:val="21"/>
                      <w:u w:val="single" w:color="auto"/>
                      <w14:textFill>
                        <w14:solidFill>
                          <w14:schemeClr w14:val="tx1"/>
                        </w14:solidFill>
                      </w14:textFill>
                    </w:rPr>
                    <w:t>含</w:t>
                  </w:r>
                  <w:r>
                    <w:rPr>
                      <w:rFonts w:hint="eastAsia" w:cs="Times New Roman"/>
                      <w:color w:val="000000" w:themeColor="text1"/>
                      <w:spacing w:val="3"/>
                      <w:sz w:val="21"/>
                      <w:szCs w:val="21"/>
                      <w:u w:val="single" w:color="auto"/>
                      <w:lang w:val="en-US" w:eastAsia="zh-CN"/>
                      <w14:textFill>
                        <w14:solidFill>
                          <w14:schemeClr w14:val="tx1"/>
                        </w14:solidFill>
                      </w14:textFill>
                    </w:rPr>
                    <w:t>人工分选、磁选、喷淋、一次破碎、一次筛分、二次破碎、二次筛分、三次破碎、配比、打包成型</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等</w:t>
                  </w: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工</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序</w:t>
                  </w:r>
                  <w:r>
                    <w:rPr>
                      <w:rFonts w:hint="eastAsia" w:cs="Times New Roman"/>
                      <w:color w:val="000000" w:themeColor="text1"/>
                      <w:spacing w:val="3"/>
                      <w:sz w:val="21"/>
                      <w:szCs w:val="21"/>
                      <w:u w:val="single" w:color="auto"/>
                      <w:lang w:eastAsia="zh-CN"/>
                      <w14:textFill>
                        <w14:solidFill>
                          <w14:schemeClr w14:val="tx1"/>
                        </w14:solidFill>
                      </w14:textFill>
                    </w:rPr>
                    <w:t>。</w:t>
                  </w:r>
                  <w:r>
                    <w:rPr>
                      <w:rFonts w:hint="eastAsia" w:cs="Times New Roman"/>
                      <w:color w:val="000000" w:themeColor="text1"/>
                      <w:sz w:val="21"/>
                      <w:szCs w:val="21"/>
                      <w:u w:val="single" w:color="auto"/>
                      <w:vertAlign w:val="baseline"/>
                      <w:lang w:val="en-US" w:eastAsia="zh-CN"/>
                      <w14:textFill>
                        <w14:solidFill>
                          <w14:schemeClr w14:val="tx1"/>
                        </w14:solidFill>
                      </w14:textFill>
                    </w:rPr>
                    <w:t>一条回收生产线，包含人工分拣、整形打包</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等</w:t>
                  </w: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工</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序</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w:t>
                  </w:r>
                </w:p>
              </w:tc>
              <w:tc>
                <w:tcPr>
                  <w:tcW w:w="586" w:type="dxa"/>
                  <w:vMerge w:val="restart"/>
                  <w:tcBorders>
                    <w:tl2br w:val="nil"/>
                    <w:tr2bl w:val="nil"/>
                  </w:tcBorders>
                  <w:noWrap w:val="0"/>
                  <w:vAlign w:val="center"/>
                </w:tcPr>
                <w:p w14:paraId="1399D6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pacing w:val="4"/>
                      <w:position w:val="4"/>
                      <w:sz w:val="21"/>
                      <w:szCs w:val="21"/>
                      <w:u w:val="single" w:color="auto"/>
                      <w:lang w:val="en-US" w:eastAsia="zh-CN"/>
                    </w:rPr>
                    <w:t>租赁已建厂房</w:t>
                  </w:r>
                </w:p>
              </w:tc>
            </w:tr>
            <w:tr w14:paraId="343BFE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71043C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continue"/>
                  <w:tcBorders>
                    <w:tl2br w:val="nil"/>
                    <w:tr2bl w:val="nil"/>
                  </w:tcBorders>
                  <w:noWrap w:val="0"/>
                  <w:vAlign w:val="center"/>
                </w:tcPr>
                <w:p w14:paraId="0EB29D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6"/>
                      <w:sz w:val="21"/>
                      <w:szCs w:val="21"/>
                      <w:u w:val="single" w:color="auto"/>
                    </w:rPr>
                  </w:pPr>
                </w:p>
              </w:tc>
              <w:tc>
                <w:tcPr>
                  <w:tcW w:w="1242" w:type="dxa"/>
                  <w:tcBorders>
                    <w:tl2br w:val="nil"/>
                    <w:tr2bl w:val="nil"/>
                  </w:tcBorders>
                  <w:noWrap w:val="0"/>
                  <w:vAlign w:val="center"/>
                </w:tcPr>
                <w:p w14:paraId="5F946D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bCs/>
                      <w:color w:val="auto"/>
                      <w:sz w:val="21"/>
                      <w:szCs w:val="21"/>
                      <w:u w:val="single" w:color="auto"/>
                      <w:lang w:val="en-US" w:eastAsia="zh-CN"/>
                    </w:rPr>
                    <w:t>原料</w:t>
                  </w:r>
                  <w:r>
                    <w:rPr>
                      <w:rFonts w:hint="eastAsia" w:ascii="Times New Roman" w:hAnsi="Times New Roman" w:cs="Times New Roman"/>
                      <w:bCs/>
                      <w:color w:val="auto"/>
                      <w:sz w:val="21"/>
                      <w:szCs w:val="21"/>
                      <w:u w:val="single" w:color="auto"/>
                      <w:lang w:val="en-US" w:eastAsia="zh-CN"/>
                    </w:rPr>
                    <w:t>储存</w:t>
                  </w:r>
                  <w:r>
                    <w:rPr>
                      <w:rFonts w:hint="default" w:ascii="Times New Roman" w:hAnsi="Times New Roman" w:cs="Times New Roman"/>
                      <w:bCs/>
                      <w:color w:val="auto"/>
                      <w:sz w:val="21"/>
                      <w:szCs w:val="21"/>
                      <w:u w:val="single" w:color="auto"/>
                      <w:lang w:val="en-US" w:eastAsia="zh-CN"/>
                    </w:rPr>
                    <w:t>区</w:t>
                  </w:r>
                </w:p>
              </w:tc>
              <w:tc>
                <w:tcPr>
                  <w:tcW w:w="4214" w:type="dxa"/>
                  <w:tcBorders>
                    <w:tl2br w:val="nil"/>
                    <w:tr2bl w:val="nil"/>
                  </w:tcBorders>
                  <w:noWrap w:val="0"/>
                  <w:vAlign w:val="center"/>
                </w:tcPr>
                <w:p w14:paraId="59EBF2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一</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层</w:t>
                  </w:r>
                  <w:r>
                    <w:rPr>
                      <w:rFonts w:hint="default" w:ascii="Times New Roman" w:hAnsi="Times New Roman" w:eastAsia="宋体" w:cs="Times New Roman"/>
                      <w:color w:val="000000" w:themeColor="text1"/>
                      <w:spacing w:val="-2"/>
                      <w:sz w:val="21"/>
                      <w:szCs w:val="21"/>
                      <w:u w:val="single" w:color="auto"/>
                      <w14:textFill>
                        <w14:solidFill>
                          <w14:schemeClr w14:val="tx1"/>
                        </w14:solidFill>
                      </w14:textFill>
                    </w:rPr>
                    <w:t>钢结构</w:t>
                  </w:r>
                  <w:r>
                    <w:rPr>
                      <w:rFonts w:hint="eastAsia" w:cs="Times New Roman"/>
                      <w:color w:val="000000" w:themeColor="text1"/>
                      <w:spacing w:val="-2"/>
                      <w:sz w:val="21"/>
                      <w:szCs w:val="21"/>
                      <w:u w:val="single" w:color="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建筑面积</w:t>
                  </w:r>
                  <w:r>
                    <w:rPr>
                      <w:rFonts w:hint="eastAsia" w:cs="Times New Roman"/>
                      <w:color w:val="000000" w:themeColor="text1"/>
                      <w:sz w:val="21"/>
                      <w:szCs w:val="21"/>
                      <w:u w:val="single" w:color="auto"/>
                      <w:lang w:val="en-US" w:eastAsia="zh-CN"/>
                      <w14:textFill>
                        <w14:solidFill>
                          <w14:schemeClr w14:val="tx1"/>
                        </w14:solidFill>
                      </w14:textFill>
                    </w:rPr>
                    <w:t>500</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u w:val="singl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u w:val="single" w:color="auto"/>
                      <w:lang w:val="en-US" w:eastAsia="zh-CN"/>
                      <w14:textFill>
                        <w14:solidFill>
                          <w14:schemeClr w14:val="tx1"/>
                        </w14:solidFill>
                      </w14:textFill>
                    </w:rPr>
                    <w:t>位于生产车间内，</w:t>
                  </w:r>
                  <w:r>
                    <w:rPr>
                      <w:rFonts w:hint="default" w:ascii="Times New Roman" w:hAnsi="Times New Roman" w:eastAsia="宋体" w:cs="Times New Roman"/>
                      <w:bCs/>
                      <w:color w:val="000000" w:themeColor="text1"/>
                      <w:sz w:val="21"/>
                      <w:szCs w:val="21"/>
                      <w:u w:val="single" w:color="auto"/>
                      <w14:textFill>
                        <w14:solidFill>
                          <w14:schemeClr w14:val="tx1"/>
                        </w14:solidFill>
                      </w14:textFill>
                    </w:rPr>
                    <w:t>建筑面积为</w:t>
                  </w:r>
                  <w:r>
                    <w:rPr>
                      <w:rFonts w:hint="eastAsia" w:ascii="Times New Roman" w:hAnsi="Times New Roman" w:eastAsia="宋体" w:cs="Times New Roman"/>
                      <w:bCs/>
                      <w:color w:val="000000" w:themeColor="text1"/>
                      <w:sz w:val="21"/>
                      <w:szCs w:val="21"/>
                      <w:u w:val="single" w:color="auto"/>
                      <w:lang w:val="en-US" w:eastAsia="zh-CN"/>
                      <w14:textFill>
                        <w14:solidFill>
                          <w14:schemeClr w14:val="tx1"/>
                        </w14:solidFill>
                      </w14:textFill>
                    </w:rPr>
                    <w:t>500</w:t>
                  </w:r>
                  <w:r>
                    <w:rPr>
                      <w:rFonts w:hint="default" w:ascii="Times New Roman" w:hAnsi="Times New Roman" w:eastAsia="宋体" w:cs="Times New Roman"/>
                      <w:bCs/>
                      <w:color w:val="000000" w:themeColor="text1"/>
                      <w:sz w:val="21"/>
                      <w:szCs w:val="21"/>
                      <w:u w:val="single" w:color="auto"/>
                      <w14:textFill>
                        <w14:solidFill>
                          <w14:schemeClr w14:val="tx1"/>
                        </w14:solidFill>
                      </w14:textFill>
                    </w:rPr>
                    <w:t>m</w:t>
                  </w:r>
                  <w:r>
                    <w:rPr>
                      <w:rFonts w:hint="default" w:ascii="Times New Roman" w:hAnsi="Times New Roman" w:eastAsia="宋体" w:cs="Times New Roman"/>
                      <w:bCs/>
                      <w:color w:val="000000" w:themeColor="text1"/>
                      <w:sz w:val="21"/>
                      <w:szCs w:val="21"/>
                      <w:u w:val="single" w:color="auto"/>
                      <w:vertAlign w:val="super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，主要储存原材料</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w:t>
                  </w:r>
                </w:p>
              </w:tc>
              <w:tc>
                <w:tcPr>
                  <w:tcW w:w="586" w:type="dxa"/>
                  <w:vMerge w:val="continue"/>
                  <w:tcBorders>
                    <w:tl2br w:val="nil"/>
                    <w:tr2bl w:val="nil"/>
                  </w:tcBorders>
                  <w:noWrap w:val="0"/>
                  <w:vAlign w:val="center"/>
                </w:tcPr>
                <w:p w14:paraId="7EDB4C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r>
            <w:tr w14:paraId="7A3BA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90" w:type="dxa"/>
                  <w:vMerge w:val="continue"/>
                  <w:tcBorders>
                    <w:tl2br w:val="nil"/>
                    <w:tr2bl w:val="nil"/>
                  </w:tcBorders>
                  <w:noWrap w:val="0"/>
                  <w:vAlign w:val="center"/>
                </w:tcPr>
                <w:p w14:paraId="0555CF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continue"/>
                  <w:tcBorders>
                    <w:tl2br w:val="nil"/>
                    <w:tr2bl w:val="nil"/>
                  </w:tcBorders>
                  <w:noWrap w:val="0"/>
                  <w:vAlign w:val="center"/>
                </w:tcPr>
                <w:p w14:paraId="609D36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u w:val="single" w:color="auto"/>
                    </w:rPr>
                  </w:pPr>
                </w:p>
              </w:tc>
              <w:tc>
                <w:tcPr>
                  <w:tcW w:w="1242" w:type="dxa"/>
                  <w:tcBorders>
                    <w:tl2br w:val="nil"/>
                    <w:tr2bl w:val="nil"/>
                  </w:tcBorders>
                  <w:noWrap w:val="0"/>
                  <w:vAlign w:val="center"/>
                </w:tcPr>
                <w:p w14:paraId="4C010A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cs="Times New Roman"/>
                      <w:color w:val="auto"/>
                      <w:sz w:val="21"/>
                      <w:szCs w:val="21"/>
                      <w:u w:val="single" w:color="auto"/>
                      <w:lang w:val="en-US" w:eastAsia="zh-CN"/>
                    </w:rPr>
                    <w:t>成</w:t>
                  </w:r>
                  <w:r>
                    <w:rPr>
                      <w:rFonts w:hint="eastAsia" w:ascii="Times New Roman" w:hAnsi="Times New Roman" w:eastAsia="宋体" w:cs="Times New Roman"/>
                      <w:color w:val="auto"/>
                      <w:sz w:val="21"/>
                      <w:szCs w:val="21"/>
                      <w:u w:val="single" w:color="auto"/>
                      <w:lang w:val="en-US" w:eastAsia="zh-CN"/>
                    </w:rPr>
                    <w:t>品存放区</w:t>
                  </w:r>
                </w:p>
              </w:tc>
              <w:tc>
                <w:tcPr>
                  <w:tcW w:w="4214" w:type="dxa"/>
                  <w:tcBorders>
                    <w:tl2br w:val="nil"/>
                    <w:tr2bl w:val="nil"/>
                  </w:tcBorders>
                  <w:noWrap w:val="0"/>
                  <w:vAlign w:val="center"/>
                </w:tcPr>
                <w:p w14:paraId="1BBED0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t>一</w:t>
                  </w:r>
                  <w:r>
                    <w:rPr>
                      <w:rFonts w:hint="default" w:ascii="Times New Roman" w:hAnsi="Times New Roman" w:eastAsia="宋体" w:cs="Times New Roman"/>
                      <w:color w:val="000000" w:themeColor="text1"/>
                      <w:spacing w:val="-3"/>
                      <w:sz w:val="21"/>
                      <w:szCs w:val="21"/>
                      <w:u w:val="single" w:color="auto"/>
                      <w14:textFill>
                        <w14:solidFill>
                          <w14:schemeClr w14:val="tx1"/>
                        </w14:solidFill>
                      </w14:textFill>
                    </w:rPr>
                    <w:t>层</w:t>
                  </w:r>
                  <w:r>
                    <w:rPr>
                      <w:rFonts w:hint="default" w:ascii="Times New Roman" w:hAnsi="Times New Roman" w:eastAsia="宋体" w:cs="Times New Roman"/>
                      <w:color w:val="000000" w:themeColor="text1"/>
                      <w:spacing w:val="-2"/>
                      <w:sz w:val="21"/>
                      <w:szCs w:val="21"/>
                      <w:u w:val="single" w:color="auto"/>
                      <w14:textFill>
                        <w14:solidFill>
                          <w14:schemeClr w14:val="tx1"/>
                        </w14:solidFill>
                      </w14:textFill>
                    </w:rPr>
                    <w:t>钢结构</w:t>
                  </w:r>
                  <w:r>
                    <w:rPr>
                      <w:rFonts w:hint="eastAsia" w:cs="Times New Roman"/>
                      <w:color w:val="000000" w:themeColor="text1"/>
                      <w:spacing w:val="-2"/>
                      <w:sz w:val="21"/>
                      <w:szCs w:val="21"/>
                      <w:u w:val="single" w:color="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建筑面积</w:t>
                  </w:r>
                  <w:r>
                    <w:rPr>
                      <w:rFonts w:hint="eastAsia" w:cs="Times New Roman"/>
                      <w:color w:val="000000" w:themeColor="text1"/>
                      <w:sz w:val="21"/>
                      <w:szCs w:val="21"/>
                      <w:u w:val="single" w:color="auto"/>
                      <w:lang w:val="en-US" w:eastAsia="zh-CN"/>
                      <w14:textFill>
                        <w14:solidFill>
                          <w14:schemeClr w14:val="tx1"/>
                        </w14:solidFill>
                      </w14:textFill>
                    </w:rPr>
                    <w:t>500</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u w:val="single" w:color="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1"/>
                      <w:szCs w:val="21"/>
                      <w:u w:val="single" w:color="auto"/>
                      <w:lang w:val="en-US" w:eastAsia="zh-CN"/>
                      <w14:textFill>
                        <w14:solidFill>
                          <w14:schemeClr w14:val="tx1"/>
                        </w14:solidFill>
                      </w14:textFill>
                    </w:rPr>
                    <w:t>位于生产车间内</w:t>
                  </w:r>
                  <w:r>
                    <w:rPr>
                      <w:rFonts w:hint="eastAsia" w:ascii="Times New Roman" w:hAnsi="Times New Roman" w:eastAsia="宋体" w:cs="Times New Roman"/>
                      <w:color w:val="000000" w:themeColor="text1"/>
                      <w:spacing w:val="-2"/>
                      <w:sz w:val="21"/>
                      <w:szCs w:val="21"/>
                      <w:u w:val="single" w:color="auto"/>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主要用于</w:t>
                  </w: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储存成品</w:t>
                  </w:r>
                  <w:r>
                    <w:rPr>
                      <w:rFonts w:hint="eastAsia" w:ascii="Times New Roman" w:hAnsi="Times New Roman" w:eastAsia="宋体" w:cs="Times New Roman"/>
                      <w:color w:val="000000" w:themeColor="text1"/>
                      <w:sz w:val="21"/>
                      <w:szCs w:val="21"/>
                      <w:u w:val="single" w:color="auto"/>
                      <w:vertAlign w:val="baseline"/>
                      <w:lang w:val="en-US" w:eastAsia="zh-CN"/>
                      <w14:textFill>
                        <w14:solidFill>
                          <w14:schemeClr w14:val="tx1"/>
                        </w14:solidFill>
                      </w14:textFill>
                    </w:rPr>
                    <w:t>。</w:t>
                  </w:r>
                </w:p>
              </w:tc>
              <w:tc>
                <w:tcPr>
                  <w:tcW w:w="586" w:type="dxa"/>
                  <w:vMerge w:val="continue"/>
                  <w:tcBorders>
                    <w:tl2br w:val="nil"/>
                    <w:tr2bl w:val="nil"/>
                  </w:tcBorders>
                  <w:noWrap w:val="0"/>
                  <w:vAlign w:val="center"/>
                </w:tcPr>
                <w:p w14:paraId="436449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r>
            <w:tr w14:paraId="619F3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tcBorders>
                    <w:tl2br w:val="nil"/>
                    <w:tr2bl w:val="nil"/>
                  </w:tcBorders>
                  <w:noWrap w:val="0"/>
                  <w:vAlign w:val="center"/>
                </w:tcPr>
                <w:p w14:paraId="3F4936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pacing w:val="7"/>
                      <w:sz w:val="21"/>
                      <w:szCs w:val="21"/>
                      <w:u w:val="single" w:color="auto"/>
                    </w:rPr>
                    <w:t>辅助工</w:t>
                  </w:r>
                  <w:r>
                    <w:rPr>
                      <w:rFonts w:hint="default" w:ascii="Times New Roman" w:hAnsi="Times New Roman" w:eastAsia="宋体" w:cs="Times New Roman"/>
                      <w:color w:val="auto"/>
                      <w:spacing w:val="6"/>
                      <w:sz w:val="21"/>
                      <w:szCs w:val="21"/>
                      <w:u w:val="single" w:color="auto"/>
                    </w:rPr>
                    <w:t>程</w:t>
                  </w:r>
                </w:p>
              </w:tc>
              <w:tc>
                <w:tcPr>
                  <w:tcW w:w="808" w:type="dxa"/>
                  <w:vMerge w:val="continue"/>
                  <w:tcBorders>
                    <w:tl2br w:val="nil"/>
                    <w:tr2bl w:val="nil"/>
                  </w:tcBorders>
                  <w:noWrap w:val="0"/>
                  <w:vAlign w:val="center"/>
                </w:tcPr>
                <w:p w14:paraId="7A4668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7"/>
                      <w:sz w:val="21"/>
                      <w:szCs w:val="21"/>
                      <w:u w:val="single" w:color="auto"/>
                    </w:rPr>
                  </w:pPr>
                </w:p>
              </w:tc>
              <w:tc>
                <w:tcPr>
                  <w:tcW w:w="1242" w:type="dxa"/>
                  <w:tcBorders>
                    <w:tl2br w:val="nil"/>
                    <w:tr2bl w:val="nil"/>
                  </w:tcBorders>
                  <w:noWrap w:val="0"/>
                  <w:vAlign w:val="center"/>
                </w:tcPr>
                <w:p w14:paraId="45E130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cs="Times New Roman"/>
                      <w:bCs/>
                      <w:color w:val="auto"/>
                      <w:sz w:val="21"/>
                      <w:szCs w:val="21"/>
                      <w:highlight w:val="none"/>
                      <w:u w:val="single" w:color="auto"/>
                      <w:lang w:val="en-US" w:eastAsia="zh-CN"/>
                    </w:rPr>
                  </w:pPr>
                  <w:r>
                    <w:rPr>
                      <w:rFonts w:hint="eastAsia" w:ascii="Times New Roman" w:hAnsi="Times New Roman" w:cs="Times New Roman"/>
                      <w:bCs/>
                      <w:color w:val="auto"/>
                      <w:sz w:val="21"/>
                      <w:szCs w:val="21"/>
                      <w:highlight w:val="none"/>
                      <w:u w:val="single" w:color="auto"/>
                      <w:lang w:val="en-US" w:eastAsia="zh-CN"/>
                    </w:rPr>
                    <w:t>办公</w:t>
                  </w:r>
                  <w:r>
                    <w:rPr>
                      <w:rFonts w:hint="eastAsia" w:cs="Times New Roman"/>
                      <w:bCs/>
                      <w:color w:val="auto"/>
                      <w:sz w:val="21"/>
                      <w:szCs w:val="21"/>
                      <w:highlight w:val="none"/>
                      <w:u w:val="single" w:color="auto"/>
                      <w:lang w:val="en-US" w:eastAsia="zh-CN"/>
                    </w:rPr>
                    <w:t>生活区</w:t>
                  </w:r>
                </w:p>
              </w:tc>
              <w:tc>
                <w:tcPr>
                  <w:tcW w:w="4214" w:type="dxa"/>
                  <w:tcBorders>
                    <w:tl2br w:val="nil"/>
                    <w:tr2bl w:val="nil"/>
                  </w:tcBorders>
                  <w:noWrap w:val="0"/>
                  <w:vAlign w:val="center"/>
                </w:tcPr>
                <w:p w14:paraId="0672E0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000000" w:themeColor="text1"/>
                      <w:spacing w:val="-4"/>
                      <w:sz w:val="21"/>
                      <w:szCs w:val="21"/>
                      <w:u w:val="single" w:color="auto"/>
                      <w14:textFill>
                        <w14:solidFill>
                          <w14:schemeClr w14:val="tx1"/>
                        </w14:solidFill>
                      </w14:textFill>
                    </w:rPr>
                  </w:pPr>
                  <w:r>
                    <w:rPr>
                      <w:rFonts w:hint="eastAsia" w:ascii="Times New Roman" w:hAnsi="Times New Roman" w:eastAsia="宋体" w:cs="Times New Roman"/>
                      <w:color w:val="000000"/>
                      <w:szCs w:val="21"/>
                      <w:u w:val="single" w:color="auto"/>
                      <w:lang w:val="en-US" w:eastAsia="zh-CN"/>
                    </w:rPr>
                    <w:t>一</w:t>
                  </w: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层混砖建筑，主要用于员工办公休息</w:t>
                  </w:r>
                  <w:r>
                    <w:rPr>
                      <w:rFonts w:hint="eastAsia"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w:t>
                  </w:r>
                  <w:r>
                    <w:rPr>
                      <w:rFonts w:hint="eastAsia"/>
                      <w:color w:val="000000" w:themeColor="text1"/>
                      <w:szCs w:val="21"/>
                      <w:u w:val="single" w:color="auto"/>
                      <w14:textFill>
                        <w14:solidFill>
                          <w14:schemeClr w14:val="tx1"/>
                        </w14:solidFill>
                      </w14:textFill>
                    </w:rPr>
                    <w:t>厂区内不提供食宿</w:t>
                  </w: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w:t>
                  </w:r>
                </w:p>
              </w:tc>
              <w:tc>
                <w:tcPr>
                  <w:tcW w:w="586" w:type="dxa"/>
                  <w:tcBorders>
                    <w:tl2br w:val="nil"/>
                    <w:tr2bl w:val="nil"/>
                  </w:tcBorders>
                  <w:noWrap w:val="0"/>
                  <w:vAlign w:val="center"/>
                </w:tcPr>
                <w:p w14:paraId="08F34F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依</w:t>
                  </w:r>
                  <w:r>
                    <w:rPr>
                      <w:rFonts w:hint="default" w:ascii="Times New Roman" w:hAnsi="Times New Roman" w:eastAsia="宋体" w:cs="Times New Roman"/>
                      <w:color w:val="auto"/>
                      <w:spacing w:val="3"/>
                      <w:sz w:val="21"/>
                      <w:szCs w:val="21"/>
                      <w:u w:val="single" w:color="auto"/>
                    </w:rPr>
                    <w:t>托</w:t>
                  </w:r>
                </w:p>
              </w:tc>
            </w:tr>
            <w:tr w14:paraId="79615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restart"/>
                  <w:tcBorders>
                    <w:tl2br w:val="nil"/>
                    <w:tr2bl w:val="nil"/>
                  </w:tcBorders>
                  <w:noWrap w:val="0"/>
                  <w:vAlign w:val="center"/>
                </w:tcPr>
                <w:p w14:paraId="7C47A9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公</w:t>
                  </w:r>
                  <w:r>
                    <w:rPr>
                      <w:rFonts w:hint="default" w:ascii="Times New Roman" w:hAnsi="Times New Roman" w:eastAsia="宋体" w:cs="Times New Roman"/>
                      <w:color w:val="auto"/>
                      <w:spacing w:val="5"/>
                      <w:sz w:val="21"/>
                      <w:szCs w:val="21"/>
                      <w:u w:val="single" w:color="auto"/>
                    </w:rPr>
                    <w:t>用工程</w:t>
                  </w:r>
                </w:p>
              </w:tc>
              <w:tc>
                <w:tcPr>
                  <w:tcW w:w="808" w:type="dxa"/>
                  <w:tcBorders>
                    <w:tl2br w:val="nil"/>
                    <w:tr2bl w:val="nil"/>
                  </w:tcBorders>
                  <w:noWrap w:val="0"/>
                  <w:vAlign w:val="center"/>
                </w:tcPr>
                <w:p w14:paraId="138A2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供</w:t>
                  </w:r>
                  <w:r>
                    <w:rPr>
                      <w:rFonts w:hint="default" w:ascii="Times New Roman" w:hAnsi="Times New Roman" w:eastAsia="宋体" w:cs="Times New Roman"/>
                      <w:color w:val="auto"/>
                      <w:spacing w:val="4"/>
                      <w:sz w:val="21"/>
                      <w:szCs w:val="21"/>
                      <w:u w:val="single" w:color="auto"/>
                    </w:rPr>
                    <w:t>电</w:t>
                  </w:r>
                </w:p>
              </w:tc>
              <w:tc>
                <w:tcPr>
                  <w:tcW w:w="5456" w:type="dxa"/>
                  <w:gridSpan w:val="2"/>
                  <w:tcBorders>
                    <w:tl2br w:val="nil"/>
                    <w:tr2bl w:val="nil"/>
                  </w:tcBorders>
                  <w:noWrap w:val="0"/>
                  <w:vAlign w:val="center"/>
                </w:tcPr>
                <w:p w14:paraId="2D4187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eastAsia="zh-CN"/>
                    </w:rPr>
                  </w:pPr>
                  <w:r>
                    <w:rPr>
                      <w:rFonts w:hint="default" w:ascii="Times New Roman" w:hAnsi="Times New Roman" w:cs="Times New Roman"/>
                      <w:color w:val="auto"/>
                      <w:kern w:val="0"/>
                      <w:sz w:val="21"/>
                      <w:szCs w:val="21"/>
                      <w:highlight w:val="none"/>
                      <w:u w:val="single" w:color="auto"/>
                      <w:vertAlign w:val="baseline"/>
                      <w:lang w:val="en-US" w:eastAsia="zh-CN"/>
                    </w:rPr>
                    <w:t>由园区市政电网提供；依托</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湖南龙昶机械股份有限公司</w:t>
                  </w:r>
                  <w:r>
                    <w:rPr>
                      <w:rFonts w:hint="eastAsia" w:cs="Times New Roman"/>
                      <w:color w:val="000000" w:themeColor="text1"/>
                      <w:sz w:val="21"/>
                      <w:szCs w:val="21"/>
                      <w:u w:val="single" w:color="auto"/>
                      <w:lang w:val="en-US" w:eastAsia="zh-CN"/>
                      <w14:textFill>
                        <w14:solidFill>
                          <w14:schemeClr w14:val="tx1"/>
                        </w14:solidFill>
                      </w14:textFill>
                    </w:rPr>
                    <w:t>厂区</w:t>
                  </w:r>
                  <w:r>
                    <w:rPr>
                      <w:rFonts w:hint="default" w:ascii="Times New Roman" w:hAnsi="Times New Roman" w:cs="Times New Roman"/>
                      <w:color w:val="auto"/>
                      <w:kern w:val="0"/>
                      <w:sz w:val="21"/>
                      <w:szCs w:val="21"/>
                      <w:highlight w:val="none"/>
                      <w:u w:val="single" w:color="auto"/>
                      <w:vertAlign w:val="baseline"/>
                      <w:lang w:val="en-US" w:eastAsia="zh-CN"/>
                    </w:rPr>
                    <w:t>供电系统，项目不设备用发电机。</w:t>
                  </w:r>
                </w:p>
              </w:tc>
              <w:tc>
                <w:tcPr>
                  <w:tcW w:w="586" w:type="dxa"/>
                  <w:vMerge w:val="restart"/>
                  <w:tcBorders>
                    <w:tl2br w:val="nil"/>
                    <w:tr2bl w:val="nil"/>
                  </w:tcBorders>
                  <w:noWrap w:val="0"/>
                  <w:vAlign w:val="center"/>
                </w:tcPr>
                <w:p w14:paraId="162984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依</w:t>
                  </w:r>
                  <w:r>
                    <w:rPr>
                      <w:rFonts w:hint="default" w:ascii="Times New Roman" w:hAnsi="Times New Roman" w:eastAsia="宋体" w:cs="Times New Roman"/>
                      <w:color w:val="auto"/>
                      <w:spacing w:val="3"/>
                      <w:sz w:val="21"/>
                      <w:szCs w:val="21"/>
                      <w:u w:val="single" w:color="auto"/>
                    </w:rPr>
                    <w:t>托</w:t>
                  </w:r>
                </w:p>
              </w:tc>
            </w:tr>
            <w:tr w14:paraId="70600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31D134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tcBorders>
                    <w:tl2br w:val="nil"/>
                    <w:tr2bl w:val="nil"/>
                  </w:tcBorders>
                  <w:noWrap w:val="0"/>
                  <w:vAlign w:val="center"/>
                </w:tcPr>
                <w:p w14:paraId="052525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给水</w:t>
                  </w:r>
                </w:p>
              </w:tc>
              <w:tc>
                <w:tcPr>
                  <w:tcW w:w="5456" w:type="dxa"/>
                  <w:gridSpan w:val="2"/>
                  <w:tcBorders>
                    <w:tl2br w:val="nil"/>
                    <w:tr2bl w:val="nil"/>
                  </w:tcBorders>
                  <w:noWrap w:val="0"/>
                  <w:vAlign w:val="center"/>
                </w:tcPr>
                <w:p w14:paraId="04CD7A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cs="Times New Roman"/>
                      <w:color w:val="auto"/>
                      <w:kern w:val="0"/>
                      <w:sz w:val="21"/>
                      <w:szCs w:val="21"/>
                      <w:highlight w:val="none"/>
                      <w:u w:val="single" w:color="auto"/>
                      <w:vertAlign w:val="baseline"/>
                      <w:lang w:val="en-US" w:eastAsia="zh-CN"/>
                    </w:rPr>
                    <w:t>来源于园区市政供水管网；依托</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湖南龙昶机械股份有限公司</w:t>
                  </w:r>
                  <w:r>
                    <w:rPr>
                      <w:rFonts w:hint="default" w:ascii="Times New Roman" w:hAnsi="Times New Roman" w:cs="Times New Roman"/>
                      <w:color w:val="auto"/>
                      <w:kern w:val="0"/>
                      <w:sz w:val="21"/>
                      <w:szCs w:val="21"/>
                      <w:highlight w:val="none"/>
                      <w:u w:val="single" w:color="auto"/>
                      <w:vertAlign w:val="baseline"/>
                      <w:lang w:val="en-US" w:eastAsia="zh-CN"/>
                    </w:rPr>
                    <w:t>供水系统。</w:t>
                  </w:r>
                </w:p>
              </w:tc>
              <w:tc>
                <w:tcPr>
                  <w:tcW w:w="586" w:type="dxa"/>
                  <w:vMerge w:val="continue"/>
                  <w:tcBorders>
                    <w:tl2br w:val="nil"/>
                    <w:tr2bl w:val="nil"/>
                  </w:tcBorders>
                  <w:noWrap w:val="0"/>
                  <w:vAlign w:val="center"/>
                </w:tcPr>
                <w:p w14:paraId="7E8194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r>
            <w:tr w14:paraId="54C70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restart"/>
                  <w:tcBorders>
                    <w:tl2br w:val="nil"/>
                    <w:tr2bl w:val="nil"/>
                  </w:tcBorders>
                  <w:noWrap w:val="0"/>
                  <w:vAlign w:val="center"/>
                </w:tcPr>
                <w:p w14:paraId="4966EA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环</w:t>
                  </w:r>
                  <w:r>
                    <w:rPr>
                      <w:rFonts w:hint="default" w:ascii="Times New Roman" w:hAnsi="Times New Roman" w:eastAsia="宋体" w:cs="Times New Roman"/>
                      <w:color w:val="auto"/>
                      <w:spacing w:val="7"/>
                      <w:sz w:val="21"/>
                      <w:szCs w:val="21"/>
                      <w:u w:val="single" w:color="auto"/>
                    </w:rPr>
                    <w:t>保工程</w:t>
                  </w:r>
                </w:p>
              </w:tc>
              <w:tc>
                <w:tcPr>
                  <w:tcW w:w="808" w:type="dxa"/>
                  <w:tcBorders>
                    <w:tl2br w:val="nil"/>
                    <w:tr2bl w:val="nil"/>
                  </w:tcBorders>
                  <w:noWrap w:val="0"/>
                  <w:vAlign w:val="center"/>
                </w:tcPr>
                <w:p w14:paraId="5F3226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0"/>
                      <w:sz w:val="21"/>
                      <w:szCs w:val="21"/>
                      <w:u w:val="single" w:color="auto"/>
                    </w:rPr>
                    <w:t>废</w:t>
                  </w:r>
                  <w:r>
                    <w:rPr>
                      <w:rFonts w:hint="default" w:ascii="Times New Roman" w:hAnsi="Times New Roman" w:eastAsia="宋体" w:cs="Times New Roman"/>
                      <w:color w:val="auto"/>
                      <w:spacing w:val="8"/>
                      <w:sz w:val="21"/>
                      <w:szCs w:val="21"/>
                      <w:u w:val="single" w:color="auto"/>
                    </w:rPr>
                    <w:t>气治理设施</w:t>
                  </w:r>
                </w:p>
              </w:tc>
              <w:tc>
                <w:tcPr>
                  <w:tcW w:w="5456" w:type="dxa"/>
                  <w:gridSpan w:val="2"/>
                  <w:tcBorders>
                    <w:tl2br w:val="nil"/>
                    <w:tr2bl w:val="nil"/>
                  </w:tcBorders>
                  <w:noWrap w:val="0"/>
                  <w:vAlign w:val="center"/>
                </w:tcPr>
                <w:p w14:paraId="1B3118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b w:val="0"/>
                      <w:bCs w:val="0"/>
                      <w:color w:val="000000" w:themeColor="text1"/>
                      <w:sz w:val="21"/>
                      <w:szCs w:val="21"/>
                      <w:u w:val="single" w:color="auto"/>
                      <w:lang w:val="en-US" w:eastAsia="zh-CN"/>
                      <w14:textFill>
                        <w14:solidFill>
                          <w14:schemeClr w14:val="tx1"/>
                        </w14:solidFill>
                      </w14:textFill>
                    </w:rPr>
                    <w:t>项目产生的</w:t>
                  </w:r>
                  <w:r>
                    <w:rPr>
                      <w:rFonts w:hint="eastAsia" w:cs="Times New Roman"/>
                      <w:b w:val="0"/>
                      <w:bCs w:val="0"/>
                      <w:color w:val="000000" w:themeColor="text1"/>
                      <w:kern w:val="2"/>
                      <w:sz w:val="21"/>
                      <w:szCs w:val="21"/>
                      <w:u w:val="single" w:color="auto"/>
                      <w:lang w:val="en-US" w:eastAsia="zh-CN" w:bidi="ar"/>
                      <w14:textFill>
                        <w14:solidFill>
                          <w14:schemeClr w14:val="tx1"/>
                        </w14:solidFill>
                      </w14:textFill>
                    </w:rPr>
                    <w:t>破碎</w:t>
                  </w:r>
                  <w:r>
                    <w:rPr>
                      <w:rFonts w:hint="default"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废气采用</w:t>
                  </w:r>
                  <w:r>
                    <w:rPr>
                      <w:rFonts w:hint="eastAsia"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一套</w:t>
                  </w:r>
                  <w:r>
                    <w:rPr>
                      <w:rFonts w:hint="eastAsia" w:cs="Times New Roman"/>
                      <w:b w:val="0"/>
                      <w:bCs w:val="0"/>
                      <w:color w:val="000000" w:themeColor="text1"/>
                      <w:kern w:val="2"/>
                      <w:sz w:val="21"/>
                      <w:szCs w:val="21"/>
                      <w:u w:val="single" w:color="auto"/>
                      <w:lang w:val="en-US" w:eastAsia="zh-CN" w:bidi="ar"/>
                      <w14:textFill>
                        <w14:solidFill>
                          <w14:schemeClr w14:val="tx1"/>
                        </w14:solidFill>
                      </w14:textFill>
                    </w:rPr>
                    <w:t>“布袋除尘器装置”</w:t>
                  </w:r>
                  <w:r>
                    <w:rPr>
                      <w:rFonts w:hint="default"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经</w:t>
                  </w:r>
                  <w:r>
                    <w:rPr>
                      <w:rFonts w:hint="eastAsia"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1根</w:t>
                  </w:r>
                  <w:r>
                    <w:rPr>
                      <w:rFonts w:hint="eastAsia" w:cs="Times New Roman"/>
                      <w:b w:val="0"/>
                      <w:bCs w:val="0"/>
                      <w:color w:val="000000" w:themeColor="text1"/>
                      <w:kern w:val="2"/>
                      <w:sz w:val="21"/>
                      <w:szCs w:val="21"/>
                      <w:u w:val="single" w:color="auto"/>
                      <w:lang w:val="en-US" w:eastAsia="zh-CN" w:bidi="ar"/>
                      <w14:textFill>
                        <w14:solidFill>
                          <w14:schemeClr w14:val="tx1"/>
                        </w14:solidFill>
                      </w14:textFill>
                    </w:rPr>
                    <w:t>15</w:t>
                  </w:r>
                  <w:r>
                    <w:rPr>
                      <w:rFonts w:hint="default"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m排气筒</w:t>
                  </w:r>
                  <w:r>
                    <w:rPr>
                      <w:rFonts w:hint="eastAsia" w:cs="Times New Roman"/>
                      <w:b w:val="0"/>
                      <w:bCs w:val="0"/>
                      <w:color w:val="000000" w:themeColor="text1"/>
                      <w:kern w:val="2"/>
                      <w:sz w:val="21"/>
                      <w:szCs w:val="21"/>
                      <w:u w:val="single" w:color="auto"/>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DA00</w:t>
                  </w:r>
                  <w:r>
                    <w:rPr>
                      <w:rFonts w:hint="eastAsia"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1</w:t>
                  </w:r>
                  <w:r>
                    <w:rPr>
                      <w:rFonts w:hint="eastAsia" w:cs="Times New Roman"/>
                      <w:b w:val="0"/>
                      <w:bCs w:val="0"/>
                      <w:color w:val="000000" w:themeColor="text1"/>
                      <w:kern w:val="2"/>
                      <w:sz w:val="21"/>
                      <w:szCs w:val="21"/>
                      <w:u w:val="single" w:color="auto"/>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u w:val="single" w:color="auto"/>
                      <w:lang w:val="en-US" w:eastAsia="zh-CN" w:bidi="ar"/>
                      <w14:textFill>
                        <w14:solidFill>
                          <w14:schemeClr w14:val="tx1"/>
                        </w14:solidFill>
                      </w14:textFill>
                    </w:rPr>
                    <w:t xml:space="preserve">高空排放 </w:t>
                  </w:r>
                </w:p>
              </w:tc>
              <w:tc>
                <w:tcPr>
                  <w:tcW w:w="586" w:type="dxa"/>
                  <w:tcBorders>
                    <w:tl2br w:val="nil"/>
                    <w:tr2bl w:val="nil"/>
                  </w:tcBorders>
                  <w:noWrap w:val="0"/>
                  <w:vAlign w:val="center"/>
                </w:tcPr>
                <w:p w14:paraId="149137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6"/>
                      <w:sz w:val="21"/>
                      <w:szCs w:val="21"/>
                      <w:u w:val="single" w:color="auto"/>
                    </w:rPr>
                    <w:t>新</w:t>
                  </w:r>
                  <w:r>
                    <w:rPr>
                      <w:rFonts w:hint="default" w:ascii="Times New Roman" w:hAnsi="Times New Roman" w:eastAsia="宋体" w:cs="Times New Roman"/>
                      <w:color w:val="auto"/>
                      <w:spacing w:val="5"/>
                      <w:sz w:val="21"/>
                      <w:szCs w:val="21"/>
                      <w:u w:val="single" w:color="auto"/>
                    </w:rPr>
                    <w:t>建</w:t>
                  </w:r>
                </w:p>
              </w:tc>
            </w:tr>
            <w:tr w14:paraId="59FEF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68AA39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tcBorders>
                    <w:tl2br w:val="nil"/>
                    <w:tr2bl w:val="nil"/>
                  </w:tcBorders>
                  <w:noWrap w:val="0"/>
                  <w:vAlign w:val="center"/>
                </w:tcPr>
                <w:p w14:paraId="41164C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0"/>
                      <w:sz w:val="21"/>
                      <w:szCs w:val="21"/>
                      <w:u w:val="single" w:color="auto"/>
                    </w:rPr>
                    <w:t>废</w:t>
                  </w:r>
                  <w:r>
                    <w:rPr>
                      <w:rFonts w:hint="default" w:ascii="Times New Roman" w:hAnsi="Times New Roman" w:eastAsia="宋体" w:cs="Times New Roman"/>
                      <w:color w:val="auto"/>
                      <w:spacing w:val="8"/>
                      <w:sz w:val="21"/>
                      <w:szCs w:val="21"/>
                      <w:u w:val="single" w:color="auto"/>
                    </w:rPr>
                    <w:t>水治理设施</w:t>
                  </w:r>
                </w:p>
              </w:tc>
              <w:tc>
                <w:tcPr>
                  <w:tcW w:w="5456" w:type="dxa"/>
                  <w:gridSpan w:val="2"/>
                  <w:tcBorders>
                    <w:tl2br w:val="nil"/>
                    <w:tr2bl w:val="nil"/>
                  </w:tcBorders>
                  <w:noWrap w:val="0"/>
                  <w:vAlign w:val="center"/>
                </w:tcPr>
                <w:p w14:paraId="2A02E0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000000" w:themeColor="text1"/>
                      <w:kern w:val="0"/>
                      <w:sz w:val="21"/>
                      <w:szCs w:val="21"/>
                      <w:highlight w:val="none"/>
                      <w:u w:val="single" w:color="auto"/>
                      <w:vertAlign w:val="baseline"/>
                      <w:lang w:val="en-US" w:eastAsia="zh-CN"/>
                      <w14:textFill>
                        <w14:solidFill>
                          <w14:schemeClr w14:val="tx1"/>
                        </w14:solidFill>
                      </w14:textFill>
                    </w:rPr>
                    <w:t>生活污水经</w:t>
                  </w:r>
                  <w:r>
                    <w:rPr>
                      <w:rFonts w:hint="eastAsia" w:ascii="Times New Roman" w:hAnsi="Times New Roman" w:eastAsia="宋体" w:cs="Times New Roman"/>
                      <w:color w:val="000000" w:themeColor="text1"/>
                      <w:sz w:val="21"/>
                      <w:szCs w:val="21"/>
                      <w:u w:val="single" w:color="auto"/>
                      <w:lang w:val="en-US" w:eastAsia="zh-CN"/>
                      <w14:textFill>
                        <w14:solidFill>
                          <w14:schemeClr w14:val="tx1"/>
                        </w14:solidFill>
                      </w14:textFill>
                    </w:rPr>
                    <w:t>龙昶</w:t>
                  </w:r>
                  <w:r>
                    <w:rPr>
                      <w:rFonts w:hint="default" w:ascii="Times New Roman" w:hAnsi="Times New Roman" w:cs="Times New Roman"/>
                      <w:color w:val="000000" w:themeColor="text1"/>
                      <w:kern w:val="0"/>
                      <w:sz w:val="21"/>
                      <w:szCs w:val="21"/>
                      <w:highlight w:val="none"/>
                      <w:u w:val="single" w:color="auto"/>
                      <w:vertAlign w:val="baseline"/>
                      <w:lang w:val="en-US" w:eastAsia="zh-CN"/>
                      <w14:textFill>
                        <w14:solidFill>
                          <w14:schemeClr w14:val="tx1"/>
                        </w14:solidFill>
                      </w14:textFill>
                    </w:rPr>
                    <w:t>厂区内现有化粪池处理达《污水综合排放标准》（GB8978- 1996）表4中三级标准后，排入园区污水管网，进入新田县污水处理厂</w:t>
                  </w:r>
                  <w:r>
                    <w:rPr>
                      <w:rFonts w:hint="eastAsia" w:cs="Times New Roman"/>
                      <w:color w:val="000000" w:themeColor="text1"/>
                      <w:kern w:val="0"/>
                      <w:sz w:val="21"/>
                      <w:szCs w:val="21"/>
                      <w:highlight w:val="none"/>
                      <w:u w:val="single" w:color="auto"/>
                      <w:vertAlign w:val="baseline"/>
                      <w:lang w:val="en-US" w:eastAsia="zh-CN"/>
                      <w14:textFill>
                        <w14:solidFill>
                          <w14:schemeClr w14:val="tx1"/>
                        </w14:solidFill>
                      </w14:textFill>
                    </w:rPr>
                    <w:t>进行深度处理</w:t>
                  </w:r>
                  <w:r>
                    <w:rPr>
                      <w:rFonts w:hint="default" w:ascii="Times New Roman" w:hAnsi="Times New Roman" w:cs="Times New Roman"/>
                      <w:color w:val="000000" w:themeColor="text1"/>
                      <w:kern w:val="0"/>
                      <w:sz w:val="21"/>
                      <w:szCs w:val="21"/>
                      <w:highlight w:val="none"/>
                      <w:u w:val="single" w:color="auto"/>
                      <w:vertAlign w:val="baseline"/>
                      <w:lang w:val="en-US" w:eastAsia="zh-CN"/>
                      <w14:textFill>
                        <w14:solidFill>
                          <w14:schemeClr w14:val="tx1"/>
                        </w14:solidFill>
                      </w14:textFill>
                    </w:rPr>
                    <w:t>。</w:t>
                  </w:r>
                </w:p>
              </w:tc>
              <w:tc>
                <w:tcPr>
                  <w:tcW w:w="586" w:type="dxa"/>
                  <w:tcBorders>
                    <w:tl2br w:val="nil"/>
                    <w:tr2bl w:val="nil"/>
                  </w:tcBorders>
                  <w:noWrap w:val="0"/>
                  <w:vAlign w:val="center"/>
                </w:tcPr>
                <w:p w14:paraId="6A49BE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依</w:t>
                  </w:r>
                  <w:r>
                    <w:rPr>
                      <w:rFonts w:hint="default" w:ascii="Times New Roman" w:hAnsi="Times New Roman" w:eastAsia="宋体" w:cs="Times New Roman"/>
                      <w:color w:val="auto"/>
                      <w:spacing w:val="3"/>
                      <w:sz w:val="21"/>
                      <w:szCs w:val="21"/>
                      <w:u w:val="single" w:color="auto"/>
                    </w:rPr>
                    <w:t>托</w:t>
                  </w:r>
                </w:p>
              </w:tc>
            </w:tr>
            <w:tr w14:paraId="16BF99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3C49F3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tcBorders>
                    <w:tl2br w:val="nil"/>
                    <w:tr2bl w:val="nil"/>
                  </w:tcBorders>
                  <w:noWrap w:val="0"/>
                  <w:vAlign w:val="center"/>
                </w:tcPr>
                <w:p w14:paraId="2226D4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9"/>
                      <w:sz w:val="21"/>
                      <w:szCs w:val="21"/>
                      <w:u w:val="single" w:color="auto"/>
                    </w:rPr>
                    <w:t>噪</w:t>
                  </w:r>
                  <w:r>
                    <w:rPr>
                      <w:rFonts w:hint="default" w:ascii="Times New Roman" w:hAnsi="Times New Roman" w:eastAsia="宋体" w:cs="Times New Roman"/>
                      <w:color w:val="auto"/>
                      <w:spacing w:val="6"/>
                      <w:sz w:val="21"/>
                      <w:szCs w:val="21"/>
                      <w:u w:val="single" w:color="auto"/>
                    </w:rPr>
                    <w:t>声治理设施</w:t>
                  </w:r>
                </w:p>
              </w:tc>
              <w:tc>
                <w:tcPr>
                  <w:tcW w:w="5456" w:type="dxa"/>
                  <w:gridSpan w:val="2"/>
                  <w:tcBorders>
                    <w:tl2br w:val="nil"/>
                    <w:tr2bl w:val="nil"/>
                  </w:tcBorders>
                  <w:noWrap w:val="0"/>
                  <w:vAlign w:val="center"/>
                </w:tcPr>
                <w:p w14:paraId="4DB61A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选用低噪声设备，设备采取减振、隔声、消声等措施控制噪声</w:t>
                  </w:r>
                </w:p>
              </w:tc>
              <w:tc>
                <w:tcPr>
                  <w:tcW w:w="586" w:type="dxa"/>
                  <w:tcBorders>
                    <w:tl2br w:val="nil"/>
                    <w:tr2bl w:val="nil"/>
                  </w:tcBorders>
                  <w:noWrap w:val="0"/>
                  <w:vAlign w:val="center"/>
                </w:tcPr>
                <w:p w14:paraId="5E13EF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6"/>
                      <w:sz w:val="21"/>
                      <w:szCs w:val="21"/>
                      <w:u w:val="single" w:color="auto"/>
                    </w:rPr>
                    <w:t>新</w:t>
                  </w:r>
                  <w:r>
                    <w:rPr>
                      <w:rFonts w:hint="default" w:ascii="Times New Roman" w:hAnsi="Times New Roman" w:eastAsia="宋体" w:cs="Times New Roman"/>
                      <w:color w:val="auto"/>
                      <w:spacing w:val="5"/>
                      <w:sz w:val="21"/>
                      <w:szCs w:val="21"/>
                      <w:u w:val="single" w:color="auto"/>
                    </w:rPr>
                    <w:t>建</w:t>
                  </w:r>
                </w:p>
              </w:tc>
            </w:tr>
            <w:tr w14:paraId="3FF678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2C4BAF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restart"/>
                  <w:tcBorders>
                    <w:tl2br w:val="nil"/>
                    <w:tr2bl w:val="nil"/>
                  </w:tcBorders>
                  <w:noWrap w:val="0"/>
                  <w:vAlign w:val="center"/>
                </w:tcPr>
                <w:p w14:paraId="47B5AB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6"/>
                      <w:sz w:val="21"/>
                      <w:szCs w:val="21"/>
                      <w:u w:val="single" w:color="auto"/>
                    </w:rPr>
                    <w:t>固</w:t>
                  </w:r>
                  <w:r>
                    <w:rPr>
                      <w:rFonts w:hint="default" w:ascii="Times New Roman" w:hAnsi="Times New Roman" w:eastAsia="宋体" w:cs="Times New Roman"/>
                      <w:color w:val="auto"/>
                      <w:spacing w:val="5"/>
                      <w:sz w:val="21"/>
                      <w:szCs w:val="21"/>
                      <w:u w:val="single" w:color="auto"/>
                    </w:rPr>
                    <w:t>废治理设施</w:t>
                  </w:r>
                </w:p>
              </w:tc>
              <w:tc>
                <w:tcPr>
                  <w:tcW w:w="1242" w:type="dxa"/>
                  <w:tcBorders>
                    <w:tl2br w:val="nil"/>
                    <w:tr2bl w:val="nil"/>
                  </w:tcBorders>
                  <w:noWrap w:val="0"/>
                  <w:vAlign w:val="center"/>
                </w:tcPr>
                <w:p w14:paraId="04B804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生活垃</w:t>
                  </w:r>
                  <w:r>
                    <w:rPr>
                      <w:rFonts w:hint="default" w:ascii="Times New Roman" w:hAnsi="Times New Roman" w:eastAsia="宋体" w:cs="Times New Roman"/>
                      <w:color w:val="auto"/>
                      <w:spacing w:val="6"/>
                      <w:sz w:val="21"/>
                      <w:szCs w:val="21"/>
                      <w:u w:val="single" w:color="auto"/>
                    </w:rPr>
                    <w:t>圾</w:t>
                  </w:r>
                </w:p>
              </w:tc>
              <w:tc>
                <w:tcPr>
                  <w:tcW w:w="4214" w:type="dxa"/>
                  <w:tcBorders>
                    <w:tl2br w:val="nil"/>
                    <w:tr2bl w:val="nil"/>
                  </w:tcBorders>
                  <w:noWrap w:val="0"/>
                  <w:vAlign w:val="center"/>
                </w:tcPr>
                <w:p w14:paraId="3AF620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b w:val="0"/>
                      <w:bCs w:val="0"/>
                      <w:color w:val="auto"/>
                      <w:sz w:val="21"/>
                      <w:szCs w:val="21"/>
                      <w:u w:val="single" w:color="auto"/>
                      <w:lang w:val="en-US" w:eastAsia="zh-CN"/>
                    </w:rPr>
                    <w:t>生活垃圾采用垃圾桶收集，交由当地环卫部门统一清运</w:t>
                  </w:r>
                </w:p>
              </w:tc>
              <w:tc>
                <w:tcPr>
                  <w:tcW w:w="586" w:type="dxa"/>
                  <w:tcBorders>
                    <w:tl2br w:val="nil"/>
                    <w:tr2bl w:val="nil"/>
                  </w:tcBorders>
                  <w:noWrap w:val="0"/>
                  <w:vAlign w:val="center"/>
                </w:tcPr>
                <w:p w14:paraId="7D9B8F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新建</w:t>
                  </w:r>
                </w:p>
              </w:tc>
            </w:tr>
            <w:tr w14:paraId="4E6FB6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015ACD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continue"/>
                  <w:tcBorders>
                    <w:tl2br w:val="nil"/>
                    <w:tr2bl w:val="nil"/>
                  </w:tcBorders>
                  <w:noWrap w:val="0"/>
                  <w:vAlign w:val="center"/>
                </w:tcPr>
                <w:p w14:paraId="59DF7B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1242" w:type="dxa"/>
                  <w:tcBorders>
                    <w:tl2br w:val="nil"/>
                    <w:tr2bl w:val="nil"/>
                  </w:tcBorders>
                  <w:noWrap w:val="0"/>
                  <w:vAlign w:val="center"/>
                </w:tcPr>
                <w:p w14:paraId="70C188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一</w:t>
                  </w:r>
                  <w:r>
                    <w:rPr>
                      <w:rFonts w:hint="default" w:ascii="Times New Roman" w:hAnsi="Times New Roman" w:eastAsia="宋体" w:cs="Times New Roman"/>
                      <w:color w:val="auto"/>
                      <w:spacing w:val="6"/>
                      <w:sz w:val="21"/>
                      <w:szCs w:val="21"/>
                      <w:u w:val="single" w:color="auto"/>
                    </w:rPr>
                    <w:t>般固废</w:t>
                  </w:r>
                </w:p>
              </w:tc>
              <w:tc>
                <w:tcPr>
                  <w:tcW w:w="4214" w:type="dxa"/>
                  <w:tcBorders>
                    <w:tl2br w:val="nil"/>
                    <w:tr2bl w:val="nil"/>
                  </w:tcBorders>
                  <w:noWrap w:val="0"/>
                  <w:vAlign w:val="center"/>
                </w:tcPr>
                <w:p w14:paraId="4E8AC8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暂存于一般固废暂存间</w:t>
                  </w:r>
                  <w:r>
                    <w:rPr>
                      <w:rFonts w:hint="default" w:ascii="Times New Roman" w:hAnsi="Times New Roman" w:cs="Times New Roman"/>
                      <w:color w:val="auto"/>
                      <w:spacing w:val="3"/>
                      <w:sz w:val="21"/>
                      <w:szCs w:val="21"/>
                      <w:u w:val="single" w:color="auto"/>
                      <w:lang w:eastAsia="zh-CN"/>
                    </w:rPr>
                    <w:t>（</w:t>
                  </w:r>
                  <w:r>
                    <w:rPr>
                      <w:rFonts w:hint="eastAsia" w:ascii="Times New Roman" w:hAnsi="Times New Roman" w:cs="Times New Roman"/>
                      <w:color w:val="auto"/>
                      <w:spacing w:val="3"/>
                      <w:sz w:val="21"/>
                      <w:szCs w:val="21"/>
                      <w:u w:val="single" w:color="auto"/>
                      <w:lang w:val="en-US" w:eastAsia="zh-CN"/>
                    </w:rPr>
                    <w:t>1</w:t>
                  </w:r>
                  <w:r>
                    <w:rPr>
                      <w:rFonts w:hint="default" w:ascii="Times New Roman" w:hAnsi="Times New Roman" w:cs="Times New Roman"/>
                      <w:color w:val="auto"/>
                      <w:spacing w:val="3"/>
                      <w:sz w:val="21"/>
                      <w:szCs w:val="21"/>
                      <w:u w:val="single" w:color="auto"/>
                      <w:lang w:val="en-US" w:eastAsia="zh-CN"/>
                    </w:rPr>
                    <w:t>0</w:t>
                  </w:r>
                  <w:r>
                    <w:rPr>
                      <w:rFonts w:hint="default" w:ascii="Times New Roman" w:hAnsi="Times New Roman" w:eastAsia="宋体" w:cs="Times New Roman"/>
                      <w:bCs/>
                      <w:color w:val="auto"/>
                      <w:sz w:val="21"/>
                      <w:szCs w:val="21"/>
                      <w:u w:val="single" w:color="auto"/>
                    </w:rPr>
                    <w:t>m</w:t>
                  </w:r>
                  <w:r>
                    <w:rPr>
                      <w:rFonts w:hint="default" w:ascii="Times New Roman" w:hAnsi="Times New Roman" w:eastAsia="宋体" w:cs="Times New Roman"/>
                      <w:bCs/>
                      <w:color w:val="auto"/>
                      <w:sz w:val="21"/>
                      <w:szCs w:val="21"/>
                      <w:u w:val="single" w:color="auto"/>
                      <w:vertAlign w:val="superscript"/>
                    </w:rPr>
                    <w:t>2</w:t>
                  </w:r>
                  <w:r>
                    <w:rPr>
                      <w:rFonts w:hint="default" w:ascii="Times New Roman" w:hAnsi="Times New Roman" w:cs="Times New Roman"/>
                      <w:color w:val="auto"/>
                      <w:spacing w:val="3"/>
                      <w:sz w:val="21"/>
                      <w:szCs w:val="21"/>
                      <w:u w:val="single" w:color="auto"/>
                      <w:lang w:eastAsia="zh-CN"/>
                    </w:rPr>
                    <w:t>）</w:t>
                  </w:r>
                  <w:r>
                    <w:rPr>
                      <w:rFonts w:hint="default" w:ascii="Times New Roman" w:hAnsi="Times New Roman" w:eastAsia="宋体" w:cs="Times New Roman"/>
                      <w:color w:val="auto"/>
                      <w:sz w:val="21"/>
                      <w:szCs w:val="21"/>
                      <w:u w:val="single" w:color="auto"/>
                      <w:lang w:eastAsia="zh-CN"/>
                    </w:rPr>
                    <w:t>后外售综合利用</w:t>
                  </w:r>
                </w:p>
              </w:tc>
              <w:tc>
                <w:tcPr>
                  <w:tcW w:w="586" w:type="dxa"/>
                  <w:tcBorders>
                    <w:tl2br w:val="nil"/>
                    <w:tr2bl w:val="nil"/>
                  </w:tcBorders>
                  <w:noWrap w:val="0"/>
                  <w:vAlign w:val="center"/>
                </w:tcPr>
                <w:p w14:paraId="5A005C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新建</w:t>
                  </w:r>
                </w:p>
              </w:tc>
            </w:tr>
            <w:tr w14:paraId="77956A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90" w:type="dxa"/>
                  <w:vMerge w:val="continue"/>
                  <w:tcBorders>
                    <w:tl2br w:val="nil"/>
                    <w:tr2bl w:val="nil"/>
                  </w:tcBorders>
                  <w:noWrap w:val="0"/>
                  <w:vAlign w:val="center"/>
                </w:tcPr>
                <w:p w14:paraId="2B61AE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808" w:type="dxa"/>
                  <w:vMerge w:val="continue"/>
                  <w:tcBorders>
                    <w:tl2br w:val="nil"/>
                    <w:tr2bl w:val="nil"/>
                  </w:tcBorders>
                  <w:noWrap w:val="0"/>
                  <w:vAlign w:val="center"/>
                </w:tcPr>
                <w:p w14:paraId="0D94B0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p>
              </w:tc>
              <w:tc>
                <w:tcPr>
                  <w:tcW w:w="1242" w:type="dxa"/>
                  <w:tcBorders>
                    <w:tl2br w:val="nil"/>
                    <w:tr2bl w:val="nil"/>
                  </w:tcBorders>
                  <w:noWrap w:val="0"/>
                  <w:vAlign w:val="center"/>
                </w:tcPr>
                <w:p w14:paraId="1AF3C53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9"/>
                      <w:sz w:val="21"/>
                      <w:szCs w:val="21"/>
                      <w:u w:val="single" w:color="auto"/>
                    </w:rPr>
                    <w:t>危</w:t>
                  </w:r>
                  <w:r>
                    <w:rPr>
                      <w:rFonts w:hint="default" w:ascii="Times New Roman" w:hAnsi="Times New Roman" w:eastAsia="宋体" w:cs="Times New Roman"/>
                      <w:color w:val="auto"/>
                      <w:spacing w:val="6"/>
                      <w:sz w:val="21"/>
                      <w:szCs w:val="21"/>
                      <w:u w:val="single" w:color="auto"/>
                    </w:rPr>
                    <w:t>险废物</w:t>
                  </w:r>
                </w:p>
              </w:tc>
              <w:tc>
                <w:tcPr>
                  <w:tcW w:w="4214" w:type="dxa"/>
                  <w:tcBorders>
                    <w:tl2br w:val="nil"/>
                    <w:tr2bl w:val="nil"/>
                  </w:tcBorders>
                  <w:noWrap w:val="0"/>
                  <w:vAlign w:val="center"/>
                </w:tcPr>
                <w:p w14:paraId="6637D7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3"/>
                      <w:sz w:val="21"/>
                      <w:szCs w:val="21"/>
                      <w:u w:val="single" w:color="auto"/>
                    </w:rPr>
                    <w:t>暂存</w:t>
                  </w:r>
                  <w:r>
                    <w:rPr>
                      <w:rFonts w:hint="default" w:ascii="Times New Roman" w:hAnsi="Times New Roman" w:eastAsia="宋体" w:cs="Times New Roman"/>
                      <w:color w:val="auto"/>
                      <w:spacing w:val="3"/>
                      <w:sz w:val="21"/>
                      <w:szCs w:val="21"/>
                      <w:u w:val="single" w:color="auto"/>
                      <w:lang w:val="en-US" w:eastAsia="zh-CN"/>
                    </w:rPr>
                    <w:t>于</w:t>
                  </w:r>
                  <w:r>
                    <w:rPr>
                      <w:rFonts w:hint="default" w:ascii="Times New Roman" w:hAnsi="Times New Roman" w:eastAsia="宋体" w:cs="Times New Roman"/>
                      <w:color w:val="auto"/>
                      <w:spacing w:val="5"/>
                      <w:sz w:val="21"/>
                      <w:szCs w:val="21"/>
                      <w:u w:val="single" w:color="auto"/>
                    </w:rPr>
                    <w:t>危</w:t>
                  </w:r>
                  <w:r>
                    <w:rPr>
                      <w:rFonts w:hint="default" w:ascii="Times New Roman" w:hAnsi="Times New Roman" w:eastAsia="宋体" w:cs="Times New Roman"/>
                      <w:color w:val="auto"/>
                      <w:spacing w:val="3"/>
                      <w:sz w:val="21"/>
                      <w:szCs w:val="21"/>
                      <w:u w:val="single" w:color="auto"/>
                    </w:rPr>
                    <w:t>废暂存间</w:t>
                  </w:r>
                  <w:r>
                    <w:rPr>
                      <w:rFonts w:hint="default" w:ascii="Times New Roman" w:hAnsi="Times New Roman" w:cs="Times New Roman"/>
                      <w:color w:val="auto"/>
                      <w:spacing w:val="3"/>
                      <w:sz w:val="21"/>
                      <w:szCs w:val="21"/>
                      <w:u w:val="single" w:color="auto"/>
                      <w:lang w:eastAsia="zh-CN"/>
                    </w:rPr>
                    <w:t>（</w:t>
                  </w:r>
                  <w:r>
                    <w:rPr>
                      <w:rFonts w:hint="eastAsia" w:ascii="Times New Roman" w:hAnsi="Times New Roman" w:cs="Times New Roman"/>
                      <w:color w:val="auto"/>
                      <w:spacing w:val="3"/>
                      <w:sz w:val="21"/>
                      <w:szCs w:val="21"/>
                      <w:u w:val="single" w:color="auto"/>
                      <w:lang w:val="en-US" w:eastAsia="zh-CN"/>
                    </w:rPr>
                    <w:t>1</w:t>
                  </w:r>
                  <w:r>
                    <w:rPr>
                      <w:rFonts w:hint="default" w:ascii="Times New Roman" w:hAnsi="Times New Roman" w:cs="Times New Roman"/>
                      <w:color w:val="auto"/>
                      <w:spacing w:val="3"/>
                      <w:sz w:val="21"/>
                      <w:szCs w:val="21"/>
                      <w:u w:val="single" w:color="auto"/>
                      <w:lang w:val="en-US" w:eastAsia="zh-CN"/>
                    </w:rPr>
                    <w:t>0</w:t>
                  </w:r>
                  <w:r>
                    <w:rPr>
                      <w:rFonts w:hint="default" w:ascii="Times New Roman" w:hAnsi="Times New Roman" w:eastAsia="宋体" w:cs="Times New Roman"/>
                      <w:bCs/>
                      <w:color w:val="auto"/>
                      <w:sz w:val="21"/>
                      <w:szCs w:val="21"/>
                      <w:u w:val="single" w:color="auto"/>
                    </w:rPr>
                    <w:t>m</w:t>
                  </w:r>
                  <w:r>
                    <w:rPr>
                      <w:rFonts w:hint="default" w:ascii="Times New Roman" w:hAnsi="Times New Roman" w:eastAsia="宋体" w:cs="Times New Roman"/>
                      <w:bCs/>
                      <w:color w:val="auto"/>
                      <w:sz w:val="21"/>
                      <w:szCs w:val="21"/>
                      <w:u w:val="single" w:color="auto"/>
                      <w:vertAlign w:val="superscript"/>
                    </w:rPr>
                    <w:t>2</w:t>
                  </w:r>
                  <w:r>
                    <w:rPr>
                      <w:rFonts w:hint="default" w:ascii="Times New Roman" w:hAnsi="Times New Roman" w:cs="Times New Roman"/>
                      <w:color w:val="auto"/>
                      <w:spacing w:val="3"/>
                      <w:sz w:val="21"/>
                      <w:szCs w:val="21"/>
                      <w:u w:val="single" w:color="auto"/>
                      <w:lang w:eastAsia="zh-CN"/>
                    </w:rPr>
                    <w:t>）</w:t>
                  </w:r>
                  <w:r>
                    <w:rPr>
                      <w:rFonts w:hint="default" w:ascii="Times New Roman" w:hAnsi="Times New Roman" w:eastAsia="宋体" w:cs="Times New Roman"/>
                      <w:color w:val="auto"/>
                      <w:spacing w:val="3"/>
                      <w:sz w:val="21"/>
                      <w:szCs w:val="21"/>
                      <w:u w:val="single" w:color="auto"/>
                    </w:rPr>
                    <w:t>，定期委</w:t>
                  </w:r>
                  <w:r>
                    <w:rPr>
                      <w:rFonts w:hint="default" w:ascii="Times New Roman" w:hAnsi="Times New Roman" w:eastAsia="宋体" w:cs="Times New Roman"/>
                      <w:color w:val="auto"/>
                      <w:spacing w:val="13"/>
                      <w:sz w:val="21"/>
                      <w:szCs w:val="21"/>
                      <w:u w:val="single" w:color="auto"/>
                    </w:rPr>
                    <w:t>托</w:t>
                  </w:r>
                  <w:r>
                    <w:rPr>
                      <w:rFonts w:hint="default" w:ascii="Times New Roman" w:hAnsi="Times New Roman" w:eastAsia="宋体" w:cs="Times New Roman"/>
                      <w:color w:val="auto"/>
                      <w:spacing w:val="8"/>
                      <w:sz w:val="21"/>
                      <w:szCs w:val="21"/>
                      <w:u w:val="single" w:color="auto"/>
                    </w:rPr>
                    <w:t>有资质单位处理</w:t>
                  </w:r>
                </w:p>
              </w:tc>
              <w:tc>
                <w:tcPr>
                  <w:tcW w:w="586" w:type="dxa"/>
                  <w:tcBorders>
                    <w:tl2br w:val="nil"/>
                    <w:tr2bl w:val="nil"/>
                  </w:tcBorders>
                  <w:noWrap w:val="0"/>
                  <w:vAlign w:val="center"/>
                </w:tcPr>
                <w:p w14:paraId="060E96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新建</w:t>
                  </w:r>
                </w:p>
              </w:tc>
            </w:tr>
          </w:tbl>
          <w:p w14:paraId="42CACD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kern w:val="0"/>
                <w:sz w:val="24"/>
                <w:szCs w:val="24"/>
                <w:u w:val="none" w:color="auto"/>
                <w:lang w:val="en-US" w:eastAsia="zh-CN"/>
              </w:rPr>
            </w:pPr>
            <w:r>
              <w:rPr>
                <w:rFonts w:hint="eastAsia" w:ascii="Times New Roman" w:hAnsi="Times New Roman" w:eastAsia="宋体" w:cs="Times New Roman"/>
                <w:b/>
                <w:bCs/>
                <w:color w:val="000000"/>
                <w:kern w:val="0"/>
                <w:sz w:val="24"/>
                <w:szCs w:val="24"/>
                <w:u w:val="none" w:color="auto"/>
                <w:lang w:val="en-US" w:eastAsia="zh-CN" w:bidi="ar-SA"/>
              </w:rPr>
              <w:t>4、</w:t>
            </w:r>
            <w:r>
              <w:rPr>
                <w:rFonts w:hint="eastAsia" w:ascii="Times New Roman" w:hAnsi="Times New Roman" w:eastAsia="宋体" w:cs="Times New Roman"/>
                <w:b/>
                <w:bCs/>
                <w:color w:val="000000"/>
                <w:kern w:val="0"/>
                <w:sz w:val="24"/>
                <w:szCs w:val="24"/>
                <w:u w:val="none" w:color="auto"/>
                <w:lang w:val="en-US" w:eastAsia="zh-CN"/>
              </w:rPr>
              <w:t>产品方案</w:t>
            </w:r>
          </w:p>
          <w:p w14:paraId="7FBA88DF">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根据建设单位提供的资料，</w:t>
            </w:r>
            <w:r>
              <w:rPr>
                <w:rFonts w:hint="eastAsia" w:ascii="宋体" w:hAnsi="宋体" w:cs="宋体"/>
                <w:color w:val="000000"/>
                <w:kern w:val="0"/>
                <w:sz w:val="24"/>
                <w:szCs w:val="24"/>
                <w:lang w:val="en-US" w:eastAsia="zh-CN" w:bidi="ar"/>
              </w:rPr>
              <w:t>本项目</w:t>
            </w:r>
            <w:r>
              <w:rPr>
                <w:rFonts w:hint="default" w:ascii="Times New Roman" w:hAnsi="Times New Roman" w:cs="Times New Roman"/>
                <w:color w:val="auto"/>
                <w:sz w:val="24"/>
                <w:szCs w:val="24"/>
              </w:rPr>
              <w:t>主要</w:t>
            </w:r>
            <w:r>
              <w:rPr>
                <w:rFonts w:hint="eastAsia" w:cs="Times New Roman"/>
                <w:color w:val="auto"/>
                <w:sz w:val="24"/>
                <w:szCs w:val="24"/>
                <w:lang w:val="en-US" w:eastAsia="zh-CN"/>
              </w:rPr>
              <w:t>利用回收的</w:t>
            </w:r>
            <w:r>
              <w:rPr>
                <w:rFonts w:hint="eastAsia" w:ascii="Times New Roman" w:hAnsi="Times New Roman" w:eastAsia="宋体" w:cs="Times New Roman"/>
                <w:color w:val="auto"/>
                <w:sz w:val="24"/>
                <w:szCs w:val="24"/>
                <w:lang w:val="en-US" w:eastAsia="zh-CN"/>
              </w:rPr>
              <w:t>废纺织布料、废鞋材料、废箱包材料、废塑胶</w:t>
            </w:r>
            <w:r>
              <w:rPr>
                <w:rFonts w:hint="default" w:ascii="Times New Roman" w:hAnsi="Times New Roman" w:cs="Times New Roman"/>
                <w:color w:val="auto"/>
                <w:sz w:val="24"/>
                <w:szCs w:val="24"/>
              </w:rPr>
              <w:t>生产RDF替代燃料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，其年产量为50000吨；并年处理回收10000吨废塑料、10000吨废纸/纸箱、10000吨废旧整衣服。</w:t>
            </w:r>
            <w:r>
              <w:rPr>
                <w:rFonts w:hint="eastAsia" w:ascii="宋体" w:hAnsi="宋体" w:eastAsia="宋体" w:cs="宋体"/>
                <w:color w:val="000000"/>
                <w:kern w:val="0"/>
                <w:sz w:val="24"/>
                <w:szCs w:val="24"/>
                <w:lang w:val="en-US" w:eastAsia="zh-CN" w:bidi="ar"/>
              </w:rPr>
              <w:t>项目主要的产品方案见表</w:t>
            </w:r>
            <w:r>
              <w:rPr>
                <w:rFonts w:hint="default" w:ascii="Times New Roman" w:hAnsi="Times New Roman" w:eastAsia="宋体" w:cs="Times New Roman"/>
                <w:color w:val="000000"/>
                <w:kern w:val="0"/>
                <w:sz w:val="24"/>
                <w:szCs w:val="24"/>
                <w:lang w:val="en-US" w:eastAsia="zh-CN" w:bidi="ar"/>
              </w:rPr>
              <w:t>2-2</w:t>
            </w:r>
            <w:r>
              <w:rPr>
                <w:rFonts w:hint="eastAsia" w:cs="Times New Roman"/>
                <w:color w:val="000000"/>
                <w:kern w:val="0"/>
                <w:sz w:val="24"/>
                <w:szCs w:val="24"/>
                <w:lang w:val="en-US" w:eastAsia="zh-CN" w:bidi="ar"/>
              </w:rPr>
              <w:t>。</w:t>
            </w:r>
          </w:p>
          <w:p w14:paraId="0A6241B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
                <w:bCs w:val="0"/>
                <w:color w:val="auto"/>
                <w:sz w:val="21"/>
                <w:szCs w:val="21"/>
                <w:u w:val="none"/>
                <w:lang w:eastAsia="zh-CN"/>
              </w:rPr>
              <w:t xml:space="preserve">表2-2 </w:t>
            </w:r>
            <w:r>
              <w:rPr>
                <w:rFonts w:hint="default" w:ascii="Times New Roman" w:hAnsi="Times New Roman" w:cs="Times New Roman"/>
                <w:b/>
                <w:bCs w:val="0"/>
                <w:color w:val="auto"/>
                <w:sz w:val="21"/>
                <w:szCs w:val="21"/>
                <w:u w:val="none"/>
                <w:lang w:val="en-US" w:eastAsia="zh-CN"/>
              </w:rPr>
              <w:t xml:space="preserve"> </w:t>
            </w:r>
            <w:r>
              <w:rPr>
                <w:rFonts w:hint="default" w:ascii="Times New Roman" w:hAnsi="Times New Roman" w:cs="Times New Roman"/>
                <w:b/>
                <w:bCs w:val="0"/>
                <w:color w:val="auto"/>
                <w:sz w:val="21"/>
                <w:szCs w:val="21"/>
                <w:u w:val="none"/>
                <w:lang w:eastAsia="zh-CN"/>
              </w:rPr>
              <w:t>产品</w:t>
            </w:r>
            <w:r>
              <w:rPr>
                <w:rFonts w:hint="eastAsia" w:ascii="Times New Roman" w:hAnsi="Times New Roman" w:cs="Times New Roman"/>
                <w:b/>
                <w:bCs w:val="0"/>
                <w:color w:val="auto"/>
                <w:sz w:val="21"/>
                <w:szCs w:val="21"/>
                <w:u w:val="none"/>
                <w:lang w:val="en-US" w:eastAsia="zh-CN"/>
              </w:rPr>
              <w:t>方案一览表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059"/>
              <w:gridCol w:w="1473"/>
              <w:gridCol w:w="1364"/>
              <w:gridCol w:w="1799"/>
            </w:tblGrid>
            <w:tr w14:paraId="44549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7223A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auto"/>
                      <w:sz w:val="21"/>
                      <w:szCs w:val="21"/>
                      <w:highlight w:val="none"/>
                      <w:lang w:eastAsia="zh-CN"/>
                    </w:rPr>
                  </w:pPr>
                  <w:r>
                    <w:rPr>
                      <w:rFonts w:hint="eastAsia" w:cs="Times New Roman"/>
                      <w:b/>
                      <w:bCs w:val="0"/>
                      <w:color w:val="auto"/>
                      <w:sz w:val="21"/>
                      <w:szCs w:val="21"/>
                      <w:highlight w:val="none"/>
                      <w:lang w:val="en-US" w:eastAsia="zh-CN"/>
                    </w:rPr>
                    <w:t>序号</w:t>
                  </w:r>
                </w:p>
              </w:tc>
              <w:tc>
                <w:tcPr>
                  <w:tcW w:w="2059" w:type="dxa"/>
                  <w:tcBorders>
                    <w:tl2br w:val="nil"/>
                    <w:tr2bl w:val="nil"/>
                  </w:tcBorders>
                  <w:noWrap w:val="0"/>
                  <w:vAlign w:val="center"/>
                </w:tcPr>
                <w:p w14:paraId="0523F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
                      <w:bCs w:val="0"/>
                      <w:color w:val="auto"/>
                      <w:sz w:val="21"/>
                      <w:szCs w:val="21"/>
                      <w:highlight w:val="none"/>
                      <w:lang w:eastAsia="zh-CN"/>
                    </w:rPr>
                  </w:pPr>
                  <w:r>
                    <w:rPr>
                      <w:rFonts w:hint="default" w:ascii="Times New Roman" w:hAnsi="Times New Roman" w:cs="Times New Roman"/>
                      <w:b/>
                      <w:bCs w:val="0"/>
                      <w:color w:val="auto"/>
                      <w:sz w:val="21"/>
                      <w:szCs w:val="21"/>
                      <w:highlight w:val="none"/>
                    </w:rPr>
                    <w:t>产品</w:t>
                  </w:r>
                  <w:r>
                    <w:rPr>
                      <w:rFonts w:hint="eastAsia" w:ascii="Times New Roman" w:hAnsi="Times New Roman" w:cs="Times New Roman"/>
                      <w:b/>
                      <w:bCs w:val="0"/>
                      <w:color w:val="auto"/>
                      <w:sz w:val="21"/>
                      <w:szCs w:val="21"/>
                      <w:highlight w:val="none"/>
                      <w:lang w:val="en-US" w:eastAsia="zh-CN"/>
                    </w:rPr>
                    <w:t>名称</w:t>
                  </w:r>
                </w:p>
              </w:tc>
              <w:tc>
                <w:tcPr>
                  <w:tcW w:w="1473" w:type="dxa"/>
                  <w:tcBorders>
                    <w:tl2br w:val="nil"/>
                    <w:tr2bl w:val="nil"/>
                  </w:tcBorders>
                  <w:noWrap w:val="0"/>
                  <w:vAlign w:val="center"/>
                </w:tcPr>
                <w:p w14:paraId="2DCDE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0"/>
                      <w:sz w:val="21"/>
                      <w:szCs w:val="21"/>
                      <w:highlight w:val="none"/>
                    </w:rPr>
                  </w:pPr>
                  <w:r>
                    <w:rPr>
                      <w:rFonts w:hint="default" w:ascii="Times New Roman" w:hAnsi="Times New Roman" w:cs="Times New Roman"/>
                      <w:b/>
                      <w:bCs w:val="0"/>
                      <w:color w:val="auto"/>
                      <w:kern w:val="0"/>
                      <w:sz w:val="21"/>
                      <w:szCs w:val="21"/>
                      <w:highlight w:val="none"/>
                    </w:rPr>
                    <w:t>产量</w:t>
                  </w:r>
                </w:p>
              </w:tc>
              <w:tc>
                <w:tcPr>
                  <w:tcW w:w="1364" w:type="dxa"/>
                  <w:tcBorders>
                    <w:tl2br w:val="nil"/>
                    <w:tr2bl w:val="nil"/>
                  </w:tcBorders>
                  <w:noWrap w:val="0"/>
                  <w:vAlign w:val="center"/>
                </w:tcPr>
                <w:p w14:paraId="0F8FE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cs="Times New Roman"/>
                      <w:b/>
                      <w:bCs w:val="0"/>
                      <w:color w:val="auto"/>
                      <w:kern w:val="0"/>
                      <w:sz w:val="21"/>
                      <w:szCs w:val="21"/>
                      <w:highlight w:val="none"/>
                      <w:lang w:val="en-US" w:eastAsia="zh-CN"/>
                    </w:rPr>
                    <w:t>形态/规格</w:t>
                  </w:r>
                </w:p>
              </w:tc>
              <w:tc>
                <w:tcPr>
                  <w:tcW w:w="1799" w:type="dxa"/>
                  <w:tcBorders>
                    <w:tl2br w:val="nil"/>
                    <w:tr2bl w:val="nil"/>
                  </w:tcBorders>
                  <w:noWrap w:val="0"/>
                  <w:vAlign w:val="center"/>
                </w:tcPr>
                <w:p w14:paraId="220B87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备注</w:t>
                  </w:r>
                </w:p>
              </w:tc>
            </w:tr>
            <w:tr w14:paraId="790D1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475D7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1</w:t>
                  </w:r>
                </w:p>
              </w:tc>
              <w:tc>
                <w:tcPr>
                  <w:tcW w:w="2059" w:type="dxa"/>
                  <w:tcBorders>
                    <w:tl2br w:val="nil"/>
                    <w:tr2bl w:val="nil"/>
                  </w:tcBorders>
                  <w:shd w:val="clear" w:color="auto" w:fill="auto"/>
                  <w:noWrap w:val="0"/>
                  <w:vAlign w:val="center"/>
                </w:tcPr>
                <w:p w14:paraId="286BD29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kern w:val="2"/>
                      <w:sz w:val="21"/>
                      <w:szCs w:val="21"/>
                      <w:highlight w:val="none"/>
                      <w:u w:val="none" w:color="auto"/>
                      <w:lang w:val="en-US" w:eastAsia="zh-CN" w:bidi="ar-SA"/>
                    </w:rPr>
                    <w:t>替代燃料</w:t>
                  </w:r>
                </w:p>
              </w:tc>
              <w:tc>
                <w:tcPr>
                  <w:tcW w:w="1473" w:type="dxa"/>
                  <w:tcBorders>
                    <w:tl2br w:val="nil"/>
                    <w:tr2bl w:val="nil"/>
                  </w:tcBorders>
                  <w:noWrap w:val="0"/>
                  <w:vAlign w:val="center"/>
                </w:tcPr>
                <w:p w14:paraId="08B6C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rPr>
                    <w:t>50000</w:t>
                  </w:r>
                  <w:r>
                    <w:rPr>
                      <w:rFonts w:hint="eastAsia" w:cs="Times New Roman"/>
                      <w:b w:val="0"/>
                      <w:bCs w:val="0"/>
                      <w:color w:val="auto"/>
                      <w:kern w:val="0"/>
                      <w:sz w:val="21"/>
                      <w:szCs w:val="21"/>
                      <w:highlight w:val="none"/>
                      <w:lang w:val="en-US" w:eastAsia="zh-CN"/>
                    </w:rPr>
                    <w:t>t/a</w:t>
                  </w:r>
                </w:p>
              </w:tc>
              <w:tc>
                <w:tcPr>
                  <w:tcW w:w="1364" w:type="dxa"/>
                  <w:vMerge w:val="restart"/>
                  <w:tcBorders>
                    <w:tl2br w:val="nil"/>
                    <w:tr2bl w:val="nil"/>
                  </w:tcBorders>
                  <w:noWrap w:val="0"/>
                  <w:vAlign w:val="center"/>
                </w:tcPr>
                <w:p w14:paraId="0279E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固态，根据客户需求生产</w:t>
                  </w:r>
                </w:p>
              </w:tc>
              <w:tc>
                <w:tcPr>
                  <w:tcW w:w="1799" w:type="dxa"/>
                  <w:tcBorders>
                    <w:tl2br w:val="nil"/>
                    <w:tr2bl w:val="nil"/>
                  </w:tcBorders>
                  <w:noWrap w:val="0"/>
                  <w:vAlign w:val="center"/>
                </w:tcPr>
                <w:p w14:paraId="2FCA9E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val="0"/>
                      <w:bCs/>
                      <w:color w:val="auto"/>
                      <w:sz w:val="21"/>
                      <w:szCs w:val="21"/>
                      <w:highlight w:val="none"/>
                    </w:rPr>
                    <w:t>主要外售给水泥厂等企业，作为煤炭替代燃料</w:t>
                  </w:r>
                </w:p>
              </w:tc>
            </w:tr>
            <w:tr w14:paraId="4EFA5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76D816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w:t>
                  </w:r>
                </w:p>
              </w:tc>
              <w:tc>
                <w:tcPr>
                  <w:tcW w:w="2059" w:type="dxa"/>
                  <w:tcBorders>
                    <w:tl2br w:val="nil"/>
                    <w:tr2bl w:val="nil"/>
                  </w:tcBorders>
                  <w:shd w:val="clear" w:color="auto" w:fill="auto"/>
                  <w:noWrap w:val="0"/>
                  <w:vAlign w:val="center"/>
                </w:tcPr>
                <w:p w14:paraId="77D2BA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kern w:val="2"/>
                      <w:sz w:val="21"/>
                      <w:szCs w:val="21"/>
                      <w:highlight w:val="none"/>
                      <w:u w:val="none" w:color="auto"/>
                      <w:lang w:val="en-US" w:eastAsia="zh-CN" w:bidi="ar-SA"/>
                    </w:rPr>
                    <w:t>废塑料</w:t>
                  </w:r>
                </w:p>
              </w:tc>
              <w:tc>
                <w:tcPr>
                  <w:tcW w:w="1473" w:type="dxa"/>
                  <w:tcBorders>
                    <w:tl2br w:val="nil"/>
                    <w:tr2bl w:val="nil"/>
                  </w:tcBorders>
                  <w:noWrap w:val="0"/>
                  <w:vAlign w:val="center"/>
                </w:tcPr>
                <w:p w14:paraId="5AF33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rPr>
                  </w:pPr>
                  <w:r>
                    <w:rPr>
                      <w:rFonts w:hint="eastAsia" w:ascii="Times New Roman" w:hAnsi="Times New Roman"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rPr>
                    <w:t>0000</w:t>
                  </w:r>
                  <w:r>
                    <w:rPr>
                      <w:rFonts w:hint="eastAsia" w:cs="Times New Roman"/>
                      <w:b w:val="0"/>
                      <w:bCs w:val="0"/>
                      <w:color w:val="auto"/>
                      <w:kern w:val="0"/>
                      <w:sz w:val="21"/>
                      <w:szCs w:val="21"/>
                      <w:highlight w:val="none"/>
                      <w:lang w:val="en-US" w:eastAsia="zh-CN"/>
                    </w:rPr>
                    <w:t>t/a</w:t>
                  </w:r>
                </w:p>
              </w:tc>
              <w:tc>
                <w:tcPr>
                  <w:tcW w:w="1364" w:type="dxa"/>
                  <w:vMerge w:val="continue"/>
                  <w:tcBorders>
                    <w:tl2br w:val="nil"/>
                    <w:tr2bl w:val="nil"/>
                  </w:tcBorders>
                  <w:noWrap w:val="0"/>
                  <w:vAlign w:val="center"/>
                </w:tcPr>
                <w:p w14:paraId="4BD88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0"/>
                      <w:sz w:val="21"/>
                      <w:szCs w:val="21"/>
                      <w:highlight w:val="none"/>
                      <w:lang w:val="en-US" w:eastAsia="zh-CN"/>
                    </w:rPr>
                  </w:pPr>
                </w:p>
              </w:tc>
              <w:tc>
                <w:tcPr>
                  <w:tcW w:w="1799" w:type="dxa"/>
                  <w:vMerge w:val="restart"/>
                  <w:tcBorders>
                    <w:tl2br w:val="nil"/>
                    <w:tr2bl w:val="nil"/>
                  </w:tcBorders>
                  <w:noWrap w:val="0"/>
                  <w:vAlign w:val="center"/>
                </w:tcPr>
                <w:p w14:paraId="0D63D3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val="0"/>
                      <w:bCs/>
                      <w:color w:val="auto"/>
                      <w:sz w:val="21"/>
                      <w:szCs w:val="21"/>
                      <w:highlight w:val="none"/>
                    </w:rPr>
                    <w:t>外售</w:t>
                  </w:r>
                  <w:r>
                    <w:rPr>
                      <w:rFonts w:hint="eastAsia" w:ascii="Times New Roman" w:hAnsi="Times New Roman" w:cs="Times New Roman"/>
                      <w:b w:val="0"/>
                      <w:bCs/>
                      <w:color w:val="auto"/>
                      <w:sz w:val="21"/>
                      <w:szCs w:val="21"/>
                      <w:highlight w:val="none"/>
                      <w:lang w:val="en-US" w:eastAsia="zh-CN"/>
                    </w:rPr>
                    <w:t>下游企业</w:t>
                  </w:r>
                </w:p>
              </w:tc>
            </w:tr>
            <w:tr w14:paraId="60146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06430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w:t>
                  </w:r>
                </w:p>
              </w:tc>
              <w:tc>
                <w:tcPr>
                  <w:tcW w:w="2059" w:type="dxa"/>
                  <w:tcBorders>
                    <w:tl2br w:val="nil"/>
                    <w:tr2bl w:val="nil"/>
                  </w:tcBorders>
                  <w:shd w:val="clear" w:color="auto" w:fill="auto"/>
                  <w:noWrap w:val="0"/>
                  <w:vAlign w:val="center"/>
                </w:tcPr>
                <w:p w14:paraId="1E32391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kern w:val="2"/>
                      <w:sz w:val="21"/>
                      <w:szCs w:val="21"/>
                      <w:highlight w:val="none"/>
                      <w:u w:val="none" w:color="auto"/>
                      <w:lang w:val="en-US" w:eastAsia="zh-CN" w:bidi="ar-SA"/>
                    </w:rPr>
                    <w:t>废纸/纸箱</w:t>
                  </w:r>
                </w:p>
              </w:tc>
              <w:tc>
                <w:tcPr>
                  <w:tcW w:w="1473" w:type="dxa"/>
                  <w:tcBorders>
                    <w:tl2br w:val="nil"/>
                    <w:tr2bl w:val="nil"/>
                  </w:tcBorders>
                  <w:noWrap w:val="0"/>
                  <w:vAlign w:val="center"/>
                </w:tcPr>
                <w:p w14:paraId="01037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rPr>
                  </w:pPr>
                  <w:r>
                    <w:rPr>
                      <w:rFonts w:hint="eastAsia" w:ascii="Times New Roman" w:hAnsi="Times New Roman"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rPr>
                    <w:t>0000</w:t>
                  </w:r>
                  <w:r>
                    <w:rPr>
                      <w:rFonts w:hint="eastAsia" w:cs="Times New Roman"/>
                      <w:b w:val="0"/>
                      <w:bCs w:val="0"/>
                      <w:color w:val="auto"/>
                      <w:kern w:val="0"/>
                      <w:sz w:val="21"/>
                      <w:szCs w:val="21"/>
                      <w:highlight w:val="none"/>
                      <w:lang w:val="en-US" w:eastAsia="zh-CN"/>
                    </w:rPr>
                    <w:t>t/a</w:t>
                  </w:r>
                </w:p>
              </w:tc>
              <w:tc>
                <w:tcPr>
                  <w:tcW w:w="1364" w:type="dxa"/>
                  <w:vMerge w:val="continue"/>
                  <w:tcBorders>
                    <w:tl2br w:val="nil"/>
                    <w:tr2bl w:val="nil"/>
                  </w:tcBorders>
                  <w:noWrap w:val="0"/>
                  <w:vAlign w:val="center"/>
                </w:tcPr>
                <w:p w14:paraId="480384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0"/>
                      <w:sz w:val="21"/>
                      <w:szCs w:val="21"/>
                      <w:highlight w:val="none"/>
                      <w:lang w:val="en-US" w:eastAsia="zh-CN"/>
                    </w:rPr>
                  </w:pPr>
                </w:p>
              </w:tc>
              <w:tc>
                <w:tcPr>
                  <w:tcW w:w="1799" w:type="dxa"/>
                  <w:vMerge w:val="continue"/>
                  <w:tcBorders>
                    <w:tl2br w:val="nil"/>
                    <w:tr2bl w:val="nil"/>
                  </w:tcBorders>
                  <w:noWrap w:val="0"/>
                  <w:vAlign w:val="center"/>
                </w:tcPr>
                <w:p w14:paraId="6B42B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rPr>
                  </w:pPr>
                </w:p>
              </w:tc>
            </w:tr>
            <w:tr w14:paraId="505E7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1D8F4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w:t>
                  </w:r>
                </w:p>
              </w:tc>
              <w:tc>
                <w:tcPr>
                  <w:tcW w:w="2059" w:type="dxa"/>
                  <w:tcBorders>
                    <w:tl2br w:val="nil"/>
                    <w:tr2bl w:val="nil"/>
                  </w:tcBorders>
                  <w:shd w:val="clear" w:color="auto" w:fill="auto"/>
                  <w:noWrap w:val="0"/>
                  <w:vAlign w:val="center"/>
                </w:tcPr>
                <w:p w14:paraId="10C6783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kern w:val="2"/>
                      <w:sz w:val="21"/>
                      <w:szCs w:val="21"/>
                      <w:highlight w:val="none"/>
                      <w:u w:val="none" w:color="auto"/>
                      <w:lang w:val="en-US" w:eastAsia="zh-CN" w:bidi="ar-SA"/>
                    </w:rPr>
                    <w:t>废旧整衣服</w:t>
                  </w:r>
                </w:p>
              </w:tc>
              <w:tc>
                <w:tcPr>
                  <w:tcW w:w="1473" w:type="dxa"/>
                  <w:tcBorders>
                    <w:tl2br w:val="nil"/>
                    <w:tr2bl w:val="nil"/>
                  </w:tcBorders>
                  <w:noWrap w:val="0"/>
                  <w:vAlign w:val="center"/>
                </w:tcPr>
                <w:p w14:paraId="620A64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highlight w:val="none"/>
                    </w:rPr>
                  </w:pPr>
                  <w:r>
                    <w:rPr>
                      <w:rFonts w:hint="eastAsia" w:ascii="Times New Roman" w:hAnsi="Times New Roman"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rPr>
                    <w:t>0000</w:t>
                  </w:r>
                  <w:r>
                    <w:rPr>
                      <w:rFonts w:hint="eastAsia" w:cs="Times New Roman"/>
                      <w:b w:val="0"/>
                      <w:bCs w:val="0"/>
                      <w:color w:val="auto"/>
                      <w:kern w:val="0"/>
                      <w:sz w:val="21"/>
                      <w:szCs w:val="21"/>
                      <w:highlight w:val="none"/>
                      <w:lang w:val="en-US" w:eastAsia="zh-CN"/>
                    </w:rPr>
                    <w:t>t/a</w:t>
                  </w:r>
                </w:p>
              </w:tc>
              <w:tc>
                <w:tcPr>
                  <w:tcW w:w="1364" w:type="dxa"/>
                  <w:vMerge w:val="continue"/>
                  <w:tcBorders>
                    <w:tl2br w:val="nil"/>
                    <w:tr2bl w:val="nil"/>
                  </w:tcBorders>
                  <w:noWrap w:val="0"/>
                  <w:vAlign w:val="center"/>
                </w:tcPr>
                <w:p w14:paraId="497027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kern w:val="0"/>
                      <w:sz w:val="21"/>
                      <w:szCs w:val="21"/>
                      <w:highlight w:val="none"/>
                      <w:lang w:val="en-US" w:eastAsia="zh-CN"/>
                    </w:rPr>
                  </w:pPr>
                </w:p>
              </w:tc>
              <w:tc>
                <w:tcPr>
                  <w:tcW w:w="1799" w:type="dxa"/>
                  <w:vMerge w:val="continue"/>
                  <w:tcBorders>
                    <w:tl2br w:val="nil"/>
                    <w:tr2bl w:val="nil"/>
                  </w:tcBorders>
                  <w:noWrap w:val="0"/>
                  <w:vAlign w:val="center"/>
                </w:tcPr>
                <w:p w14:paraId="6F2E0A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rPr>
                  </w:pPr>
                </w:p>
              </w:tc>
            </w:tr>
          </w:tbl>
          <w:p w14:paraId="379C9E64">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 RDF是垃圾衍生燃料</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Refuse Derived Fuel</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的简称，具有热值高、燃烧稳定、易于运输、易于储存、二次污染低和二噁英类物质排放量低等特点</w:t>
            </w:r>
            <w:r>
              <w:rPr>
                <w:rFonts w:hint="eastAsia" w:cs="Times New Roman"/>
                <w:color w:val="000000" w:themeColor="text1"/>
                <w:kern w:val="2"/>
                <w:sz w:val="24"/>
                <w:szCs w:val="24"/>
                <w:highlight w:val="none"/>
                <w:lang w:val="en-US" w:eastAsia="zh-CN" w:bidi="ar-SA"/>
                <w14:textFill>
                  <w14:solidFill>
                    <w14:schemeClr w14:val="tx1"/>
                  </w14:solidFill>
                </w14:textFill>
              </w:rPr>
              <w:t>。广泛</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应用于干燥工程、水泥制造、供热工程和发电工程等领域。</w:t>
            </w:r>
          </w:p>
          <w:p w14:paraId="63C5920F">
            <w:pPr>
              <w:pStyle w:val="1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项目产品质量标准</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国内、行业暂无RDF</w:t>
            </w:r>
            <w:r>
              <w:rPr>
                <w:rFonts w:hint="eastAsia" w:cs="Times New Roman"/>
                <w:color w:val="000000" w:themeColor="text1"/>
                <w:kern w:val="2"/>
                <w:sz w:val="24"/>
                <w:szCs w:val="24"/>
                <w:highlight w:val="none"/>
                <w:lang w:val="en-US" w:eastAsia="zh-CN" w:bidi="ar-SA"/>
                <w14:textFill>
                  <w14:solidFill>
                    <w14:schemeClr w14:val="tx1"/>
                  </w14:solidFill>
                </w14:textFill>
              </w:rPr>
              <w:t>替代</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燃料的质量标准，参照美国检查及材料协会</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ASTM</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标准，同时控制燃烧过程二噁英、重金属的排放，共商制定了企业产品质量标准，《高效节能型RDF燃料棒》</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QJFHJKJ001-2023</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，执行标准如下：</w:t>
            </w:r>
          </w:p>
          <w:p w14:paraId="7B8326F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
                <w:bCs w:val="0"/>
                <w:color w:val="auto"/>
                <w:sz w:val="21"/>
                <w:szCs w:val="21"/>
                <w:u w:val="none"/>
                <w:lang w:eastAsia="zh-CN"/>
              </w:rPr>
              <w:t>表2-</w:t>
            </w:r>
            <w:r>
              <w:rPr>
                <w:rFonts w:hint="eastAsia" w:ascii="Times New Roman" w:hAnsi="Times New Roman" w:cs="Times New Roman"/>
                <w:b/>
                <w:bCs w:val="0"/>
                <w:color w:val="auto"/>
                <w:sz w:val="21"/>
                <w:szCs w:val="21"/>
                <w:u w:val="none"/>
                <w:lang w:val="en-US" w:eastAsia="zh-CN"/>
              </w:rPr>
              <w:t>3</w:t>
            </w:r>
            <w:r>
              <w:rPr>
                <w:rFonts w:hint="default" w:ascii="Times New Roman" w:hAnsi="Times New Roman" w:cs="Times New Roman"/>
                <w:b/>
                <w:bCs w:val="0"/>
                <w:color w:val="auto"/>
                <w:sz w:val="21"/>
                <w:szCs w:val="21"/>
                <w:u w:val="none"/>
                <w:lang w:eastAsia="zh-CN"/>
              </w:rPr>
              <w:t xml:space="preserve"> </w:t>
            </w:r>
            <w:r>
              <w:rPr>
                <w:rFonts w:hint="default" w:ascii="Times New Roman" w:hAnsi="Times New Roman" w:cs="Times New Roman"/>
                <w:b/>
                <w:bCs w:val="0"/>
                <w:color w:val="auto"/>
                <w:sz w:val="21"/>
                <w:szCs w:val="21"/>
                <w:u w:val="none"/>
                <w:lang w:val="en-US" w:eastAsia="zh-CN"/>
              </w:rPr>
              <w:t xml:space="preserve"> </w:t>
            </w:r>
            <w:r>
              <w:rPr>
                <w:rFonts w:hint="default" w:ascii="Times New Roman" w:hAnsi="Times New Roman" w:cs="Times New Roman"/>
                <w:b/>
                <w:bCs w:val="0"/>
                <w:color w:val="auto"/>
                <w:sz w:val="21"/>
                <w:szCs w:val="21"/>
                <w:u w:val="none"/>
                <w:lang w:eastAsia="zh-CN"/>
              </w:rPr>
              <w:t>RDF替代燃料质量标准</w:t>
            </w:r>
            <w:r>
              <w:rPr>
                <w:rFonts w:hint="eastAsia" w:ascii="Times New Roman" w:hAnsi="Times New Roman" w:cs="Times New Roman"/>
                <w:b/>
                <w:bCs w:val="0"/>
                <w:color w:val="auto"/>
                <w:sz w:val="21"/>
                <w:szCs w:val="21"/>
                <w:u w:val="none"/>
                <w:lang w:val="en-US" w:eastAsia="zh-CN"/>
              </w:rPr>
              <w:t>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532"/>
              <w:gridCol w:w="3163"/>
            </w:tblGrid>
            <w:tr w14:paraId="022D4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5" w:type="dxa"/>
                  <w:tcBorders>
                    <w:tl2br w:val="nil"/>
                    <w:tr2bl w:val="nil"/>
                  </w:tcBorders>
                  <w:noWrap w:val="0"/>
                  <w:vAlign w:val="center"/>
                </w:tcPr>
                <w:p w14:paraId="5D613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序号</w:t>
                  </w:r>
                </w:p>
              </w:tc>
              <w:tc>
                <w:tcPr>
                  <w:tcW w:w="3532" w:type="dxa"/>
                  <w:tcBorders>
                    <w:tl2br w:val="nil"/>
                    <w:tr2bl w:val="nil"/>
                  </w:tcBorders>
                  <w:noWrap w:val="0"/>
                  <w:vAlign w:val="center"/>
                </w:tcPr>
                <w:p w14:paraId="4E90A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eastAsia" w:ascii="Times New Roman" w:hAnsi="Times New Roman" w:cs="Times New Roman"/>
                      <w:b/>
                      <w:bCs w:val="0"/>
                      <w:color w:val="auto"/>
                      <w:kern w:val="0"/>
                      <w:sz w:val="21"/>
                      <w:szCs w:val="21"/>
                      <w:highlight w:val="none"/>
                      <w:lang w:val="en-US" w:eastAsia="zh-CN"/>
                    </w:rPr>
                    <w:t>技术要求</w:t>
                  </w:r>
                </w:p>
              </w:tc>
              <w:tc>
                <w:tcPr>
                  <w:tcW w:w="3163" w:type="dxa"/>
                  <w:tcBorders>
                    <w:tl2br w:val="nil"/>
                    <w:tr2bl w:val="nil"/>
                  </w:tcBorders>
                  <w:noWrap w:val="0"/>
                  <w:vAlign w:val="center"/>
                </w:tcPr>
                <w:p w14:paraId="699D7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具体参数要求</w:t>
                  </w:r>
                </w:p>
              </w:tc>
            </w:tr>
            <w:tr w14:paraId="3C49E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7C85A7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3532" w:type="dxa"/>
                  <w:tcBorders>
                    <w:tl2br w:val="nil"/>
                    <w:tr2bl w:val="nil"/>
                  </w:tcBorders>
                  <w:noWrap w:val="0"/>
                  <w:vAlign w:val="center"/>
                </w:tcPr>
                <w:p w14:paraId="6AC84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highlight w:val="none"/>
                      <w:lang w:eastAsia="zh-CN"/>
                    </w:rPr>
                  </w:pPr>
                  <w:r>
                    <w:rPr>
                      <w:rFonts w:hint="eastAsia" w:cs="Times New Roman"/>
                      <w:b w:val="0"/>
                      <w:bCs/>
                      <w:color w:val="auto"/>
                      <w:kern w:val="0"/>
                      <w:sz w:val="21"/>
                      <w:szCs w:val="21"/>
                      <w:highlight w:val="none"/>
                      <w:lang w:val="en-US" w:eastAsia="zh-CN"/>
                    </w:rPr>
                    <w:t>热值</w:t>
                  </w:r>
                </w:p>
              </w:tc>
              <w:tc>
                <w:tcPr>
                  <w:tcW w:w="3163" w:type="dxa"/>
                  <w:tcBorders>
                    <w:tl2br w:val="nil"/>
                    <w:tr2bl w:val="nil"/>
                  </w:tcBorders>
                  <w:noWrap w:val="0"/>
                  <w:vAlign w:val="center"/>
                </w:tcPr>
                <w:p w14:paraId="683EE6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≥6070.28Kcal/kg</w:t>
                  </w:r>
                </w:p>
              </w:tc>
            </w:tr>
            <w:tr w14:paraId="4FF84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2B072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3532" w:type="dxa"/>
                  <w:tcBorders>
                    <w:tl2br w:val="nil"/>
                    <w:tr2bl w:val="nil"/>
                  </w:tcBorders>
                  <w:noWrap w:val="0"/>
                  <w:vAlign w:val="center"/>
                </w:tcPr>
                <w:p w14:paraId="1664B7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highlight w:val="none"/>
                      <w:lang w:eastAsia="zh-CN"/>
                    </w:rPr>
                  </w:pPr>
                  <w:r>
                    <w:rPr>
                      <w:rFonts w:hint="eastAsia" w:cs="Times New Roman"/>
                      <w:b w:val="0"/>
                      <w:bCs/>
                      <w:color w:val="auto"/>
                      <w:kern w:val="0"/>
                      <w:sz w:val="21"/>
                      <w:szCs w:val="21"/>
                      <w:highlight w:val="none"/>
                      <w:lang w:val="en-US" w:eastAsia="zh-CN"/>
                    </w:rPr>
                    <w:t>水</w:t>
                  </w:r>
                </w:p>
              </w:tc>
              <w:tc>
                <w:tcPr>
                  <w:tcW w:w="3163" w:type="dxa"/>
                  <w:tcBorders>
                    <w:tl2br w:val="nil"/>
                    <w:tr2bl w:val="nil"/>
                  </w:tcBorders>
                  <w:noWrap w:val="0"/>
                  <w:vAlign w:val="center"/>
                </w:tcPr>
                <w:p w14:paraId="6B3D0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val="en-US" w:eastAsia="zh-CN"/>
                    </w:rPr>
                    <w:t>10</w:t>
                  </w:r>
                  <w:r>
                    <w:rPr>
                      <w:rFonts w:hint="default" w:ascii="Times New Roman" w:hAnsi="Times New Roman" w:cs="Times New Roman"/>
                      <w:b w:val="0"/>
                      <w:bCs/>
                      <w:color w:val="auto"/>
                      <w:sz w:val="21"/>
                      <w:szCs w:val="21"/>
                      <w:highlight w:val="none"/>
                    </w:rPr>
                    <w:t>%</w:t>
                  </w:r>
                </w:p>
              </w:tc>
            </w:tr>
            <w:tr w14:paraId="07612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5" w:type="dxa"/>
                  <w:tcBorders>
                    <w:tl2br w:val="nil"/>
                    <w:tr2bl w:val="nil"/>
                  </w:tcBorders>
                  <w:noWrap w:val="0"/>
                  <w:vAlign w:val="center"/>
                </w:tcPr>
                <w:p w14:paraId="59487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w:t>
                  </w:r>
                </w:p>
              </w:tc>
              <w:tc>
                <w:tcPr>
                  <w:tcW w:w="3532" w:type="dxa"/>
                  <w:tcBorders>
                    <w:tl2br w:val="nil"/>
                    <w:tr2bl w:val="nil"/>
                  </w:tcBorders>
                  <w:noWrap w:val="0"/>
                  <w:vAlign w:val="center"/>
                </w:tcPr>
                <w:p w14:paraId="2353F1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highlight w:val="none"/>
                      <w:lang w:eastAsia="zh-CN"/>
                    </w:rPr>
                  </w:pPr>
                  <w:r>
                    <w:rPr>
                      <w:rFonts w:hint="eastAsia" w:cs="Times New Roman"/>
                      <w:b w:val="0"/>
                      <w:bCs/>
                      <w:color w:val="auto"/>
                      <w:kern w:val="0"/>
                      <w:sz w:val="21"/>
                      <w:szCs w:val="21"/>
                      <w:highlight w:val="none"/>
                      <w:lang w:val="en-US" w:eastAsia="zh-CN"/>
                    </w:rPr>
                    <w:t>成型</w:t>
                  </w:r>
                </w:p>
              </w:tc>
              <w:tc>
                <w:tcPr>
                  <w:tcW w:w="3163" w:type="dxa"/>
                  <w:tcBorders>
                    <w:tl2br w:val="nil"/>
                    <w:tr2bl w:val="nil"/>
                  </w:tcBorders>
                  <w:noWrap w:val="0"/>
                  <w:vAlign w:val="center"/>
                </w:tcPr>
                <w:p w14:paraId="271C4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≥80</w:t>
                  </w:r>
                  <w:r>
                    <w:rPr>
                      <w:rFonts w:hint="eastAsia" w:cs="Times New Roman"/>
                      <w:b w:val="0"/>
                      <w:bCs/>
                      <w:color w:val="auto"/>
                      <w:sz w:val="21"/>
                      <w:szCs w:val="21"/>
                      <w:highlight w:val="none"/>
                      <w:lang w:val="en-US" w:eastAsia="zh-CN"/>
                    </w:rPr>
                    <w:t>%</w:t>
                  </w:r>
                </w:p>
              </w:tc>
            </w:tr>
          </w:tbl>
          <w:p w14:paraId="11946C5E">
            <w:pPr>
              <w:pStyle w:val="14"/>
              <w:keepNext w:val="0"/>
              <w:keepLines w:val="0"/>
              <w:pageBreakBefore w:val="0"/>
              <w:widowControl w:val="0"/>
              <w:numPr>
                <w:ilvl w:val="0"/>
                <w:numId w:val="0"/>
              </w:numPr>
              <w:kinsoku/>
              <w:wordWrap/>
              <w:overflowPunct/>
              <w:topLinePunct w:val="0"/>
              <w:autoSpaceDE/>
              <w:autoSpaceDN/>
              <w:bidi w:val="0"/>
              <w:snapToGrid/>
              <w:ind w:firstLine="480" w:firstLineChars="200"/>
              <w:textAlignment w:val="auto"/>
              <w:rPr>
                <w:rFonts w:hint="eastAsia" w:ascii="Times New Roman" w:hAnsi="Times New Roman" w:eastAsia="宋体" w:cs="Times New Roman"/>
                <w:b/>
                <w:bCs/>
                <w:color w:val="000000"/>
                <w:kern w:val="0"/>
                <w:sz w:val="24"/>
                <w:szCs w:val="24"/>
                <w:u w:val="single" w:color="auto"/>
                <w:lang w:val="en-US" w:eastAsia="zh-CN"/>
              </w:rPr>
            </w:pPr>
            <w:r>
              <w:rPr>
                <w:rFonts w:hint="eastAsia"/>
                <w:u w:val="single" w:color="auto"/>
                <w:lang w:val="en-US" w:eastAsia="zh-CN"/>
              </w:rPr>
              <w:t xml:space="preserve"> </w:t>
            </w:r>
            <w:r>
              <w:rPr>
                <w:rFonts w:hint="eastAsia" w:ascii="Times New Roman" w:hAnsi="Times New Roman" w:eastAsia="宋体" w:cs="Times New Roman"/>
                <w:b/>
                <w:bCs/>
                <w:color w:val="000000"/>
                <w:kern w:val="0"/>
                <w:sz w:val="24"/>
                <w:szCs w:val="24"/>
                <w:u w:val="single" w:color="auto"/>
                <w:lang w:val="en-US" w:eastAsia="zh-CN" w:bidi="ar-SA"/>
              </w:rPr>
              <w:t>5、</w:t>
            </w:r>
            <w:r>
              <w:rPr>
                <w:rFonts w:hint="eastAsia" w:ascii="Times New Roman" w:hAnsi="Times New Roman" w:eastAsia="宋体" w:cs="Times New Roman"/>
                <w:b/>
                <w:bCs/>
                <w:color w:val="000000"/>
                <w:kern w:val="0"/>
                <w:sz w:val="24"/>
                <w:szCs w:val="24"/>
                <w:u w:val="single" w:color="auto"/>
                <w:lang w:val="en-US" w:eastAsia="zh-CN"/>
              </w:rPr>
              <w:t>主要生产设备</w:t>
            </w:r>
          </w:p>
          <w:p w14:paraId="19C17762">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Times New Roman" w:hAnsi="Times New Roman" w:eastAsia="宋体" w:cs="Times New Roman"/>
                <w:b/>
                <w:color w:val="000000"/>
                <w:sz w:val="21"/>
                <w:szCs w:val="21"/>
                <w:highlight w:val="none"/>
                <w:u w:val="single" w:color="auto"/>
                <w:lang w:val="zh-CN" w:eastAsia="zh-CN"/>
              </w:rPr>
            </w:pPr>
            <w:r>
              <w:rPr>
                <w:rFonts w:hint="eastAsia" w:ascii="Times New Roman" w:hAnsi="Times New Roman" w:eastAsia="宋体" w:cs="Times New Roman"/>
                <w:bCs/>
                <w:color w:val="000000"/>
                <w:sz w:val="24"/>
                <w:u w:val="single" w:color="auto"/>
                <w:lang w:eastAsia="zh-CN"/>
              </w:rPr>
              <w:t>本项目主要生产设备</w:t>
            </w:r>
            <w:r>
              <w:rPr>
                <w:rFonts w:hint="eastAsia" w:ascii="Times New Roman" w:hAnsi="Times New Roman" w:eastAsia="宋体" w:cs="Times New Roman"/>
                <w:bCs/>
                <w:color w:val="000000"/>
                <w:sz w:val="24"/>
                <w:u w:val="single" w:color="auto"/>
                <w:lang w:val="en-US" w:eastAsia="zh-CN"/>
              </w:rPr>
              <w:t>详见下表：</w:t>
            </w:r>
          </w:p>
          <w:p w14:paraId="43E0B97C">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color="auto"/>
                <w:lang w:val="en-US" w:eastAsia="zh-CN"/>
              </w:rPr>
            </w:pPr>
            <w:r>
              <w:rPr>
                <w:rFonts w:hint="default" w:ascii="Times New Roman" w:hAnsi="Times New Roman" w:eastAsia="宋体" w:cs="Times New Roman"/>
                <w:b/>
                <w:color w:val="000000"/>
                <w:sz w:val="21"/>
                <w:szCs w:val="21"/>
                <w:highlight w:val="none"/>
                <w:u w:val="single" w:color="auto"/>
                <w:lang w:val="zh-CN" w:eastAsia="zh-CN"/>
              </w:rPr>
              <w:t>表</w:t>
            </w:r>
            <w:r>
              <w:rPr>
                <w:rFonts w:hint="default" w:ascii="Times New Roman" w:hAnsi="Times New Roman" w:eastAsia="宋体" w:cs="Times New Roman"/>
                <w:b/>
                <w:color w:val="000000"/>
                <w:sz w:val="21"/>
                <w:szCs w:val="21"/>
                <w:highlight w:val="none"/>
                <w:u w:val="single" w:color="auto"/>
                <w:lang w:val="en-US" w:eastAsia="zh-CN"/>
              </w:rPr>
              <w:t>2-</w:t>
            </w:r>
            <w:r>
              <w:rPr>
                <w:rFonts w:hint="eastAsia" w:ascii="Times New Roman" w:hAnsi="Times New Roman" w:eastAsia="宋体" w:cs="Times New Roman"/>
                <w:b/>
                <w:color w:val="000000"/>
                <w:sz w:val="21"/>
                <w:szCs w:val="21"/>
                <w:highlight w:val="none"/>
                <w:u w:val="single" w:color="auto"/>
                <w:lang w:val="en-US" w:eastAsia="zh-CN"/>
              </w:rPr>
              <w:t>4</w:t>
            </w:r>
            <w:r>
              <w:rPr>
                <w:rFonts w:hint="default" w:ascii="Times New Roman" w:hAnsi="Times New Roman" w:eastAsia="宋体" w:cs="Times New Roman"/>
                <w:b/>
                <w:color w:val="000000"/>
                <w:sz w:val="21"/>
                <w:szCs w:val="21"/>
                <w:highlight w:val="none"/>
                <w:u w:val="single" w:color="auto"/>
                <w:lang w:val="en-US" w:eastAsia="zh-CN"/>
              </w:rPr>
              <w:t xml:space="preserve">  主要生产设备一览表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768"/>
              <w:gridCol w:w="1694"/>
              <w:gridCol w:w="2051"/>
            </w:tblGrid>
            <w:tr w14:paraId="281A5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noWrap w:val="0"/>
                  <w:vAlign w:val="center"/>
                </w:tcPr>
                <w:p w14:paraId="4A3602E6">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序号</w:t>
                  </w:r>
                </w:p>
              </w:tc>
              <w:tc>
                <w:tcPr>
                  <w:tcW w:w="1835" w:type="pct"/>
                  <w:tcBorders>
                    <w:tl2br w:val="nil"/>
                    <w:tr2bl w:val="nil"/>
                  </w:tcBorders>
                  <w:noWrap w:val="0"/>
                  <w:vAlign w:val="center"/>
                </w:tcPr>
                <w:p w14:paraId="61F0F9CC">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设备名称</w:t>
                  </w:r>
                </w:p>
              </w:tc>
              <w:tc>
                <w:tcPr>
                  <w:tcW w:w="1123" w:type="pct"/>
                  <w:tcBorders>
                    <w:tl2br w:val="nil"/>
                    <w:tr2bl w:val="nil"/>
                  </w:tcBorders>
                  <w:noWrap w:val="0"/>
                  <w:vAlign w:val="center"/>
                </w:tcPr>
                <w:p w14:paraId="52927099">
                  <w:pPr>
                    <w:spacing w:line="240" w:lineRule="auto"/>
                    <w:jc w:val="center"/>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规格/型号</w:t>
                  </w:r>
                </w:p>
              </w:tc>
              <w:tc>
                <w:tcPr>
                  <w:tcW w:w="1360" w:type="pct"/>
                  <w:tcBorders>
                    <w:tl2br w:val="nil"/>
                    <w:tr2bl w:val="nil"/>
                  </w:tcBorders>
                  <w:noWrap w:val="0"/>
                  <w:vAlign w:val="center"/>
                </w:tcPr>
                <w:p w14:paraId="789BC79E">
                  <w:pPr>
                    <w:spacing w:line="240" w:lineRule="auto"/>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sz w:val="21"/>
                      <w:szCs w:val="21"/>
                      <w:u w:val="single" w:color="auto"/>
                      <w:lang w:val="en-US" w:eastAsia="zh-CN"/>
                    </w:rPr>
                    <w:t>数量</w:t>
                  </w:r>
                </w:p>
              </w:tc>
            </w:tr>
            <w:tr w14:paraId="12E91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14BE58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1</w:t>
                  </w:r>
                </w:p>
              </w:tc>
              <w:tc>
                <w:tcPr>
                  <w:tcW w:w="1835" w:type="pct"/>
                  <w:tcBorders>
                    <w:tl2br w:val="nil"/>
                    <w:tr2bl w:val="nil"/>
                  </w:tcBorders>
                  <w:shd w:val="clear" w:color="auto" w:fill="auto"/>
                  <w:noWrap w:val="0"/>
                  <w:vAlign w:val="center"/>
                </w:tcPr>
                <w:p w14:paraId="1975D73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双轴破碎机</w:t>
                  </w:r>
                </w:p>
              </w:tc>
              <w:tc>
                <w:tcPr>
                  <w:tcW w:w="1123" w:type="pct"/>
                  <w:tcBorders>
                    <w:tl2br w:val="nil"/>
                    <w:tr2bl w:val="nil"/>
                  </w:tcBorders>
                  <w:shd w:val="clear" w:color="auto" w:fill="auto"/>
                  <w:noWrap w:val="0"/>
                  <w:vAlign w:val="center"/>
                </w:tcPr>
                <w:p w14:paraId="120FF8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1600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700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60</w:t>
                  </w:r>
                </w:p>
              </w:tc>
              <w:tc>
                <w:tcPr>
                  <w:tcW w:w="1360" w:type="pct"/>
                  <w:tcBorders>
                    <w:tl2br w:val="nil"/>
                    <w:tr2bl w:val="nil"/>
                  </w:tcBorders>
                  <w:shd w:val="clear" w:color="auto" w:fill="auto"/>
                  <w:noWrap w:val="0"/>
                  <w:vAlign w:val="center"/>
                </w:tcPr>
                <w:p w14:paraId="22BDD6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3台</w:t>
                  </w:r>
                </w:p>
              </w:tc>
            </w:tr>
            <w:tr w14:paraId="098D2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4982FD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2</w:t>
                  </w:r>
                </w:p>
              </w:tc>
              <w:tc>
                <w:tcPr>
                  <w:tcW w:w="1835" w:type="pct"/>
                  <w:tcBorders>
                    <w:tl2br w:val="nil"/>
                    <w:tr2bl w:val="nil"/>
                  </w:tcBorders>
                  <w:shd w:val="clear" w:color="auto" w:fill="auto"/>
                  <w:noWrap w:val="0"/>
                  <w:vAlign w:val="center"/>
                </w:tcPr>
                <w:p w14:paraId="741C031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磁选输送机</w:t>
                  </w:r>
                </w:p>
              </w:tc>
              <w:tc>
                <w:tcPr>
                  <w:tcW w:w="1123" w:type="pct"/>
                  <w:tcBorders>
                    <w:tl2br w:val="nil"/>
                    <w:tr2bl w:val="nil"/>
                  </w:tcBorders>
                  <w:shd w:val="clear" w:color="auto" w:fill="auto"/>
                  <w:noWrap w:val="0"/>
                  <w:vAlign w:val="center"/>
                </w:tcPr>
                <w:p w14:paraId="63A26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B1400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5500</w:t>
                  </w:r>
                </w:p>
              </w:tc>
              <w:tc>
                <w:tcPr>
                  <w:tcW w:w="1360" w:type="pct"/>
                  <w:tcBorders>
                    <w:tl2br w:val="nil"/>
                    <w:tr2bl w:val="nil"/>
                  </w:tcBorders>
                  <w:shd w:val="clear" w:color="auto" w:fill="auto"/>
                  <w:noWrap w:val="0"/>
                  <w:vAlign w:val="center"/>
                </w:tcPr>
                <w:p w14:paraId="28E01D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1台</w:t>
                  </w:r>
                </w:p>
              </w:tc>
            </w:tr>
            <w:tr w14:paraId="4FD3A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472BCB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3</w:t>
                  </w:r>
                </w:p>
              </w:tc>
              <w:tc>
                <w:tcPr>
                  <w:tcW w:w="1835" w:type="pct"/>
                  <w:tcBorders>
                    <w:tl2br w:val="nil"/>
                    <w:tr2bl w:val="nil"/>
                  </w:tcBorders>
                  <w:shd w:val="clear" w:color="auto" w:fill="auto"/>
                  <w:noWrap w:val="0"/>
                  <w:vAlign w:val="center"/>
                </w:tcPr>
                <w:p w14:paraId="164227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物料输送机</w:t>
                  </w:r>
                </w:p>
              </w:tc>
              <w:tc>
                <w:tcPr>
                  <w:tcW w:w="1123" w:type="pct"/>
                  <w:tcBorders>
                    <w:tl2br w:val="nil"/>
                    <w:tr2bl w:val="nil"/>
                  </w:tcBorders>
                  <w:shd w:val="clear" w:color="auto" w:fill="auto"/>
                  <w:noWrap w:val="0"/>
                  <w:vAlign w:val="center"/>
                </w:tcPr>
                <w:p w14:paraId="10386C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B1400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8500</w:t>
                  </w:r>
                </w:p>
              </w:tc>
              <w:tc>
                <w:tcPr>
                  <w:tcW w:w="1360" w:type="pct"/>
                  <w:tcBorders>
                    <w:tl2br w:val="nil"/>
                    <w:tr2bl w:val="nil"/>
                  </w:tcBorders>
                  <w:shd w:val="clear" w:color="auto" w:fill="auto"/>
                  <w:noWrap w:val="0"/>
                  <w:vAlign w:val="center"/>
                </w:tcPr>
                <w:p w14:paraId="7A9B38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2台</w:t>
                  </w:r>
                </w:p>
              </w:tc>
            </w:tr>
            <w:tr w14:paraId="74587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711BE5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4</w:t>
                  </w:r>
                </w:p>
              </w:tc>
              <w:tc>
                <w:tcPr>
                  <w:tcW w:w="1835" w:type="pct"/>
                  <w:tcBorders>
                    <w:tl2br w:val="nil"/>
                    <w:tr2bl w:val="nil"/>
                  </w:tcBorders>
                  <w:shd w:val="clear" w:color="auto" w:fill="auto"/>
                  <w:noWrap w:val="0"/>
                  <w:vAlign w:val="center"/>
                </w:tcPr>
                <w:p w14:paraId="6377DA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物料输送机</w:t>
                  </w:r>
                </w:p>
              </w:tc>
              <w:tc>
                <w:tcPr>
                  <w:tcW w:w="1123" w:type="pct"/>
                  <w:tcBorders>
                    <w:tl2br w:val="nil"/>
                    <w:tr2bl w:val="nil"/>
                  </w:tcBorders>
                  <w:shd w:val="clear" w:color="auto" w:fill="auto"/>
                  <w:noWrap w:val="0"/>
                  <w:vAlign w:val="center"/>
                </w:tcPr>
                <w:p w14:paraId="0074576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B1400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9500</w:t>
                  </w:r>
                </w:p>
              </w:tc>
              <w:tc>
                <w:tcPr>
                  <w:tcW w:w="1360" w:type="pct"/>
                  <w:tcBorders>
                    <w:tl2br w:val="nil"/>
                    <w:tr2bl w:val="nil"/>
                  </w:tcBorders>
                  <w:shd w:val="clear" w:color="auto" w:fill="auto"/>
                  <w:noWrap w:val="0"/>
                  <w:vAlign w:val="center"/>
                </w:tcPr>
                <w:p w14:paraId="30077E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2台</w:t>
                  </w:r>
                </w:p>
              </w:tc>
            </w:tr>
            <w:tr w14:paraId="73590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7DBC4D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5</w:t>
                  </w:r>
                </w:p>
              </w:tc>
              <w:tc>
                <w:tcPr>
                  <w:tcW w:w="1835" w:type="pct"/>
                  <w:tcBorders>
                    <w:tl2br w:val="nil"/>
                    <w:tr2bl w:val="nil"/>
                  </w:tcBorders>
                  <w:shd w:val="clear" w:color="auto" w:fill="auto"/>
                  <w:noWrap w:val="0"/>
                  <w:vAlign w:val="center"/>
                </w:tcPr>
                <w:p w14:paraId="58B79E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筛分机</w:t>
                  </w:r>
                </w:p>
              </w:tc>
              <w:tc>
                <w:tcPr>
                  <w:tcW w:w="1123" w:type="pct"/>
                  <w:tcBorders>
                    <w:tl2br w:val="nil"/>
                    <w:tr2bl w:val="nil"/>
                  </w:tcBorders>
                  <w:shd w:val="clear" w:color="auto" w:fill="auto"/>
                  <w:noWrap w:val="0"/>
                  <w:vAlign w:val="center"/>
                </w:tcPr>
                <w:p w14:paraId="244F3E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1818F3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2台</w:t>
                  </w:r>
                </w:p>
              </w:tc>
            </w:tr>
            <w:tr w14:paraId="7FBF4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3A82E4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6</w:t>
                  </w:r>
                </w:p>
              </w:tc>
              <w:tc>
                <w:tcPr>
                  <w:tcW w:w="1835" w:type="pct"/>
                  <w:tcBorders>
                    <w:tl2br w:val="nil"/>
                    <w:tr2bl w:val="nil"/>
                  </w:tcBorders>
                  <w:shd w:val="clear" w:color="auto" w:fill="auto"/>
                  <w:noWrap w:val="0"/>
                  <w:vAlign w:val="center"/>
                </w:tcPr>
                <w:p w14:paraId="12DC28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自动打包机</w:t>
                  </w:r>
                </w:p>
              </w:tc>
              <w:tc>
                <w:tcPr>
                  <w:tcW w:w="1123" w:type="pct"/>
                  <w:tcBorders>
                    <w:tl2br w:val="nil"/>
                    <w:tr2bl w:val="nil"/>
                  </w:tcBorders>
                  <w:shd w:val="clear" w:color="auto" w:fill="auto"/>
                  <w:noWrap w:val="0"/>
                  <w:vAlign w:val="center"/>
                </w:tcPr>
                <w:p w14:paraId="4C2084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37X2</w:t>
                  </w:r>
                </w:p>
              </w:tc>
              <w:tc>
                <w:tcPr>
                  <w:tcW w:w="1360" w:type="pct"/>
                  <w:tcBorders>
                    <w:tl2br w:val="nil"/>
                    <w:tr2bl w:val="nil"/>
                  </w:tcBorders>
                  <w:shd w:val="clear" w:color="auto" w:fill="auto"/>
                  <w:noWrap w:val="0"/>
                  <w:vAlign w:val="center"/>
                </w:tcPr>
                <w:p w14:paraId="2E8625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1</w:t>
                  </w:r>
                  <w:r>
                    <w:rPr>
                      <w:rFonts w:hint="eastAsia" w:ascii="Times New Roman" w:hAnsi="Times New Roman" w:eastAsia="宋体" w:cs="Times New Roman"/>
                      <w:bCs/>
                      <w:color w:val="000000"/>
                      <w:kern w:val="2"/>
                      <w:sz w:val="21"/>
                      <w:szCs w:val="21"/>
                      <w:u w:val="single" w:color="auto"/>
                      <w:lang w:val="en-US" w:eastAsia="zh-CN" w:bidi="ar-SA"/>
                    </w:rPr>
                    <w:t>台</w:t>
                  </w:r>
                </w:p>
              </w:tc>
            </w:tr>
            <w:tr w14:paraId="5A113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15DD16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7</w:t>
                  </w:r>
                </w:p>
              </w:tc>
              <w:tc>
                <w:tcPr>
                  <w:tcW w:w="1835" w:type="pct"/>
                  <w:tcBorders>
                    <w:tl2br w:val="nil"/>
                    <w:tr2bl w:val="nil"/>
                  </w:tcBorders>
                  <w:shd w:val="clear" w:color="auto" w:fill="auto"/>
                  <w:noWrap w:val="0"/>
                  <w:vAlign w:val="center"/>
                </w:tcPr>
                <w:p w14:paraId="474DBB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叉车</w:t>
                  </w:r>
                </w:p>
              </w:tc>
              <w:tc>
                <w:tcPr>
                  <w:tcW w:w="1123" w:type="pct"/>
                  <w:tcBorders>
                    <w:tl2br w:val="nil"/>
                    <w:tr2bl w:val="nil"/>
                  </w:tcBorders>
                  <w:shd w:val="clear" w:color="auto" w:fill="auto"/>
                  <w:noWrap w:val="0"/>
                  <w:vAlign w:val="center"/>
                </w:tcPr>
                <w:p w14:paraId="44303B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2A87A8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3</w:t>
                  </w:r>
                  <w:r>
                    <w:rPr>
                      <w:rFonts w:hint="eastAsia" w:ascii="Times New Roman" w:hAnsi="Times New Roman" w:eastAsia="宋体" w:cs="Times New Roman"/>
                      <w:bCs/>
                      <w:color w:val="000000"/>
                      <w:kern w:val="2"/>
                      <w:sz w:val="21"/>
                      <w:szCs w:val="21"/>
                      <w:u w:val="single" w:color="auto"/>
                      <w:lang w:val="en-US" w:eastAsia="zh-CN" w:bidi="ar-SA"/>
                    </w:rPr>
                    <w:t>台</w:t>
                  </w:r>
                </w:p>
              </w:tc>
            </w:tr>
            <w:tr w14:paraId="31F31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27D97CC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8</w:t>
                  </w:r>
                </w:p>
              </w:tc>
              <w:tc>
                <w:tcPr>
                  <w:tcW w:w="1835" w:type="pct"/>
                  <w:tcBorders>
                    <w:tl2br w:val="nil"/>
                    <w:tr2bl w:val="nil"/>
                  </w:tcBorders>
                  <w:shd w:val="clear" w:color="auto" w:fill="auto"/>
                  <w:noWrap w:val="0"/>
                  <w:vAlign w:val="center"/>
                </w:tcPr>
                <w:p w14:paraId="294DB1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抓机</w:t>
                  </w:r>
                </w:p>
              </w:tc>
              <w:tc>
                <w:tcPr>
                  <w:tcW w:w="1123" w:type="pct"/>
                  <w:tcBorders>
                    <w:tl2br w:val="nil"/>
                    <w:tr2bl w:val="nil"/>
                  </w:tcBorders>
                  <w:shd w:val="clear" w:color="auto" w:fill="auto"/>
                  <w:noWrap w:val="0"/>
                  <w:vAlign w:val="center"/>
                </w:tcPr>
                <w:p w14:paraId="0498E0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4164CB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r>
            <w:tr w14:paraId="4F74D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23367E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9</w:t>
                  </w:r>
                </w:p>
              </w:tc>
              <w:tc>
                <w:tcPr>
                  <w:tcW w:w="1835" w:type="pct"/>
                  <w:tcBorders>
                    <w:tl2br w:val="nil"/>
                    <w:tr2bl w:val="nil"/>
                  </w:tcBorders>
                  <w:shd w:val="clear" w:color="auto" w:fill="auto"/>
                  <w:noWrap w:val="0"/>
                  <w:vAlign w:val="center"/>
                </w:tcPr>
                <w:p w14:paraId="12AA30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抱机</w:t>
                  </w:r>
                </w:p>
              </w:tc>
              <w:tc>
                <w:tcPr>
                  <w:tcW w:w="1123" w:type="pct"/>
                  <w:tcBorders>
                    <w:tl2br w:val="nil"/>
                    <w:tr2bl w:val="nil"/>
                  </w:tcBorders>
                  <w:shd w:val="clear" w:color="auto" w:fill="auto"/>
                  <w:noWrap w:val="0"/>
                  <w:vAlign w:val="center"/>
                </w:tcPr>
                <w:p w14:paraId="4D55E9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09F22E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r>
            <w:tr w14:paraId="68097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512B1A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10</w:t>
                  </w:r>
                </w:p>
              </w:tc>
              <w:tc>
                <w:tcPr>
                  <w:tcW w:w="1835" w:type="pct"/>
                  <w:tcBorders>
                    <w:tl2br w:val="nil"/>
                    <w:tr2bl w:val="nil"/>
                  </w:tcBorders>
                  <w:shd w:val="clear" w:color="auto" w:fill="auto"/>
                  <w:noWrap w:val="0"/>
                  <w:vAlign w:val="center"/>
                </w:tcPr>
                <w:p w14:paraId="045313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推机</w:t>
                  </w:r>
                </w:p>
              </w:tc>
              <w:tc>
                <w:tcPr>
                  <w:tcW w:w="1123" w:type="pct"/>
                  <w:tcBorders>
                    <w:tl2br w:val="nil"/>
                    <w:tr2bl w:val="nil"/>
                  </w:tcBorders>
                  <w:shd w:val="clear" w:color="auto" w:fill="auto"/>
                  <w:noWrap w:val="0"/>
                  <w:vAlign w:val="center"/>
                </w:tcPr>
                <w:p w14:paraId="3B75CE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55E7C8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r>
            <w:tr w14:paraId="6DD90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61DB04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11</w:t>
                  </w:r>
                </w:p>
              </w:tc>
              <w:tc>
                <w:tcPr>
                  <w:tcW w:w="1835" w:type="pct"/>
                  <w:tcBorders>
                    <w:tl2br w:val="nil"/>
                    <w:tr2bl w:val="nil"/>
                  </w:tcBorders>
                  <w:shd w:val="clear" w:color="auto" w:fill="auto"/>
                  <w:noWrap w:val="0"/>
                  <w:vAlign w:val="center"/>
                </w:tcPr>
                <w:p w14:paraId="1AD55C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磁选机</w:t>
                  </w:r>
                </w:p>
              </w:tc>
              <w:tc>
                <w:tcPr>
                  <w:tcW w:w="1123" w:type="pct"/>
                  <w:tcBorders>
                    <w:tl2br w:val="nil"/>
                    <w:tr2bl w:val="nil"/>
                  </w:tcBorders>
                  <w:shd w:val="clear" w:color="auto" w:fill="auto"/>
                  <w:noWrap w:val="0"/>
                  <w:vAlign w:val="center"/>
                </w:tcPr>
                <w:p w14:paraId="35A5FB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B1400</w:t>
                  </w:r>
                  <w:r>
                    <w:rPr>
                      <w:rFonts w:hint="default" w:ascii="Times New Roman" w:hAnsi="Times New Roman" w:eastAsia="宋体" w:cs="Times New Roman"/>
                      <w:bCs/>
                      <w:color w:val="000000"/>
                      <w:kern w:val="2"/>
                      <w:sz w:val="21"/>
                      <w:szCs w:val="21"/>
                      <w:u w:val="single" w:color="auto"/>
                      <w:lang w:val="en-US" w:eastAsia="zh-CN" w:bidi="ar-SA"/>
                    </w:rPr>
                    <w:t>×</w:t>
                  </w:r>
                  <w:r>
                    <w:rPr>
                      <w:rFonts w:hint="eastAsia" w:ascii="Times New Roman" w:hAnsi="Times New Roman" w:eastAsia="宋体" w:cs="Times New Roman"/>
                      <w:bCs/>
                      <w:color w:val="000000"/>
                      <w:kern w:val="2"/>
                      <w:sz w:val="21"/>
                      <w:szCs w:val="21"/>
                      <w:u w:val="single" w:color="auto"/>
                      <w:lang w:val="en-US" w:eastAsia="zh-CN" w:bidi="ar-SA"/>
                    </w:rPr>
                    <w:t>2000</w:t>
                  </w:r>
                </w:p>
              </w:tc>
              <w:tc>
                <w:tcPr>
                  <w:tcW w:w="1360" w:type="pct"/>
                  <w:tcBorders>
                    <w:tl2br w:val="nil"/>
                    <w:tr2bl w:val="nil"/>
                  </w:tcBorders>
                  <w:shd w:val="clear" w:color="auto" w:fill="auto"/>
                  <w:noWrap w:val="0"/>
                  <w:vAlign w:val="center"/>
                </w:tcPr>
                <w:p w14:paraId="1C4404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1台</w:t>
                  </w:r>
                </w:p>
              </w:tc>
            </w:tr>
            <w:tr w14:paraId="767F1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1" w:type="pct"/>
                  <w:tcBorders>
                    <w:tl2br w:val="nil"/>
                    <w:tr2bl w:val="nil"/>
                  </w:tcBorders>
                  <w:shd w:val="clear" w:color="auto" w:fill="auto"/>
                  <w:noWrap w:val="0"/>
                  <w:vAlign w:val="center"/>
                </w:tcPr>
                <w:p w14:paraId="7F0077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12</w:t>
                  </w:r>
                </w:p>
              </w:tc>
              <w:tc>
                <w:tcPr>
                  <w:tcW w:w="1835" w:type="pct"/>
                  <w:tcBorders>
                    <w:tl2br w:val="nil"/>
                    <w:tr2bl w:val="nil"/>
                  </w:tcBorders>
                  <w:shd w:val="clear" w:color="auto" w:fill="auto"/>
                  <w:noWrap w:val="0"/>
                  <w:vAlign w:val="center"/>
                </w:tcPr>
                <w:p w14:paraId="3B4FA3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喷淋装置</w:t>
                  </w:r>
                </w:p>
              </w:tc>
              <w:tc>
                <w:tcPr>
                  <w:tcW w:w="1123" w:type="pct"/>
                  <w:tcBorders>
                    <w:tl2br w:val="nil"/>
                    <w:tr2bl w:val="nil"/>
                  </w:tcBorders>
                  <w:shd w:val="clear" w:color="auto" w:fill="auto"/>
                  <w:noWrap w:val="0"/>
                  <w:vAlign w:val="center"/>
                </w:tcPr>
                <w:p w14:paraId="18211E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1360" w:type="pct"/>
                  <w:tcBorders>
                    <w:tl2br w:val="nil"/>
                    <w:tr2bl w:val="nil"/>
                  </w:tcBorders>
                  <w:shd w:val="clear" w:color="auto" w:fill="auto"/>
                  <w:noWrap w:val="0"/>
                  <w:vAlign w:val="center"/>
                </w:tcPr>
                <w:p w14:paraId="2192C7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cs="Times New Roman"/>
                      <w:bCs/>
                      <w:color w:val="000000"/>
                      <w:kern w:val="2"/>
                      <w:sz w:val="21"/>
                      <w:szCs w:val="21"/>
                      <w:u w:val="single" w:color="auto"/>
                      <w:lang w:val="en-US" w:eastAsia="zh-CN" w:bidi="ar-SA"/>
                    </w:rPr>
                    <w:t>3套</w:t>
                  </w:r>
                </w:p>
              </w:tc>
            </w:tr>
            <w:tr w14:paraId="6FFB2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7" w:type="dxa"/>
                  <w:shd w:val="clear" w:color="auto" w:fill="auto"/>
                  <w:vAlign w:val="center"/>
                </w:tcPr>
                <w:p w14:paraId="5E8105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default" w:ascii="Times New Roman" w:hAnsi="Times New Roman" w:eastAsia="宋体" w:cs="Times New Roman"/>
                      <w:bCs/>
                      <w:color w:val="000000"/>
                      <w:sz w:val="21"/>
                      <w:szCs w:val="21"/>
                      <w:u w:val="single" w:color="auto"/>
                      <w:lang w:val="en-US" w:eastAsia="zh-CN"/>
                    </w:rPr>
                    <w:t>13</w:t>
                  </w:r>
                </w:p>
              </w:tc>
              <w:tc>
                <w:tcPr>
                  <w:tcW w:w="2768" w:type="dxa"/>
                  <w:shd w:val="clear" w:color="auto" w:fill="auto"/>
                  <w:vAlign w:val="center"/>
                </w:tcPr>
                <w:p w14:paraId="3D1B85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电子称</w:t>
                  </w:r>
                </w:p>
              </w:tc>
              <w:tc>
                <w:tcPr>
                  <w:tcW w:w="1694" w:type="dxa"/>
                  <w:shd w:val="clear" w:color="auto" w:fill="auto"/>
                  <w:vAlign w:val="center"/>
                </w:tcPr>
                <w:p w14:paraId="29C9538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w:t>
                  </w:r>
                </w:p>
              </w:tc>
              <w:tc>
                <w:tcPr>
                  <w:tcW w:w="2051" w:type="dxa"/>
                  <w:shd w:val="clear" w:color="auto" w:fill="auto"/>
                  <w:vAlign w:val="center"/>
                </w:tcPr>
                <w:p w14:paraId="49A9D5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2台</w:t>
                  </w:r>
                </w:p>
              </w:tc>
            </w:tr>
          </w:tbl>
          <w:p w14:paraId="0E55A905">
            <w:pPr>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right="0" w:rightChars="0" w:firstLine="420" w:firstLineChars="200"/>
              <w:jc w:val="both"/>
              <w:textAlignment w:val="auto"/>
              <w:rPr>
                <w:rFonts w:hint="eastAsia" w:ascii="Times New Roman" w:hAnsi="Times New Roman" w:eastAsia="宋体" w:cs="Times New Roman"/>
                <w:b/>
                <w:bCs/>
                <w:color w:val="000000"/>
                <w:kern w:val="0"/>
                <w:sz w:val="24"/>
                <w:szCs w:val="24"/>
                <w:u w:val="single" w:color="auto"/>
                <w:lang w:val="en-US" w:eastAsia="zh-CN" w:bidi="ar-SA"/>
              </w:rPr>
            </w:pPr>
            <w:r>
              <w:rPr>
                <w:rFonts w:hint="eastAsia"/>
                <w:u w:val="single" w:color="auto"/>
                <w:lang w:eastAsia="zh-CN"/>
              </w:rPr>
              <w:t xml:space="preserve"> </w:t>
            </w:r>
            <w:r>
              <w:rPr>
                <w:rFonts w:hint="default" w:ascii="Times New Roman" w:hAnsi="Times New Roman" w:cs="Times New Roman"/>
                <w:bCs/>
                <w:color w:val="auto"/>
                <w:sz w:val="24"/>
                <w:szCs w:val="24"/>
                <w:u w:val="single" w:color="auto"/>
                <w:lang w:val="en-US" w:eastAsia="zh-CN"/>
              </w:rPr>
              <w:t>由《产业结构调整指导目录（2024年本）》和《部分工业行业淘汰落后生产工艺装备和产品指导目录（2010年本）》可知，项目所选设备均不属于国家淘汰和限制的产业类型，可满足正常生产的需要。</w:t>
            </w:r>
          </w:p>
          <w:p w14:paraId="229F3E0A">
            <w:pPr>
              <w:pStyle w:val="19"/>
              <w:numPr>
                <w:ilvl w:val="0"/>
                <w:numId w:val="0"/>
              </w:numPr>
              <w:spacing w:line="360" w:lineRule="auto"/>
              <w:ind w:left="525" w:leftChars="0" w:firstLine="0" w:firstLineChars="0"/>
              <w:jc w:val="left"/>
              <w:rPr>
                <w:rFonts w:hint="eastAsia" w:ascii="Times New Roman" w:hAnsi="Times New Roman" w:eastAsia="宋体" w:cs="Times New Roman"/>
                <w:b/>
                <w:bCs/>
                <w:color w:val="000000"/>
                <w:kern w:val="0"/>
                <w:sz w:val="24"/>
                <w:szCs w:val="24"/>
                <w:u w:val="single" w:color="auto"/>
                <w:lang w:val="en-US" w:eastAsia="zh-CN"/>
              </w:rPr>
            </w:pPr>
            <w:r>
              <w:rPr>
                <w:rFonts w:hint="eastAsia" w:ascii="Times New Roman" w:hAnsi="Times New Roman" w:eastAsia="宋体" w:cs="Times New Roman"/>
                <w:b/>
                <w:bCs/>
                <w:color w:val="000000"/>
                <w:kern w:val="0"/>
                <w:sz w:val="24"/>
                <w:szCs w:val="24"/>
                <w:u w:val="single" w:color="auto"/>
                <w:lang w:val="en-US" w:eastAsia="zh-CN" w:bidi="ar-SA"/>
              </w:rPr>
              <w:t>6、</w:t>
            </w:r>
            <w:r>
              <w:rPr>
                <w:rFonts w:hint="default" w:ascii="Times New Roman" w:hAnsi="Times New Roman" w:eastAsia="宋体" w:cs="Times New Roman"/>
                <w:b/>
                <w:bCs/>
                <w:color w:val="000000"/>
                <w:kern w:val="0"/>
                <w:sz w:val="24"/>
                <w:szCs w:val="24"/>
                <w:u w:val="single" w:color="auto"/>
                <w:lang w:val="en-US" w:eastAsia="zh-CN"/>
              </w:rPr>
              <w:t>原辅材料</w:t>
            </w:r>
            <w:r>
              <w:rPr>
                <w:rFonts w:hint="eastAsia" w:ascii="Times New Roman" w:hAnsi="Times New Roman" w:eastAsia="宋体" w:cs="Times New Roman"/>
                <w:b/>
                <w:bCs/>
                <w:color w:val="000000"/>
                <w:kern w:val="0"/>
                <w:sz w:val="24"/>
                <w:szCs w:val="24"/>
                <w:u w:val="single" w:color="auto"/>
                <w:lang w:val="en-US" w:eastAsia="zh-CN"/>
              </w:rPr>
              <w:t>与能源消耗</w:t>
            </w:r>
          </w:p>
          <w:p w14:paraId="64D875AF">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sz w:val="24"/>
                <w:szCs w:val="24"/>
                <w:highlight w:val="none"/>
                <w:u w:val="single" w:color="auto"/>
                <w:lang w:val="zh-CN" w:eastAsia="zh-CN"/>
              </w:rPr>
            </w:pPr>
            <w:r>
              <w:rPr>
                <w:rFonts w:hint="eastAsia" w:ascii="Times New Roman" w:hAnsi="Times New Roman" w:eastAsia="宋体" w:cs="Times New Roman"/>
                <w:b w:val="0"/>
                <w:bCs/>
                <w:color w:val="auto"/>
                <w:sz w:val="24"/>
                <w:szCs w:val="24"/>
                <w:u w:val="single" w:color="auto"/>
                <w:lang w:eastAsia="zh-CN"/>
              </w:rPr>
              <w:t>（</w:t>
            </w:r>
            <w:r>
              <w:rPr>
                <w:rFonts w:hint="eastAsia" w:ascii="Times New Roman" w:hAnsi="Times New Roman" w:eastAsia="宋体" w:cs="Times New Roman"/>
                <w:b w:val="0"/>
                <w:bCs/>
                <w:color w:val="auto"/>
                <w:sz w:val="24"/>
                <w:szCs w:val="24"/>
                <w:u w:val="single" w:color="auto"/>
                <w:lang w:val="en-US" w:eastAsia="zh-CN"/>
              </w:rPr>
              <w:t>1</w:t>
            </w:r>
            <w:r>
              <w:rPr>
                <w:rFonts w:hint="eastAsia" w:ascii="Times New Roman" w:hAnsi="Times New Roman" w:eastAsia="宋体" w:cs="Times New Roman"/>
                <w:b w:val="0"/>
                <w:bCs/>
                <w:color w:val="auto"/>
                <w:sz w:val="24"/>
                <w:szCs w:val="24"/>
                <w:u w:val="single" w:color="auto"/>
                <w:lang w:eastAsia="zh-CN"/>
              </w:rPr>
              <w:t>）主要原辅料情况</w:t>
            </w:r>
          </w:p>
          <w:p w14:paraId="5C1657D7">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sz w:val="24"/>
                <w:szCs w:val="24"/>
                <w:highlight w:val="none"/>
                <w:u w:val="single" w:color="auto"/>
                <w:lang w:val="zh-CN" w:eastAsia="zh-CN"/>
              </w:rPr>
            </w:pPr>
            <w:r>
              <w:rPr>
                <w:rFonts w:hint="eastAsia" w:ascii="Times New Roman" w:hAnsi="Times New Roman" w:eastAsia="宋体" w:cs="Times New Roman"/>
                <w:b w:val="0"/>
                <w:bCs/>
                <w:color w:val="000000"/>
                <w:sz w:val="24"/>
                <w:szCs w:val="24"/>
                <w:highlight w:val="none"/>
                <w:u w:val="single" w:color="auto"/>
                <w:lang w:val="zh-CN" w:eastAsia="zh-CN"/>
              </w:rPr>
              <w:t>项目外购的</w:t>
            </w:r>
            <w:r>
              <w:rPr>
                <w:rFonts w:hint="eastAsia" w:ascii="Times New Roman" w:hAnsi="Times New Roman" w:eastAsia="宋体" w:cs="Times New Roman"/>
                <w:color w:val="auto"/>
                <w:sz w:val="24"/>
                <w:szCs w:val="24"/>
                <w:u w:val="single" w:color="auto"/>
                <w:lang w:val="en-US" w:eastAsia="zh-CN"/>
              </w:rPr>
              <w:t>废纺织布料、废鞋材料、废箱包材料、废塑胶、</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废塑料、废纸/纸箱、废旧整衣服</w:t>
            </w:r>
            <w:r>
              <w:rPr>
                <w:rFonts w:hint="eastAsia" w:ascii="Times New Roman" w:hAnsi="Times New Roman" w:eastAsia="宋体" w:cs="Times New Roman"/>
                <w:b w:val="0"/>
                <w:bCs/>
                <w:color w:val="000000"/>
                <w:sz w:val="24"/>
                <w:szCs w:val="24"/>
                <w:highlight w:val="none"/>
                <w:u w:val="single" w:color="auto"/>
                <w:lang w:val="zh-CN" w:eastAsia="zh-CN"/>
              </w:rPr>
              <w:t>主要从新田地区回收，主要来自</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新田县鸿发大型打包厂、新田县星源锌钢科技有限公司、新田县咔嗒废品回收站，并签订了</w:t>
            </w:r>
            <w:r>
              <w:rPr>
                <w:rFonts w:hint="eastAsia" w:ascii="Times New Roman" w:hAnsi="Times New Roman" w:eastAsia="宋体" w:cs="Times New Roman"/>
                <w:b w:val="0"/>
                <w:bCs/>
                <w:color w:val="000000"/>
                <w:sz w:val="24"/>
                <w:szCs w:val="24"/>
                <w:highlight w:val="none"/>
                <w:u w:val="single" w:color="auto"/>
                <w:lang w:val="en-US" w:eastAsia="zh-CN"/>
              </w:rPr>
              <w:t>《一般工业固废处置协议》，回收的原料均为</w:t>
            </w:r>
            <w:r>
              <w:rPr>
                <w:rFonts w:hint="eastAsia" w:ascii="Times New Roman" w:hAnsi="Times New Roman" w:eastAsia="宋体" w:cs="Times New Roman"/>
                <w:b w:val="0"/>
                <w:bCs/>
                <w:color w:val="000000"/>
                <w:sz w:val="24"/>
                <w:szCs w:val="24"/>
                <w:highlight w:val="none"/>
                <w:u w:val="single" w:color="auto"/>
                <w:lang w:val="zh-CN" w:eastAsia="zh-CN"/>
              </w:rPr>
              <w:t>工业企业产生的一般固体废物。</w:t>
            </w:r>
          </w:p>
          <w:p w14:paraId="4FF27A67">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sz w:val="24"/>
                <w:szCs w:val="24"/>
                <w:highlight w:val="none"/>
                <w:u w:val="single" w:color="auto"/>
                <w:lang w:val="zh-CN" w:eastAsia="zh-CN"/>
              </w:rPr>
            </w:pPr>
            <w:r>
              <w:rPr>
                <w:rFonts w:hint="eastAsia" w:ascii="Times New Roman" w:hAnsi="Times New Roman" w:eastAsia="宋体" w:cs="Times New Roman"/>
                <w:b w:val="0"/>
                <w:bCs/>
                <w:color w:val="000000"/>
                <w:sz w:val="24"/>
                <w:szCs w:val="24"/>
                <w:highlight w:val="none"/>
                <w:u w:val="single" w:color="auto"/>
                <w:lang w:val="zh-CN" w:eastAsia="zh-CN"/>
              </w:rPr>
              <w:t>本项目外购的</w:t>
            </w:r>
            <w:r>
              <w:rPr>
                <w:rFonts w:hint="eastAsia" w:ascii="Times New Roman" w:hAnsi="Times New Roman" w:eastAsia="宋体" w:cs="Times New Roman"/>
                <w:color w:val="auto"/>
                <w:sz w:val="24"/>
                <w:szCs w:val="24"/>
                <w:u w:val="single" w:color="auto"/>
                <w:lang w:val="en-US" w:eastAsia="zh-CN"/>
              </w:rPr>
              <w:t>废纺织布料、废鞋材料、废箱包材料、废塑胶、</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废塑料、废纸/纸箱、废旧整衣服</w:t>
            </w:r>
            <w:r>
              <w:rPr>
                <w:rFonts w:hint="eastAsia" w:ascii="Times New Roman" w:hAnsi="Times New Roman" w:eastAsia="宋体" w:cs="Times New Roman"/>
                <w:b w:val="0"/>
                <w:bCs/>
                <w:color w:val="000000"/>
                <w:sz w:val="24"/>
                <w:szCs w:val="24"/>
                <w:highlight w:val="none"/>
                <w:u w:val="single" w:color="auto"/>
                <w:lang w:val="zh-CN" w:eastAsia="zh-CN"/>
              </w:rPr>
              <w:t>均为干燥状态，堆放及生产过程中无水分析出；项目原料主要为块状、条状，无粉末类物料。</w:t>
            </w:r>
            <w:r>
              <w:rPr>
                <w:rFonts w:hint="eastAsia" w:ascii="Times New Roman" w:hAnsi="Times New Roman" w:eastAsia="宋体" w:cs="Times New Roman"/>
                <w:b w:val="0"/>
                <w:bCs/>
                <w:color w:val="000000"/>
                <w:sz w:val="24"/>
                <w:szCs w:val="24"/>
                <w:highlight w:val="none"/>
                <w:u w:val="single" w:color="auto"/>
                <w:lang w:val="en-US" w:eastAsia="zh-CN"/>
              </w:rPr>
              <w:t>本次评价要求建设单位</w:t>
            </w:r>
            <w:r>
              <w:rPr>
                <w:rFonts w:hint="eastAsia" w:ascii="Times New Roman" w:hAnsi="Times New Roman" w:eastAsia="宋体" w:cs="Times New Roman"/>
                <w:b w:val="0"/>
                <w:bCs/>
                <w:color w:val="000000"/>
                <w:sz w:val="24"/>
                <w:szCs w:val="24"/>
                <w:highlight w:val="none"/>
                <w:u w:val="single" w:color="auto"/>
                <w:lang w:val="zh-CN" w:eastAsia="zh-CN"/>
              </w:rPr>
              <w:t>不利用污泥、建筑余泥、生活垃圾；禁止回收危险废物作为原料；禁止拆解原辅材料以外的任何废旧材料。不回收再生医疗废物和危险废物的废塑料。项目废旧塑料不进行破碎和再生造粒工序，不涉及清洗以及后续深加工等。拟建项目主要原辅材料及能源消耗情况见下表。</w:t>
            </w:r>
          </w:p>
          <w:p w14:paraId="33D946C7">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color="auto"/>
                <w:lang w:val="en-US" w:eastAsia="zh-CN"/>
              </w:rPr>
            </w:pPr>
            <w:r>
              <w:rPr>
                <w:rFonts w:hint="eastAsia" w:ascii="Times New Roman" w:hAnsi="Times New Roman" w:eastAsia="宋体" w:cs="Times New Roman"/>
                <w:b/>
                <w:color w:val="000000"/>
                <w:sz w:val="21"/>
                <w:szCs w:val="21"/>
                <w:highlight w:val="none"/>
                <w:u w:val="single" w:color="auto"/>
                <w:lang w:val="zh-CN" w:eastAsia="zh-CN"/>
              </w:rPr>
              <w:t>表</w:t>
            </w:r>
            <w:r>
              <w:rPr>
                <w:rFonts w:hint="eastAsia" w:ascii="Times New Roman" w:hAnsi="Times New Roman" w:eastAsia="宋体" w:cs="Times New Roman"/>
                <w:b/>
                <w:color w:val="000000"/>
                <w:sz w:val="21"/>
                <w:szCs w:val="21"/>
                <w:highlight w:val="none"/>
                <w:u w:val="single" w:color="auto"/>
                <w:lang w:val="en-US" w:eastAsia="zh-CN"/>
              </w:rPr>
              <w:t>2-5  主要原辅材料消耗一览表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290"/>
              <w:gridCol w:w="1125"/>
              <w:gridCol w:w="1185"/>
              <w:gridCol w:w="870"/>
              <w:gridCol w:w="1826"/>
              <w:gridCol w:w="868"/>
            </w:tblGrid>
            <w:tr w14:paraId="34CAD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noWrap w:val="0"/>
                  <w:vAlign w:val="center"/>
                </w:tcPr>
                <w:p w14:paraId="59EC1AE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序号</w:t>
                  </w:r>
                </w:p>
              </w:tc>
              <w:tc>
                <w:tcPr>
                  <w:tcW w:w="1290" w:type="dxa"/>
                  <w:tcBorders>
                    <w:tl2br w:val="nil"/>
                    <w:tr2bl w:val="nil"/>
                  </w:tcBorders>
                  <w:noWrap w:val="0"/>
                  <w:vAlign w:val="center"/>
                </w:tcPr>
                <w:p w14:paraId="3CB3B67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名称</w:t>
                  </w:r>
                </w:p>
              </w:tc>
              <w:tc>
                <w:tcPr>
                  <w:tcW w:w="1125" w:type="dxa"/>
                  <w:tcBorders>
                    <w:tl2br w:val="nil"/>
                    <w:tr2bl w:val="nil"/>
                  </w:tcBorders>
                  <w:noWrap w:val="0"/>
                  <w:vAlign w:val="center"/>
                </w:tcPr>
                <w:p w14:paraId="37540B6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形态</w:t>
                  </w:r>
                </w:p>
              </w:tc>
              <w:tc>
                <w:tcPr>
                  <w:tcW w:w="1185" w:type="dxa"/>
                  <w:tcBorders>
                    <w:tl2br w:val="nil"/>
                    <w:tr2bl w:val="nil"/>
                  </w:tcBorders>
                  <w:noWrap w:val="0"/>
                  <w:vAlign w:val="center"/>
                </w:tcPr>
                <w:p w14:paraId="0B1A392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年</w:t>
                  </w:r>
                  <w:r>
                    <w:rPr>
                      <w:rFonts w:hint="eastAsia" w:ascii="Times New Roman" w:hAnsi="Times New Roman" w:eastAsia="宋体" w:cs="Times New Roman"/>
                      <w:b/>
                      <w:bCs/>
                      <w:color w:val="000000"/>
                      <w:sz w:val="21"/>
                      <w:szCs w:val="21"/>
                      <w:u w:val="single" w:color="auto"/>
                      <w:lang w:val="en-US" w:eastAsia="zh-CN"/>
                    </w:rPr>
                    <w:t>用</w:t>
                  </w:r>
                  <w:r>
                    <w:rPr>
                      <w:rFonts w:hint="default" w:ascii="Times New Roman" w:hAnsi="Times New Roman" w:eastAsia="宋体" w:cs="Times New Roman"/>
                      <w:b/>
                      <w:bCs/>
                      <w:color w:val="000000"/>
                      <w:sz w:val="21"/>
                      <w:szCs w:val="21"/>
                      <w:u w:val="single" w:color="auto"/>
                      <w:lang w:val="en-US" w:eastAsia="zh-CN"/>
                    </w:rPr>
                    <w:t>量</w:t>
                  </w:r>
                </w:p>
              </w:tc>
              <w:tc>
                <w:tcPr>
                  <w:tcW w:w="870" w:type="dxa"/>
                  <w:tcBorders>
                    <w:tl2br w:val="nil"/>
                    <w:tr2bl w:val="nil"/>
                  </w:tcBorders>
                  <w:noWrap w:val="0"/>
                  <w:vAlign w:val="center"/>
                </w:tcPr>
                <w:p w14:paraId="7DF880B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最大储存量</w:t>
                  </w:r>
                </w:p>
              </w:tc>
              <w:tc>
                <w:tcPr>
                  <w:tcW w:w="1826" w:type="dxa"/>
                  <w:tcBorders>
                    <w:tl2br w:val="nil"/>
                    <w:tr2bl w:val="nil"/>
                  </w:tcBorders>
                  <w:noWrap w:val="0"/>
                  <w:vAlign w:val="center"/>
                </w:tcPr>
                <w:p w14:paraId="7BE1D5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cs="Times New Roman"/>
                      <w:b/>
                      <w:bCs/>
                      <w:color w:val="000000"/>
                      <w:sz w:val="21"/>
                      <w:szCs w:val="21"/>
                      <w:u w:val="single" w:color="auto"/>
                      <w:lang w:val="en-US" w:eastAsia="zh-CN"/>
                    </w:rPr>
                    <w:t>来源</w:t>
                  </w:r>
                </w:p>
              </w:tc>
              <w:tc>
                <w:tcPr>
                  <w:tcW w:w="868" w:type="dxa"/>
                  <w:tcBorders>
                    <w:tl2br w:val="nil"/>
                    <w:tr2bl w:val="nil"/>
                  </w:tcBorders>
                  <w:noWrap w:val="0"/>
                  <w:vAlign w:val="center"/>
                </w:tcPr>
                <w:p w14:paraId="29F829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储存</w:t>
                  </w:r>
                </w:p>
                <w:p w14:paraId="584C7AB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位置</w:t>
                  </w:r>
                </w:p>
              </w:tc>
            </w:tr>
            <w:tr w14:paraId="0B65B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40" w:type="dxa"/>
                  <w:gridSpan w:val="7"/>
                  <w:tcBorders>
                    <w:tl2br w:val="nil"/>
                    <w:tr2bl w:val="nil"/>
                  </w:tcBorders>
                  <w:noWrap w:val="0"/>
                  <w:vAlign w:val="center"/>
                </w:tcPr>
                <w:p w14:paraId="408047C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cs="Times New Roman"/>
                      <w:b/>
                      <w:bCs/>
                      <w:color w:val="000000"/>
                      <w:sz w:val="21"/>
                      <w:szCs w:val="21"/>
                      <w:u w:val="single" w:color="auto"/>
                      <w:lang w:val="en-US" w:eastAsia="zh-CN"/>
                    </w:rPr>
                    <w:t>一般固废回收</w:t>
                  </w:r>
                </w:p>
              </w:tc>
            </w:tr>
            <w:tr w14:paraId="7A78C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674750B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default" w:ascii="Times New Roman" w:hAnsi="Times New Roman" w:eastAsia="宋体" w:cs="Times New Roman"/>
                      <w:color w:val="000000"/>
                      <w:sz w:val="21"/>
                      <w:szCs w:val="21"/>
                      <w:highlight w:val="none"/>
                      <w:u w:val="single" w:color="auto"/>
                    </w:rPr>
                    <w:t>1</w:t>
                  </w:r>
                </w:p>
              </w:tc>
              <w:tc>
                <w:tcPr>
                  <w:tcW w:w="1290" w:type="dxa"/>
                  <w:tcBorders>
                    <w:tl2br w:val="nil"/>
                    <w:tr2bl w:val="nil"/>
                  </w:tcBorders>
                  <w:shd w:val="clear" w:color="auto" w:fill="auto"/>
                  <w:noWrap w:val="0"/>
                  <w:vAlign w:val="center"/>
                </w:tcPr>
                <w:p w14:paraId="413A6D0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废纺织布料</w:t>
                  </w:r>
                </w:p>
              </w:tc>
              <w:tc>
                <w:tcPr>
                  <w:tcW w:w="1125" w:type="dxa"/>
                  <w:tcBorders>
                    <w:tl2br w:val="nil"/>
                    <w:tr2bl w:val="nil"/>
                  </w:tcBorders>
                  <w:shd w:val="clear" w:color="auto" w:fill="auto"/>
                  <w:noWrap w:val="0"/>
                  <w:vAlign w:val="center"/>
                </w:tcPr>
                <w:p w14:paraId="54269969">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2A98E9C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25000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1AD34F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300</w:t>
                  </w:r>
                  <w:r>
                    <w:rPr>
                      <w:rFonts w:hint="default" w:ascii="Times New Roman" w:hAnsi="Times New Roman" w:eastAsia="宋体" w:cs="Times New Roman"/>
                      <w:color w:val="000000"/>
                      <w:sz w:val="21"/>
                      <w:szCs w:val="21"/>
                      <w:highlight w:val="none"/>
                      <w:u w:val="single" w:color="auto"/>
                      <w:lang w:val="en-US" w:eastAsia="zh-CN"/>
                    </w:rPr>
                    <w:t>t</w:t>
                  </w:r>
                </w:p>
              </w:tc>
              <w:tc>
                <w:tcPr>
                  <w:tcW w:w="1826" w:type="dxa"/>
                  <w:tcBorders>
                    <w:tl2br w:val="nil"/>
                    <w:tr2bl w:val="nil"/>
                  </w:tcBorders>
                  <w:noWrap w:val="0"/>
                  <w:vAlign w:val="center"/>
                </w:tcPr>
                <w:p w14:paraId="21AADF6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restart"/>
                  <w:tcBorders>
                    <w:tl2br w:val="nil"/>
                    <w:tr2bl w:val="nil"/>
                  </w:tcBorders>
                  <w:noWrap w:val="0"/>
                  <w:vAlign w:val="center"/>
                </w:tcPr>
                <w:p w14:paraId="1E99AB9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原料储存区</w:t>
                  </w:r>
                </w:p>
              </w:tc>
            </w:tr>
            <w:tr w14:paraId="17A07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121FFA3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default" w:ascii="Times New Roman" w:hAnsi="Times New Roman" w:eastAsia="宋体" w:cs="Times New Roman"/>
                      <w:color w:val="000000"/>
                      <w:sz w:val="21"/>
                      <w:szCs w:val="21"/>
                      <w:highlight w:val="none"/>
                      <w:u w:val="single" w:color="auto"/>
                    </w:rPr>
                    <w:t>2</w:t>
                  </w:r>
                </w:p>
              </w:tc>
              <w:tc>
                <w:tcPr>
                  <w:tcW w:w="1290" w:type="dxa"/>
                  <w:tcBorders>
                    <w:tl2br w:val="nil"/>
                    <w:tr2bl w:val="nil"/>
                  </w:tcBorders>
                  <w:shd w:val="clear" w:color="auto" w:fill="auto"/>
                  <w:noWrap w:val="0"/>
                  <w:vAlign w:val="center"/>
                </w:tcPr>
                <w:p w14:paraId="26DAB20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废鞋材料</w:t>
                  </w:r>
                </w:p>
              </w:tc>
              <w:tc>
                <w:tcPr>
                  <w:tcW w:w="1125" w:type="dxa"/>
                  <w:tcBorders>
                    <w:tl2br w:val="nil"/>
                    <w:tr2bl w:val="nil"/>
                  </w:tcBorders>
                  <w:shd w:val="clear" w:color="auto" w:fill="auto"/>
                  <w:noWrap w:val="0"/>
                  <w:vAlign w:val="center"/>
                </w:tcPr>
                <w:p w14:paraId="6F1D4F7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2E1B1A1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17D14ED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w:t>
                  </w:r>
                  <w:r>
                    <w:rPr>
                      <w:rFonts w:hint="default" w:ascii="Times New Roman" w:hAnsi="Times New Roman" w:eastAsia="宋体" w:cs="Times New Roman"/>
                      <w:color w:val="000000"/>
                      <w:sz w:val="21"/>
                      <w:szCs w:val="21"/>
                      <w:highlight w:val="none"/>
                      <w:u w:val="single" w:color="auto"/>
                      <w:lang w:val="en-US" w:eastAsia="zh-CN"/>
                    </w:rPr>
                    <w:t>t</w:t>
                  </w:r>
                </w:p>
              </w:tc>
              <w:tc>
                <w:tcPr>
                  <w:tcW w:w="1826" w:type="dxa"/>
                  <w:tcBorders>
                    <w:tl2br w:val="nil"/>
                    <w:tr2bl w:val="nil"/>
                  </w:tcBorders>
                  <w:noWrap w:val="0"/>
                  <w:vAlign w:val="center"/>
                </w:tcPr>
                <w:p w14:paraId="5216406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32CEF48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20709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1AE96D6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3</w:t>
                  </w:r>
                </w:p>
              </w:tc>
              <w:tc>
                <w:tcPr>
                  <w:tcW w:w="1290" w:type="dxa"/>
                  <w:tcBorders>
                    <w:tl2br w:val="nil"/>
                    <w:tr2bl w:val="nil"/>
                  </w:tcBorders>
                  <w:shd w:val="clear" w:color="auto" w:fill="auto"/>
                  <w:noWrap w:val="0"/>
                  <w:vAlign w:val="center"/>
                </w:tcPr>
                <w:p w14:paraId="50F0FAD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废箱包材料</w:t>
                  </w:r>
                </w:p>
              </w:tc>
              <w:tc>
                <w:tcPr>
                  <w:tcW w:w="1125" w:type="dxa"/>
                  <w:tcBorders>
                    <w:tl2br w:val="nil"/>
                    <w:tr2bl w:val="nil"/>
                  </w:tcBorders>
                  <w:shd w:val="clear" w:color="auto" w:fill="auto"/>
                  <w:noWrap w:val="0"/>
                  <w:vAlign w:val="center"/>
                </w:tcPr>
                <w:p w14:paraId="03BD5413">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6A5DADF2">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330E34B7">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100t</w:t>
                  </w:r>
                </w:p>
              </w:tc>
              <w:tc>
                <w:tcPr>
                  <w:tcW w:w="1826" w:type="dxa"/>
                  <w:tcBorders>
                    <w:tl2br w:val="nil"/>
                    <w:tr2bl w:val="nil"/>
                  </w:tcBorders>
                  <w:noWrap w:val="0"/>
                  <w:vAlign w:val="center"/>
                </w:tcPr>
                <w:p w14:paraId="5DA950B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056975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18033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7D8FEE0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4</w:t>
                  </w:r>
                </w:p>
              </w:tc>
              <w:tc>
                <w:tcPr>
                  <w:tcW w:w="1290" w:type="dxa"/>
                  <w:tcBorders>
                    <w:tl2br w:val="nil"/>
                    <w:tr2bl w:val="nil"/>
                  </w:tcBorders>
                  <w:shd w:val="clear" w:color="auto" w:fill="auto"/>
                  <w:noWrap w:val="0"/>
                  <w:vAlign w:val="center"/>
                </w:tcPr>
                <w:p w14:paraId="392A499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废塑胶</w:t>
                  </w:r>
                </w:p>
              </w:tc>
              <w:tc>
                <w:tcPr>
                  <w:tcW w:w="1125" w:type="dxa"/>
                  <w:tcBorders>
                    <w:tl2br w:val="nil"/>
                    <w:tr2bl w:val="nil"/>
                  </w:tcBorders>
                  <w:shd w:val="clear" w:color="auto" w:fill="auto"/>
                  <w:noWrap w:val="0"/>
                  <w:vAlign w:val="center"/>
                </w:tcPr>
                <w:p w14:paraId="205D2C2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3C8BA9F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7AAFD4D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w:t>
                  </w:r>
                  <w:r>
                    <w:rPr>
                      <w:rFonts w:hint="default" w:ascii="Times New Roman" w:hAnsi="Times New Roman" w:eastAsia="宋体" w:cs="Times New Roman"/>
                      <w:color w:val="000000"/>
                      <w:sz w:val="21"/>
                      <w:szCs w:val="21"/>
                      <w:highlight w:val="none"/>
                      <w:u w:val="single" w:color="auto"/>
                      <w:lang w:val="en-US" w:eastAsia="zh-CN"/>
                    </w:rPr>
                    <w:t>t</w:t>
                  </w:r>
                </w:p>
              </w:tc>
              <w:tc>
                <w:tcPr>
                  <w:tcW w:w="1826" w:type="dxa"/>
                  <w:tcBorders>
                    <w:tl2br w:val="nil"/>
                    <w:tr2bl w:val="nil"/>
                  </w:tcBorders>
                  <w:noWrap w:val="0"/>
                  <w:vAlign w:val="center"/>
                </w:tcPr>
                <w:p w14:paraId="5F85D4E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40BF0E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08D8B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5C505DE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w:t>
                  </w:r>
                </w:p>
              </w:tc>
              <w:tc>
                <w:tcPr>
                  <w:tcW w:w="1290" w:type="dxa"/>
                  <w:tcBorders>
                    <w:tl2br w:val="nil"/>
                    <w:tr2bl w:val="nil"/>
                  </w:tcBorders>
                  <w:shd w:val="clear" w:color="auto" w:fill="auto"/>
                  <w:noWrap w:val="0"/>
                  <w:vAlign w:val="center"/>
                </w:tcPr>
                <w:p w14:paraId="51F0DFD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废塑料</w:t>
                  </w:r>
                </w:p>
              </w:tc>
              <w:tc>
                <w:tcPr>
                  <w:tcW w:w="1125" w:type="dxa"/>
                  <w:tcBorders>
                    <w:tl2br w:val="nil"/>
                    <w:tr2bl w:val="nil"/>
                  </w:tcBorders>
                  <w:shd w:val="clear" w:color="auto" w:fill="auto"/>
                  <w:noWrap w:val="0"/>
                  <w:vAlign w:val="center"/>
                </w:tcPr>
                <w:p w14:paraId="744C915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6E22ED2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4383E5B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50t</w:t>
                  </w:r>
                </w:p>
              </w:tc>
              <w:tc>
                <w:tcPr>
                  <w:tcW w:w="1826" w:type="dxa"/>
                  <w:tcBorders>
                    <w:tl2br w:val="nil"/>
                    <w:tr2bl w:val="nil"/>
                  </w:tcBorders>
                  <w:noWrap w:val="0"/>
                  <w:vAlign w:val="center"/>
                </w:tcPr>
                <w:p w14:paraId="54A43D0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4CC27A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76928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702ED48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6</w:t>
                  </w:r>
                </w:p>
              </w:tc>
              <w:tc>
                <w:tcPr>
                  <w:tcW w:w="1290" w:type="dxa"/>
                  <w:tcBorders>
                    <w:tl2br w:val="nil"/>
                    <w:tr2bl w:val="nil"/>
                  </w:tcBorders>
                  <w:shd w:val="clear" w:color="auto" w:fill="auto"/>
                  <w:noWrap w:val="0"/>
                  <w:vAlign w:val="center"/>
                </w:tcPr>
                <w:p w14:paraId="491F61D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废纸/纸箱</w:t>
                  </w:r>
                </w:p>
              </w:tc>
              <w:tc>
                <w:tcPr>
                  <w:tcW w:w="1125" w:type="dxa"/>
                  <w:tcBorders>
                    <w:tl2br w:val="nil"/>
                    <w:tr2bl w:val="nil"/>
                  </w:tcBorders>
                  <w:shd w:val="clear" w:color="auto" w:fill="auto"/>
                  <w:noWrap w:val="0"/>
                  <w:vAlign w:val="center"/>
                </w:tcPr>
                <w:p w14:paraId="368824D2">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48F5736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17E34FE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50t</w:t>
                  </w:r>
                </w:p>
              </w:tc>
              <w:tc>
                <w:tcPr>
                  <w:tcW w:w="1826" w:type="dxa"/>
                  <w:tcBorders>
                    <w:tl2br w:val="nil"/>
                    <w:tr2bl w:val="nil"/>
                  </w:tcBorders>
                  <w:noWrap w:val="0"/>
                  <w:vAlign w:val="center"/>
                </w:tcPr>
                <w:p w14:paraId="7F28B3D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3417F89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184B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1A29D10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7</w:t>
                  </w:r>
                </w:p>
              </w:tc>
              <w:tc>
                <w:tcPr>
                  <w:tcW w:w="1290" w:type="dxa"/>
                  <w:tcBorders>
                    <w:tl2br w:val="nil"/>
                    <w:tr2bl w:val="nil"/>
                  </w:tcBorders>
                  <w:shd w:val="clear" w:color="auto" w:fill="auto"/>
                  <w:noWrap w:val="0"/>
                  <w:vAlign w:val="center"/>
                </w:tcPr>
                <w:p w14:paraId="799C228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废旧整衣服</w:t>
                  </w:r>
                </w:p>
              </w:tc>
              <w:tc>
                <w:tcPr>
                  <w:tcW w:w="1125" w:type="dxa"/>
                  <w:tcBorders>
                    <w:tl2br w:val="nil"/>
                    <w:tr2bl w:val="nil"/>
                  </w:tcBorders>
                  <w:shd w:val="clear" w:color="auto" w:fill="auto"/>
                  <w:noWrap w:val="0"/>
                  <w:vAlign w:val="center"/>
                </w:tcPr>
                <w:p w14:paraId="21590D5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2911AEC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774D6E4F">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50t</w:t>
                  </w:r>
                </w:p>
              </w:tc>
              <w:tc>
                <w:tcPr>
                  <w:tcW w:w="1826" w:type="dxa"/>
                  <w:tcBorders>
                    <w:tl2br w:val="nil"/>
                    <w:tr2bl w:val="nil"/>
                  </w:tcBorders>
                  <w:noWrap w:val="0"/>
                  <w:vAlign w:val="center"/>
                </w:tcPr>
                <w:p w14:paraId="10B6B19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217940C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03094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4F95B40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cs="Times New Roman"/>
                      <w:color w:val="000000"/>
                      <w:kern w:val="2"/>
                      <w:sz w:val="21"/>
                      <w:szCs w:val="21"/>
                      <w:highlight w:val="none"/>
                      <w:u w:val="single" w:color="auto"/>
                      <w:lang w:val="en-US" w:eastAsia="zh-CN" w:bidi="ar-SA"/>
                    </w:rPr>
                    <w:t>8</w:t>
                  </w:r>
                </w:p>
              </w:tc>
              <w:tc>
                <w:tcPr>
                  <w:tcW w:w="1290" w:type="dxa"/>
                  <w:tcBorders>
                    <w:tl2br w:val="nil"/>
                    <w:tr2bl w:val="nil"/>
                  </w:tcBorders>
                  <w:shd w:val="clear" w:color="auto" w:fill="auto"/>
                  <w:noWrap w:val="0"/>
                  <w:vAlign w:val="center"/>
                </w:tcPr>
                <w:p w14:paraId="34B4109D">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cs="Times New Roman"/>
                      <w:color w:val="000000"/>
                      <w:kern w:val="2"/>
                      <w:sz w:val="21"/>
                      <w:szCs w:val="21"/>
                      <w:highlight w:val="none"/>
                      <w:u w:val="single" w:color="auto"/>
                      <w:lang w:val="en-US" w:eastAsia="zh-CN" w:bidi="ar-SA"/>
                    </w:rPr>
                    <w:t>打包袋</w:t>
                  </w:r>
                </w:p>
              </w:tc>
              <w:tc>
                <w:tcPr>
                  <w:tcW w:w="1125" w:type="dxa"/>
                  <w:tcBorders>
                    <w:tl2br w:val="nil"/>
                    <w:tr2bl w:val="nil"/>
                  </w:tcBorders>
                  <w:shd w:val="clear" w:color="auto" w:fill="auto"/>
                  <w:noWrap w:val="0"/>
                  <w:vAlign w:val="center"/>
                </w:tcPr>
                <w:p w14:paraId="102A7B7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固态/袋装</w:t>
                  </w:r>
                </w:p>
              </w:tc>
              <w:tc>
                <w:tcPr>
                  <w:tcW w:w="1185" w:type="dxa"/>
                  <w:tcBorders>
                    <w:tl2br w:val="nil"/>
                    <w:tr2bl w:val="nil"/>
                  </w:tcBorders>
                  <w:shd w:val="clear" w:color="auto" w:fill="auto"/>
                  <w:noWrap w:val="0"/>
                  <w:vAlign w:val="center"/>
                </w:tcPr>
                <w:p w14:paraId="49985A10">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sz w:val="21"/>
                      <w:szCs w:val="21"/>
                      <w:highlight w:val="none"/>
                      <w:u w:val="single" w:color="auto"/>
                      <w:lang w:val="en-US" w:eastAsia="zh-CN"/>
                    </w:rPr>
                  </w:pPr>
                  <w:r>
                    <w:rPr>
                      <w:rFonts w:hint="eastAsia"/>
                      <w:sz w:val="21"/>
                      <w:szCs w:val="21"/>
                      <w:u w:val="single"/>
                      <w:lang w:val="en-US" w:eastAsia="zh-CN"/>
                    </w:rPr>
                    <w:t>23.475</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24EC934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sz w:val="21"/>
                      <w:szCs w:val="21"/>
                      <w:highlight w:val="none"/>
                      <w:u w:val="single" w:color="auto"/>
                      <w:lang w:val="en-US" w:eastAsia="zh-CN"/>
                    </w:rPr>
                  </w:pPr>
                  <w:r>
                    <w:rPr>
                      <w:rFonts w:hint="eastAsia" w:cs="Times New Roman"/>
                      <w:color w:val="000000"/>
                      <w:sz w:val="21"/>
                      <w:szCs w:val="21"/>
                      <w:highlight w:val="none"/>
                      <w:u w:val="single" w:color="auto"/>
                      <w:lang w:val="en-US" w:eastAsia="zh-CN"/>
                    </w:rPr>
                    <w:t>1t</w:t>
                  </w:r>
                </w:p>
              </w:tc>
              <w:tc>
                <w:tcPr>
                  <w:tcW w:w="1826" w:type="dxa"/>
                  <w:tcBorders>
                    <w:tl2br w:val="nil"/>
                    <w:tr2bl w:val="nil"/>
                  </w:tcBorders>
                  <w:noWrap w:val="0"/>
                  <w:vAlign w:val="center"/>
                </w:tcPr>
                <w:p w14:paraId="77E9FBA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5B6065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r w14:paraId="721CC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40" w:type="dxa"/>
                  <w:gridSpan w:val="7"/>
                  <w:tcBorders>
                    <w:tl2br w:val="nil"/>
                    <w:tr2bl w:val="nil"/>
                  </w:tcBorders>
                  <w:shd w:val="clear" w:color="auto" w:fill="auto"/>
                  <w:noWrap w:val="0"/>
                  <w:vAlign w:val="center"/>
                </w:tcPr>
                <w:p w14:paraId="21007BA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cs="Times New Roman"/>
                      <w:b/>
                      <w:bCs/>
                      <w:color w:val="000000"/>
                      <w:sz w:val="21"/>
                      <w:szCs w:val="21"/>
                      <w:u w:val="single" w:color="auto"/>
                      <w:lang w:val="en-US" w:eastAsia="zh-CN"/>
                    </w:rPr>
                    <w:t>设备维修、使用</w:t>
                  </w:r>
                </w:p>
              </w:tc>
            </w:tr>
            <w:tr w14:paraId="3FEB6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76" w:type="dxa"/>
                  <w:tcBorders>
                    <w:tl2br w:val="nil"/>
                    <w:tr2bl w:val="nil"/>
                  </w:tcBorders>
                  <w:shd w:val="clear" w:color="auto" w:fill="auto"/>
                  <w:noWrap w:val="0"/>
                  <w:vAlign w:val="center"/>
                </w:tcPr>
                <w:p w14:paraId="4399C7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cs="Times New Roman"/>
                      <w:color w:val="000000"/>
                      <w:kern w:val="2"/>
                      <w:sz w:val="21"/>
                      <w:szCs w:val="21"/>
                      <w:highlight w:val="none"/>
                      <w:u w:val="single" w:color="auto"/>
                      <w:lang w:val="en-US" w:eastAsia="zh-CN" w:bidi="ar-SA"/>
                    </w:rPr>
                    <w:t>1</w:t>
                  </w:r>
                </w:p>
              </w:tc>
              <w:tc>
                <w:tcPr>
                  <w:tcW w:w="1290" w:type="dxa"/>
                  <w:tcBorders>
                    <w:tl2br w:val="nil"/>
                    <w:tr2bl w:val="nil"/>
                  </w:tcBorders>
                  <w:shd w:val="clear" w:color="auto" w:fill="auto"/>
                  <w:noWrap w:val="0"/>
                  <w:vAlign w:val="center"/>
                </w:tcPr>
                <w:p w14:paraId="7F29FD63">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润滑油</w:t>
                  </w:r>
                </w:p>
              </w:tc>
              <w:tc>
                <w:tcPr>
                  <w:tcW w:w="1125" w:type="dxa"/>
                  <w:tcBorders>
                    <w:tl2br w:val="nil"/>
                    <w:tr2bl w:val="nil"/>
                  </w:tcBorders>
                  <w:shd w:val="clear" w:color="auto" w:fill="auto"/>
                  <w:noWrap w:val="0"/>
                  <w:vAlign w:val="center"/>
                </w:tcPr>
                <w:p w14:paraId="693E133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固态/桶装</w:t>
                  </w:r>
                </w:p>
              </w:tc>
              <w:tc>
                <w:tcPr>
                  <w:tcW w:w="1185" w:type="dxa"/>
                  <w:tcBorders>
                    <w:tl2br w:val="nil"/>
                    <w:tr2bl w:val="nil"/>
                  </w:tcBorders>
                  <w:shd w:val="clear" w:color="auto" w:fill="auto"/>
                  <w:noWrap w:val="0"/>
                  <w:vAlign w:val="center"/>
                </w:tcPr>
                <w:p w14:paraId="6AC4024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0.1</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40AD7380">
                  <w:pPr>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0.05</w:t>
                  </w:r>
                  <w:r>
                    <w:rPr>
                      <w:rFonts w:hint="default" w:ascii="Times New Roman" w:hAnsi="Times New Roman" w:eastAsia="宋体" w:cs="Times New Roman"/>
                      <w:color w:val="000000"/>
                      <w:sz w:val="21"/>
                      <w:szCs w:val="21"/>
                      <w:highlight w:val="none"/>
                      <w:u w:val="single" w:color="auto"/>
                      <w:lang w:val="en-US" w:eastAsia="zh-CN"/>
                    </w:rPr>
                    <w:t>t</w:t>
                  </w:r>
                </w:p>
              </w:tc>
              <w:tc>
                <w:tcPr>
                  <w:tcW w:w="1826" w:type="dxa"/>
                  <w:tcBorders>
                    <w:tl2br w:val="nil"/>
                    <w:tr2bl w:val="nil"/>
                  </w:tcBorders>
                  <w:noWrap w:val="0"/>
                  <w:vAlign w:val="center"/>
                </w:tcPr>
                <w:p w14:paraId="0E3B23E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restart"/>
                  <w:tcBorders>
                    <w:tl2br w:val="nil"/>
                    <w:tr2bl w:val="nil"/>
                  </w:tcBorders>
                  <w:noWrap w:val="0"/>
                  <w:vAlign w:val="center"/>
                </w:tcPr>
                <w:p w14:paraId="01A0794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原料储存区</w:t>
                  </w:r>
                </w:p>
              </w:tc>
            </w:tr>
            <w:tr w14:paraId="36EB6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6" w:type="dxa"/>
                  <w:tcBorders>
                    <w:tl2br w:val="nil"/>
                    <w:tr2bl w:val="nil"/>
                  </w:tcBorders>
                  <w:shd w:val="clear" w:color="auto" w:fill="auto"/>
                  <w:noWrap w:val="0"/>
                  <w:vAlign w:val="center"/>
                </w:tcPr>
                <w:p w14:paraId="3F8F79F1">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cs="Times New Roman"/>
                      <w:color w:val="000000"/>
                      <w:kern w:val="2"/>
                      <w:sz w:val="21"/>
                      <w:szCs w:val="21"/>
                      <w:highlight w:val="none"/>
                      <w:u w:val="single" w:color="auto"/>
                      <w:lang w:val="en-US" w:eastAsia="zh-CN" w:bidi="ar-SA"/>
                    </w:rPr>
                    <w:t>2</w:t>
                  </w:r>
                </w:p>
              </w:tc>
              <w:tc>
                <w:tcPr>
                  <w:tcW w:w="1290" w:type="dxa"/>
                  <w:tcBorders>
                    <w:tl2br w:val="nil"/>
                    <w:tr2bl w:val="nil"/>
                  </w:tcBorders>
                  <w:shd w:val="clear" w:color="auto" w:fill="auto"/>
                  <w:noWrap w:val="0"/>
                  <w:vAlign w:val="center"/>
                </w:tcPr>
                <w:p w14:paraId="18848E27">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液压油</w:t>
                  </w:r>
                </w:p>
              </w:tc>
              <w:tc>
                <w:tcPr>
                  <w:tcW w:w="1125" w:type="dxa"/>
                  <w:tcBorders>
                    <w:tl2br w:val="nil"/>
                    <w:tr2bl w:val="nil"/>
                  </w:tcBorders>
                  <w:shd w:val="clear" w:color="auto" w:fill="auto"/>
                  <w:noWrap w:val="0"/>
                  <w:vAlign w:val="center"/>
                </w:tcPr>
                <w:p w14:paraId="226FFF6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固态/桶装</w:t>
                  </w:r>
                </w:p>
              </w:tc>
              <w:tc>
                <w:tcPr>
                  <w:tcW w:w="1185" w:type="dxa"/>
                  <w:tcBorders>
                    <w:tl2br w:val="nil"/>
                    <w:tr2bl w:val="nil"/>
                  </w:tcBorders>
                  <w:shd w:val="clear" w:color="auto" w:fill="auto"/>
                  <w:noWrap w:val="0"/>
                  <w:vAlign w:val="center"/>
                </w:tcPr>
                <w:p w14:paraId="10A72A7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0.05</w:t>
                  </w:r>
                  <w:r>
                    <w:rPr>
                      <w:rFonts w:hint="eastAsia" w:ascii="Times New Roman" w:hAnsi="Times New Roman" w:eastAsia="宋体" w:cs="Times New Roman"/>
                      <w:color w:val="000000"/>
                      <w:sz w:val="21"/>
                      <w:szCs w:val="21"/>
                      <w:highlight w:val="none"/>
                      <w:u w:val="single" w:color="auto"/>
                      <w:lang w:eastAsia="zh-CN"/>
                    </w:rPr>
                    <w:t>t</w:t>
                  </w:r>
                  <w:r>
                    <w:rPr>
                      <w:rFonts w:hint="default" w:ascii="Times New Roman" w:hAnsi="Times New Roman" w:eastAsia="宋体" w:cs="Times New Roman"/>
                      <w:color w:val="000000"/>
                      <w:sz w:val="21"/>
                      <w:szCs w:val="21"/>
                      <w:highlight w:val="none"/>
                      <w:u w:val="single" w:color="auto"/>
                      <w:lang w:val="en-US" w:eastAsia="zh-CN"/>
                    </w:rPr>
                    <w:t>/a</w:t>
                  </w:r>
                </w:p>
              </w:tc>
              <w:tc>
                <w:tcPr>
                  <w:tcW w:w="870" w:type="dxa"/>
                  <w:tcBorders>
                    <w:tl2br w:val="nil"/>
                    <w:tr2bl w:val="nil"/>
                  </w:tcBorders>
                  <w:shd w:val="clear" w:color="auto" w:fill="auto"/>
                  <w:noWrap w:val="0"/>
                  <w:vAlign w:val="center"/>
                </w:tcPr>
                <w:p w14:paraId="138B3992">
                  <w:pPr>
                    <w:jc w:val="center"/>
                    <w:rPr>
                      <w:rFonts w:hint="eastAsia" w:ascii="Times New Roman" w:hAnsi="Times New Roman" w:eastAsia="宋体" w:cs="Times New Roman"/>
                      <w:color w:val="000000"/>
                      <w:kern w:val="2"/>
                      <w:sz w:val="21"/>
                      <w:szCs w:val="21"/>
                      <w:u w:val="single" w:color="auto"/>
                      <w:lang w:val="en-US" w:eastAsia="zh-CN" w:bidi="ar-SA"/>
                    </w:rPr>
                  </w:pPr>
                  <w:r>
                    <w:rPr>
                      <w:rFonts w:hint="default" w:ascii="Times New Roman" w:hAnsi="Times New Roman" w:eastAsia="宋体" w:cs="Times New Roman"/>
                      <w:color w:val="000000"/>
                      <w:sz w:val="21"/>
                      <w:szCs w:val="21"/>
                      <w:highlight w:val="none"/>
                      <w:u w:val="single" w:color="auto"/>
                      <w:lang w:val="en-US" w:eastAsia="zh-CN"/>
                    </w:rPr>
                    <w:t>0.0324t</w:t>
                  </w:r>
                </w:p>
              </w:tc>
              <w:tc>
                <w:tcPr>
                  <w:tcW w:w="1826" w:type="dxa"/>
                  <w:tcBorders>
                    <w:tl2br w:val="nil"/>
                    <w:tr2bl w:val="nil"/>
                  </w:tcBorders>
                  <w:noWrap w:val="0"/>
                  <w:vAlign w:val="center"/>
                </w:tcPr>
                <w:p w14:paraId="755B3F5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u w:val="single" w:color="auto"/>
                      <w:lang w:val="en-US" w:eastAsia="zh-CN"/>
                    </w:rPr>
                  </w:pPr>
                  <w:r>
                    <w:rPr>
                      <w:rFonts w:hint="eastAsia" w:cs="Times New Roman"/>
                      <w:b w:val="0"/>
                      <w:bCs w:val="0"/>
                      <w:color w:val="000000"/>
                      <w:sz w:val="21"/>
                      <w:szCs w:val="21"/>
                      <w:u w:val="single" w:color="auto"/>
                      <w:lang w:val="en-US" w:eastAsia="zh-CN"/>
                    </w:rPr>
                    <w:t>外购</w:t>
                  </w:r>
                </w:p>
              </w:tc>
              <w:tc>
                <w:tcPr>
                  <w:tcW w:w="868" w:type="dxa"/>
                  <w:vMerge w:val="continue"/>
                  <w:tcBorders>
                    <w:tl2br w:val="nil"/>
                    <w:tr2bl w:val="nil"/>
                  </w:tcBorders>
                  <w:noWrap w:val="0"/>
                  <w:vAlign w:val="center"/>
                </w:tcPr>
                <w:p w14:paraId="5A7B615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sz w:val="21"/>
                      <w:szCs w:val="21"/>
                      <w:u w:val="single" w:color="auto"/>
                      <w:lang w:val="en-US" w:eastAsia="zh-CN"/>
                    </w:rPr>
                  </w:pPr>
                </w:p>
              </w:tc>
            </w:tr>
          </w:tbl>
          <w:p w14:paraId="2BCF245D">
            <w:pPr>
              <w:pStyle w:val="7"/>
              <w:bidi w:val="0"/>
              <w:rPr>
                <w:rFonts w:hint="eastAsia"/>
                <w:lang w:val="en-US" w:eastAsia="zh-CN"/>
              </w:rPr>
            </w:pPr>
            <w:r>
              <w:rPr>
                <w:rFonts w:hint="eastAsia" w:ascii="Times New Roman" w:hAnsi="Times New Roman" w:cs="Times New Roman" w:eastAsiaTheme="minorEastAsia"/>
                <w:bCs/>
                <w:color w:val="auto"/>
                <w:kern w:val="2"/>
                <w:sz w:val="24"/>
                <w:szCs w:val="24"/>
                <w:u w:val="none" w:color="auto"/>
                <w:lang w:val="en-US" w:eastAsia="zh-CN" w:bidi="ar-SA"/>
              </w:rPr>
              <w:t>（2）</w:t>
            </w:r>
            <w:r>
              <w:rPr>
                <w:rFonts w:hint="eastAsia" w:ascii="Times New Roman" w:hAnsi="Times New Roman" w:cs="Times New Roman"/>
                <w:bCs/>
                <w:color w:val="auto"/>
                <w:u w:val="none" w:color="auto"/>
              </w:rPr>
              <w:t>主要能源消耗</w:t>
            </w:r>
            <w:r>
              <w:rPr>
                <w:rFonts w:hint="eastAsia" w:ascii="Times New Roman" w:hAnsi="Times New Roman" w:cs="Times New Roman"/>
                <w:bCs/>
                <w:color w:val="auto"/>
                <w:u w:val="none" w:color="auto"/>
                <w:lang w:val="en-US" w:eastAsia="zh-CN"/>
              </w:rPr>
              <w:t>情况</w:t>
            </w:r>
            <w:r>
              <w:rPr>
                <w:rFonts w:hint="eastAsia"/>
                <w:lang w:val="en-US" w:eastAsia="zh-CN"/>
              </w:rPr>
              <w:t xml:space="preserve"> </w:t>
            </w:r>
          </w:p>
          <w:p w14:paraId="293C6427">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none" w:color="auto"/>
                <w:lang w:val="en-US" w:eastAsia="zh-CN"/>
              </w:rPr>
            </w:pPr>
            <w:r>
              <w:rPr>
                <w:rFonts w:hint="eastAsia" w:ascii="Times New Roman" w:hAnsi="Times New Roman" w:eastAsia="宋体" w:cs="Times New Roman"/>
                <w:b/>
                <w:bCs/>
                <w:color w:val="000000"/>
                <w:kern w:val="0"/>
                <w:sz w:val="24"/>
                <w:szCs w:val="24"/>
                <w:u w:val="none" w:color="auto"/>
                <w:lang w:val="en-US" w:eastAsia="zh-CN"/>
              </w:rPr>
              <w:t xml:space="preserve"> </w:t>
            </w:r>
            <w:r>
              <w:rPr>
                <w:rFonts w:hint="eastAsia" w:ascii="Times New Roman" w:hAnsi="Times New Roman" w:eastAsia="宋体" w:cs="Times New Roman"/>
                <w:b/>
                <w:color w:val="000000"/>
                <w:sz w:val="21"/>
                <w:szCs w:val="21"/>
                <w:highlight w:val="none"/>
                <w:u w:val="none" w:color="auto"/>
                <w:lang w:val="zh-CN" w:eastAsia="zh-CN"/>
              </w:rPr>
              <w:t>表</w:t>
            </w:r>
            <w:r>
              <w:rPr>
                <w:rFonts w:hint="eastAsia" w:ascii="Times New Roman" w:hAnsi="Times New Roman" w:eastAsia="宋体" w:cs="Times New Roman"/>
                <w:b/>
                <w:color w:val="000000"/>
                <w:sz w:val="21"/>
                <w:szCs w:val="21"/>
                <w:highlight w:val="none"/>
                <w:u w:val="none" w:color="auto"/>
                <w:lang w:val="en-US" w:eastAsia="zh-CN"/>
              </w:rPr>
              <w:t>2-6  主要能源消耗一览表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52"/>
              <w:gridCol w:w="2619"/>
              <w:gridCol w:w="3063"/>
            </w:tblGrid>
            <w:tr w14:paraId="00BAA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02" w:type="dxa"/>
                  <w:tcBorders>
                    <w:tl2br w:val="nil"/>
                    <w:tr2bl w:val="nil"/>
                  </w:tcBorders>
                  <w:noWrap w:val="0"/>
                  <w:vAlign w:val="center"/>
                </w:tcPr>
                <w:p w14:paraId="053E1013">
                  <w:pPr>
                    <w:spacing w:line="240" w:lineRule="auto"/>
                    <w:jc w:val="center"/>
                    <w:rPr>
                      <w:rFonts w:hint="default" w:ascii="Times New Roman" w:hAnsi="Times New Roman" w:eastAsia="宋体" w:cs="Times New Roman"/>
                      <w:b/>
                      <w:bCs/>
                      <w:color w:val="000000"/>
                      <w:sz w:val="21"/>
                      <w:szCs w:val="21"/>
                      <w:u w:val="none" w:color="auto"/>
                      <w:lang w:val="en-US" w:eastAsia="zh-CN"/>
                    </w:rPr>
                  </w:pPr>
                  <w:r>
                    <w:rPr>
                      <w:rFonts w:hint="default" w:ascii="Times New Roman" w:hAnsi="Times New Roman" w:eastAsia="宋体" w:cs="Times New Roman"/>
                      <w:b/>
                      <w:bCs/>
                      <w:color w:val="000000"/>
                      <w:sz w:val="21"/>
                      <w:szCs w:val="21"/>
                      <w:u w:val="none" w:color="auto"/>
                      <w:lang w:val="en-US" w:eastAsia="zh-CN"/>
                    </w:rPr>
                    <w:t>序号</w:t>
                  </w:r>
                </w:p>
              </w:tc>
              <w:tc>
                <w:tcPr>
                  <w:tcW w:w="1146" w:type="dxa"/>
                  <w:tcBorders>
                    <w:tl2br w:val="nil"/>
                    <w:tr2bl w:val="nil"/>
                  </w:tcBorders>
                  <w:noWrap w:val="0"/>
                  <w:vAlign w:val="center"/>
                </w:tcPr>
                <w:p w14:paraId="5A2B9F9F">
                  <w:pPr>
                    <w:spacing w:line="240" w:lineRule="auto"/>
                    <w:jc w:val="center"/>
                    <w:rPr>
                      <w:rFonts w:hint="default" w:ascii="Times New Roman" w:hAnsi="Times New Roman" w:eastAsia="宋体" w:cs="Times New Roman"/>
                      <w:b/>
                      <w:bCs/>
                      <w:color w:val="000000"/>
                      <w:sz w:val="21"/>
                      <w:szCs w:val="21"/>
                      <w:u w:val="none" w:color="auto"/>
                      <w:lang w:val="en-US" w:eastAsia="zh-CN"/>
                    </w:rPr>
                  </w:pPr>
                  <w:r>
                    <w:rPr>
                      <w:rFonts w:hint="default" w:ascii="Times New Roman" w:hAnsi="Times New Roman" w:eastAsia="宋体" w:cs="Times New Roman"/>
                      <w:b/>
                      <w:bCs/>
                      <w:color w:val="000000"/>
                      <w:sz w:val="21"/>
                      <w:szCs w:val="21"/>
                      <w:u w:val="none" w:color="auto"/>
                      <w:lang w:val="en-US" w:eastAsia="zh-CN"/>
                    </w:rPr>
                    <w:t>名称</w:t>
                  </w:r>
                </w:p>
              </w:tc>
              <w:tc>
                <w:tcPr>
                  <w:tcW w:w="2606" w:type="dxa"/>
                  <w:tcBorders>
                    <w:tl2br w:val="nil"/>
                    <w:tr2bl w:val="nil"/>
                  </w:tcBorders>
                  <w:noWrap w:val="0"/>
                  <w:vAlign w:val="center"/>
                </w:tcPr>
                <w:p w14:paraId="315D4412">
                  <w:pPr>
                    <w:spacing w:line="240" w:lineRule="auto"/>
                    <w:jc w:val="center"/>
                    <w:rPr>
                      <w:rFonts w:hint="default" w:ascii="Times New Roman" w:hAnsi="Times New Roman" w:eastAsia="宋体" w:cs="Times New Roman"/>
                      <w:b/>
                      <w:bCs/>
                      <w:color w:val="000000"/>
                      <w:sz w:val="21"/>
                      <w:szCs w:val="21"/>
                      <w:u w:val="none" w:color="auto"/>
                      <w:lang w:val="en-US" w:eastAsia="zh-CN"/>
                    </w:rPr>
                  </w:pPr>
                  <w:r>
                    <w:rPr>
                      <w:rFonts w:hint="default" w:ascii="Times New Roman" w:hAnsi="Times New Roman" w:eastAsia="宋体" w:cs="Times New Roman"/>
                      <w:b/>
                      <w:bCs/>
                      <w:color w:val="000000"/>
                      <w:sz w:val="21"/>
                      <w:szCs w:val="21"/>
                      <w:u w:val="none" w:color="auto"/>
                      <w:lang w:val="en-US" w:eastAsia="zh-CN"/>
                    </w:rPr>
                    <w:t>年</w:t>
                  </w:r>
                  <w:r>
                    <w:rPr>
                      <w:rFonts w:hint="eastAsia" w:ascii="Times New Roman" w:hAnsi="Times New Roman" w:eastAsia="宋体" w:cs="Times New Roman"/>
                      <w:b/>
                      <w:bCs/>
                      <w:color w:val="000000"/>
                      <w:sz w:val="21"/>
                      <w:szCs w:val="21"/>
                      <w:u w:val="none" w:color="auto"/>
                      <w:lang w:val="en-US" w:eastAsia="zh-CN"/>
                    </w:rPr>
                    <w:t>用</w:t>
                  </w:r>
                  <w:r>
                    <w:rPr>
                      <w:rFonts w:hint="default" w:ascii="Times New Roman" w:hAnsi="Times New Roman" w:eastAsia="宋体" w:cs="Times New Roman"/>
                      <w:b/>
                      <w:bCs/>
                      <w:color w:val="000000"/>
                      <w:sz w:val="21"/>
                      <w:szCs w:val="21"/>
                      <w:u w:val="none" w:color="auto"/>
                      <w:lang w:val="en-US" w:eastAsia="zh-CN"/>
                    </w:rPr>
                    <w:t>量</w:t>
                  </w:r>
                </w:p>
              </w:tc>
              <w:tc>
                <w:tcPr>
                  <w:tcW w:w="3048" w:type="dxa"/>
                  <w:tcBorders>
                    <w:tl2br w:val="nil"/>
                    <w:tr2bl w:val="nil"/>
                  </w:tcBorders>
                  <w:noWrap w:val="0"/>
                  <w:vAlign w:val="center"/>
                </w:tcPr>
                <w:p w14:paraId="50BADC47">
                  <w:pPr>
                    <w:spacing w:line="240" w:lineRule="auto"/>
                    <w:jc w:val="center"/>
                    <w:rPr>
                      <w:rFonts w:hint="default" w:ascii="Times New Roman" w:hAnsi="Times New Roman" w:eastAsia="宋体" w:cs="Times New Roman"/>
                      <w:b/>
                      <w:bCs/>
                      <w:color w:val="000000"/>
                      <w:sz w:val="21"/>
                      <w:szCs w:val="21"/>
                      <w:u w:val="none" w:color="auto"/>
                      <w:lang w:val="en-US" w:eastAsia="zh-CN"/>
                    </w:rPr>
                  </w:pPr>
                  <w:r>
                    <w:rPr>
                      <w:rFonts w:hint="default" w:ascii="Times New Roman" w:hAnsi="Times New Roman" w:eastAsia="宋体" w:cs="Times New Roman"/>
                      <w:b/>
                      <w:bCs/>
                      <w:color w:val="000000"/>
                      <w:sz w:val="21"/>
                      <w:szCs w:val="21"/>
                      <w:u w:val="none" w:color="auto"/>
                      <w:lang w:val="en-US" w:eastAsia="zh-CN"/>
                    </w:rPr>
                    <w:t>来源</w:t>
                  </w:r>
                </w:p>
              </w:tc>
            </w:tr>
            <w:tr w14:paraId="4819A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272EB2D">
                  <w:pPr>
                    <w:spacing w:line="240" w:lineRule="auto"/>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1</w:t>
                  </w:r>
                </w:p>
              </w:tc>
              <w:tc>
                <w:tcPr>
                  <w:tcW w:w="1146" w:type="dxa"/>
                  <w:tcBorders>
                    <w:tl2br w:val="nil"/>
                    <w:tr2bl w:val="nil"/>
                  </w:tcBorders>
                  <w:noWrap w:val="0"/>
                  <w:vAlign w:val="center"/>
                </w:tcPr>
                <w:p w14:paraId="45331620">
                  <w:pPr>
                    <w:spacing w:line="240" w:lineRule="auto"/>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水</w:t>
                  </w:r>
                </w:p>
              </w:tc>
              <w:tc>
                <w:tcPr>
                  <w:tcW w:w="2606" w:type="dxa"/>
                  <w:tcBorders>
                    <w:tl2br w:val="nil"/>
                    <w:tr2bl w:val="nil"/>
                  </w:tcBorders>
                  <w:noWrap w:val="0"/>
                  <w:vAlign w:val="center"/>
                </w:tcPr>
                <w:p w14:paraId="5A6DE506">
                  <w:pPr>
                    <w:spacing w:line="240" w:lineRule="auto"/>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color w:val="000000" w:themeColor="text1"/>
                      <w:lang w:val="en-US" w:eastAsia="zh-CN"/>
                      <w14:textFill>
                        <w14:solidFill>
                          <w14:schemeClr w14:val="tx1"/>
                        </w14:solidFill>
                      </w14:textFill>
                    </w:rPr>
                    <w:t>2160</w:t>
                  </w:r>
                  <w:r>
                    <w:rPr>
                      <w:rFonts w:hint="eastAsia" w:cs="Times New Roman"/>
                      <w:b w:val="0"/>
                      <w:bCs w:val="0"/>
                      <w:color w:val="000000" w:themeColor="text1"/>
                      <w:sz w:val="21"/>
                      <w:szCs w:val="21"/>
                      <w:highlight w:val="none"/>
                      <w:u w:val="none" w:color="auto"/>
                      <w:lang w:val="en-US" w:eastAsia="zh-CN"/>
                      <w14:textFill>
                        <w14:solidFill>
                          <w14:schemeClr w14:val="tx1"/>
                        </w14:solidFill>
                      </w14:textFill>
                    </w:rPr>
                    <w:t>t</w:t>
                  </w:r>
                </w:p>
              </w:tc>
              <w:tc>
                <w:tcPr>
                  <w:tcW w:w="3048" w:type="dxa"/>
                  <w:tcBorders>
                    <w:tl2br w:val="nil"/>
                    <w:tr2bl w:val="nil"/>
                  </w:tcBorders>
                  <w:noWrap w:val="0"/>
                  <w:vAlign w:val="center"/>
                </w:tcPr>
                <w:p w14:paraId="714580BD">
                  <w:pPr>
                    <w:spacing w:line="240" w:lineRule="auto"/>
                    <w:jc w:val="center"/>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ascii="Times New Roman" w:hAnsi="Times New Roman" w:eastAsia="宋体" w:cs="Times New Roman"/>
                      <w:b w:val="0"/>
                      <w:bCs w:val="0"/>
                      <w:color w:val="000000"/>
                      <w:sz w:val="21"/>
                      <w:szCs w:val="21"/>
                      <w:highlight w:val="none"/>
                      <w:u w:val="none" w:color="auto"/>
                      <w:lang w:val="en-US" w:eastAsia="zh-CN"/>
                    </w:rPr>
                    <w:t>由</w:t>
                  </w:r>
                  <w:r>
                    <w:rPr>
                      <w:rFonts w:hint="default" w:ascii="Times New Roman" w:hAnsi="Times New Roman" w:eastAsia="宋体" w:cs="Times New Roman"/>
                      <w:b w:val="0"/>
                      <w:bCs w:val="0"/>
                      <w:color w:val="000000"/>
                      <w:sz w:val="21"/>
                      <w:szCs w:val="21"/>
                      <w:highlight w:val="none"/>
                      <w:u w:val="none" w:color="auto"/>
                      <w:lang w:val="en-US" w:eastAsia="zh-CN"/>
                    </w:rPr>
                    <w:t>市政</w:t>
                  </w:r>
                  <w:r>
                    <w:rPr>
                      <w:rFonts w:hint="eastAsia" w:ascii="Times New Roman" w:hAnsi="Times New Roman" w:eastAsia="宋体" w:cs="Times New Roman"/>
                      <w:b w:val="0"/>
                      <w:bCs w:val="0"/>
                      <w:color w:val="000000"/>
                      <w:sz w:val="21"/>
                      <w:szCs w:val="21"/>
                      <w:highlight w:val="none"/>
                      <w:u w:val="none" w:color="auto"/>
                      <w:lang w:val="en-US" w:eastAsia="zh-CN"/>
                    </w:rPr>
                    <w:t>供水系统供给</w:t>
                  </w:r>
                  <w:r>
                    <w:rPr>
                      <w:rFonts w:hint="eastAsia" w:cs="Times New Roman"/>
                      <w:b w:val="0"/>
                      <w:bCs w:val="0"/>
                      <w:color w:val="000000"/>
                      <w:sz w:val="21"/>
                      <w:szCs w:val="21"/>
                      <w:highlight w:val="none"/>
                      <w:u w:val="none" w:color="auto"/>
                      <w:lang w:val="en-US" w:eastAsia="zh-CN"/>
                    </w:rPr>
                    <w:t>。</w:t>
                  </w:r>
                </w:p>
              </w:tc>
            </w:tr>
            <w:tr w14:paraId="73E90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02" w:type="dxa"/>
                  <w:tcBorders>
                    <w:tl2br w:val="nil"/>
                    <w:tr2bl w:val="nil"/>
                  </w:tcBorders>
                  <w:noWrap w:val="0"/>
                  <w:vAlign w:val="center"/>
                </w:tcPr>
                <w:p w14:paraId="5A782064">
                  <w:pPr>
                    <w:spacing w:line="240" w:lineRule="auto"/>
                    <w:jc w:val="center"/>
                    <w:rPr>
                      <w:rFonts w:hint="default" w:ascii="Times New Roman" w:hAnsi="Times New Roman" w:eastAsia="宋体" w:cs="Times New Roman"/>
                      <w:b w:val="0"/>
                      <w:bCs w:val="0"/>
                      <w:color w:val="000000"/>
                      <w:sz w:val="21"/>
                      <w:szCs w:val="21"/>
                      <w:u w:val="none" w:color="auto"/>
                      <w:lang w:val="en-US" w:eastAsia="zh-CN"/>
                    </w:rPr>
                  </w:pPr>
                  <w:r>
                    <w:rPr>
                      <w:rFonts w:hint="default" w:ascii="Times New Roman" w:hAnsi="Times New Roman" w:eastAsia="宋体" w:cs="Times New Roman"/>
                      <w:b w:val="0"/>
                      <w:bCs w:val="0"/>
                      <w:color w:val="000000"/>
                      <w:sz w:val="21"/>
                      <w:szCs w:val="21"/>
                      <w:u w:val="none" w:color="auto"/>
                      <w:lang w:val="en-US" w:eastAsia="zh-CN"/>
                    </w:rPr>
                    <w:t>2</w:t>
                  </w:r>
                </w:p>
              </w:tc>
              <w:tc>
                <w:tcPr>
                  <w:tcW w:w="1146" w:type="dxa"/>
                  <w:tcBorders>
                    <w:tl2br w:val="nil"/>
                    <w:tr2bl w:val="nil"/>
                  </w:tcBorders>
                  <w:noWrap w:val="0"/>
                  <w:vAlign w:val="center"/>
                </w:tcPr>
                <w:p w14:paraId="28E0CF12">
                  <w:pPr>
                    <w:spacing w:line="240" w:lineRule="auto"/>
                    <w:jc w:val="center"/>
                    <w:rPr>
                      <w:rFonts w:hint="default" w:ascii="Times New Roman" w:hAnsi="Times New Roman" w:eastAsia="宋体" w:cs="Times New Roman"/>
                      <w:b w:val="0"/>
                      <w:bCs w:val="0"/>
                      <w:color w:val="000000"/>
                      <w:sz w:val="21"/>
                      <w:szCs w:val="21"/>
                      <w:u w:val="none" w:color="auto"/>
                      <w:lang w:val="en-US" w:eastAsia="zh-CN"/>
                    </w:rPr>
                  </w:pPr>
                  <w:r>
                    <w:rPr>
                      <w:rFonts w:hint="default" w:ascii="Times New Roman" w:hAnsi="Times New Roman" w:eastAsia="宋体" w:cs="Times New Roman"/>
                      <w:b w:val="0"/>
                      <w:bCs w:val="0"/>
                      <w:color w:val="000000"/>
                      <w:sz w:val="21"/>
                      <w:szCs w:val="21"/>
                      <w:u w:val="none" w:color="auto"/>
                      <w:lang w:val="en-US" w:eastAsia="zh-CN"/>
                    </w:rPr>
                    <w:t>电</w:t>
                  </w:r>
                </w:p>
              </w:tc>
              <w:tc>
                <w:tcPr>
                  <w:tcW w:w="2606" w:type="dxa"/>
                  <w:tcBorders>
                    <w:tl2br w:val="nil"/>
                    <w:tr2bl w:val="nil"/>
                  </w:tcBorders>
                  <w:noWrap w:val="0"/>
                  <w:vAlign w:val="center"/>
                </w:tcPr>
                <w:p w14:paraId="5A65BC81">
                  <w:pPr>
                    <w:spacing w:line="240" w:lineRule="auto"/>
                    <w:jc w:val="center"/>
                    <w:rPr>
                      <w:rFonts w:hint="eastAsia" w:ascii="Times New Roman" w:hAnsi="Times New Roman" w:eastAsia="宋体" w:cs="Times New Roman"/>
                      <w:b w:val="0"/>
                      <w:bCs w:val="0"/>
                      <w:color w:val="000000"/>
                      <w:sz w:val="21"/>
                      <w:szCs w:val="21"/>
                      <w:u w:val="none" w:color="auto"/>
                      <w:lang w:val="en-US" w:eastAsia="zh-CN"/>
                    </w:rPr>
                  </w:pPr>
                  <w:r>
                    <w:rPr>
                      <w:rFonts w:hint="eastAsia" w:cs="Times New Roman"/>
                      <w:b w:val="0"/>
                      <w:bCs w:val="0"/>
                      <w:color w:val="000000"/>
                      <w:sz w:val="21"/>
                      <w:szCs w:val="21"/>
                      <w:u w:val="none" w:color="auto"/>
                      <w:lang w:val="en-US" w:eastAsia="zh-CN"/>
                    </w:rPr>
                    <w:t>8000</w:t>
                  </w:r>
                  <w:r>
                    <w:rPr>
                      <w:rFonts w:hint="eastAsia" w:hAnsi="宋体"/>
                      <w:color w:val="auto"/>
                      <w:sz w:val="21"/>
                      <w:szCs w:val="21"/>
                      <w:u w:val="none" w:color="auto"/>
                      <w:vertAlign w:val="baseline"/>
                      <w:lang w:val="en-US" w:eastAsia="zh-CN"/>
                    </w:rPr>
                    <w:t>kW</w:t>
                  </w:r>
                  <w:r>
                    <w:rPr>
                      <w:rFonts w:hint="default" w:ascii="Times New Roman" w:hAnsi="Times New Roman" w:eastAsia="宋体" w:cs="Times New Roman"/>
                      <w:b w:val="0"/>
                      <w:bCs w:val="0"/>
                      <w:color w:val="000000"/>
                      <w:sz w:val="21"/>
                      <w:szCs w:val="21"/>
                      <w:u w:val="none" w:color="auto"/>
                      <w:lang w:val="en-US" w:eastAsia="zh-CN"/>
                    </w:rPr>
                    <w:t>·</w:t>
                  </w:r>
                  <w:r>
                    <w:rPr>
                      <w:rFonts w:hint="eastAsia" w:ascii="Times New Roman" w:hAnsi="Times New Roman" w:eastAsia="宋体" w:cs="Times New Roman"/>
                      <w:b w:val="0"/>
                      <w:bCs w:val="0"/>
                      <w:color w:val="000000"/>
                      <w:sz w:val="21"/>
                      <w:szCs w:val="21"/>
                      <w:u w:val="none" w:color="auto"/>
                      <w:lang w:val="en-US" w:eastAsia="zh-CN"/>
                    </w:rPr>
                    <w:t>h</w:t>
                  </w:r>
                </w:p>
              </w:tc>
              <w:tc>
                <w:tcPr>
                  <w:tcW w:w="3048" w:type="dxa"/>
                  <w:tcBorders>
                    <w:tl2br w:val="nil"/>
                    <w:tr2bl w:val="nil"/>
                  </w:tcBorders>
                  <w:noWrap w:val="0"/>
                  <w:vAlign w:val="center"/>
                </w:tcPr>
                <w:p w14:paraId="33CEE63F">
                  <w:pPr>
                    <w:spacing w:line="240" w:lineRule="auto"/>
                    <w:jc w:val="center"/>
                    <w:rPr>
                      <w:rFonts w:hint="default" w:ascii="Times New Roman" w:hAnsi="Times New Roman" w:eastAsia="宋体" w:cs="Times New Roman"/>
                      <w:b w:val="0"/>
                      <w:bCs w:val="0"/>
                      <w:color w:val="000000"/>
                      <w:sz w:val="21"/>
                      <w:szCs w:val="21"/>
                      <w:u w:val="none" w:color="auto"/>
                      <w:lang w:val="en-US" w:eastAsia="zh-CN"/>
                    </w:rPr>
                  </w:pPr>
                  <w:r>
                    <w:rPr>
                      <w:rFonts w:hint="eastAsia" w:ascii="Times New Roman" w:hAnsi="Times New Roman" w:eastAsia="宋体" w:cs="Times New Roman"/>
                      <w:b w:val="0"/>
                      <w:bCs w:val="0"/>
                      <w:color w:val="000000"/>
                      <w:sz w:val="21"/>
                      <w:szCs w:val="21"/>
                      <w:u w:val="none" w:color="auto"/>
                      <w:lang w:val="en-US" w:eastAsia="zh-CN"/>
                    </w:rPr>
                    <w:t>由</w:t>
                  </w:r>
                  <w:r>
                    <w:rPr>
                      <w:rFonts w:hint="default" w:ascii="Times New Roman" w:hAnsi="Times New Roman" w:eastAsia="宋体" w:cs="Times New Roman"/>
                      <w:b w:val="0"/>
                      <w:bCs w:val="0"/>
                      <w:color w:val="000000"/>
                      <w:sz w:val="21"/>
                      <w:szCs w:val="21"/>
                      <w:u w:val="none" w:color="auto"/>
                      <w:lang w:val="en-US" w:eastAsia="zh-CN"/>
                    </w:rPr>
                    <w:t>市政供电系统</w:t>
                  </w:r>
                  <w:r>
                    <w:rPr>
                      <w:rFonts w:hint="eastAsia" w:ascii="Times New Roman" w:hAnsi="Times New Roman" w:eastAsia="宋体" w:cs="Times New Roman"/>
                      <w:b w:val="0"/>
                      <w:bCs w:val="0"/>
                      <w:color w:val="000000"/>
                      <w:sz w:val="21"/>
                      <w:szCs w:val="21"/>
                      <w:u w:val="none" w:color="auto"/>
                      <w:lang w:val="en-US" w:eastAsia="zh-CN"/>
                    </w:rPr>
                    <w:t>供给。</w:t>
                  </w:r>
                </w:p>
              </w:tc>
            </w:tr>
          </w:tbl>
          <w:p w14:paraId="0CA64F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000000"/>
                <w:sz w:val="24"/>
                <w:u w:val="none" w:color="auto"/>
                <w:lang w:val="en-US" w:eastAsia="zh-CN"/>
              </w:rPr>
            </w:pPr>
            <w:r>
              <w:rPr>
                <w:rFonts w:hint="default" w:ascii="Times New Roman" w:hAnsi="Times New Roman" w:cs="Times New Roman" w:eastAsiaTheme="minorEastAsia"/>
                <w:bCs/>
                <w:color w:val="auto"/>
                <w:kern w:val="2"/>
                <w:sz w:val="24"/>
                <w:szCs w:val="24"/>
                <w:u w:val="none" w:color="auto"/>
                <w:lang w:val="en-US" w:eastAsia="zh-CN" w:bidi="ar-SA"/>
              </w:rPr>
              <w:t>（</w:t>
            </w:r>
            <w:r>
              <w:rPr>
                <w:rFonts w:hint="eastAsia" w:ascii="Times New Roman" w:hAnsi="Times New Roman" w:cs="Times New Roman"/>
                <w:bCs/>
                <w:color w:val="auto"/>
                <w:kern w:val="2"/>
                <w:sz w:val="24"/>
                <w:szCs w:val="24"/>
                <w:u w:val="none" w:color="auto"/>
                <w:lang w:val="en-US" w:eastAsia="zh-CN" w:bidi="ar-SA"/>
              </w:rPr>
              <w:t>3</w:t>
            </w:r>
            <w:r>
              <w:rPr>
                <w:rFonts w:hint="default" w:ascii="Times New Roman" w:hAnsi="Times New Roman" w:cs="Times New Roman" w:eastAsiaTheme="minorEastAsia"/>
                <w:bCs/>
                <w:color w:val="auto"/>
                <w:kern w:val="2"/>
                <w:sz w:val="24"/>
                <w:szCs w:val="24"/>
                <w:u w:val="none" w:color="auto"/>
                <w:lang w:val="en-US" w:eastAsia="zh-CN" w:bidi="ar-SA"/>
              </w:rPr>
              <w:t>）</w:t>
            </w:r>
            <w:r>
              <w:rPr>
                <w:rFonts w:hint="default" w:ascii="Times New Roman" w:hAnsi="Times New Roman" w:cs="Times New Roman"/>
                <w:bCs/>
                <w:color w:val="auto"/>
                <w:sz w:val="24"/>
                <w:szCs w:val="24"/>
                <w:u w:val="none" w:color="auto"/>
                <w:lang w:eastAsia="zh-CN"/>
              </w:rPr>
              <w:t>原辅材料理化性质</w:t>
            </w:r>
          </w:p>
          <w:p w14:paraId="6A216B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Cs/>
                <w:color w:val="000000"/>
                <w:sz w:val="24"/>
                <w:u w:val="none" w:color="auto"/>
                <w:lang w:val="en-US" w:eastAsia="zh-CN"/>
              </w:rPr>
            </w:pPr>
            <w:r>
              <w:rPr>
                <w:rFonts w:hint="eastAsia" w:ascii="Times New Roman" w:hAnsi="Times New Roman" w:eastAsia="宋体" w:cs="Times New Roman"/>
                <w:bCs/>
                <w:color w:val="000000"/>
                <w:sz w:val="24"/>
                <w:u w:val="none" w:color="auto"/>
                <w:lang w:val="en-US" w:eastAsia="zh-CN"/>
              </w:rPr>
              <w:t>本项目主要原辅材料的理化性质详见表2-</w:t>
            </w:r>
            <w:r>
              <w:rPr>
                <w:rFonts w:hint="eastAsia" w:eastAsia="宋体" w:cs="Times New Roman"/>
                <w:bCs/>
                <w:color w:val="000000"/>
                <w:sz w:val="24"/>
                <w:u w:val="none" w:color="auto"/>
                <w:lang w:val="en-US" w:eastAsia="zh-CN"/>
              </w:rPr>
              <w:t>7</w:t>
            </w:r>
            <w:r>
              <w:rPr>
                <w:rFonts w:hint="eastAsia" w:ascii="Times New Roman" w:hAnsi="Times New Roman" w:eastAsia="宋体" w:cs="Times New Roman"/>
                <w:bCs/>
                <w:color w:val="000000"/>
                <w:sz w:val="24"/>
                <w:u w:val="none" w:color="auto"/>
                <w:lang w:val="en-US" w:eastAsia="zh-CN"/>
              </w:rPr>
              <w:t>。</w:t>
            </w:r>
          </w:p>
          <w:p w14:paraId="3AC642DE">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none" w:color="auto"/>
                <w:lang w:val="en-US" w:eastAsia="zh-CN"/>
              </w:rPr>
            </w:pPr>
            <w:r>
              <w:rPr>
                <w:rFonts w:hint="eastAsia" w:ascii="Times New Roman" w:hAnsi="Times New Roman" w:eastAsia="宋体" w:cs="Times New Roman"/>
                <w:b/>
                <w:color w:val="000000"/>
                <w:sz w:val="21"/>
                <w:szCs w:val="21"/>
                <w:highlight w:val="none"/>
                <w:u w:val="none" w:color="auto"/>
                <w:lang w:val="zh-CN" w:eastAsia="zh-CN"/>
              </w:rPr>
              <w:t>表</w:t>
            </w:r>
            <w:r>
              <w:rPr>
                <w:rFonts w:hint="eastAsia" w:ascii="Times New Roman" w:hAnsi="Times New Roman" w:eastAsia="宋体" w:cs="Times New Roman"/>
                <w:b/>
                <w:color w:val="000000"/>
                <w:sz w:val="21"/>
                <w:szCs w:val="21"/>
                <w:highlight w:val="none"/>
                <w:u w:val="none" w:color="auto"/>
                <w:lang w:val="en-US" w:eastAsia="zh-CN"/>
              </w:rPr>
              <w:t>2-7  主要原辅材料理化性质一览表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6285"/>
            </w:tblGrid>
            <w:tr w14:paraId="0ACFB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255" w:type="dxa"/>
                  <w:tcBorders>
                    <w:tl2br w:val="nil"/>
                    <w:tr2bl w:val="nil"/>
                  </w:tcBorders>
                  <w:noWrap w:val="0"/>
                  <w:vAlign w:val="center"/>
                </w:tcPr>
                <w:p w14:paraId="4158F928">
                  <w:pPr>
                    <w:spacing w:line="240" w:lineRule="auto"/>
                    <w:jc w:val="center"/>
                    <w:rPr>
                      <w:rFonts w:hint="eastAsia" w:ascii="Times New Roman" w:hAnsi="Times New Roman" w:eastAsia="宋体" w:cs="Times New Roman"/>
                      <w:b/>
                      <w:bCs/>
                      <w:color w:val="000000"/>
                      <w:sz w:val="21"/>
                      <w:szCs w:val="21"/>
                      <w:u w:val="none" w:color="auto"/>
                      <w:lang w:val="en-US" w:eastAsia="zh-CN"/>
                    </w:rPr>
                  </w:pPr>
                  <w:r>
                    <w:rPr>
                      <w:rFonts w:hint="eastAsia" w:ascii="Times New Roman" w:hAnsi="Times New Roman" w:eastAsia="宋体" w:cs="Times New Roman"/>
                      <w:b/>
                      <w:bCs/>
                      <w:color w:val="000000"/>
                      <w:sz w:val="21"/>
                      <w:szCs w:val="21"/>
                      <w:u w:val="none" w:color="auto"/>
                      <w:lang w:val="en-US" w:eastAsia="zh-CN"/>
                    </w:rPr>
                    <w:t>名称</w:t>
                  </w:r>
                </w:p>
              </w:tc>
              <w:tc>
                <w:tcPr>
                  <w:tcW w:w="6285" w:type="dxa"/>
                  <w:tcBorders>
                    <w:tl2br w:val="nil"/>
                    <w:tr2bl w:val="nil"/>
                  </w:tcBorders>
                  <w:noWrap w:val="0"/>
                  <w:vAlign w:val="center"/>
                </w:tcPr>
                <w:p w14:paraId="0512E770">
                  <w:pPr>
                    <w:spacing w:line="240" w:lineRule="auto"/>
                    <w:jc w:val="center"/>
                    <w:rPr>
                      <w:rFonts w:hint="eastAsia" w:ascii="Times New Roman" w:hAnsi="Times New Roman" w:eastAsia="宋体" w:cs="Times New Roman"/>
                      <w:b/>
                      <w:bCs/>
                      <w:color w:val="000000"/>
                      <w:sz w:val="21"/>
                      <w:szCs w:val="21"/>
                      <w:u w:val="none" w:color="auto"/>
                      <w:lang w:val="en-US" w:eastAsia="zh-CN"/>
                    </w:rPr>
                  </w:pPr>
                  <w:r>
                    <w:rPr>
                      <w:rFonts w:hint="eastAsia" w:ascii="Times New Roman" w:hAnsi="Times New Roman" w:eastAsia="宋体" w:cs="Times New Roman"/>
                      <w:b/>
                      <w:bCs/>
                      <w:color w:val="000000"/>
                      <w:sz w:val="21"/>
                      <w:szCs w:val="21"/>
                      <w:u w:val="none" w:color="auto"/>
                      <w:lang w:val="en-US" w:eastAsia="zh-CN"/>
                    </w:rPr>
                    <w:t>理化性质</w:t>
                  </w:r>
                </w:p>
              </w:tc>
            </w:tr>
            <w:tr w14:paraId="4F443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5" w:type="dxa"/>
                  <w:tcBorders>
                    <w:tl2br w:val="nil"/>
                    <w:tr2bl w:val="nil"/>
                  </w:tcBorders>
                  <w:noWrap w:val="0"/>
                  <w:vAlign w:val="center"/>
                </w:tcPr>
                <w:p w14:paraId="4EB790C0">
                  <w:pPr>
                    <w:spacing w:line="240" w:lineRule="auto"/>
                    <w:jc w:val="center"/>
                    <w:rPr>
                      <w:rFonts w:hint="default" w:ascii="Times New Roman" w:hAnsi="Times New Roman" w:eastAsia="宋体" w:cs="Times New Roman"/>
                      <w:b w:val="0"/>
                      <w:bCs w:val="0"/>
                      <w:color w:val="000000"/>
                      <w:sz w:val="21"/>
                      <w:szCs w:val="21"/>
                      <w:u w:val="none" w:color="auto"/>
                      <w:lang w:val="en-US" w:eastAsia="zh-CN"/>
                    </w:rPr>
                  </w:pPr>
                  <w:r>
                    <w:rPr>
                      <w:rFonts w:hint="eastAsia" w:cs="Times New Roman"/>
                      <w:b w:val="0"/>
                      <w:bCs w:val="0"/>
                      <w:color w:val="000000"/>
                      <w:sz w:val="21"/>
                      <w:szCs w:val="21"/>
                      <w:u w:val="none" w:color="auto"/>
                      <w:lang w:val="en-US" w:eastAsia="zh-CN"/>
                    </w:rPr>
                    <w:t>润滑油</w:t>
                  </w:r>
                </w:p>
              </w:tc>
              <w:tc>
                <w:tcPr>
                  <w:tcW w:w="6285" w:type="dxa"/>
                  <w:tcBorders>
                    <w:tl2br w:val="nil"/>
                    <w:tr2bl w:val="nil"/>
                  </w:tcBorders>
                  <w:noWrap w:val="0"/>
                  <w:vAlign w:val="center"/>
                </w:tcPr>
                <w:p w14:paraId="6AFF6705">
                  <w:pPr>
                    <w:spacing w:line="240" w:lineRule="auto"/>
                    <w:jc w:val="center"/>
                    <w:rPr>
                      <w:rFonts w:hint="eastAsia" w:ascii="Times New Roman" w:hAnsi="Times New Roman" w:eastAsia="宋体" w:cs="Times New Roman"/>
                      <w:b w:val="0"/>
                      <w:bCs w:val="0"/>
                      <w:color w:val="000000"/>
                      <w:sz w:val="21"/>
                      <w:szCs w:val="21"/>
                      <w:u w:val="none" w:color="auto"/>
                      <w:lang w:val="en-US" w:eastAsia="zh-CN"/>
                    </w:rPr>
                  </w:pPr>
                  <w:r>
                    <w:rPr>
                      <w:rFonts w:hint="default" w:ascii="Times New Roman" w:hAnsi="Times New Roman" w:cs="Times New Roman"/>
                      <w:sz w:val="21"/>
                      <w:szCs w:val="21"/>
                      <w:u w:val="none" w:color="auto"/>
                    </w:rPr>
                    <w:t>为无色半透明油状液体，无或几乎无荧光，冷时无臭、无味，加热时略有石油气味，不溶于水、乙醇，溶于挥发油，混溶于多数非挥发性油，对光、热、酸等稳定，但长时间接触光和热会慢慢氧化。燃爆危险：可燃；危险特性：易燃、火灾、毒性；燃烧分解产物：一氧化氮、碳氢化合物、氮氧化物。侵入途径：食入、经皮吸收；健康危害：封闭毛孔，皮肤不能正常代谢，造成皮肤生理功能受损；环境危害：对土壤有危害。</w:t>
                  </w:r>
                </w:p>
              </w:tc>
            </w:tr>
            <w:tr w14:paraId="567D0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5" w:type="dxa"/>
                  <w:tcBorders>
                    <w:tl2br w:val="nil"/>
                    <w:tr2bl w:val="nil"/>
                  </w:tcBorders>
                  <w:noWrap w:val="0"/>
                  <w:vAlign w:val="center"/>
                </w:tcPr>
                <w:p w14:paraId="020B2D9B">
                  <w:pPr>
                    <w:spacing w:line="240" w:lineRule="auto"/>
                    <w:jc w:val="center"/>
                    <w:rPr>
                      <w:rFonts w:hint="default" w:cs="Times New Roman"/>
                      <w:b w:val="0"/>
                      <w:bCs w:val="0"/>
                      <w:color w:val="000000"/>
                      <w:sz w:val="21"/>
                      <w:szCs w:val="21"/>
                      <w:u w:val="none" w:color="auto"/>
                      <w:lang w:val="en-US" w:eastAsia="zh-CN"/>
                    </w:rPr>
                  </w:pPr>
                  <w:r>
                    <w:rPr>
                      <w:rFonts w:hint="eastAsia" w:cs="Times New Roman"/>
                      <w:b w:val="0"/>
                      <w:bCs w:val="0"/>
                      <w:color w:val="000000"/>
                      <w:sz w:val="21"/>
                      <w:szCs w:val="21"/>
                      <w:u w:val="none" w:color="auto"/>
                      <w:lang w:val="en-US" w:eastAsia="zh-CN"/>
                    </w:rPr>
                    <w:t>液压油</w:t>
                  </w:r>
                </w:p>
              </w:tc>
              <w:tc>
                <w:tcPr>
                  <w:tcW w:w="6285" w:type="dxa"/>
                  <w:tcBorders>
                    <w:tl2br w:val="nil"/>
                    <w:tr2bl w:val="nil"/>
                  </w:tcBorders>
                  <w:noWrap w:val="0"/>
                  <w:vAlign w:val="center"/>
                </w:tcPr>
                <w:p w14:paraId="5C3CD847">
                  <w:pPr>
                    <w:spacing w:line="240" w:lineRule="auto"/>
                    <w:jc w:val="center"/>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油状液体，淡黄色至褐色，无气味或略带异味。溶解性</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不溶于水</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燃烧性</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遇明火、高热可燃。燃烧产物</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一氧化碳、二氧化碳。消防人员须佩戴防毒面具、穿全身消防服，在上凤向灭火。尽可能将容器从火场移至空旷处。喷水保持火场容器冷却，直至灭火结束。灭火剂</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水、泡沫、干粉、二氧化碳、砂士。慢入途径</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吸入、食入</w:t>
                  </w:r>
                  <w:r>
                    <w:rPr>
                      <w:rFonts w:hint="eastAsia" w:cs="Times New Roman"/>
                      <w:sz w:val="21"/>
                      <w:szCs w:val="21"/>
                      <w:u w:val="none" w:color="auto"/>
                      <w:lang w:eastAsia="zh-CN"/>
                    </w:rPr>
                    <w:t>；</w:t>
                  </w:r>
                  <w:r>
                    <w:rPr>
                      <w:rFonts w:hint="default" w:ascii="Times New Roman" w:hAnsi="Times New Roman" w:cs="Times New Roman"/>
                      <w:sz w:val="21"/>
                      <w:szCs w:val="21"/>
                      <w:u w:val="none" w:color="auto"/>
                    </w:rPr>
                    <w:t>急性吸入，可出现乏力、头晕、头痛、恶心，严重者可引起油脂性肿炎。慢接触者，暴露部位可发生油性痤疮和接触性皮炎。可引起神经衰弱综合征，呼吸道和眼刺激症状及性油脂性肺炎。</w:t>
                  </w:r>
                </w:p>
              </w:tc>
            </w:tr>
          </w:tbl>
          <w:p w14:paraId="60D09ADF">
            <w:pPr>
              <w:adjustRightInd w:val="0"/>
              <w:snapToGrid w:val="0"/>
              <w:spacing w:line="240" w:lineRule="auto"/>
              <w:rPr>
                <w:b/>
                <w:bCs/>
                <w:sz w:val="21"/>
                <w:szCs w:val="21"/>
                <w:u w:val="single"/>
              </w:rPr>
            </w:pPr>
            <w:r>
              <w:rPr>
                <w:rFonts w:hint="eastAsia"/>
                <w:b/>
                <w:bCs/>
                <w:sz w:val="24"/>
                <w:szCs w:val="24"/>
                <w:u w:val="single"/>
              </w:rPr>
              <w:t>项目物料平衡见下表：</w:t>
            </w:r>
          </w:p>
          <w:p w14:paraId="5DD3B93C">
            <w:pPr>
              <w:adjustRightInd w:val="0"/>
              <w:snapToGrid w:val="0"/>
              <w:spacing w:line="240" w:lineRule="auto"/>
              <w:jc w:val="center"/>
              <w:rPr>
                <w:u w:val="single"/>
              </w:rPr>
            </w:pPr>
            <w:r>
              <w:rPr>
                <w:b/>
                <w:bCs/>
                <w:sz w:val="21"/>
                <w:szCs w:val="21"/>
                <w:u w:val="single"/>
              </w:rPr>
              <w:t>表2-</w:t>
            </w:r>
            <w:r>
              <w:rPr>
                <w:rFonts w:hint="eastAsia"/>
                <w:b/>
                <w:bCs/>
                <w:sz w:val="21"/>
                <w:szCs w:val="21"/>
                <w:u w:val="single"/>
                <w:lang w:val="en-US" w:eastAsia="zh-CN"/>
              </w:rPr>
              <w:t>8</w:t>
            </w:r>
            <w:r>
              <w:rPr>
                <w:b/>
                <w:bCs/>
                <w:sz w:val="21"/>
                <w:szCs w:val="21"/>
                <w:u w:val="single"/>
              </w:rPr>
              <w:t xml:space="preserve">  项目物料平衡表</w:t>
            </w: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81"/>
              <w:gridCol w:w="1584"/>
              <w:gridCol w:w="1180"/>
              <w:gridCol w:w="576"/>
              <w:gridCol w:w="1019"/>
              <w:gridCol w:w="1501"/>
              <w:gridCol w:w="1096"/>
            </w:tblGrid>
            <w:tr w14:paraId="12ED5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219" w:type="pct"/>
                  <w:gridSpan w:val="3"/>
                  <w:noWrap w:val="0"/>
                  <w:vAlign w:val="center"/>
                </w:tcPr>
                <w:p w14:paraId="37E4FA61">
                  <w:pPr>
                    <w:spacing w:line="240" w:lineRule="auto"/>
                    <w:jc w:val="center"/>
                    <w:rPr>
                      <w:b/>
                      <w:bCs/>
                      <w:sz w:val="21"/>
                      <w:szCs w:val="21"/>
                      <w:u w:val="single"/>
                    </w:rPr>
                  </w:pPr>
                  <w:r>
                    <w:rPr>
                      <w:b/>
                      <w:bCs/>
                      <w:sz w:val="21"/>
                      <w:szCs w:val="21"/>
                      <w:u w:val="single"/>
                    </w:rPr>
                    <w:t>输入</w:t>
                  </w:r>
                </w:p>
              </w:tc>
              <w:tc>
                <w:tcPr>
                  <w:tcW w:w="2780" w:type="pct"/>
                  <w:gridSpan w:val="4"/>
                  <w:noWrap w:val="0"/>
                  <w:vAlign w:val="center"/>
                </w:tcPr>
                <w:p w14:paraId="40EA8B0A">
                  <w:pPr>
                    <w:spacing w:line="240" w:lineRule="auto"/>
                    <w:jc w:val="center"/>
                    <w:rPr>
                      <w:b/>
                      <w:bCs/>
                      <w:sz w:val="21"/>
                      <w:szCs w:val="21"/>
                      <w:u w:val="single"/>
                    </w:rPr>
                  </w:pPr>
                  <w:r>
                    <w:rPr>
                      <w:b/>
                      <w:bCs/>
                      <w:sz w:val="21"/>
                      <w:szCs w:val="21"/>
                      <w:u w:val="single"/>
                    </w:rPr>
                    <w:t>输出</w:t>
                  </w:r>
                </w:p>
              </w:tc>
            </w:tr>
            <w:tr w14:paraId="3D547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noWrap w:val="0"/>
                  <w:vAlign w:val="center"/>
                </w:tcPr>
                <w:p w14:paraId="6C79D1E1">
                  <w:pPr>
                    <w:spacing w:line="240" w:lineRule="auto"/>
                    <w:jc w:val="center"/>
                    <w:rPr>
                      <w:sz w:val="21"/>
                      <w:szCs w:val="21"/>
                      <w:u w:val="single"/>
                    </w:rPr>
                  </w:pPr>
                  <w:r>
                    <w:rPr>
                      <w:sz w:val="21"/>
                      <w:szCs w:val="21"/>
                      <w:u w:val="single"/>
                    </w:rPr>
                    <w:t>序号</w:t>
                  </w:r>
                </w:p>
              </w:tc>
              <w:tc>
                <w:tcPr>
                  <w:tcW w:w="1050" w:type="pct"/>
                  <w:noWrap w:val="0"/>
                  <w:vAlign w:val="center"/>
                </w:tcPr>
                <w:p w14:paraId="5E5F4695">
                  <w:pPr>
                    <w:spacing w:line="240" w:lineRule="auto"/>
                    <w:jc w:val="center"/>
                    <w:rPr>
                      <w:sz w:val="21"/>
                      <w:szCs w:val="21"/>
                      <w:u w:val="single"/>
                    </w:rPr>
                  </w:pPr>
                  <w:r>
                    <w:rPr>
                      <w:sz w:val="21"/>
                      <w:szCs w:val="21"/>
                      <w:u w:val="single"/>
                    </w:rPr>
                    <w:t>物料名称</w:t>
                  </w:r>
                </w:p>
              </w:tc>
              <w:tc>
                <w:tcPr>
                  <w:tcW w:w="782" w:type="pct"/>
                  <w:noWrap w:val="0"/>
                  <w:vAlign w:val="center"/>
                </w:tcPr>
                <w:p w14:paraId="029BA49C">
                  <w:pPr>
                    <w:spacing w:line="240" w:lineRule="auto"/>
                    <w:jc w:val="center"/>
                    <w:rPr>
                      <w:rFonts w:hint="eastAsia" w:eastAsia="宋体"/>
                      <w:sz w:val="21"/>
                      <w:szCs w:val="21"/>
                      <w:u w:val="single"/>
                      <w:lang w:eastAsia="zh-CN"/>
                    </w:rPr>
                  </w:pPr>
                  <w:r>
                    <w:rPr>
                      <w:sz w:val="21"/>
                      <w:szCs w:val="21"/>
                      <w:u w:val="single"/>
                    </w:rPr>
                    <w:t xml:space="preserve">数量 （t/a </w:t>
                  </w:r>
                  <w:r>
                    <w:rPr>
                      <w:rFonts w:hint="eastAsia"/>
                      <w:sz w:val="21"/>
                      <w:szCs w:val="21"/>
                      <w:u w:val="single"/>
                      <w:lang w:eastAsia="zh-CN"/>
                    </w:rPr>
                    <w:t>）</w:t>
                  </w:r>
                </w:p>
              </w:tc>
              <w:tc>
                <w:tcPr>
                  <w:tcW w:w="382" w:type="pct"/>
                  <w:noWrap w:val="0"/>
                  <w:vAlign w:val="center"/>
                </w:tcPr>
                <w:p w14:paraId="3ADD84F7">
                  <w:pPr>
                    <w:spacing w:line="240" w:lineRule="auto"/>
                    <w:jc w:val="center"/>
                    <w:rPr>
                      <w:sz w:val="21"/>
                      <w:szCs w:val="21"/>
                      <w:u w:val="single"/>
                    </w:rPr>
                  </w:pPr>
                  <w:r>
                    <w:rPr>
                      <w:sz w:val="21"/>
                      <w:szCs w:val="21"/>
                      <w:u w:val="single"/>
                    </w:rPr>
                    <w:t>序号</w:t>
                  </w:r>
                </w:p>
              </w:tc>
              <w:tc>
                <w:tcPr>
                  <w:tcW w:w="1671" w:type="pct"/>
                  <w:gridSpan w:val="2"/>
                  <w:noWrap w:val="0"/>
                  <w:vAlign w:val="center"/>
                </w:tcPr>
                <w:p w14:paraId="6FDE3E01">
                  <w:pPr>
                    <w:spacing w:line="240" w:lineRule="auto"/>
                    <w:jc w:val="center"/>
                    <w:rPr>
                      <w:sz w:val="21"/>
                      <w:szCs w:val="21"/>
                      <w:u w:val="single"/>
                    </w:rPr>
                  </w:pPr>
                  <w:r>
                    <w:rPr>
                      <w:sz w:val="21"/>
                      <w:szCs w:val="21"/>
                      <w:u w:val="single"/>
                    </w:rPr>
                    <w:t>物料名称</w:t>
                  </w:r>
                </w:p>
              </w:tc>
              <w:tc>
                <w:tcPr>
                  <w:tcW w:w="727" w:type="pct"/>
                  <w:noWrap w:val="0"/>
                  <w:vAlign w:val="center"/>
                </w:tcPr>
                <w:p w14:paraId="24EEFBC5">
                  <w:pPr>
                    <w:spacing w:line="240" w:lineRule="auto"/>
                    <w:jc w:val="center"/>
                    <w:rPr>
                      <w:rFonts w:hint="eastAsia" w:eastAsia="宋体"/>
                      <w:sz w:val="21"/>
                      <w:szCs w:val="21"/>
                      <w:u w:val="single"/>
                      <w:lang w:eastAsia="zh-CN"/>
                    </w:rPr>
                  </w:pPr>
                  <w:r>
                    <w:rPr>
                      <w:sz w:val="21"/>
                      <w:szCs w:val="21"/>
                      <w:u w:val="single"/>
                    </w:rPr>
                    <w:t xml:space="preserve">数量 （t/a </w:t>
                  </w:r>
                  <w:r>
                    <w:rPr>
                      <w:rFonts w:hint="eastAsia"/>
                      <w:sz w:val="21"/>
                      <w:szCs w:val="21"/>
                      <w:u w:val="single"/>
                      <w:lang w:eastAsia="zh-CN"/>
                    </w:rPr>
                    <w:t>）</w:t>
                  </w:r>
                </w:p>
              </w:tc>
            </w:tr>
            <w:tr w14:paraId="118CF8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3775E650">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1</w:t>
                  </w:r>
                </w:p>
              </w:tc>
              <w:tc>
                <w:tcPr>
                  <w:tcW w:w="1050" w:type="pct"/>
                  <w:shd w:val="clear" w:color="auto" w:fill="auto"/>
                  <w:noWrap w:val="0"/>
                  <w:vAlign w:val="center"/>
                </w:tcPr>
                <w:p w14:paraId="693BF0D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废纺织布料</w:t>
                  </w:r>
                </w:p>
              </w:tc>
              <w:tc>
                <w:tcPr>
                  <w:tcW w:w="782" w:type="pct"/>
                  <w:shd w:val="clear" w:color="auto" w:fill="auto"/>
                  <w:noWrap w:val="0"/>
                  <w:vAlign w:val="center"/>
                </w:tcPr>
                <w:p w14:paraId="282C8495">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25000</w:t>
                  </w:r>
                </w:p>
              </w:tc>
              <w:tc>
                <w:tcPr>
                  <w:tcW w:w="382" w:type="pct"/>
                  <w:noWrap w:val="0"/>
                  <w:vAlign w:val="center"/>
                </w:tcPr>
                <w:p w14:paraId="6BB5B834">
                  <w:pPr>
                    <w:spacing w:line="240" w:lineRule="auto"/>
                    <w:jc w:val="center"/>
                    <w:rPr>
                      <w:sz w:val="21"/>
                      <w:szCs w:val="21"/>
                      <w:u w:val="single"/>
                    </w:rPr>
                  </w:pPr>
                  <w:r>
                    <w:rPr>
                      <w:sz w:val="21"/>
                      <w:szCs w:val="21"/>
                      <w:u w:val="single"/>
                    </w:rPr>
                    <w:t>1</w:t>
                  </w:r>
                </w:p>
              </w:tc>
              <w:tc>
                <w:tcPr>
                  <w:tcW w:w="675" w:type="pct"/>
                  <w:vMerge w:val="restart"/>
                  <w:noWrap w:val="0"/>
                  <w:vAlign w:val="center"/>
                </w:tcPr>
                <w:p w14:paraId="3EAB89AA">
                  <w:pPr>
                    <w:spacing w:line="240" w:lineRule="auto"/>
                    <w:jc w:val="center"/>
                    <w:rPr>
                      <w:rFonts w:hint="eastAsia"/>
                      <w:sz w:val="21"/>
                      <w:szCs w:val="21"/>
                      <w:u w:val="single"/>
                    </w:rPr>
                  </w:pPr>
                  <w:r>
                    <w:rPr>
                      <w:rFonts w:hint="eastAsia"/>
                      <w:sz w:val="21"/>
                      <w:szCs w:val="21"/>
                      <w:u w:val="single"/>
                    </w:rPr>
                    <w:t>产品</w:t>
                  </w:r>
                </w:p>
              </w:tc>
              <w:tc>
                <w:tcPr>
                  <w:tcW w:w="995" w:type="pct"/>
                  <w:shd w:val="clear" w:color="auto" w:fill="auto"/>
                  <w:noWrap w:val="0"/>
                  <w:vAlign w:val="center"/>
                </w:tcPr>
                <w:p w14:paraId="55F61B8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single" w:color="auto"/>
                      <w:lang w:val="en-US" w:eastAsia="zh-CN" w:bidi="ar-SA"/>
                    </w:rPr>
                  </w:pPr>
                  <w:r>
                    <w:rPr>
                      <w:rFonts w:hint="eastAsia" w:ascii="Times New Roman" w:hAnsi="Times New Roman" w:eastAsia="宋体" w:cs="Times New Roman"/>
                      <w:b w:val="0"/>
                      <w:bCs/>
                      <w:color w:val="000000"/>
                      <w:kern w:val="2"/>
                      <w:sz w:val="21"/>
                      <w:szCs w:val="21"/>
                      <w:highlight w:val="none"/>
                      <w:u w:val="single" w:color="auto"/>
                      <w:lang w:val="en-US" w:eastAsia="zh-CN" w:bidi="ar-SA"/>
                    </w:rPr>
                    <w:t>替代燃料</w:t>
                  </w:r>
                </w:p>
              </w:tc>
              <w:tc>
                <w:tcPr>
                  <w:tcW w:w="727" w:type="pct"/>
                  <w:shd w:val="clear" w:color="auto" w:fill="auto"/>
                  <w:noWrap w:val="0"/>
                  <w:vAlign w:val="center"/>
                </w:tcPr>
                <w:p w14:paraId="76E92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default" w:ascii="Times New Roman" w:hAnsi="Times New Roman" w:cs="Times New Roman"/>
                      <w:b w:val="0"/>
                      <w:bCs w:val="0"/>
                      <w:color w:val="auto"/>
                      <w:kern w:val="0"/>
                      <w:sz w:val="21"/>
                      <w:szCs w:val="21"/>
                      <w:highlight w:val="none"/>
                      <w:u w:val="single" w:color="auto"/>
                    </w:rPr>
                    <w:t>50000</w:t>
                  </w:r>
                </w:p>
              </w:tc>
            </w:tr>
            <w:tr w14:paraId="52F0D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385" w:type="pct"/>
                  <w:shd w:val="clear" w:color="auto" w:fill="auto"/>
                  <w:noWrap w:val="0"/>
                  <w:vAlign w:val="center"/>
                </w:tcPr>
                <w:p w14:paraId="2BC76AA9">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2</w:t>
                  </w:r>
                </w:p>
              </w:tc>
              <w:tc>
                <w:tcPr>
                  <w:tcW w:w="1050" w:type="pct"/>
                  <w:shd w:val="clear" w:color="auto" w:fill="auto"/>
                  <w:noWrap w:val="0"/>
                  <w:vAlign w:val="center"/>
                </w:tcPr>
                <w:p w14:paraId="2CDC53E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废鞋材料</w:t>
                  </w:r>
                </w:p>
              </w:tc>
              <w:tc>
                <w:tcPr>
                  <w:tcW w:w="782" w:type="pct"/>
                  <w:shd w:val="clear" w:color="auto" w:fill="auto"/>
                  <w:noWrap w:val="0"/>
                  <w:vAlign w:val="center"/>
                </w:tcPr>
                <w:p w14:paraId="190E30F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p>
              </w:tc>
              <w:tc>
                <w:tcPr>
                  <w:tcW w:w="382" w:type="pct"/>
                  <w:noWrap w:val="0"/>
                  <w:vAlign w:val="center"/>
                </w:tcPr>
                <w:p w14:paraId="18455A37">
                  <w:pPr>
                    <w:spacing w:line="240" w:lineRule="auto"/>
                    <w:jc w:val="center"/>
                    <w:rPr>
                      <w:sz w:val="21"/>
                      <w:szCs w:val="21"/>
                      <w:u w:val="single"/>
                    </w:rPr>
                  </w:pPr>
                  <w:r>
                    <w:rPr>
                      <w:sz w:val="21"/>
                      <w:szCs w:val="21"/>
                      <w:u w:val="single"/>
                    </w:rPr>
                    <w:t>2</w:t>
                  </w:r>
                </w:p>
              </w:tc>
              <w:tc>
                <w:tcPr>
                  <w:tcW w:w="675" w:type="pct"/>
                  <w:vMerge w:val="continue"/>
                  <w:noWrap w:val="0"/>
                  <w:vAlign w:val="center"/>
                </w:tcPr>
                <w:p w14:paraId="6A1FE484">
                  <w:pPr>
                    <w:spacing w:line="240" w:lineRule="auto"/>
                    <w:jc w:val="center"/>
                    <w:rPr>
                      <w:sz w:val="21"/>
                      <w:szCs w:val="21"/>
                      <w:u w:val="single"/>
                    </w:rPr>
                  </w:pPr>
                </w:p>
              </w:tc>
              <w:tc>
                <w:tcPr>
                  <w:tcW w:w="995" w:type="pct"/>
                  <w:shd w:val="clear" w:color="auto" w:fill="auto"/>
                  <w:noWrap w:val="0"/>
                  <w:vAlign w:val="center"/>
                </w:tcPr>
                <w:p w14:paraId="388DED1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single" w:color="auto"/>
                      <w:lang w:val="en-US" w:eastAsia="zh-CN" w:bidi="ar-SA"/>
                    </w:rPr>
                  </w:pPr>
                  <w:r>
                    <w:rPr>
                      <w:rFonts w:hint="eastAsia" w:ascii="Times New Roman" w:hAnsi="Times New Roman" w:eastAsia="宋体" w:cs="Times New Roman"/>
                      <w:b w:val="0"/>
                      <w:bCs/>
                      <w:color w:val="000000"/>
                      <w:kern w:val="2"/>
                      <w:sz w:val="21"/>
                      <w:szCs w:val="21"/>
                      <w:highlight w:val="none"/>
                      <w:u w:val="single" w:color="auto"/>
                      <w:lang w:val="en-US" w:eastAsia="zh-CN" w:bidi="ar-SA"/>
                    </w:rPr>
                    <w:t>废塑料</w:t>
                  </w:r>
                </w:p>
              </w:tc>
              <w:tc>
                <w:tcPr>
                  <w:tcW w:w="727" w:type="pct"/>
                  <w:shd w:val="clear" w:color="auto" w:fill="auto"/>
                  <w:noWrap w:val="0"/>
                  <w:vAlign w:val="center"/>
                </w:tcPr>
                <w:p w14:paraId="28A7D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cs="Times New Roman"/>
                      <w:b w:val="0"/>
                      <w:bCs w:val="0"/>
                      <w:color w:val="auto"/>
                      <w:kern w:val="0"/>
                      <w:sz w:val="21"/>
                      <w:szCs w:val="21"/>
                      <w:highlight w:val="none"/>
                      <w:u w:val="single" w:color="auto"/>
                      <w:lang w:val="en-US" w:eastAsia="zh-CN"/>
                    </w:rPr>
                    <w:t>1</w:t>
                  </w:r>
                  <w:r>
                    <w:rPr>
                      <w:rFonts w:hint="default" w:ascii="Times New Roman" w:hAnsi="Times New Roman" w:cs="Times New Roman"/>
                      <w:b w:val="0"/>
                      <w:bCs w:val="0"/>
                      <w:color w:val="auto"/>
                      <w:kern w:val="0"/>
                      <w:sz w:val="21"/>
                      <w:szCs w:val="21"/>
                      <w:highlight w:val="none"/>
                      <w:u w:val="single" w:color="auto"/>
                    </w:rPr>
                    <w:t>0000</w:t>
                  </w:r>
                </w:p>
              </w:tc>
            </w:tr>
            <w:tr w14:paraId="1FB855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6AB71A33">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3</w:t>
                  </w:r>
                </w:p>
              </w:tc>
              <w:tc>
                <w:tcPr>
                  <w:tcW w:w="1050" w:type="pct"/>
                  <w:shd w:val="clear" w:color="auto" w:fill="auto"/>
                  <w:noWrap w:val="0"/>
                  <w:vAlign w:val="center"/>
                </w:tcPr>
                <w:p w14:paraId="55D715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废箱包材料</w:t>
                  </w:r>
                </w:p>
              </w:tc>
              <w:tc>
                <w:tcPr>
                  <w:tcW w:w="782" w:type="pct"/>
                  <w:shd w:val="clear" w:color="auto" w:fill="auto"/>
                  <w:noWrap w:val="0"/>
                  <w:vAlign w:val="center"/>
                </w:tcPr>
                <w:p w14:paraId="2FAEC7A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p>
              </w:tc>
              <w:tc>
                <w:tcPr>
                  <w:tcW w:w="382" w:type="pct"/>
                  <w:noWrap w:val="0"/>
                  <w:vAlign w:val="center"/>
                </w:tcPr>
                <w:p w14:paraId="10EF6FC1">
                  <w:pPr>
                    <w:spacing w:line="240" w:lineRule="auto"/>
                    <w:jc w:val="center"/>
                    <w:rPr>
                      <w:sz w:val="21"/>
                      <w:szCs w:val="21"/>
                      <w:u w:val="single"/>
                    </w:rPr>
                  </w:pPr>
                  <w:r>
                    <w:rPr>
                      <w:sz w:val="21"/>
                      <w:szCs w:val="21"/>
                      <w:u w:val="single"/>
                    </w:rPr>
                    <w:t>3</w:t>
                  </w:r>
                </w:p>
              </w:tc>
              <w:tc>
                <w:tcPr>
                  <w:tcW w:w="675" w:type="pct"/>
                  <w:vMerge w:val="continue"/>
                  <w:noWrap w:val="0"/>
                  <w:vAlign w:val="center"/>
                </w:tcPr>
                <w:p w14:paraId="5E9BEF61">
                  <w:pPr>
                    <w:spacing w:line="240" w:lineRule="auto"/>
                    <w:jc w:val="center"/>
                    <w:rPr>
                      <w:sz w:val="21"/>
                      <w:szCs w:val="21"/>
                      <w:u w:val="single"/>
                    </w:rPr>
                  </w:pPr>
                </w:p>
              </w:tc>
              <w:tc>
                <w:tcPr>
                  <w:tcW w:w="995" w:type="pct"/>
                  <w:shd w:val="clear" w:color="auto" w:fill="auto"/>
                  <w:noWrap w:val="0"/>
                  <w:vAlign w:val="center"/>
                </w:tcPr>
                <w:p w14:paraId="102BDD8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single" w:color="auto"/>
                      <w:lang w:val="en-US" w:eastAsia="zh-CN" w:bidi="ar-SA"/>
                    </w:rPr>
                  </w:pPr>
                  <w:r>
                    <w:rPr>
                      <w:rFonts w:hint="eastAsia" w:ascii="Times New Roman" w:hAnsi="Times New Roman" w:eastAsia="宋体" w:cs="Times New Roman"/>
                      <w:b w:val="0"/>
                      <w:bCs/>
                      <w:color w:val="000000"/>
                      <w:kern w:val="2"/>
                      <w:sz w:val="21"/>
                      <w:szCs w:val="21"/>
                      <w:highlight w:val="none"/>
                      <w:u w:val="single" w:color="auto"/>
                      <w:lang w:val="en-US" w:eastAsia="zh-CN" w:bidi="ar-SA"/>
                    </w:rPr>
                    <w:t>废纸/纸箱</w:t>
                  </w:r>
                </w:p>
              </w:tc>
              <w:tc>
                <w:tcPr>
                  <w:tcW w:w="727" w:type="pct"/>
                  <w:shd w:val="clear" w:color="auto" w:fill="auto"/>
                  <w:noWrap w:val="0"/>
                  <w:vAlign w:val="center"/>
                </w:tcPr>
                <w:p w14:paraId="6C5B9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cs="Times New Roman"/>
                      <w:b w:val="0"/>
                      <w:bCs w:val="0"/>
                      <w:color w:val="auto"/>
                      <w:kern w:val="0"/>
                      <w:sz w:val="21"/>
                      <w:szCs w:val="21"/>
                      <w:highlight w:val="none"/>
                      <w:u w:val="single" w:color="auto"/>
                      <w:lang w:val="en-US" w:eastAsia="zh-CN"/>
                    </w:rPr>
                    <w:t>1</w:t>
                  </w:r>
                  <w:r>
                    <w:rPr>
                      <w:rFonts w:hint="default" w:ascii="Times New Roman" w:hAnsi="Times New Roman" w:cs="Times New Roman"/>
                      <w:b w:val="0"/>
                      <w:bCs w:val="0"/>
                      <w:color w:val="auto"/>
                      <w:kern w:val="0"/>
                      <w:sz w:val="21"/>
                      <w:szCs w:val="21"/>
                      <w:highlight w:val="none"/>
                      <w:u w:val="single" w:color="auto"/>
                    </w:rPr>
                    <w:t>0000</w:t>
                  </w:r>
                </w:p>
              </w:tc>
            </w:tr>
            <w:tr w14:paraId="0B32A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320CE9CA">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4</w:t>
                  </w:r>
                </w:p>
              </w:tc>
              <w:tc>
                <w:tcPr>
                  <w:tcW w:w="1050" w:type="pct"/>
                  <w:shd w:val="clear" w:color="auto" w:fill="auto"/>
                  <w:noWrap w:val="0"/>
                  <w:vAlign w:val="center"/>
                </w:tcPr>
                <w:p w14:paraId="43D9BCE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废塑胶</w:t>
                  </w:r>
                </w:p>
              </w:tc>
              <w:tc>
                <w:tcPr>
                  <w:tcW w:w="782" w:type="pct"/>
                  <w:shd w:val="clear" w:color="auto" w:fill="auto"/>
                  <w:noWrap w:val="0"/>
                  <w:vAlign w:val="center"/>
                </w:tcPr>
                <w:p w14:paraId="0A57C40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5000</w:t>
                  </w:r>
                </w:p>
              </w:tc>
              <w:tc>
                <w:tcPr>
                  <w:tcW w:w="382" w:type="pct"/>
                  <w:noWrap w:val="0"/>
                  <w:vAlign w:val="center"/>
                </w:tcPr>
                <w:p w14:paraId="47E64526">
                  <w:pPr>
                    <w:spacing w:line="240" w:lineRule="auto"/>
                    <w:jc w:val="center"/>
                    <w:rPr>
                      <w:sz w:val="21"/>
                      <w:szCs w:val="21"/>
                      <w:u w:val="single"/>
                    </w:rPr>
                  </w:pPr>
                  <w:r>
                    <w:rPr>
                      <w:sz w:val="21"/>
                      <w:szCs w:val="21"/>
                      <w:u w:val="single"/>
                    </w:rPr>
                    <w:t>4</w:t>
                  </w:r>
                </w:p>
              </w:tc>
              <w:tc>
                <w:tcPr>
                  <w:tcW w:w="675" w:type="pct"/>
                  <w:vMerge w:val="continue"/>
                  <w:noWrap w:val="0"/>
                  <w:vAlign w:val="center"/>
                </w:tcPr>
                <w:p w14:paraId="2CE6E899">
                  <w:pPr>
                    <w:spacing w:line="240" w:lineRule="auto"/>
                    <w:jc w:val="center"/>
                    <w:rPr>
                      <w:sz w:val="21"/>
                      <w:szCs w:val="21"/>
                      <w:u w:val="single"/>
                    </w:rPr>
                  </w:pPr>
                </w:p>
              </w:tc>
              <w:tc>
                <w:tcPr>
                  <w:tcW w:w="995" w:type="pct"/>
                  <w:shd w:val="clear" w:color="auto" w:fill="auto"/>
                  <w:noWrap w:val="0"/>
                  <w:vAlign w:val="center"/>
                </w:tcPr>
                <w:p w14:paraId="5BE09D5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b w:val="0"/>
                      <w:bCs/>
                      <w:color w:val="000000"/>
                      <w:kern w:val="2"/>
                      <w:sz w:val="21"/>
                      <w:szCs w:val="21"/>
                      <w:highlight w:val="none"/>
                      <w:u w:val="single" w:color="auto"/>
                      <w:lang w:val="en-US" w:eastAsia="zh-CN" w:bidi="ar-SA"/>
                    </w:rPr>
                  </w:pPr>
                  <w:r>
                    <w:rPr>
                      <w:rFonts w:hint="eastAsia" w:ascii="Times New Roman" w:hAnsi="Times New Roman" w:eastAsia="宋体" w:cs="Times New Roman"/>
                      <w:b w:val="0"/>
                      <w:bCs/>
                      <w:color w:val="000000"/>
                      <w:kern w:val="2"/>
                      <w:sz w:val="21"/>
                      <w:szCs w:val="21"/>
                      <w:highlight w:val="none"/>
                      <w:u w:val="single" w:color="auto"/>
                      <w:lang w:val="en-US" w:eastAsia="zh-CN" w:bidi="ar-SA"/>
                    </w:rPr>
                    <w:t>废旧整衣服</w:t>
                  </w:r>
                </w:p>
              </w:tc>
              <w:tc>
                <w:tcPr>
                  <w:tcW w:w="727" w:type="pct"/>
                  <w:shd w:val="clear" w:color="auto" w:fill="auto"/>
                  <w:noWrap w:val="0"/>
                  <w:vAlign w:val="center"/>
                </w:tcPr>
                <w:p w14:paraId="086D5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single" w:color="auto"/>
                      <w:lang w:val="en-US" w:eastAsia="zh-CN" w:bidi="ar-SA"/>
                    </w:rPr>
                  </w:pPr>
                  <w:r>
                    <w:rPr>
                      <w:rFonts w:hint="eastAsia" w:ascii="Times New Roman" w:hAnsi="Times New Roman" w:cs="Times New Roman"/>
                      <w:b w:val="0"/>
                      <w:bCs w:val="0"/>
                      <w:color w:val="auto"/>
                      <w:kern w:val="0"/>
                      <w:sz w:val="21"/>
                      <w:szCs w:val="21"/>
                      <w:highlight w:val="none"/>
                      <w:u w:val="single" w:color="auto"/>
                      <w:lang w:val="en-US" w:eastAsia="zh-CN"/>
                    </w:rPr>
                    <w:t>1</w:t>
                  </w:r>
                  <w:r>
                    <w:rPr>
                      <w:rFonts w:hint="default" w:ascii="Times New Roman" w:hAnsi="Times New Roman" w:cs="Times New Roman"/>
                      <w:b w:val="0"/>
                      <w:bCs w:val="0"/>
                      <w:color w:val="auto"/>
                      <w:kern w:val="0"/>
                      <w:sz w:val="21"/>
                      <w:szCs w:val="21"/>
                      <w:highlight w:val="none"/>
                      <w:u w:val="single" w:color="auto"/>
                    </w:rPr>
                    <w:t>0000</w:t>
                  </w:r>
                </w:p>
              </w:tc>
            </w:tr>
            <w:tr w14:paraId="0E3B3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365290C0">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5</w:t>
                  </w:r>
                </w:p>
              </w:tc>
              <w:tc>
                <w:tcPr>
                  <w:tcW w:w="1050" w:type="pct"/>
                  <w:shd w:val="clear" w:color="auto" w:fill="auto"/>
                  <w:noWrap w:val="0"/>
                  <w:vAlign w:val="center"/>
                </w:tcPr>
                <w:p w14:paraId="3B489468">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废塑料</w:t>
                  </w:r>
                </w:p>
              </w:tc>
              <w:tc>
                <w:tcPr>
                  <w:tcW w:w="782" w:type="pct"/>
                  <w:shd w:val="clear" w:color="auto" w:fill="auto"/>
                  <w:noWrap w:val="0"/>
                  <w:vAlign w:val="center"/>
                </w:tcPr>
                <w:p w14:paraId="21CD4F6A">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p>
              </w:tc>
              <w:tc>
                <w:tcPr>
                  <w:tcW w:w="382" w:type="pct"/>
                  <w:noWrap w:val="0"/>
                  <w:vAlign w:val="center"/>
                </w:tcPr>
                <w:p w14:paraId="0C20228E">
                  <w:pPr>
                    <w:spacing w:line="240" w:lineRule="auto"/>
                    <w:jc w:val="center"/>
                    <w:rPr>
                      <w:sz w:val="21"/>
                      <w:szCs w:val="21"/>
                      <w:u w:val="single"/>
                    </w:rPr>
                  </w:pPr>
                  <w:r>
                    <w:rPr>
                      <w:sz w:val="21"/>
                      <w:szCs w:val="21"/>
                      <w:u w:val="single"/>
                    </w:rPr>
                    <w:t>5</w:t>
                  </w:r>
                </w:p>
              </w:tc>
              <w:tc>
                <w:tcPr>
                  <w:tcW w:w="675" w:type="pct"/>
                  <w:vMerge w:val="restart"/>
                  <w:noWrap w:val="0"/>
                  <w:vAlign w:val="center"/>
                </w:tcPr>
                <w:p w14:paraId="3A7CC1F5">
                  <w:pPr>
                    <w:spacing w:line="240" w:lineRule="auto"/>
                    <w:jc w:val="center"/>
                    <w:rPr>
                      <w:sz w:val="21"/>
                      <w:szCs w:val="21"/>
                      <w:u w:val="single"/>
                    </w:rPr>
                  </w:pPr>
                  <w:r>
                    <w:rPr>
                      <w:rFonts w:hint="eastAsia"/>
                      <w:sz w:val="21"/>
                      <w:szCs w:val="21"/>
                      <w:u w:val="single"/>
                      <w:lang w:val="en-US" w:eastAsia="zh-CN"/>
                    </w:rPr>
                    <w:t>固废</w:t>
                  </w:r>
                </w:p>
              </w:tc>
              <w:tc>
                <w:tcPr>
                  <w:tcW w:w="995" w:type="pct"/>
                  <w:shd w:val="clear" w:color="auto" w:fill="auto"/>
                  <w:noWrap w:val="0"/>
                  <w:vAlign w:val="center"/>
                </w:tcPr>
                <w:p w14:paraId="15CD456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分拣废料</w:t>
                  </w:r>
                </w:p>
              </w:tc>
              <w:tc>
                <w:tcPr>
                  <w:tcW w:w="727" w:type="pct"/>
                  <w:shd w:val="clear" w:color="auto" w:fill="auto"/>
                  <w:noWrap w:val="0"/>
                  <w:vAlign w:val="center"/>
                </w:tcPr>
                <w:p w14:paraId="1D6A314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5</w:t>
                  </w:r>
                </w:p>
              </w:tc>
            </w:tr>
            <w:tr w14:paraId="19E35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165DF569">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6</w:t>
                  </w:r>
                </w:p>
              </w:tc>
              <w:tc>
                <w:tcPr>
                  <w:tcW w:w="1050" w:type="pct"/>
                  <w:shd w:val="clear" w:color="auto" w:fill="auto"/>
                  <w:noWrap w:val="0"/>
                  <w:vAlign w:val="center"/>
                </w:tcPr>
                <w:p w14:paraId="4C46A52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废纸/纸箱</w:t>
                  </w:r>
                </w:p>
              </w:tc>
              <w:tc>
                <w:tcPr>
                  <w:tcW w:w="782" w:type="pct"/>
                  <w:shd w:val="clear" w:color="auto" w:fill="auto"/>
                  <w:noWrap w:val="0"/>
                  <w:vAlign w:val="center"/>
                </w:tcPr>
                <w:p w14:paraId="02515CA0">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p>
              </w:tc>
              <w:tc>
                <w:tcPr>
                  <w:tcW w:w="382" w:type="pct"/>
                  <w:noWrap w:val="0"/>
                  <w:vAlign w:val="center"/>
                </w:tcPr>
                <w:p w14:paraId="7619E66F">
                  <w:pPr>
                    <w:spacing w:line="240" w:lineRule="auto"/>
                    <w:jc w:val="center"/>
                    <w:rPr>
                      <w:sz w:val="21"/>
                      <w:szCs w:val="21"/>
                      <w:u w:val="single"/>
                    </w:rPr>
                  </w:pPr>
                  <w:r>
                    <w:rPr>
                      <w:sz w:val="21"/>
                      <w:szCs w:val="21"/>
                      <w:u w:val="single"/>
                    </w:rPr>
                    <w:t>6</w:t>
                  </w:r>
                </w:p>
              </w:tc>
              <w:tc>
                <w:tcPr>
                  <w:tcW w:w="675" w:type="pct"/>
                  <w:vMerge w:val="continue"/>
                  <w:shd w:val="clear" w:color="auto" w:fill="auto"/>
                  <w:noWrap w:val="0"/>
                  <w:vAlign w:val="center"/>
                </w:tcPr>
                <w:p w14:paraId="30468D7C">
                  <w:pPr>
                    <w:spacing w:line="240" w:lineRule="auto"/>
                    <w:jc w:val="center"/>
                    <w:rPr>
                      <w:rFonts w:ascii="Times New Roman" w:hAnsi="Times New Roman" w:eastAsia="宋体" w:cs="Times New Roman"/>
                      <w:kern w:val="2"/>
                      <w:sz w:val="21"/>
                      <w:szCs w:val="21"/>
                      <w:u w:val="single"/>
                      <w:lang w:val="en-US" w:eastAsia="zh-CN" w:bidi="ar-SA"/>
                    </w:rPr>
                  </w:pPr>
                </w:p>
              </w:tc>
              <w:tc>
                <w:tcPr>
                  <w:tcW w:w="995" w:type="pct"/>
                  <w:shd w:val="clear" w:color="auto" w:fill="auto"/>
                  <w:noWrap w:val="0"/>
                  <w:vAlign w:val="center"/>
                </w:tcPr>
                <w:p w14:paraId="54C6088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single" w:color="auto"/>
                      <w:lang w:val="en-US" w:eastAsia="zh-CN" w:bidi="ar-SA"/>
                    </w:rPr>
                  </w:pPr>
                  <w:r>
                    <w:rPr>
                      <w:rFonts w:hint="default" w:ascii="Times New Roman" w:hAnsi="Times New Roman" w:eastAsia="宋体" w:cs="Times New Roman"/>
                      <w:b w:val="0"/>
                      <w:bCs/>
                      <w:color w:val="000000"/>
                      <w:sz w:val="21"/>
                      <w:szCs w:val="21"/>
                      <w:u w:val="single" w:color="auto"/>
                      <w:lang w:val="en-US" w:eastAsia="zh-CN"/>
                    </w:rPr>
                    <w:t>含铁杂质</w:t>
                  </w:r>
                </w:p>
              </w:tc>
              <w:tc>
                <w:tcPr>
                  <w:tcW w:w="727" w:type="pct"/>
                  <w:shd w:val="clear" w:color="auto" w:fill="auto"/>
                  <w:noWrap w:val="0"/>
                  <w:vAlign w:val="center"/>
                </w:tcPr>
                <w:p w14:paraId="2CE2B84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0.8</w:t>
                  </w:r>
                </w:p>
              </w:tc>
            </w:tr>
            <w:tr w14:paraId="0FF64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6EB34EC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7</w:t>
                  </w:r>
                </w:p>
              </w:tc>
              <w:tc>
                <w:tcPr>
                  <w:tcW w:w="1050" w:type="pct"/>
                  <w:shd w:val="clear" w:color="auto" w:fill="auto"/>
                  <w:noWrap w:val="0"/>
                  <w:vAlign w:val="center"/>
                </w:tcPr>
                <w:p w14:paraId="08F4144C">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kern w:val="2"/>
                      <w:sz w:val="21"/>
                      <w:szCs w:val="21"/>
                      <w:highlight w:val="none"/>
                      <w:u w:val="single" w:color="auto"/>
                      <w:lang w:val="en-US" w:eastAsia="zh-CN" w:bidi="ar-SA"/>
                    </w:rPr>
                    <w:t>废旧整衣服</w:t>
                  </w:r>
                </w:p>
              </w:tc>
              <w:tc>
                <w:tcPr>
                  <w:tcW w:w="782" w:type="pct"/>
                  <w:shd w:val="clear" w:color="auto" w:fill="auto"/>
                  <w:noWrap w:val="0"/>
                  <w:vAlign w:val="center"/>
                </w:tcPr>
                <w:p w14:paraId="56175D24">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10000</w:t>
                  </w:r>
                </w:p>
              </w:tc>
              <w:tc>
                <w:tcPr>
                  <w:tcW w:w="382" w:type="pct"/>
                  <w:noWrap w:val="0"/>
                  <w:vAlign w:val="center"/>
                </w:tcPr>
                <w:p w14:paraId="222E1305">
                  <w:pPr>
                    <w:spacing w:line="240" w:lineRule="auto"/>
                    <w:jc w:val="center"/>
                    <w:rPr>
                      <w:sz w:val="21"/>
                      <w:szCs w:val="21"/>
                      <w:u w:val="single"/>
                    </w:rPr>
                  </w:pPr>
                  <w:r>
                    <w:rPr>
                      <w:rFonts w:hint="eastAsia"/>
                      <w:sz w:val="21"/>
                      <w:szCs w:val="21"/>
                      <w:u w:val="single"/>
                    </w:rPr>
                    <w:t>7</w:t>
                  </w:r>
                </w:p>
              </w:tc>
              <w:tc>
                <w:tcPr>
                  <w:tcW w:w="675" w:type="pct"/>
                  <w:vMerge w:val="restart"/>
                  <w:shd w:val="clear" w:color="auto" w:fill="auto"/>
                  <w:noWrap w:val="0"/>
                  <w:vAlign w:val="center"/>
                </w:tcPr>
                <w:p w14:paraId="2EFC4B83">
                  <w:pPr>
                    <w:spacing w:line="240" w:lineRule="auto"/>
                    <w:jc w:val="center"/>
                    <w:rPr>
                      <w:rFonts w:ascii="Times New Roman" w:hAnsi="Times New Roman" w:eastAsia="宋体" w:cs="Times New Roman"/>
                      <w:kern w:val="2"/>
                      <w:sz w:val="21"/>
                      <w:szCs w:val="21"/>
                      <w:u w:val="single"/>
                      <w:lang w:val="en-US" w:eastAsia="zh-CN" w:bidi="ar-SA"/>
                    </w:rPr>
                  </w:pPr>
                  <w:r>
                    <w:rPr>
                      <w:rFonts w:hint="eastAsia"/>
                      <w:sz w:val="21"/>
                      <w:szCs w:val="21"/>
                      <w:u w:val="single"/>
                    </w:rPr>
                    <w:t>废气</w:t>
                  </w:r>
                </w:p>
              </w:tc>
              <w:tc>
                <w:tcPr>
                  <w:tcW w:w="995" w:type="pct"/>
                  <w:shd w:val="clear" w:color="auto" w:fill="auto"/>
                  <w:noWrap w:val="0"/>
                  <w:vAlign w:val="center"/>
                </w:tcPr>
                <w:p w14:paraId="4DA15A6B">
                  <w:pPr>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kern w:val="0"/>
                      <w:sz w:val="21"/>
                      <w:szCs w:val="21"/>
                      <w:u w:val="single" w:color="auto"/>
                      <w:lang w:bidi="ar"/>
                    </w:rPr>
                    <w:t>颗粒</w:t>
                  </w:r>
                  <w:r>
                    <w:rPr>
                      <w:kern w:val="0"/>
                      <w:sz w:val="21"/>
                      <w:szCs w:val="21"/>
                      <w:u w:val="single" w:color="auto"/>
                      <w:lang w:bidi="ar"/>
                    </w:rPr>
                    <w:t>物</w:t>
                  </w:r>
                </w:p>
              </w:tc>
              <w:tc>
                <w:tcPr>
                  <w:tcW w:w="727" w:type="pct"/>
                  <w:noWrap w:val="0"/>
                  <w:vAlign w:val="center"/>
                </w:tcPr>
                <w:p w14:paraId="48352B83">
                  <w:pPr>
                    <w:widowControl/>
                    <w:spacing w:line="240" w:lineRule="auto"/>
                    <w:jc w:val="center"/>
                    <w:textAlignment w:val="center"/>
                    <w:rPr>
                      <w:rFonts w:hint="eastAsia"/>
                      <w:sz w:val="21"/>
                      <w:szCs w:val="21"/>
                      <w:u w:val="single" w:color="auto"/>
                    </w:rPr>
                  </w:pPr>
                  <w:r>
                    <w:rPr>
                      <w:rFonts w:hint="eastAsia"/>
                      <w:sz w:val="21"/>
                      <w:szCs w:val="21"/>
                      <w:u w:val="single" w:color="auto"/>
                    </w:rPr>
                    <w:t>3.247</w:t>
                  </w:r>
                </w:p>
              </w:tc>
            </w:tr>
            <w:tr w14:paraId="10605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385" w:type="pct"/>
                  <w:shd w:val="clear" w:color="auto" w:fill="auto"/>
                  <w:noWrap w:val="0"/>
                  <w:vAlign w:val="center"/>
                </w:tcPr>
                <w:p w14:paraId="3A9EED92">
                  <w:pPr>
                    <w:spacing w:line="240" w:lineRule="auto"/>
                    <w:jc w:val="center"/>
                    <w:rPr>
                      <w:rFonts w:ascii="Times New Roman" w:hAnsi="Times New Roman" w:eastAsia="宋体" w:cs="Times New Roman"/>
                      <w:kern w:val="2"/>
                      <w:sz w:val="21"/>
                      <w:szCs w:val="21"/>
                      <w:u w:val="single"/>
                      <w:lang w:val="en-US" w:eastAsia="zh-CN" w:bidi="ar-SA"/>
                    </w:rPr>
                  </w:pPr>
                  <w:r>
                    <w:rPr>
                      <w:rFonts w:hint="eastAsia"/>
                      <w:sz w:val="21"/>
                      <w:szCs w:val="21"/>
                      <w:u w:val="single"/>
                    </w:rPr>
                    <w:t>8</w:t>
                  </w:r>
                </w:p>
              </w:tc>
              <w:tc>
                <w:tcPr>
                  <w:tcW w:w="1050" w:type="pct"/>
                  <w:shd w:val="clear" w:color="auto" w:fill="auto"/>
                  <w:noWrap w:val="0"/>
                  <w:vAlign w:val="center"/>
                </w:tcPr>
                <w:p w14:paraId="1C70B02B">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000000"/>
                      <w:kern w:val="2"/>
                      <w:sz w:val="21"/>
                      <w:szCs w:val="21"/>
                      <w:highlight w:val="none"/>
                      <w:u w:val="single" w:color="auto"/>
                      <w:lang w:val="en-US" w:eastAsia="zh-CN" w:bidi="ar-SA"/>
                    </w:rPr>
                  </w:pPr>
                  <w:r>
                    <w:rPr>
                      <w:rFonts w:hint="eastAsia" w:cs="Times New Roman"/>
                      <w:color w:val="000000"/>
                      <w:kern w:val="2"/>
                      <w:sz w:val="21"/>
                      <w:szCs w:val="21"/>
                      <w:highlight w:val="none"/>
                      <w:u w:val="single" w:color="auto"/>
                      <w:lang w:val="en-US" w:eastAsia="zh-CN" w:bidi="ar-SA"/>
                    </w:rPr>
                    <w:t>打包袋</w:t>
                  </w:r>
                </w:p>
              </w:tc>
              <w:tc>
                <w:tcPr>
                  <w:tcW w:w="782" w:type="pct"/>
                  <w:noWrap w:val="0"/>
                  <w:vAlign w:val="center"/>
                </w:tcPr>
                <w:p w14:paraId="17D94C08">
                  <w:pPr>
                    <w:spacing w:line="240" w:lineRule="auto"/>
                    <w:jc w:val="center"/>
                    <w:rPr>
                      <w:sz w:val="21"/>
                      <w:szCs w:val="21"/>
                      <w:u w:val="single"/>
                    </w:rPr>
                  </w:pPr>
                  <w:r>
                    <w:rPr>
                      <w:rFonts w:hint="eastAsia"/>
                      <w:sz w:val="21"/>
                      <w:szCs w:val="21"/>
                      <w:u w:val="single"/>
                      <w:lang w:val="en-US" w:eastAsia="zh-CN"/>
                    </w:rPr>
                    <w:t>23.475</w:t>
                  </w:r>
                </w:p>
              </w:tc>
              <w:tc>
                <w:tcPr>
                  <w:tcW w:w="382" w:type="pct"/>
                  <w:noWrap w:val="0"/>
                  <w:vAlign w:val="center"/>
                </w:tcPr>
                <w:p w14:paraId="6ED8E464">
                  <w:pPr>
                    <w:spacing w:line="240" w:lineRule="auto"/>
                    <w:jc w:val="center"/>
                    <w:rPr>
                      <w:sz w:val="21"/>
                      <w:szCs w:val="21"/>
                      <w:u w:val="single"/>
                    </w:rPr>
                  </w:pPr>
                  <w:r>
                    <w:rPr>
                      <w:rFonts w:hint="eastAsia"/>
                      <w:sz w:val="21"/>
                      <w:szCs w:val="21"/>
                      <w:u w:val="single"/>
                    </w:rPr>
                    <w:t>8</w:t>
                  </w:r>
                </w:p>
              </w:tc>
              <w:tc>
                <w:tcPr>
                  <w:tcW w:w="675" w:type="pct"/>
                  <w:vMerge w:val="continue"/>
                  <w:shd w:val="clear" w:color="auto" w:fill="auto"/>
                  <w:noWrap w:val="0"/>
                  <w:vAlign w:val="center"/>
                </w:tcPr>
                <w:p w14:paraId="3E3C78C1">
                  <w:pPr>
                    <w:spacing w:line="240" w:lineRule="auto"/>
                    <w:jc w:val="center"/>
                    <w:rPr>
                      <w:rFonts w:hint="eastAsia" w:ascii="Times New Roman" w:hAnsi="Times New Roman" w:eastAsia="宋体" w:cs="Times New Roman"/>
                      <w:kern w:val="2"/>
                      <w:sz w:val="21"/>
                      <w:szCs w:val="21"/>
                      <w:u w:val="single"/>
                      <w:lang w:val="en-US" w:eastAsia="zh-CN" w:bidi="ar-SA"/>
                    </w:rPr>
                  </w:pPr>
                </w:p>
              </w:tc>
              <w:tc>
                <w:tcPr>
                  <w:tcW w:w="995" w:type="pct"/>
                  <w:shd w:val="clear" w:color="auto" w:fill="auto"/>
                  <w:noWrap w:val="0"/>
                  <w:vAlign w:val="center"/>
                </w:tcPr>
                <w:p w14:paraId="67CB92F6">
                  <w:pPr>
                    <w:spacing w:line="240" w:lineRule="auto"/>
                    <w:jc w:val="center"/>
                    <w:rPr>
                      <w:rFonts w:hint="eastAsia" w:ascii="Times New Roman" w:hAnsi="Times New Roman" w:eastAsia="宋体" w:cs="Times New Roman"/>
                      <w:kern w:val="2"/>
                      <w:sz w:val="21"/>
                      <w:szCs w:val="21"/>
                      <w:u w:val="single" w:color="auto"/>
                      <w:lang w:val="en-US" w:eastAsia="zh-CN" w:bidi="ar-SA"/>
                    </w:rPr>
                  </w:pPr>
                  <w:r>
                    <w:rPr>
                      <w:rFonts w:hint="eastAsia"/>
                      <w:kern w:val="0"/>
                      <w:sz w:val="21"/>
                      <w:szCs w:val="21"/>
                      <w:u w:val="single" w:color="auto"/>
                      <w:lang w:bidi="ar"/>
                    </w:rPr>
                    <w:t>收集粉尘</w:t>
                  </w:r>
                </w:p>
              </w:tc>
              <w:tc>
                <w:tcPr>
                  <w:tcW w:w="727" w:type="pct"/>
                  <w:noWrap w:val="0"/>
                  <w:vAlign w:val="center"/>
                </w:tcPr>
                <w:p w14:paraId="5D9FDC3C">
                  <w:pPr>
                    <w:widowControl/>
                    <w:spacing w:line="240" w:lineRule="auto"/>
                    <w:jc w:val="center"/>
                    <w:textAlignment w:val="center"/>
                    <w:rPr>
                      <w:rFonts w:hint="default" w:eastAsia="宋体"/>
                      <w:sz w:val="21"/>
                      <w:szCs w:val="21"/>
                      <w:u w:val="single" w:color="auto"/>
                      <w:lang w:val="en-US" w:eastAsia="zh-CN"/>
                    </w:rPr>
                  </w:pPr>
                  <w:r>
                    <w:rPr>
                      <w:rFonts w:hint="eastAsia"/>
                      <w:sz w:val="21"/>
                      <w:szCs w:val="21"/>
                      <w:u w:val="single" w:color="auto"/>
                      <w:lang w:val="en-US" w:eastAsia="zh-CN"/>
                    </w:rPr>
                    <w:t>14.428</w:t>
                  </w:r>
                </w:p>
              </w:tc>
            </w:tr>
            <w:tr w14:paraId="655BC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1436" w:type="pct"/>
                  <w:gridSpan w:val="2"/>
                  <w:noWrap w:val="0"/>
                  <w:vAlign w:val="center"/>
                </w:tcPr>
                <w:p w14:paraId="438F793F">
                  <w:pPr>
                    <w:spacing w:line="240" w:lineRule="auto"/>
                    <w:jc w:val="center"/>
                    <w:rPr>
                      <w:sz w:val="21"/>
                      <w:szCs w:val="21"/>
                      <w:u w:val="single"/>
                    </w:rPr>
                  </w:pPr>
                  <w:r>
                    <w:rPr>
                      <w:sz w:val="21"/>
                      <w:szCs w:val="21"/>
                      <w:u w:val="single"/>
                    </w:rPr>
                    <w:t>合计</w:t>
                  </w:r>
                </w:p>
              </w:tc>
              <w:tc>
                <w:tcPr>
                  <w:tcW w:w="782" w:type="pct"/>
                  <w:noWrap w:val="0"/>
                  <w:vAlign w:val="center"/>
                </w:tcPr>
                <w:p w14:paraId="3245FD15">
                  <w:pPr>
                    <w:spacing w:line="240" w:lineRule="auto"/>
                    <w:jc w:val="center"/>
                    <w:rPr>
                      <w:sz w:val="21"/>
                      <w:szCs w:val="21"/>
                      <w:u w:val="single"/>
                    </w:rPr>
                  </w:pPr>
                  <w:r>
                    <w:rPr>
                      <w:rFonts w:hint="eastAsia"/>
                      <w:sz w:val="21"/>
                      <w:szCs w:val="21"/>
                      <w:u w:val="single"/>
                      <w:lang w:val="en-US" w:eastAsia="zh-CN"/>
                    </w:rPr>
                    <w:t>80023.475</w:t>
                  </w:r>
                </w:p>
              </w:tc>
              <w:tc>
                <w:tcPr>
                  <w:tcW w:w="2053" w:type="pct"/>
                  <w:gridSpan w:val="3"/>
                  <w:noWrap w:val="0"/>
                  <w:vAlign w:val="center"/>
                </w:tcPr>
                <w:p w14:paraId="5680686E">
                  <w:pPr>
                    <w:spacing w:line="240" w:lineRule="auto"/>
                    <w:jc w:val="center"/>
                    <w:rPr>
                      <w:sz w:val="21"/>
                      <w:szCs w:val="21"/>
                      <w:u w:val="single" w:color="auto"/>
                    </w:rPr>
                  </w:pPr>
                  <w:r>
                    <w:rPr>
                      <w:sz w:val="21"/>
                      <w:szCs w:val="21"/>
                      <w:u w:val="single" w:color="auto"/>
                    </w:rPr>
                    <w:t>合计</w:t>
                  </w:r>
                </w:p>
              </w:tc>
              <w:tc>
                <w:tcPr>
                  <w:tcW w:w="727" w:type="pct"/>
                  <w:noWrap w:val="0"/>
                  <w:vAlign w:val="center"/>
                </w:tcPr>
                <w:p w14:paraId="51AF31F3">
                  <w:pPr>
                    <w:spacing w:line="240" w:lineRule="auto"/>
                    <w:jc w:val="center"/>
                    <w:rPr>
                      <w:rFonts w:hint="default" w:eastAsia="宋体"/>
                      <w:sz w:val="21"/>
                      <w:szCs w:val="21"/>
                      <w:u w:val="single" w:color="auto"/>
                      <w:lang w:val="en-US" w:eastAsia="zh-CN"/>
                    </w:rPr>
                  </w:pPr>
                  <w:r>
                    <w:rPr>
                      <w:rFonts w:hint="eastAsia"/>
                      <w:sz w:val="21"/>
                      <w:szCs w:val="21"/>
                      <w:u w:val="single" w:color="auto"/>
                      <w:lang w:val="en-US" w:eastAsia="zh-CN"/>
                    </w:rPr>
                    <w:t>80023.475</w:t>
                  </w:r>
                </w:p>
              </w:tc>
            </w:tr>
          </w:tbl>
          <w:p w14:paraId="0A367E47">
            <w:pPr>
              <w:pStyle w:val="26"/>
              <w:spacing w:before="0" w:beforeAutospacing="0" w:after="0" w:afterAutospacing="0" w:line="360" w:lineRule="auto"/>
              <w:ind w:firstLine="482" w:firstLineChars="200"/>
              <w:jc w:val="both"/>
              <w:rPr>
                <w:rFonts w:ascii="Times New Roman" w:hAnsi="Times New Roman"/>
                <w:bCs/>
                <w:snapToGrid w:val="0"/>
                <w:sz w:val="24"/>
                <w:szCs w:val="24"/>
                <w:u w:val="single"/>
              </w:rPr>
            </w:pPr>
            <w:r>
              <w:rPr>
                <w:rFonts w:ascii="Times New Roman" w:hAnsi="Times New Roman"/>
                <w:b/>
                <w:bCs w:val="0"/>
                <w:snapToGrid w:val="0"/>
                <w:sz w:val="24"/>
                <w:szCs w:val="24"/>
                <w:u w:val="single"/>
              </w:rPr>
              <w:t>进厂控制要求：</w:t>
            </w:r>
          </w:p>
          <w:p w14:paraId="4D8D92A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i w:val="0"/>
                <w:iCs w:val="0"/>
                <w:color w:val="000000"/>
                <w:kern w:val="0"/>
                <w:sz w:val="24"/>
                <w:szCs w:val="24"/>
                <w:u w:val="single"/>
                <w:lang w:val="en-US" w:eastAsia="zh-CN" w:bidi="ar-SA"/>
              </w:rPr>
            </w:pPr>
            <w:r>
              <w:rPr>
                <w:rFonts w:hint="eastAsia" w:ascii="Times New Roman" w:hAnsi="Times New Roman" w:eastAsia="宋体" w:cs="Times New Roman"/>
                <w:b w:val="0"/>
                <w:bCs/>
                <w:i w:val="0"/>
                <w:iCs w:val="0"/>
                <w:color w:val="000000"/>
                <w:kern w:val="0"/>
                <w:sz w:val="24"/>
                <w:szCs w:val="24"/>
                <w:u w:val="single"/>
                <w:lang w:val="en-US" w:eastAsia="zh-CN" w:bidi="ar-SA"/>
              </w:rPr>
              <w:t>原料入厂，严格按照《一般工业固体废物管理台账制定指南（试行）》（生态环境部2021年12月31日印发）中要求，如实记录工业固体废物的种类、特性、数量、流向、贮存、利用、处置等信息，可以实现工业固体废物可追溯、可查询的目的。与委托处置方签订协议，建立入库台账，记录处置供货单位名称及其联系人、货物名称、重量、货物情况、送货/收运人及其联系方式、记录人员等信息。原料入厂，台账包括电子台账、纸质台账，保存期限5年以上。</w:t>
            </w:r>
          </w:p>
          <w:p w14:paraId="14F930F1">
            <w:pPr>
              <w:pStyle w:val="26"/>
              <w:spacing w:before="0" w:beforeAutospacing="0" w:after="0" w:afterAutospacing="0" w:line="360" w:lineRule="auto"/>
              <w:ind w:firstLine="480" w:firstLineChars="200"/>
              <w:jc w:val="both"/>
              <w:rPr>
                <w:rFonts w:ascii="Times New Roman" w:hAnsi="Times New Roman"/>
                <w:snapToGrid w:val="0"/>
                <w:sz w:val="24"/>
                <w:szCs w:val="24"/>
                <w:u w:val="single"/>
              </w:rPr>
            </w:pPr>
            <w:r>
              <w:rPr>
                <w:rFonts w:ascii="Times New Roman" w:hAnsi="Times New Roman"/>
                <w:snapToGrid w:val="0"/>
                <w:sz w:val="24"/>
                <w:szCs w:val="24"/>
                <w:u w:val="single"/>
              </w:rPr>
              <w:t>①</w:t>
            </w:r>
            <w:r>
              <w:rPr>
                <w:rFonts w:hint="eastAsia" w:ascii="Times New Roman" w:hAnsi="Times New Roman" w:eastAsia="宋体" w:cs="Times New Roman"/>
                <w:b w:val="0"/>
                <w:bCs/>
                <w:i w:val="0"/>
                <w:iCs w:val="0"/>
                <w:color w:val="000000"/>
                <w:kern w:val="0"/>
                <w:sz w:val="24"/>
                <w:szCs w:val="24"/>
                <w:u w:val="single"/>
                <w:lang w:val="en-US" w:eastAsia="zh-CN" w:bidi="ar-SA"/>
              </w:rPr>
              <w:t>项目原料必须做到全过程可追溯、可查询的目的；</w:t>
            </w:r>
          </w:p>
          <w:p w14:paraId="01F6A087">
            <w:pPr>
              <w:pStyle w:val="26"/>
              <w:spacing w:before="0" w:beforeAutospacing="0" w:after="0" w:afterAutospacing="0" w:line="360" w:lineRule="auto"/>
              <w:ind w:firstLine="480" w:firstLineChars="200"/>
              <w:jc w:val="both"/>
              <w:rPr>
                <w:rFonts w:ascii="Times New Roman" w:hAnsi="Times New Roman"/>
                <w:bCs/>
                <w:snapToGrid w:val="0"/>
                <w:sz w:val="24"/>
                <w:szCs w:val="24"/>
                <w:u w:val="single"/>
              </w:rPr>
            </w:pPr>
            <w:r>
              <w:rPr>
                <w:rFonts w:ascii="Times New Roman" w:hAnsi="Times New Roman"/>
                <w:snapToGrid w:val="0"/>
                <w:sz w:val="24"/>
                <w:szCs w:val="24"/>
                <w:u w:val="single"/>
              </w:rPr>
              <w:t>②</w:t>
            </w:r>
            <w:r>
              <w:rPr>
                <w:rFonts w:ascii="Times New Roman" w:hAnsi="Times New Roman"/>
                <w:bCs/>
                <w:snapToGrid w:val="0"/>
                <w:sz w:val="24"/>
                <w:szCs w:val="24"/>
                <w:u w:val="single"/>
              </w:rPr>
              <w:t>不接收含有多氯联苯变压器油的</w:t>
            </w:r>
            <w:r>
              <w:rPr>
                <w:rFonts w:ascii="Times New Roman" w:hAnsi="Times New Roman"/>
                <w:sz w:val="24"/>
                <w:szCs w:val="24"/>
                <w:u w:val="single"/>
              </w:rPr>
              <w:t>等特殊废电器产品</w:t>
            </w:r>
            <w:r>
              <w:rPr>
                <w:rFonts w:ascii="Times New Roman" w:hAnsi="Times New Roman"/>
                <w:bCs/>
                <w:snapToGrid w:val="0"/>
                <w:sz w:val="24"/>
                <w:szCs w:val="24"/>
                <w:u w:val="single"/>
              </w:rPr>
              <w:t>；</w:t>
            </w:r>
          </w:p>
          <w:p w14:paraId="30297B55">
            <w:pPr>
              <w:pStyle w:val="26"/>
              <w:spacing w:before="0" w:beforeAutospacing="0" w:after="0" w:afterAutospacing="0" w:line="360" w:lineRule="auto"/>
              <w:ind w:firstLine="480" w:firstLineChars="200"/>
              <w:jc w:val="both"/>
              <w:rPr>
                <w:rFonts w:hint="eastAsia" w:ascii="Times New Roman" w:hAnsi="Times New Roman" w:eastAsia="宋体"/>
                <w:bCs/>
                <w:snapToGrid w:val="0"/>
                <w:sz w:val="24"/>
                <w:szCs w:val="24"/>
                <w:u w:val="single"/>
                <w:lang w:eastAsia="zh-CN"/>
              </w:rPr>
            </w:pPr>
            <w:r>
              <w:rPr>
                <w:rFonts w:ascii="Times New Roman" w:hAnsi="Times New Roman"/>
                <w:snapToGrid w:val="0"/>
                <w:sz w:val="24"/>
                <w:szCs w:val="24"/>
                <w:u w:val="single"/>
              </w:rPr>
              <w:t>③</w:t>
            </w:r>
            <w:r>
              <w:rPr>
                <w:rFonts w:ascii="Times New Roman" w:hAnsi="Times New Roman"/>
                <w:bCs/>
                <w:snapToGrid w:val="0"/>
                <w:sz w:val="24"/>
                <w:szCs w:val="24"/>
                <w:u w:val="single"/>
              </w:rPr>
              <w:t>接收的废旧物资直接运输至车间内，不得露天堆放</w:t>
            </w:r>
            <w:r>
              <w:rPr>
                <w:rFonts w:hint="eastAsia" w:ascii="Times New Roman" w:hAnsi="Times New Roman"/>
                <w:bCs/>
                <w:snapToGrid w:val="0"/>
                <w:sz w:val="24"/>
                <w:szCs w:val="24"/>
                <w:u w:val="single"/>
                <w:lang w:eastAsia="zh-CN"/>
              </w:rPr>
              <w:t>；</w:t>
            </w:r>
          </w:p>
          <w:p w14:paraId="7CC2EFD4">
            <w:pPr>
              <w:pStyle w:val="26"/>
              <w:spacing w:before="0" w:beforeAutospacing="0" w:after="0" w:afterAutospacing="0" w:line="360" w:lineRule="auto"/>
              <w:ind w:firstLine="480" w:firstLineChars="200"/>
              <w:jc w:val="both"/>
              <w:rPr>
                <w:rFonts w:hint="eastAsia" w:ascii="Times New Roman" w:hAnsi="Times New Roman" w:eastAsia="宋体"/>
                <w:bCs/>
                <w:snapToGrid w:val="0"/>
                <w:sz w:val="24"/>
                <w:szCs w:val="24"/>
                <w:u w:val="single"/>
                <w:lang w:eastAsia="zh-CN"/>
              </w:rPr>
            </w:pPr>
            <w:r>
              <w:rPr>
                <w:rFonts w:hint="eastAsia" w:ascii="Times New Roman" w:hAnsi="Times New Roman" w:eastAsia="宋体" w:cs="Times New Roman"/>
                <w:bCs/>
                <w:snapToGrid w:val="0"/>
                <w:kern w:val="0"/>
                <w:sz w:val="24"/>
                <w:szCs w:val="24"/>
                <w:u w:val="single"/>
                <w:lang w:val="en-US" w:eastAsia="zh-CN" w:bidi="ar-SA"/>
              </w:rPr>
              <w:t>④</w:t>
            </w:r>
            <w:r>
              <w:rPr>
                <w:rFonts w:ascii="Times New Roman" w:hAnsi="Times New Roman"/>
                <w:snapToGrid w:val="0"/>
                <w:sz w:val="24"/>
                <w:szCs w:val="24"/>
                <w:u w:val="single"/>
              </w:rPr>
              <w:t>项目</w:t>
            </w:r>
            <w:r>
              <w:rPr>
                <w:rFonts w:hint="eastAsia" w:ascii="Times New Roman" w:hAnsi="Times New Roman"/>
                <w:sz w:val="24"/>
                <w:szCs w:val="24"/>
                <w:u w:val="single"/>
                <w:lang w:val="en-US" w:eastAsia="zh-CN"/>
              </w:rPr>
              <w:t>回收</w:t>
            </w:r>
            <w:r>
              <w:rPr>
                <w:rFonts w:ascii="Times New Roman" w:hAnsi="Times New Roman"/>
                <w:sz w:val="24"/>
                <w:szCs w:val="24"/>
                <w:u w:val="single"/>
              </w:rPr>
              <w:t>的</w:t>
            </w:r>
            <w:r>
              <w:rPr>
                <w:rFonts w:ascii="Times New Roman" w:hAnsi="Times New Roman"/>
                <w:bCs/>
                <w:snapToGrid w:val="0"/>
                <w:sz w:val="24"/>
                <w:szCs w:val="24"/>
                <w:u w:val="single"/>
              </w:rPr>
              <w:t>废塑料来源于</w:t>
            </w:r>
            <w:r>
              <w:rPr>
                <w:rFonts w:hint="eastAsia" w:ascii="Times New Roman" w:hAnsi="Times New Roman" w:eastAsia="宋体" w:cs="Times New Roman"/>
                <w:color w:val="000000" w:themeColor="text1"/>
                <w:sz w:val="24"/>
                <w:szCs w:val="24"/>
                <w:u w:val="single"/>
                <w:lang w:val="en-US" w:eastAsia="zh-CN"/>
                <w14:textFill>
                  <w14:solidFill>
                    <w14:schemeClr w14:val="tx1"/>
                  </w14:solidFill>
                </w14:textFill>
              </w:rPr>
              <w:t>新田县鸿发大型打包厂</w:t>
            </w:r>
            <w:r>
              <w:rPr>
                <w:rFonts w:hint="eastAsia" w:ascii="Times New Roman" w:hAnsi="Times New Roman" w:eastAsia="宋体"/>
                <w:sz w:val="24"/>
                <w:szCs w:val="24"/>
                <w:u w:val="single"/>
                <w:lang w:val="en-US" w:eastAsia="zh-CN"/>
              </w:rPr>
              <w:t>检验</w:t>
            </w:r>
            <w:r>
              <w:rPr>
                <w:rFonts w:ascii="Times New Roman" w:hAnsi="Times New Roman"/>
                <w:sz w:val="24"/>
                <w:szCs w:val="24"/>
                <w:u w:val="single"/>
              </w:rPr>
              <w:t>后的合格产品</w:t>
            </w:r>
            <w:r>
              <w:rPr>
                <w:rFonts w:ascii="Times New Roman" w:hAnsi="Times New Roman"/>
                <w:bCs/>
                <w:snapToGrid w:val="0"/>
                <w:sz w:val="24"/>
                <w:szCs w:val="24"/>
                <w:u w:val="single"/>
              </w:rPr>
              <w:t>，禁止收购医疗废物、农药包装等危险废物和放射性废物以及来源不明的废塑料</w:t>
            </w:r>
            <w:r>
              <w:rPr>
                <w:rFonts w:hint="eastAsia" w:ascii="Times New Roman" w:hAnsi="Times New Roman"/>
                <w:bCs/>
                <w:snapToGrid w:val="0"/>
                <w:sz w:val="24"/>
                <w:szCs w:val="24"/>
                <w:u w:val="single"/>
                <w:lang w:eastAsia="zh-CN"/>
              </w:rPr>
              <w:t>；</w:t>
            </w:r>
          </w:p>
          <w:p w14:paraId="13E590D4">
            <w:pPr>
              <w:pStyle w:val="26"/>
              <w:numPr>
                <w:ilvl w:val="0"/>
                <w:numId w:val="0"/>
              </w:numPr>
              <w:spacing w:before="0" w:beforeAutospacing="0" w:after="0" w:afterAutospacing="0" w:line="360" w:lineRule="auto"/>
              <w:ind w:firstLine="480" w:firstLineChars="200"/>
              <w:jc w:val="both"/>
              <w:rPr>
                <w:rFonts w:hint="eastAsia" w:ascii="Times New Roman" w:hAnsi="Times New Roman"/>
                <w:bCs/>
                <w:snapToGrid w:val="0"/>
                <w:sz w:val="24"/>
                <w:szCs w:val="24"/>
                <w:u w:val="single"/>
                <w:lang w:val="en-US" w:eastAsia="zh-CN"/>
              </w:rPr>
            </w:pPr>
            <w:r>
              <w:rPr>
                <w:rFonts w:hint="eastAsia" w:ascii="Times New Roman" w:hAnsi="Times New Roman" w:eastAsia="宋体" w:cs="Times New Roman"/>
                <w:bCs/>
                <w:snapToGrid w:val="0"/>
                <w:kern w:val="0"/>
                <w:sz w:val="24"/>
                <w:szCs w:val="24"/>
                <w:u w:val="single"/>
                <w:lang w:val="en-US" w:eastAsia="zh-CN" w:bidi="ar-SA"/>
              </w:rPr>
              <w:t>⑤</w:t>
            </w:r>
            <w:r>
              <w:rPr>
                <w:rFonts w:hint="eastAsia" w:ascii="Times New Roman" w:hAnsi="Times New Roman" w:eastAsia="宋体" w:cs="Times New Roman"/>
                <w:b w:val="0"/>
                <w:bCs/>
                <w:color w:val="000000"/>
                <w:sz w:val="24"/>
                <w:szCs w:val="24"/>
                <w:highlight w:val="none"/>
                <w:u w:val="single" w:color="auto"/>
                <w:lang w:val="zh-CN" w:eastAsia="zh-CN"/>
              </w:rPr>
              <w:t>不利用污泥、建筑余泥、生活垃圾；禁止回收危险废物作为原料。</w:t>
            </w:r>
          </w:p>
          <w:p w14:paraId="17ECD429">
            <w:pPr>
              <w:keepNext w:val="0"/>
              <w:keepLines w:val="0"/>
              <w:pageBreakBefore w:val="0"/>
              <w:widowControl w:val="0"/>
              <w:numPr>
                <w:ilvl w:val="0"/>
                <w:numId w:val="0"/>
              </w:numPr>
              <w:kinsoku/>
              <w:wordWrap/>
              <w:overflowPunct/>
              <w:topLinePunct w:val="0"/>
              <w:autoSpaceDE/>
              <w:autoSpaceDN/>
              <w:bidi w:val="0"/>
              <w:snapToGrid/>
              <w:spacing w:line="360" w:lineRule="auto"/>
              <w:ind w:firstLine="422" w:firstLineChars="200"/>
              <w:textAlignment w:val="auto"/>
              <w:rPr>
                <w:rFonts w:hint="eastAsia"/>
                <w:b/>
                <w:bCs/>
                <w:lang w:val="en-US" w:eastAsia="zh-CN"/>
              </w:rPr>
            </w:pPr>
            <w:r>
              <w:rPr>
                <w:rFonts w:hint="eastAsia" w:ascii="Times New Roman" w:hAnsi="Times New Roman" w:eastAsia="宋体" w:cs="Times New Roman"/>
                <w:b/>
                <w:bCs/>
                <w:kern w:val="2"/>
                <w:sz w:val="21"/>
                <w:szCs w:val="24"/>
                <w:lang w:val="en-US" w:eastAsia="zh-CN" w:bidi="ar-SA"/>
              </w:rPr>
              <w:t>7、</w:t>
            </w:r>
            <w:r>
              <w:rPr>
                <w:rFonts w:hint="default" w:ascii="Times New Roman" w:hAnsi="Times New Roman" w:eastAsia="宋体" w:cs="Times New Roman"/>
                <w:b/>
                <w:bCs/>
                <w:color w:val="000000"/>
                <w:kern w:val="0"/>
                <w:sz w:val="24"/>
                <w:szCs w:val="24"/>
                <w:u w:val="none"/>
                <w:lang w:val="en-US" w:eastAsia="zh-CN"/>
              </w:rPr>
              <w:t>总平面布置</w:t>
            </w:r>
            <w:r>
              <w:rPr>
                <w:rFonts w:hint="eastAsia"/>
                <w:b/>
                <w:bCs/>
                <w:lang w:val="en-US" w:eastAsia="zh-CN"/>
              </w:rPr>
              <w:t xml:space="preserve"> </w:t>
            </w:r>
          </w:p>
          <w:p w14:paraId="04B203D9">
            <w:pPr>
              <w:keepNext w:val="0"/>
              <w:keepLines w:val="0"/>
              <w:pageBreakBefore w:val="0"/>
              <w:widowControl/>
              <w:numPr>
                <w:ilvl w:val="0"/>
                <w:numId w:val="0"/>
              </w:numPr>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bCs/>
                <w:color w:val="auto"/>
                <w:spacing w:val="0"/>
                <w:sz w:val="24"/>
                <w:szCs w:val="24"/>
                <w:u w:val="none"/>
                <w:lang w:val="en-US" w:eastAsia="zh-CN"/>
              </w:rPr>
            </w:pPr>
            <w:r>
              <w:rPr>
                <w:rFonts w:hint="default" w:ascii="Times New Roman" w:hAnsi="Times New Roman" w:eastAsia="宋体" w:cs="Times New Roman"/>
                <w:bCs/>
                <w:color w:val="auto"/>
                <w:spacing w:val="0"/>
                <w:sz w:val="24"/>
                <w:szCs w:val="24"/>
                <w:u w:val="none"/>
                <w:lang w:val="en-US" w:eastAsia="zh-CN"/>
              </w:rPr>
              <w:t>项目</w:t>
            </w:r>
            <w:r>
              <w:rPr>
                <w:rFonts w:hint="eastAsia" w:ascii="Times New Roman" w:hAnsi="Times New Roman" w:eastAsia="宋体" w:cs="Times New Roman"/>
                <w:bCs/>
                <w:color w:val="auto"/>
                <w:spacing w:val="0"/>
                <w:sz w:val="24"/>
                <w:szCs w:val="24"/>
                <w:u w:val="none"/>
                <w:lang w:val="en-US" w:eastAsia="zh-CN"/>
              </w:rPr>
              <w:t>位于</w:t>
            </w:r>
            <w:r>
              <w:rPr>
                <w:rFonts w:hint="default" w:ascii="Times New Roman" w:hAnsi="Times New Roman" w:eastAsia="宋体" w:cs="Times New Roman"/>
                <w:color w:val="000000"/>
                <w:sz w:val="24"/>
                <w:szCs w:val="24"/>
                <w:highlight w:val="none"/>
                <w:lang w:eastAsia="zh-CN"/>
              </w:rPr>
              <w:t>永州市新田县龙泉街道工业南园支一路与支三路交叉口西南角</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bCs/>
                <w:color w:val="auto"/>
                <w:spacing w:val="0"/>
                <w:sz w:val="24"/>
                <w:szCs w:val="24"/>
                <w:u w:val="none"/>
              </w:rPr>
              <w:t>总占地面积</w:t>
            </w:r>
            <w:r>
              <w:rPr>
                <w:rFonts w:hint="eastAsia" w:cs="Times New Roman"/>
                <w:color w:val="auto"/>
                <w:sz w:val="24"/>
                <w:szCs w:val="24"/>
                <w:highlight w:val="none"/>
                <w:u w:val="none" w:color="auto"/>
                <w:lang w:val="en-US" w:eastAsia="zh-CN"/>
              </w:rPr>
              <w:t>3723</w:t>
            </w:r>
            <w:r>
              <w:rPr>
                <w:rFonts w:hint="default" w:ascii="Times New Roman" w:hAnsi="Times New Roman" w:eastAsia="宋体" w:cs="Times New Roman"/>
                <w:bCs/>
                <w:color w:val="auto"/>
                <w:sz w:val="24"/>
                <w:szCs w:val="24"/>
                <w:u w:val="none" w:color="auto"/>
              </w:rPr>
              <w:t>m</w:t>
            </w:r>
            <w:r>
              <w:rPr>
                <w:rFonts w:hint="default" w:ascii="Times New Roman" w:hAnsi="Times New Roman" w:eastAsia="宋体" w:cs="Times New Roman"/>
                <w:bCs/>
                <w:color w:val="auto"/>
                <w:sz w:val="24"/>
                <w:szCs w:val="24"/>
                <w:u w:val="none" w:color="auto"/>
                <w:vertAlign w:val="superscript"/>
              </w:rPr>
              <w:t>2</w:t>
            </w:r>
            <w:r>
              <w:rPr>
                <w:rFonts w:hint="default" w:ascii="Times New Roman" w:hAnsi="Times New Roman" w:eastAsia="宋体" w:cs="Times New Roman"/>
                <w:bCs/>
                <w:color w:val="auto"/>
                <w:sz w:val="24"/>
                <w:szCs w:val="24"/>
                <w:u w:val="none" w:color="auto"/>
              </w:rPr>
              <w:t>，建筑面积为</w:t>
            </w:r>
            <w:r>
              <w:rPr>
                <w:rFonts w:hint="eastAsia" w:cs="Times New Roman"/>
                <w:color w:val="auto"/>
                <w:sz w:val="24"/>
                <w:szCs w:val="24"/>
                <w:highlight w:val="none"/>
                <w:u w:val="none" w:color="auto"/>
                <w:lang w:val="en-US" w:eastAsia="zh-CN"/>
              </w:rPr>
              <w:t>3723</w:t>
            </w:r>
            <w:r>
              <w:rPr>
                <w:rFonts w:hint="default" w:ascii="Times New Roman" w:hAnsi="Times New Roman" w:eastAsia="宋体" w:cs="Times New Roman"/>
                <w:bCs/>
                <w:color w:val="000000" w:themeColor="text1"/>
                <w:sz w:val="24"/>
                <w:szCs w:val="24"/>
                <w:u w:val="none" w:color="auto"/>
                <w14:textFill>
                  <w14:solidFill>
                    <w14:schemeClr w14:val="tx1"/>
                  </w14:solidFill>
                </w14:textFill>
              </w:rPr>
              <w:t>m</w:t>
            </w:r>
            <w:r>
              <w:rPr>
                <w:rFonts w:hint="default" w:ascii="Times New Roman" w:hAnsi="Times New Roman" w:eastAsia="宋体" w:cs="Times New Roman"/>
                <w:bCs/>
                <w:color w:val="000000" w:themeColor="text1"/>
                <w:sz w:val="24"/>
                <w:szCs w:val="24"/>
                <w:u w:val="none" w:color="auto"/>
                <w:vertAlign w:val="superscript"/>
                <w14:textFill>
                  <w14:solidFill>
                    <w14:schemeClr w14:val="tx1"/>
                  </w14:solidFill>
                </w14:textFill>
              </w:rPr>
              <w:t>2</w:t>
            </w:r>
            <w:r>
              <w:rPr>
                <w:rFonts w:hint="default" w:ascii="Times New Roman" w:hAnsi="Times New Roman" w:eastAsia="宋体" w:cs="Times New Roman"/>
                <w:bCs/>
                <w:color w:val="auto"/>
                <w:spacing w:val="0"/>
                <w:sz w:val="24"/>
                <w:szCs w:val="24"/>
                <w:u w:val="none"/>
                <w:lang w:val="en-US" w:eastAsia="zh-CN"/>
              </w:rPr>
              <w:t>。</w:t>
            </w:r>
            <w:r>
              <w:rPr>
                <w:rFonts w:hint="eastAsia" w:ascii="Times New Roman" w:hAnsi="Times New Roman" w:cs="Times New Roman"/>
                <w:bCs/>
                <w:color w:val="auto"/>
                <w:spacing w:val="0"/>
                <w:sz w:val="24"/>
                <w:szCs w:val="24"/>
                <w:u w:val="none"/>
                <w:lang w:val="en-US" w:eastAsia="zh-CN"/>
              </w:rPr>
              <w:t>厂房四周内分别布设</w:t>
            </w:r>
            <w:r>
              <w:rPr>
                <w:rFonts w:hint="default" w:ascii="Times New Roman" w:hAnsi="Times New Roman" w:cs="Times New Roman"/>
                <w:bCs/>
                <w:color w:val="auto"/>
                <w:sz w:val="24"/>
                <w:szCs w:val="24"/>
                <w:u w:val="none"/>
                <w:lang w:val="en-US" w:eastAsia="zh-CN"/>
              </w:rPr>
              <w:t>生产设备区、原料存放区、产品存放区</w:t>
            </w:r>
            <w:r>
              <w:rPr>
                <w:rFonts w:hint="eastAsia" w:ascii="Times New Roman" w:hAnsi="Times New Roman" w:cs="Times New Roman"/>
                <w:bCs/>
                <w:color w:val="auto"/>
                <w:sz w:val="24"/>
                <w:szCs w:val="24"/>
                <w:u w:val="none"/>
                <w:lang w:val="en-US" w:eastAsia="zh-CN"/>
              </w:rPr>
              <w:t>，</w:t>
            </w:r>
            <w:r>
              <w:rPr>
                <w:rFonts w:hint="default" w:ascii="Times New Roman" w:hAnsi="Times New Roman" w:eastAsia="宋体" w:cs="Times New Roman"/>
                <w:bCs/>
                <w:color w:val="auto"/>
                <w:spacing w:val="0"/>
                <w:sz w:val="24"/>
                <w:szCs w:val="24"/>
                <w:u w:val="none"/>
                <w:lang w:val="en-US" w:eastAsia="zh-CN"/>
              </w:rPr>
              <w:t>危险废物</w:t>
            </w:r>
            <w:r>
              <w:rPr>
                <w:rFonts w:hint="eastAsia" w:ascii="Times New Roman" w:hAnsi="Times New Roman" w:eastAsia="宋体" w:cs="Times New Roman"/>
                <w:bCs/>
                <w:color w:val="auto"/>
                <w:spacing w:val="0"/>
                <w:sz w:val="24"/>
                <w:szCs w:val="24"/>
                <w:u w:val="none"/>
                <w:lang w:val="en-US" w:eastAsia="zh-CN"/>
              </w:rPr>
              <w:t>暂存间</w:t>
            </w:r>
            <w:r>
              <w:rPr>
                <w:rFonts w:hint="default" w:ascii="Times New Roman" w:hAnsi="Times New Roman" w:eastAsia="宋体" w:cs="Times New Roman"/>
                <w:bCs/>
                <w:color w:val="auto"/>
                <w:spacing w:val="0"/>
                <w:sz w:val="24"/>
                <w:szCs w:val="24"/>
                <w:u w:val="none"/>
                <w:lang w:val="en-US" w:eastAsia="zh-CN"/>
              </w:rPr>
              <w:t>与一般固废</w:t>
            </w:r>
            <w:r>
              <w:rPr>
                <w:rFonts w:hint="eastAsia" w:ascii="Times New Roman" w:hAnsi="Times New Roman" w:eastAsia="宋体" w:cs="Times New Roman"/>
                <w:bCs/>
                <w:color w:val="auto"/>
                <w:spacing w:val="0"/>
                <w:sz w:val="24"/>
                <w:szCs w:val="24"/>
                <w:u w:val="none"/>
                <w:lang w:val="en-US" w:eastAsia="zh-CN"/>
              </w:rPr>
              <w:t>暂存间</w:t>
            </w:r>
            <w:r>
              <w:rPr>
                <w:rFonts w:hint="default" w:ascii="Times New Roman" w:hAnsi="Times New Roman" w:eastAsia="宋体" w:cs="Times New Roman"/>
                <w:bCs/>
                <w:color w:val="auto"/>
                <w:spacing w:val="0"/>
                <w:sz w:val="24"/>
                <w:szCs w:val="24"/>
                <w:u w:val="none"/>
                <w:lang w:val="en-US" w:eastAsia="zh-CN"/>
              </w:rPr>
              <w:t>位于</w:t>
            </w:r>
            <w:r>
              <w:rPr>
                <w:rFonts w:hint="default" w:ascii="Times New Roman" w:hAnsi="Times New Roman" w:eastAsia="宋体" w:cs="Times New Roman"/>
                <w:bCs/>
                <w:color w:val="000000" w:themeColor="text1"/>
                <w:spacing w:val="0"/>
                <w:sz w:val="24"/>
                <w:szCs w:val="24"/>
                <w:u w:val="none"/>
                <w:lang w:val="en-US" w:eastAsia="zh-CN"/>
                <w14:textFill>
                  <w14:solidFill>
                    <w14:schemeClr w14:val="tx1"/>
                  </w14:solidFill>
                </w14:textFill>
              </w:rPr>
              <w:t>厂房</w:t>
            </w:r>
            <w:r>
              <w:rPr>
                <w:rFonts w:hint="eastAsia" w:ascii="Times New Roman" w:hAnsi="Times New Roman" w:eastAsia="宋体" w:cs="Times New Roman"/>
                <w:bCs/>
                <w:color w:val="000000" w:themeColor="text1"/>
                <w:spacing w:val="0"/>
                <w:sz w:val="24"/>
                <w:szCs w:val="24"/>
                <w:u w:val="none"/>
                <w:lang w:val="en-US" w:eastAsia="zh-CN"/>
                <w14:textFill>
                  <w14:solidFill>
                    <w14:schemeClr w14:val="tx1"/>
                  </w14:solidFill>
                </w14:textFill>
              </w:rPr>
              <w:t>内</w:t>
            </w:r>
            <w:r>
              <w:rPr>
                <w:rFonts w:hint="eastAsia" w:cs="Times New Roman"/>
                <w:bCs/>
                <w:color w:val="000000" w:themeColor="text1"/>
                <w:spacing w:val="0"/>
                <w:sz w:val="24"/>
                <w:szCs w:val="24"/>
                <w:u w:val="none"/>
                <w:lang w:val="en-US" w:eastAsia="zh-CN"/>
                <w14:textFill>
                  <w14:solidFill>
                    <w14:schemeClr w14:val="tx1"/>
                  </w14:solidFill>
                </w14:textFill>
              </w:rPr>
              <w:t>西南侧</w:t>
            </w:r>
            <w:r>
              <w:rPr>
                <w:rFonts w:hint="eastAsia" w:cs="Times New Roman"/>
                <w:bCs/>
                <w:color w:val="auto"/>
                <w:spacing w:val="0"/>
                <w:sz w:val="24"/>
                <w:szCs w:val="24"/>
                <w:u w:val="none"/>
                <w:lang w:val="en-US" w:eastAsia="zh-CN"/>
              </w:rPr>
              <w:t>；</w:t>
            </w:r>
            <w:r>
              <w:rPr>
                <w:rFonts w:hint="default" w:ascii="Times New Roman" w:hAnsi="Times New Roman" w:eastAsia="宋体" w:cs="Times New Roman"/>
                <w:bCs/>
                <w:color w:val="000000" w:themeColor="text1"/>
                <w:spacing w:val="0"/>
                <w:sz w:val="24"/>
                <w:szCs w:val="24"/>
                <w:u w:val="none"/>
                <w:lang w:val="en-US" w:eastAsia="zh-CN"/>
                <w14:textFill>
                  <w14:solidFill>
                    <w14:schemeClr w14:val="tx1"/>
                  </w14:solidFill>
                </w14:textFill>
              </w:rPr>
              <w:t>厂区总平面布置，原料区、生产区与成品区合</w:t>
            </w:r>
            <w:r>
              <w:rPr>
                <w:rFonts w:hint="default" w:ascii="Times New Roman" w:hAnsi="Times New Roman" w:eastAsia="宋体" w:cs="Times New Roman"/>
                <w:bCs/>
                <w:color w:val="auto"/>
                <w:spacing w:val="0"/>
                <w:sz w:val="24"/>
                <w:szCs w:val="24"/>
                <w:u w:val="none"/>
                <w:lang w:val="en-US" w:eastAsia="zh-CN"/>
              </w:rPr>
              <w:t>理区分，符合生产行业要求，满足生产工艺要求，满足安全生产要求，符合消防规范。供电、供水线路简捷。总平面布置紧凑合理，节省用地，有利生产，方便管理。综上所述，本厂区布局合理、物流顺畅，卫生条件和交通、安全、消防均满足企业需要及行业要求。</w:t>
            </w:r>
          </w:p>
          <w:p w14:paraId="59E41BCF">
            <w:pPr>
              <w:pStyle w:val="14"/>
              <w:keepNext w:val="0"/>
              <w:keepLines w:val="0"/>
              <w:pageBreakBefore w:val="0"/>
              <w:widowControl w:val="0"/>
              <w:kinsoku/>
              <w:wordWrap/>
              <w:overflowPunct/>
              <w:topLinePunct w:val="0"/>
              <w:autoSpaceDE/>
              <w:autoSpaceDN/>
              <w:bidi w:val="0"/>
              <w:snapToGrid/>
              <w:spacing w:line="360" w:lineRule="auto"/>
              <w:textAlignment w:val="auto"/>
              <w:rPr>
                <w:rFonts w:hint="eastAsia" w:cs="Times New Roman"/>
                <w:bCs/>
                <w:color w:val="auto"/>
                <w:spacing w:val="0"/>
                <w:sz w:val="24"/>
                <w:szCs w:val="24"/>
                <w:u w:val="none"/>
                <w:lang w:val="en-US" w:eastAsia="zh-CN"/>
              </w:rPr>
            </w:pPr>
            <w:r>
              <w:rPr>
                <w:rFonts w:hint="eastAsia" w:cs="Times New Roman"/>
                <w:bCs/>
                <w:color w:val="auto"/>
                <w:spacing w:val="0"/>
                <w:sz w:val="24"/>
                <w:szCs w:val="24"/>
                <w:u w:val="none"/>
                <w:lang w:val="en-US" w:eastAsia="zh-CN"/>
              </w:rPr>
              <w:t>项目厂房平面布局详见</w:t>
            </w:r>
            <w:r>
              <w:rPr>
                <w:rFonts w:hint="default" w:ascii="Times New Roman" w:hAnsi="Times New Roman" w:cs="Times New Roman"/>
                <w:bCs/>
                <w:color w:val="000000" w:themeColor="text1"/>
                <w:spacing w:val="0"/>
                <w:sz w:val="24"/>
                <w:szCs w:val="24"/>
                <w:u w:val="none"/>
                <w:lang w:val="en-US" w:eastAsia="zh-CN"/>
                <w14:textFill>
                  <w14:solidFill>
                    <w14:schemeClr w14:val="tx1"/>
                  </w14:solidFill>
                </w14:textFill>
              </w:rPr>
              <w:t>附图</w:t>
            </w:r>
            <w:r>
              <w:rPr>
                <w:rFonts w:hint="eastAsia" w:ascii="Times New Roman" w:hAnsi="Times New Roman" w:cs="Times New Roman"/>
                <w:bCs/>
                <w:color w:val="000000" w:themeColor="text1"/>
                <w:spacing w:val="0"/>
                <w:sz w:val="24"/>
                <w:szCs w:val="24"/>
                <w:u w:val="none"/>
                <w:lang w:val="en-US" w:eastAsia="zh-CN"/>
                <w14:textFill>
                  <w14:solidFill>
                    <w14:schemeClr w14:val="tx1"/>
                  </w14:solidFill>
                </w14:textFill>
              </w:rPr>
              <w:t>3</w:t>
            </w:r>
            <w:r>
              <w:rPr>
                <w:rFonts w:hint="eastAsia" w:cs="Times New Roman"/>
                <w:bCs/>
                <w:color w:val="auto"/>
                <w:spacing w:val="0"/>
                <w:sz w:val="24"/>
                <w:szCs w:val="24"/>
                <w:u w:val="none"/>
                <w:lang w:val="en-US" w:eastAsia="zh-CN"/>
              </w:rPr>
              <w:t>。</w:t>
            </w:r>
          </w:p>
          <w:p w14:paraId="5AA06A96">
            <w:pPr>
              <w:keepNext w:val="0"/>
              <w:keepLines w:val="0"/>
              <w:pageBreakBefore w:val="0"/>
              <w:numPr>
                <w:ilvl w:val="0"/>
                <w:numId w:val="0"/>
              </w:numPr>
              <w:kinsoku/>
              <w:wordWrap/>
              <w:overflowPunct/>
              <w:topLinePunct w:val="0"/>
              <w:bidi w:val="0"/>
              <w:snapToGrid/>
              <w:spacing w:line="360" w:lineRule="auto"/>
              <w:ind w:firstLine="482" w:firstLineChars="200"/>
              <w:jc w:val="left"/>
              <w:textAlignment w:val="auto"/>
              <w:rPr>
                <w:rFonts w:hint="default" w:ascii="Times New Roman" w:hAnsi="Times New Roman" w:eastAsia="宋体" w:cs="Times New Roman"/>
                <w:b/>
                <w:bCs w:val="0"/>
                <w:color w:val="000000"/>
                <w:sz w:val="24"/>
                <w:lang w:val="en-US" w:eastAsia="zh-CN"/>
              </w:rPr>
            </w:pPr>
            <w:r>
              <w:rPr>
                <w:rFonts w:hint="default" w:ascii="Times New Roman" w:hAnsi="Times New Roman" w:eastAsia="宋体" w:cs="Times New Roman"/>
                <w:b/>
                <w:bCs w:val="0"/>
                <w:color w:val="000000"/>
                <w:kern w:val="2"/>
                <w:sz w:val="24"/>
                <w:szCs w:val="24"/>
                <w:lang w:val="en-US" w:eastAsia="zh-CN" w:bidi="ar-SA"/>
              </w:rPr>
              <w:t>8、</w:t>
            </w:r>
            <w:r>
              <w:rPr>
                <w:rFonts w:hint="default" w:ascii="Times New Roman" w:hAnsi="Times New Roman" w:eastAsia="宋体" w:cs="Times New Roman"/>
                <w:b/>
                <w:bCs w:val="0"/>
                <w:color w:val="000000"/>
                <w:sz w:val="24"/>
                <w:lang w:val="en-US" w:eastAsia="zh-CN"/>
              </w:rPr>
              <w:t>公用工程</w:t>
            </w:r>
          </w:p>
          <w:p w14:paraId="4053AB7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u w:val="none"/>
                <w:lang w:val="en-US" w:eastAsia="zh-CN"/>
              </w:rPr>
            </w:pPr>
            <w:r>
              <w:rPr>
                <w:rFonts w:hint="eastAsia" w:ascii="Times New Roman" w:hAnsi="Times New Roman" w:eastAsia="宋体" w:cs="Times New Roman"/>
                <w:color w:val="000000"/>
                <w:kern w:val="0"/>
                <w:sz w:val="24"/>
                <w:szCs w:val="24"/>
                <w:u w:val="none"/>
                <w:lang w:val="en-US" w:eastAsia="zh-CN"/>
              </w:rPr>
              <w:t>（</w:t>
            </w:r>
            <w:r>
              <w:rPr>
                <w:rFonts w:hint="default" w:ascii="Times New Roman" w:hAnsi="Times New Roman" w:eastAsia="宋体" w:cs="Times New Roman"/>
                <w:color w:val="000000"/>
                <w:kern w:val="0"/>
                <w:sz w:val="24"/>
                <w:szCs w:val="24"/>
                <w:u w:val="none"/>
                <w:lang w:val="en-US" w:eastAsia="zh-CN"/>
              </w:rPr>
              <w:t>1）给水</w:t>
            </w:r>
          </w:p>
          <w:p w14:paraId="099A7709">
            <w:pPr>
              <w:pStyle w:val="14"/>
              <w:keepNext w:val="0"/>
              <w:keepLines w:val="0"/>
              <w:pageBreakBefore w:val="0"/>
              <w:widowControl w:val="0"/>
              <w:kinsoku/>
              <w:wordWrap/>
              <w:overflowPunct/>
              <w:topLinePunct w:val="0"/>
              <w:autoSpaceDE/>
              <w:autoSpaceDN/>
              <w:bidi w:val="0"/>
              <w:snapToGrid/>
              <w:spacing w:line="360" w:lineRule="auto"/>
              <w:textAlignment w:val="auto"/>
              <w:rPr>
                <w:rFonts w:hint="eastAsia" w:ascii="Times New Roman" w:hAnsi="Times New Roman" w:eastAsia="宋体" w:cs="Times New Roman"/>
                <w:color w:val="000000"/>
                <w:kern w:val="0"/>
                <w:sz w:val="24"/>
                <w:szCs w:val="24"/>
                <w:u w:val="none"/>
                <w:lang w:val="en-US" w:eastAsia="zh-CN"/>
              </w:rPr>
            </w:pPr>
            <w:r>
              <w:rPr>
                <w:rFonts w:hint="default" w:ascii="Times New Roman" w:hAnsi="Times New Roman" w:cs="Times New Roman"/>
                <w:bCs/>
                <w:color w:val="auto"/>
                <w:sz w:val="24"/>
                <w:szCs w:val="24"/>
                <w:u w:val="none" w:color="auto"/>
                <w:lang w:val="en-US" w:eastAsia="zh-CN"/>
              </w:rPr>
              <w:t>本项目租赁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bCs/>
                <w:color w:val="auto"/>
                <w:sz w:val="24"/>
                <w:szCs w:val="24"/>
                <w:u w:val="none" w:color="auto"/>
                <w:lang w:val="en-US" w:eastAsia="zh-CN"/>
              </w:rPr>
              <w:t>内现有标准厂房，不涉及绿化用地、锅炉，</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根据工艺操作管理要求，本项目生产线</w:t>
            </w:r>
            <w:r>
              <w:rPr>
                <w:rFonts w:hint="eastAsia" w:ascii="Times New Roman" w:cs="Times New Roman"/>
                <w:color w:val="000000" w:themeColor="text1"/>
                <w:sz w:val="24"/>
                <w:szCs w:val="22"/>
                <w:highlight w:val="none"/>
                <w:u w:val="none" w:color="auto"/>
                <w:lang w:val="en-US" w:eastAsia="zh-CN" w:bidi="ar-SA"/>
                <w14:textFill>
                  <w14:solidFill>
                    <w14:schemeClr w14:val="tx1"/>
                  </w14:solidFill>
                </w14:textFill>
              </w:rPr>
              <w:t>所采用的生产设备均无需清洗，且所在生产厂房的</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清洁采用干扫，无需用水清洗，</w:t>
            </w:r>
            <w:r>
              <w:rPr>
                <w:rFonts w:hint="eastAsia" w:ascii="Times New Roman" w:cs="Times New Roman"/>
                <w:color w:val="000000" w:themeColor="text1"/>
                <w:sz w:val="24"/>
                <w:szCs w:val="22"/>
                <w:highlight w:val="none"/>
                <w:u w:val="none" w:color="auto"/>
                <w:lang w:val="en-US" w:eastAsia="zh-CN" w:bidi="ar-SA"/>
                <w14:textFill>
                  <w14:solidFill>
                    <w14:schemeClr w14:val="tx1"/>
                  </w14:solidFill>
                </w14:textFill>
              </w:rPr>
              <w:t>则本项目不涉及生产厂房的地面清洗用水和生产设备清洗用水</w:t>
            </w:r>
            <w:r>
              <w:rPr>
                <w:rFonts w:hint="eastAsia"/>
                <w:u w:val="none"/>
                <w:lang w:eastAsia="zh-CN"/>
              </w:rPr>
              <w:t>。</w:t>
            </w:r>
            <w:r>
              <w:rPr>
                <w:rFonts w:hint="eastAsia"/>
                <w:u w:val="none"/>
                <w:lang w:val="en-US" w:eastAsia="zh-CN"/>
              </w:rPr>
              <w:t>因此，</w:t>
            </w:r>
            <w:r>
              <w:rPr>
                <w:rFonts w:hint="eastAsia" w:cs="Times New Roman"/>
                <w:color w:val="000000"/>
                <w:kern w:val="0"/>
                <w:sz w:val="24"/>
                <w:szCs w:val="24"/>
                <w:u w:val="none"/>
                <w:lang w:val="en-US" w:eastAsia="zh-CN"/>
              </w:rPr>
              <w:t>本</w:t>
            </w:r>
            <w:r>
              <w:rPr>
                <w:rFonts w:hint="eastAsia" w:ascii="Times New Roman" w:hAnsi="Times New Roman" w:eastAsia="宋体" w:cs="Times New Roman"/>
                <w:color w:val="000000"/>
                <w:kern w:val="0"/>
                <w:sz w:val="24"/>
                <w:szCs w:val="24"/>
                <w:u w:val="none"/>
                <w:lang w:val="en-US" w:eastAsia="zh-CN"/>
              </w:rPr>
              <w:t>项目</w:t>
            </w:r>
            <w:r>
              <w:rPr>
                <w:rFonts w:hint="eastAsia" w:ascii="Times New Roman" w:hAnsi="Times New Roman" w:eastAsia="宋体" w:cs="Times New Roman"/>
                <w:color w:val="auto"/>
                <w:sz w:val="24"/>
                <w:szCs w:val="22"/>
                <w:highlight w:val="none"/>
                <w:u w:val="none" w:color="auto"/>
                <w:lang w:val="en-US" w:eastAsia="zh-CN" w:bidi="ar-SA"/>
              </w:rPr>
              <w:t>营运期</w:t>
            </w:r>
            <w:r>
              <w:rPr>
                <w:rFonts w:hint="eastAsia" w:ascii="Times New Roman" w:hAnsi="Times New Roman" w:eastAsia="宋体" w:cs="Times New Roman"/>
                <w:color w:val="000000"/>
                <w:kern w:val="0"/>
                <w:sz w:val="24"/>
                <w:szCs w:val="24"/>
                <w:u w:val="none"/>
                <w:lang w:val="en-US" w:eastAsia="zh-CN"/>
              </w:rPr>
              <w:t>用水包括员工生活用水和生产用水，</w:t>
            </w:r>
            <w:r>
              <w:rPr>
                <w:rFonts w:hint="eastAsia" w:ascii="Times New Roman" w:hAnsi="Times New Roman" w:eastAsia="宋体" w:cs="Times New Roman"/>
                <w:color w:val="auto"/>
                <w:sz w:val="24"/>
                <w:szCs w:val="22"/>
                <w:highlight w:val="none"/>
                <w:u w:val="none" w:color="auto"/>
                <w:lang w:val="en-US" w:eastAsia="zh-CN" w:bidi="ar-SA"/>
              </w:rPr>
              <w:t>来源</w:t>
            </w:r>
            <w:r>
              <w:rPr>
                <w:rFonts w:hint="eastAsia" w:ascii="宋体" w:hAnsi="宋体" w:eastAsia="宋体" w:cs="宋体"/>
                <w:color w:val="auto"/>
                <w:sz w:val="24"/>
                <w:szCs w:val="22"/>
                <w:highlight w:val="none"/>
                <w:u w:val="none" w:color="auto"/>
                <w:lang w:val="en-US" w:eastAsia="zh-CN" w:bidi="ar-SA"/>
              </w:rPr>
              <w:t>于</w:t>
            </w:r>
            <w:r>
              <w:rPr>
                <w:rFonts w:hint="eastAsia" w:ascii="宋体" w:hAnsi="宋体" w:eastAsia="宋体" w:cs="宋体"/>
                <w:bCs/>
                <w:color w:val="auto"/>
                <w:sz w:val="24"/>
                <w:szCs w:val="24"/>
                <w:u w:val="none"/>
                <w:lang w:val="en-US" w:eastAsia="zh-CN"/>
              </w:rPr>
              <w:t>市政供水管网</w:t>
            </w:r>
            <w:r>
              <w:rPr>
                <w:rFonts w:hint="eastAsia" w:ascii="Times New Roman" w:hAnsi="Times New Roman" w:eastAsia="宋体" w:cs="Times New Roman"/>
                <w:color w:val="000000"/>
                <w:kern w:val="0"/>
                <w:sz w:val="24"/>
                <w:szCs w:val="24"/>
                <w:u w:val="none"/>
                <w:lang w:val="en-US" w:eastAsia="zh-CN"/>
              </w:rPr>
              <w:t>。</w:t>
            </w:r>
          </w:p>
          <w:p w14:paraId="3651730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u w:val="none"/>
                <w:lang w:val="en-US" w:eastAsia="zh-CN"/>
              </w:rPr>
            </w:pPr>
            <w:r>
              <w:rPr>
                <w:rFonts w:hint="eastAsia" w:ascii="Times New Roman" w:hAnsi="Times New Roman" w:eastAsia="宋体" w:cs="Times New Roman"/>
                <w:color w:val="000000"/>
                <w:kern w:val="0"/>
                <w:sz w:val="24"/>
                <w:szCs w:val="24"/>
                <w:u w:val="none"/>
                <w:lang w:val="en-US" w:eastAsia="zh-CN"/>
              </w:rPr>
              <w:t>1）</w:t>
            </w:r>
            <w:r>
              <w:rPr>
                <w:rFonts w:hint="default" w:ascii="Times New Roman" w:hAnsi="Times New Roman" w:eastAsia="宋体" w:cs="Times New Roman"/>
                <w:color w:val="000000"/>
                <w:kern w:val="0"/>
                <w:sz w:val="24"/>
                <w:szCs w:val="24"/>
                <w:u w:val="none"/>
                <w:lang w:val="en-US" w:eastAsia="zh-CN"/>
              </w:rPr>
              <w:t>员工</w:t>
            </w:r>
            <w:r>
              <w:rPr>
                <w:rFonts w:hint="eastAsia" w:ascii="Times New Roman" w:hAnsi="Times New Roman" w:eastAsia="宋体" w:cs="Times New Roman"/>
                <w:color w:val="000000"/>
                <w:kern w:val="0"/>
                <w:sz w:val="24"/>
                <w:szCs w:val="24"/>
                <w:u w:val="none"/>
                <w:lang w:val="en-US" w:eastAsia="zh-CN"/>
              </w:rPr>
              <w:t>办公</w:t>
            </w:r>
            <w:r>
              <w:rPr>
                <w:rFonts w:hint="default" w:ascii="Times New Roman" w:hAnsi="Times New Roman" w:eastAsia="宋体" w:cs="Times New Roman"/>
                <w:color w:val="000000"/>
                <w:kern w:val="0"/>
                <w:sz w:val="24"/>
                <w:szCs w:val="24"/>
                <w:u w:val="none"/>
                <w:lang w:val="en-US" w:eastAsia="zh-CN"/>
              </w:rPr>
              <w:t>生活用水</w:t>
            </w:r>
          </w:p>
          <w:p w14:paraId="13FF6730">
            <w:pPr>
              <w:pStyle w:val="14"/>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bCs/>
                <w:color w:val="auto"/>
                <w:sz w:val="24"/>
                <w:szCs w:val="24"/>
                <w:u w:val="none"/>
                <w:lang w:val="en-US" w:eastAsia="zh-CN"/>
              </w:rPr>
            </w:pPr>
            <w:r>
              <w:rPr>
                <w:rFonts w:hint="eastAsia" w:ascii="Times New Roman" w:hAnsi="Times New Roman" w:eastAsia="宋体" w:cs="Times New Roman"/>
                <w:color w:val="auto"/>
                <w:sz w:val="24"/>
                <w:szCs w:val="22"/>
                <w:highlight w:val="none"/>
                <w:u w:val="none" w:color="auto"/>
                <w:lang w:val="en-US" w:eastAsia="zh-CN" w:bidi="ar-SA"/>
              </w:rPr>
              <w:t>本项目劳动定员共</w:t>
            </w:r>
            <w:r>
              <w:rPr>
                <w:rFonts w:hint="eastAsia" w:cs="Times New Roman"/>
                <w:bCs/>
                <w:color w:val="auto"/>
                <w:sz w:val="24"/>
                <w:szCs w:val="24"/>
                <w:u w:val="none"/>
                <w:lang w:val="en-US" w:eastAsia="zh-CN"/>
              </w:rPr>
              <w:t>1</w:t>
            </w:r>
            <w:r>
              <w:rPr>
                <w:rFonts w:hint="eastAsia" w:ascii="Times New Roman" w:hAnsi="Times New Roman" w:cs="Times New Roman"/>
                <w:bCs/>
                <w:color w:val="auto"/>
                <w:sz w:val="24"/>
                <w:szCs w:val="24"/>
                <w:u w:val="none"/>
                <w:lang w:val="en-US" w:eastAsia="zh-CN"/>
              </w:rPr>
              <w:t>0</w:t>
            </w:r>
            <w:r>
              <w:rPr>
                <w:rFonts w:hint="default" w:ascii="Times New Roman" w:hAnsi="Times New Roman" w:eastAsia="宋体" w:cs="Times New Roman"/>
                <w:bCs/>
                <w:color w:val="auto"/>
                <w:sz w:val="24"/>
                <w:szCs w:val="24"/>
                <w:u w:val="none"/>
                <w:lang w:eastAsia="zh-CN"/>
              </w:rPr>
              <w:t>人</w:t>
            </w:r>
            <w:r>
              <w:rPr>
                <w:rFonts w:hint="eastAsia" w:ascii="Times New Roman" w:hAnsi="Times New Roman" w:eastAsia="宋体" w:cs="Times New Roman"/>
                <w:color w:val="auto"/>
                <w:sz w:val="24"/>
                <w:szCs w:val="22"/>
                <w:highlight w:val="none"/>
                <w:u w:val="none" w:color="auto"/>
                <w:lang w:val="en-US" w:eastAsia="zh-CN" w:bidi="ar-SA"/>
              </w:rPr>
              <w:t>，</w:t>
            </w:r>
            <w:r>
              <w:rPr>
                <w:rFonts w:hint="eastAsia" w:cs="Times New Roman"/>
                <w:color w:val="000000"/>
                <w:kern w:val="0"/>
                <w:sz w:val="24"/>
                <w:szCs w:val="24"/>
                <w:highlight w:val="none"/>
                <w:lang w:val="en-US" w:eastAsia="zh-CN" w:bidi="ar-SA"/>
              </w:rPr>
              <w:t>厂区内不</w:t>
            </w:r>
            <w:r>
              <w:rPr>
                <w:rFonts w:hint="eastAsia" w:ascii="Times New Roman" w:hAnsi="Times New Roman" w:cs="Times New Roman"/>
                <w:color w:val="000000"/>
                <w:kern w:val="0"/>
                <w:sz w:val="24"/>
                <w:szCs w:val="24"/>
                <w:highlight w:val="none"/>
                <w:lang w:val="en-US" w:eastAsia="zh-CN" w:bidi="ar-SA"/>
              </w:rPr>
              <w:t>提供</w:t>
            </w:r>
            <w:r>
              <w:rPr>
                <w:rFonts w:hint="eastAsia" w:cs="Times New Roman"/>
                <w:color w:val="000000"/>
                <w:kern w:val="0"/>
                <w:sz w:val="24"/>
                <w:szCs w:val="24"/>
                <w:highlight w:val="none"/>
                <w:lang w:val="en-US" w:eastAsia="zh-CN" w:bidi="ar-SA"/>
              </w:rPr>
              <w:t>食宿</w:t>
            </w:r>
            <w:r>
              <w:rPr>
                <w:rFonts w:hint="eastAsia" w:ascii="Times New Roman" w:hAnsi="Times New Roman" w:cs="Times New Roman"/>
                <w:color w:val="000000"/>
                <w:kern w:val="0"/>
                <w:sz w:val="24"/>
                <w:szCs w:val="24"/>
                <w:highlight w:val="none"/>
                <w:lang w:val="en-US" w:eastAsia="zh-CN" w:bidi="ar-SA"/>
              </w:rPr>
              <w:t>。</w:t>
            </w:r>
            <w:r>
              <w:rPr>
                <w:rFonts w:hint="default" w:ascii="Times New Roman" w:hAnsi="Times New Roman" w:eastAsia="宋体" w:cs="Times New Roman"/>
                <w:bCs/>
                <w:color w:val="auto"/>
                <w:sz w:val="24"/>
                <w:szCs w:val="24"/>
                <w:u w:val="none"/>
              </w:rPr>
              <w:t>根据《湖南省用水定额》（DB43/T388-2020），员工</w:t>
            </w:r>
            <w:r>
              <w:rPr>
                <w:rFonts w:hint="default" w:ascii="Times New Roman" w:hAnsi="Times New Roman" w:eastAsia="宋体" w:cs="Times New Roman"/>
                <w:bCs/>
                <w:color w:val="auto"/>
                <w:sz w:val="24"/>
                <w:szCs w:val="24"/>
                <w:u w:val="none"/>
                <w:lang w:val="en-US" w:eastAsia="zh-CN"/>
              </w:rPr>
              <w:t>办公</w:t>
            </w:r>
            <w:r>
              <w:rPr>
                <w:rFonts w:hint="default" w:ascii="Times New Roman" w:hAnsi="Times New Roman" w:eastAsia="宋体" w:cs="Times New Roman"/>
                <w:bCs/>
                <w:color w:val="auto"/>
                <w:sz w:val="24"/>
                <w:szCs w:val="24"/>
                <w:u w:val="none"/>
              </w:rPr>
              <w:t>生活用水</w:t>
            </w:r>
            <w:r>
              <w:rPr>
                <w:rFonts w:hint="default" w:ascii="Times New Roman" w:hAnsi="Times New Roman" w:eastAsia="宋体" w:cs="Times New Roman"/>
                <w:bCs/>
                <w:color w:val="auto"/>
                <w:sz w:val="24"/>
                <w:szCs w:val="24"/>
                <w:u w:val="none"/>
                <w:lang w:val="en-US" w:eastAsia="zh-CN"/>
              </w:rPr>
              <w:t>定额</w:t>
            </w:r>
            <w:r>
              <w:rPr>
                <w:rFonts w:hint="default" w:ascii="Times New Roman" w:hAnsi="Times New Roman" w:eastAsia="宋体" w:cs="Times New Roman"/>
                <w:bCs/>
                <w:color w:val="auto"/>
                <w:sz w:val="24"/>
                <w:szCs w:val="24"/>
                <w:u w:val="none"/>
              </w:rPr>
              <w:t>按38m</w:t>
            </w:r>
            <w:r>
              <w:rPr>
                <w:rFonts w:hint="default" w:ascii="Times New Roman" w:hAnsi="Times New Roman" w:eastAsia="宋体" w:cs="Times New Roman"/>
                <w:bCs/>
                <w:color w:val="auto"/>
                <w:sz w:val="24"/>
                <w:szCs w:val="24"/>
                <w:u w:val="none"/>
                <w:vertAlign w:val="superscript"/>
              </w:rPr>
              <w:t>3</w:t>
            </w:r>
            <w:r>
              <w:rPr>
                <w:rFonts w:hint="default" w:ascii="Times New Roman" w:hAnsi="Times New Roman" w:eastAsia="宋体" w:cs="Times New Roman"/>
                <w:bCs/>
                <w:color w:val="auto"/>
                <w:sz w:val="24"/>
                <w:szCs w:val="24"/>
                <w:u w:val="none"/>
              </w:rPr>
              <w:t>/人·a计，</w:t>
            </w:r>
            <w:r>
              <w:rPr>
                <w:rFonts w:hint="eastAsia" w:ascii="Times New Roman" w:hAnsi="Times New Roman" w:eastAsia="宋体" w:cs="Times New Roman"/>
                <w:color w:val="auto"/>
                <w:sz w:val="24"/>
                <w:szCs w:val="22"/>
                <w:highlight w:val="none"/>
                <w:u w:val="none" w:color="auto"/>
                <w:lang w:val="en-US" w:eastAsia="zh-CN" w:bidi="ar-SA"/>
              </w:rPr>
              <w:t>该办公楼用水包括办公室、食堂、浴室、锅炉、空调、集体宿舍和绿化等与机关服务有关的用水量，不包括对外服务的政务大厅等用水量。</w:t>
            </w:r>
            <w:r>
              <w:rPr>
                <w:rFonts w:hint="eastAsia" w:cs="Times New Roman"/>
                <w:color w:val="000000"/>
                <w:sz w:val="24"/>
                <w:szCs w:val="22"/>
                <w:highlight w:val="none"/>
                <w:u w:val="none" w:color="auto"/>
                <w:lang w:val="en-US" w:eastAsia="zh-CN" w:bidi="ar-SA"/>
              </w:rPr>
              <w:t>项目年工作300天</w:t>
            </w:r>
            <w:r>
              <w:rPr>
                <w:rFonts w:hint="eastAsia" w:ascii="Times New Roman" w:hAnsi="Times New Roman" w:eastAsia="宋体" w:cs="Times New Roman"/>
                <w:color w:val="000000"/>
                <w:sz w:val="24"/>
                <w:szCs w:val="22"/>
                <w:highlight w:val="none"/>
                <w:u w:val="none" w:color="auto"/>
                <w:lang w:val="en-US" w:eastAsia="zh-CN" w:bidi="ar-SA"/>
              </w:rPr>
              <w:t>。</w:t>
            </w:r>
            <w:r>
              <w:rPr>
                <w:rFonts w:hint="default" w:ascii="Times New Roman" w:hAnsi="Times New Roman" w:cs="Times New Roman"/>
                <w:bCs/>
                <w:color w:val="auto"/>
                <w:sz w:val="24"/>
                <w:szCs w:val="24"/>
                <w:highlight w:val="none"/>
                <w:u w:val="none"/>
                <w:lang w:val="en-US" w:eastAsia="zh-CN"/>
              </w:rPr>
              <w:t>则本项目员工办公生活用水量为</w:t>
            </w:r>
            <w:r>
              <w:rPr>
                <w:rFonts w:hint="eastAsia" w:ascii="Times New Roman" w:hAnsi="Times New Roman" w:cs="Times New Roman"/>
                <w:bCs/>
                <w:color w:val="auto"/>
                <w:sz w:val="24"/>
                <w:szCs w:val="24"/>
                <w:highlight w:val="none"/>
                <w:u w:val="none"/>
                <w:lang w:val="en-US" w:eastAsia="zh-CN"/>
              </w:rPr>
              <w:t>1.26</w:t>
            </w:r>
            <w:r>
              <w:rPr>
                <w:rFonts w:hint="eastAsia" w:cs="Times New Roman"/>
                <w:bCs/>
                <w:color w:val="auto"/>
                <w:sz w:val="24"/>
                <w:szCs w:val="24"/>
                <w:highlight w:val="none"/>
                <w:u w:val="none"/>
                <w:lang w:val="en-US" w:eastAsia="zh-CN"/>
              </w:rPr>
              <w:t>7</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/d（</w:t>
            </w:r>
            <w:r>
              <w:rPr>
                <w:rFonts w:hint="eastAsia" w:ascii="Times New Roman" w:hAnsi="Times New Roman" w:cs="Times New Roman"/>
                <w:bCs/>
                <w:color w:val="auto"/>
                <w:sz w:val="24"/>
                <w:szCs w:val="24"/>
                <w:highlight w:val="none"/>
                <w:u w:val="none"/>
                <w:lang w:val="en-US" w:eastAsia="zh-CN"/>
              </w:rPr>
              <w:t>380</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/a）</w:t>
            </w:r>
            <w:r>
              <w:rPr>
                <w:rFonts w:hint="default" w:ascii="Times New Roman" w:hAnsi="Times New Roman" w:cs="Times New Roman"/>
                <w:bCs/>
                <w:color w:val="auto"/>
                <w:sz w:val="24"/>
                <w:szCs w:val="24"/>
                <w:u w:val="none"/>
                <w:lang w:val="en-US" w:eastAsia="zh-CN"/>
              </w:rPr>
              <w:t>。</w:t>
            </w:r>
          </w:p>
          <w:p w14:paraId="5591ADB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kern w:val="0"/>
                <w:sz w:val="24"/>
                <w:szCs w:val="24"/>
                <w:u w:val="none"/>
                <w:lang w:val="en-US" w:eastAsia="zh-CN"/>
              </w:rPr>
            </w:pPr>
            <w:r>
              <w:rPr>
                <w:rFonts w:hint="eastAsia" w:ascii="Times New Roman" w:hAnsi="Times New Roman" w:eastAsia="宋体" w:cs="Times New Roman"/>
                <w:color w:val="000000"/>
                <w:kern w:val="0"/>
                <w:sz w:val="24"/>
                <w:szCs w:val="24"/>
                <w:lang w:val="en-US" w:eastAsia="zh-CN" w:bidi="ar-SA"/>
              </w:rPr>
              <w:t>2）</w:t>
            </w:r>
            <w:r>
              <w:rPr>
                <w:rFonts w:hint="eastAsia" w:ascii="Times New Roman" w:hAnsi="Times New Roman" w:eastAsia="宋体" w:cs="Times New Roman"/>
                <w:color w:val="000000"/>
                <w:kern w:val="0"/>
                <w:sz w:val="24"/>
                <w:szCs w:val="24"/>
                <w:u w:val="none"/>
                <w:lang w:val="en-US" w:eastAsia="zh-CN"/>
              </w:rPr>
              <w:t>生产用水</w:t>
            </w:r>
          </w:p>
          <w:p w14:paraId="0F0B981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cs="Times New Roman"/>
                <w:color w:val="000000"/>
                <w:kern w:val="0"/>
                <w:sz w:val="24"/>
                <w:szCs w:val="24"/>
                <w:u w:val="none"/>
                <w:lang w:val="en-US" w:eastAsia="zh-CN"/>
              </w:rPr>
            </w:pPr>
            <w:r>
              <w:rPr>
                <w:rFonts w:hint="eastAsia" w:ascii="Times New Roman" w:hAnsi="Times New Roman" w:eastAsia="宋体" w:cs="Times New Roman"/>
                <w:color w:val="000000"/>
                <w:kern w:val="0"/>
                <w:sz w:val="24"/>
                <w:szCs w:val="24"/>
                <w:u w:val="none"/>
                <w:lang w:val="en-US" w:eastAsia="zh-CN"/>
              </w:rPr>
              <w:t>项目生产用水</w:t>
            </w:r>
            <w:r>
              <w:rPr>
                <w:rFonts w:hint="eastAsia" w:cs="Times New Roman"/>
                <w:color w:val="000000"/>
                <w:kern w:val="0"/>
                <w:sz w:val="24"/>
                <w:szCs w:val="24"/>
                <w:u w:val="none"/>
                <w:lang w:val="en-US" w:eastAsia="zh-CN"/>
              </w:rPr>
              <w:t>主要为</w:t>
            </w:r>
            <w:r>
              <w:rPr>
                <w:rFonts w:hint="eastAsia" w:ascii="Times New Roman" w:hAnsi="Times New Roman" w:eastAsia="宋体" w:cs="Times New Roman"/>
                <w:color w:val="000000"/>
                <w:kern w:val="0"/>
                <w:sz w:val="24"/>
                <w:szCs w:val="24"/>
                <w:u w:val="none"/>
                <w:lang w:val="en-US" w:eastAsia="zh-CN"/>
              </w:rPr>
              <w:t>喷淋用水</w:t>
            </w:r>
            <w:r>
              <w:rPr>
                <w:rFonts w:hint="eastAsia" w:cs="Times New Roman"/>
                <w:color w:val="000000"/>
                <w:kern w:val="0"/>
                <w:sz w:val="24"/>
                <w:szCs w:val="24"/>
                <w:u w:val="none"/>
                <w:lang w:val="en-US" w:eastAsia="zh-CN"/>
              </w:rPr>
              <w:t>。项目拟在</w:t>
            </w:r>
            <w:r>
              <w:rPr>
                <w:rFonts w:hint="eastAsia" w:ascii="Times New Roman" w:hAnsi="Times New Roman" w:eastAsia="宋体" w:cs="Times New Roman"/>
                <w:color w:val="000000"/>
                <w:kern w:val="0"/>
                <w:sz w:val="24"/>
                <w:szCs w:val="24"/>
                <w:u w:val="none"/>
                <w:lang w:val="en-US" w:eastAsia="zh-CN"/>
              </w:rPr>
              <w:t>双轴破碎机</w:t>
            </w:r>
            <w:r>
              <w:rPr>
                <w:rFonts w:hint="eastAsia" w:cs="Times New Roman"/>
                <w:color w:val="000000"/>
                <w:kern w:val="0"/>
                <w:sz w:val="24"/>
                <w:szCs w:val="24"/>
                <w:u w:val="none"/>
                <w:lang w:val="en-US" w:eastAsia="zh-CN"/>
              </w:rPr>
              <w:t>投料口周围设置1套喷淋装置，卸货处设置1套喷淋装置，</w:t>
            </w:r>
            <w:r>
              <w:rPr>
                <w:rFonts w:hint="default" w:eastAsia="宋体" w:cs="Times New Roman"/>
                <w:color w:val="000000"/>
                <w:kern w:val="0"/>
                <w:sz w:val="24"/>
                <w:szCs w:val="24"/>
                <w:u w:val="none"/>
                <w:lang w:val="en-US" w:eastAsia="zh-CN"/>
              </w:rPr>
              <w:t>原料</w:t>
            </w:r>
            <w:r>
              <w:rPr>
                <w:rFonts w:hint="eastAsia" w:eastAsia="宋体" w:cs="Times New Roman"/>
                <w:color w:val="000000"/>
                <w:kern w:val="0"/>
                <w:sz w:val="24"/>
                <w:szCs w:val="24"/>
                <w:u w:val="none"/>
                <w:lang w:val="en-US" w:eastAsia="zh-CN"/>
              </w:rPr>
              <w:t>储存</w:t>
            </w:r>
            <w:r>
              <w:rPr>
                <w:rFonts w:hint="default" w:eastAsia="宋体" w:cs="Times New Roman"/>
                <w:color w:val="000000"/>
                <w:kern w:val="0"/>
                <w:sz w:val="24"/>
                <w:szCs w:val="24"/>
                <w:u w:val="none"/>
                <w:lang w:val="en-US" w:eastAsia="zh-CN"/>
              </w:rPr>
              <w:t>区</w:t>
            </w:r>
            <w:r>
              <w:rPr>
                <w:rFonts w:hint="eastAsia" w:cs="Times New Roman"/>
                <w:color w:val="000000"/>
                <w:kern w:val="0"/>
                <w:sz w:val="24"/>
                <w:szCs w:val="24"/>
                <w:u w:val="none"/>
                <w:lang w:val="en-US" w:eastAsia="zh-CN"/>
              </w:rPr>
              <w:t>设置1套喷淋装置，共3套。根据建设单位提供的资料，一套喷淋装置喷头耗水量约0.3m</w:t>
            </w:r>
            <w:r>
              <w:rPr>
                <w:rFonts w:hint="eastAsia" w:cs="Times New Roman"/>
                <w:color w:val="000000"/>
                <w:kern w:val="0"/>
                <w:sz w:val="24"/>
                <w:szCs w:val="24"/>
                <w:u w:val="none"/>
                <w:vertAlign w:val="superscript"/>
                <w:lang w:val="en-US" w:eastAsia="zh-CN"/>
              </w:rPr>
              <w:t>3</w:t>
            </w:r>
            <w:r>
              <w:rPr>
                <w:rFonts w:hint="eastAsia" w:cs="Times New Roman"/>
                <w:color w:val="000000"/>
                <w:kern w:val="0"/>
                <w:sz w:val="24"/>
                <w:szCs w:val="24"/>
                <w:u w:val="none"/>
                <w:lang w:val="en-US" w:eastAsia="zh-CN"/>
              </w:rPr>
              <w:t>/h，喷淋时间约8h/d，项目年工作300天，则喷淋过程耗水量约为7.2m</w:t>
            </w:r>
            <w:r>
              <w:rPr>
                <w:rFonts w:hint="eastAsia" w:cs="Times New Roman"/>
                <w:color w:val="000000"/>
                <w:kern w:val="0"/>
                <w:sz w:val="24"/>
                <w:szCs w:val="24"/>
                <w:u w:val="none"/>
                <w:vertAlign w:val="superscript"/>
                <w:lang w:val="en-US" w:eastAsia="zh-CN"/>
              </w:rPr>
              <w:t>3</w:t>
            </w:r>
            <w:r>
              <w:rPr>
                <w:rFonts w:hint="eastAsia" w:cs="Times New Roman"/>
                <w:color w:val="000000"/>
                <w:kern w:val="0"/>
                <w:sz w:val="24"/>
                <w:szCs w:val="24"/>
                <w:u w:val="none"/>
                <w:lang w:val="en-US" w:eastAsia="zh-CN"/>
              </w:rPr>
              <w:t>/d（2160m</w:t>
            </w:r>
            <w:r>
              <w:rPr>
                <w:rFonts w:hint="eastAsia" w:cs="Times New Roman"/>
                <w:color w:val="000000"/>
                <w:kern w:val="0"/>
                <w:sz w:val="24"/>
                <w:szCs w:val="24"/>
                <w:u w:val="none"/>
                <w:vertAlign w:val="superscript"/>
                <w:lang w:val="en-US" w:eastAsia="zh-CN"/>
              </w:rPr>
              <w:t>3</w:t>
            </w:r>
            <w:r>
              <w:rPr>
                <w:rFonts w:hint="eastAsia" w:cs="Times New Roman"/>
                <w:color w:val="000000"/>
                <w:kern w:val="0"/>
                <w:sz w:val="24"/>
                <w:szCs w:val="24"/>
                <w:u w:val="none"/>
                <w:lang w:val="en-US" w:eastAsia="zh-CN"/>
              </w:rPr>
              <w:t>/a），喷淋用水用于无组织抑尘，随蒸发损耗或随粉尘降落，少量进入产品，不外排。</w:t>
            </w:r>
          </w:p>
          <w:p w14:paraId="7F2AE878">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u w:val="none"/>
                <w:lang w:val="en-US" w:eastAsia="zh-CN"/>
              </w:rPr>
            </w:pPr>
            <w:r>
              <w:rPr>
                <w:rFonts w:hint="eastAsia" w:cs="Times New Roman"/>
                <w:color w:val="000000"/>
                <w:kern w:val="0"/>
                <w:sz w:val="24"/>
                <w:szCs w:val="24"/>
                <w:u w:val="none"/>
                <w:lang w:val="en-US" w:eastAsia="zh-CN"/>
              </w:rPr>
              <w:t>（2）</w:t>
            </w:r>
            <w:r>
              <w:rPr>
                <w:rFonts w:hint="eastAsia" w:ascii="Times New Roman" w:hAnsi="Times New Roman" w:eastAsia="宋体" w:cs="Times New Roman"/>
                <w:color w:val="000000"/>
                <w:kern w:val="0"/>
                <w:sz w:val="24"/>
                <w:szCs w:val="24"/>
                <w:u w:val="none"/>
                <w:lang w:val="en-US" w:eastAsia="zh-CN"/>
              </w:rPr>
              <w:t>排</w:t>
            </w:r>
            <w:r>
              <w:rPr>
                <w:rFonts w:hint="default" w:ascii="Times New Roman" w:hAnsi="Times New Roman" w:eastAsia="宋体" w:cs="Times New Roman"/>
                <w:color w:val="000000"/>
                <w:kern w:val="0"/>
                <w:sz w:val="24"/>
                <w:szCs w:val="24"/>
                <w:u w:val="none"/>
                <w:lang w:val="en-US" w:eastAsia="zh-CN"/>
              </w:rPr>
              <w:t>水</w:t>
            </w:r>
          </w:p>
          <w:p w14:paraId="61570488">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kern w:val="0"/>
                <w:sz w:val="24"/>
                <w:szCs w:val="24"/>
                <w:u w:val="none"/>
                <w:lang w:val="en-US" w:eastAsia="zh-CN"/>
              </w:rPr>
            </w:pPr>
            <w:r>
              <w:rPr>
                <w:rFonts w:hint="eastAsia" w:ascii="Times New Roman" w:hAnsi="Times New Roman" w:eastAsia="宋体" w:cs="Times New Roman"/>
                <w:color w:val="000000"/>
                <w:sz w:val="24"/>
                <w:szCs w:val="22"/>
                <w:highlight w:val="none"/>
                <w:u w:val="none" w:color="auto"/>
                <w:lang w:val="en-US" w:eastAsia="zh-CN" w:bidi="ar-SA"/>
              </w:rPr>
              <w:t>本项目排水实行雨污分流制，其中：雨水经</w:t>
            </w:r>
            <w:r>
              <w:rPr>
                <w:rFonts w:hint="eastAsia" w:ascii="Times New Roman" w:hAnsi="Times New Roman" w:cs="Times New Roman"/>
                <w:bCs/>
                <w:color w:val="auto"/>
                <w:sz w:val="24"/>
                <w:szCs w:val="24"/>
                <w:u w:val="none" w:color="auto"/>
                <w:lang w:val="en-US" w:eastAsia="zh-CN"/>
              </w:rPr>
              <w:t>龙昶</w:t>
            </w:r>
            <w:r>
              <w:rPr>
                <w:rFonts w:hint="eastAsia" w:ascii="Times New Roman" w:hAnsi="Times New Roman" w:eastAsia="宋体" w:cs="Times New Roman"/>
                <w:color w:val="000000"/>
                <w:sz w:val="24"/>
                <w:szCs w:val="22"/>
                <w:highlight w:val="none"/>
                <w:u w:val="none" w:color="auto"/>
                <w:lang w:val="en-US" w:eastAsia="zh-CN" w:bidi="ar-SA"/>
              </w:rPr>
              <w:t>厂区内雨水管网排入</w:t>
            </w:r>
            <w:r>
              <w:rPr>
                <w:rFonts w:hint="eastAsia" w:ascii="Times New Roman" w:hAnsi="Times New Roman" w:eastAsia="宋体" w:cs="Times New Roman"/>
                <w:color w:val="000000"/>
                <w:kern w:val="0"/>
                <w:sz w:val="24"/>
                <w:szCs w:val="24"/>
                <w:u w:val="none"/>
                <w:lang w:val="en-US" w:eastAsia="zh-CN"/>
              </w:rPr>
              <w:t>市政</w:t>
            </w:r>
            <w:r>
              <w:rPr>
                <w:rFonts w:hint="eastAsia" w:cs="Times New Roman"/>
                <w:color w:val="000000"/>
                <w:kern w:val="0"/>
                <w:sz w:val="24"/>
                <w:szCs w:val="24"/>
                <w:u w:val="none"/>
                <w:lang w:val="en-US" w:eastAsia="zh-CN"/>
              </w:rPr>
              <w:t>雨</w:t>
            </w:r>
            <w:r>
              <w:rPr>
                <w:rFonts w:hint="eastAsia" w:ascii="Times New Roman" w:hAnsi="Times New Roman" w:eastAsia="宋体" w:cs="Times New Roman"/>
                <w:color w:val="000000"/>
                <w:kern w:val="0"/>
                <w:sz w:val="24"/>
                <w:szCs w:val="24"/>
                <w:u w:val="none"/>
                <w:lang w:val="en-US" w:eastAsia="zh-CN"/>
              </w:rPr>
              <w:t>水管网</w:t>
            </w:r>
            <w:r>
              <w:rPr>
                <w:rFonts w:hint="eastAsia" w:ascii="Times New Roman" w:hAnsi="Times New Roman" w:cs="Times New Roman"/>
                <w:color w:val="000000"/>
                <w:kern w:val="0"/>
                <w:sz w:val="24"/>
                <w:szCs w:val="24"/>
                <w:u w:val="none"/>
                <w:lang w:val="en-US" w:eastAsia="zh-CN"/>
              </w:rPr>
              <w:t>排入新田河</w:t>
            </w:r>
            <w:r>
              <w:rPr>
                <w:rFonts w:hint="eastAsia" w:ascii="Times New Roman" w:hAnsi="Times New Roman" w:eastAsia="宋体" w:cs="Times New Roman"/>
                <w:color w:val="000000"/>
                <w:sz w:val="24"/>
                <w:szCs w:val="22"/>
                <w:highlight w:val="none"/>
                <w:u w:val="none" w:color="auto"/>
                <w:lang w:val="en-US" w:eastAsia="zh-CN" w:bidi="ar-SA"/>
              </w:rPr>
              <w:t>。</w:t>
            </w:r>
            <w:r>
              <w:rPr>
                <w:rFonts w:hint="eastAsia" w:cs="Times New Roman"/>
                <w:color w:val="000000"/>
                <w:sz w:val="24"/>
                <w:szCs w:val="22"/>
                <w:highlight w:val="none"/>
                <w:u w:val="none" w:color="auto"/>
                <w:lang w:val="en-US" w:eastAsia="zh-CN" w:bidi="ar-SA"/>
              </w:rPr>
              <w:t>本项目</w:t>
            </w:r>
            <w:r>
              <w:rPr>
                <w:rFonts w:hint="eastAsia" w:cs="Times New Roman"/>
                <w:color w:val="000000"/>
                <w:kern w:val="0"/>
                <w:sz w:val="24"/>
                <w:szCs w:val="24"/>
                <w:u w:val="none"/>
                <w:lang w:val="en-US" w:eastAsia="zh-CN"/>
              </w:rPr>
              <w:t>喷淋用水用于无组织抑尘，随蒸发损耗或随粉尘降落，少量进入产品，不外排。因此，</w:t>
            </w:r>
            <w:r>
              <w:rPr>
                <w:rFonts w:hint="eastAsia" w:ascii="Times New Roman" w:hAnsi="Times New Roman" w:eastAsia="宋体" w:cs="Times New Roman"/>
                <w:color w:val="000000"/>
                <w:kern w:val="0"/>
                <w:sz w:val="24"/>
                <w:szCs w:val="24"/>
                <w:u w:val="none"/>
                <w:lang w:val="en-US" w:eastAsia="zh-CN"/>
              </w:rPr>
              <w:t>本项目运营期产生的废水主要为</w:t>
            </w:r>
            <w:r>
              <w:rPr>
                <w:rFonts w:hint="default" w:ascii="Times New Roman" w:hAnsi="Times New Roman" w:eastAsia="宋体" w:cs="Times New Roman"/>
                <w:bCs/>
                <w:color w:val="000000"/>
                <w:sz w:val="24"/>
                <w:highlight w:val="none"/>
                <w:u w:val="none" w:color="auto"/>
                <w:vertAlign w:val="baseline"/>
                <w:lang w:val="en-US" w:eastAsia="zh-CN"/>
              </w:rPr>
              <w:t>员工办公生活污水</w:t>
            </w:r>
            <w:r>
              <w:rPr>
                <w:rFonts w:hint="eastAsia" w:ascii="Times New Roman" w:hAnsi="Times New Roman" w:eastAsia="宋体" w:cs="Times New Roman"/>
                <w:color w:val="000000"/>
                <w:kern w:val="0"/>
                <w:sz w:val="24"/>
                <w:szCs w:val="24"/>
                <w:u w:val="none"/>
                <w:lang w:val="en-US" w:eastAsia="zh-CN"/>
              </w:rPr>
              <w:t>。</w:t>
            </w:r>
          </w:p>
          <w:p w14:paraId="753C88E9">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bCs/>
                <w:color w:val="auto"/>
                <w:sz w:val="24"/>
                <w:szCs w:val="24"/>
                <w:u w:val="none"/>
                <w:lang w:val="en-US" w:eastAsia="zh-CN"/>
              </w:rPr>
            </w:pPr>
            <w:r>
              <w:rPr>
                <w:rFonts w:hint="default" w:ascii="Times New Roman" w:hAnsi="Times New Roman" w:cs="Times New Roman"/>
                <w:bCs/>
                <w:color w:val="auto"/>
                <w:sz w:val="24"/>
                <w:szCs w:val="24"/>
                <w:u w:val="none"/>
                <w:lang w:val="en-US" w:eastAsia="zh-CN"/>
              </w:rPr>
              <w:t>本项目生活用水量为</w:t>
            </w:r>
            <w:r>
              <w:rPr>
                <w:rFonts w:hint="eastAsia" w:ascii="Times New Roman" w:hAnsi="Times New Roman" w:cs="Times New Roman"/>
                <w:bCs/>
                <w:color w:val="auto"/>
                <w:sz w:val="24"/>
                <w:szCs w:val="24"/>
                <w:highlight w:val="none"/>
                <w:u w:val="none"/>
                <w:lang w:val="en-US" w:eastAsia="zh-CN"/>
              </w:rPr>
              <w:t>1.26</w:t>
            </w:r>
            <w:r>
              <w:rPr>
                <w:rFonts w:hint="eastAsia" w:cs="Times New Roman"/>
                <w:bCs/>
                <w:color w:val="auto"/>
                <w:sz w:val="24"/>
                <w:szCs w:val="24"/>
                <w:highlight w:val="none"/>
                <w:u w:val="none"/>
                <w:lang w:val="en-US" w:eastAsia="zh-CN"/>
              </w:rPr>
              <w:t>7</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/d（</w:t>
            </w:r>
            <w:r>
              <w:rPr>
                <w:rFonts w:hint="eastAsia" w:ascii="Times New Roman" w:hAnsi="Times New Roman" w:cs="Times New Roman"/>
                <w:bCs/>
                <w:color w:val="auto"/>
                <w:sz w:val="24"/>
                <w:szCs w:val="24"/>
                <w:highlight w:val="none"/>
                <w:u w:val="none"/>
                <w:lang w:val="en-US" w:eastAsia="zh-CN"/>
              </w:rPr>
              <w:t>380</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/a）</w:t>
            </w:r>
            <w:r>
              <w:rPr>
                <w:rFonts w:hint="default" w:ascii="Times New Roman" w:hAnsi="Times New Roman" w:cs="Times New Roman"/>
                <w:bCs/>
                <w:color w:val="auto"/>
                <w:sz w:val="24"/>
                <w:szCs w:val="24"/>
                <w:u w:val="none"/>
                <w:lang w:val="en-US" w:eastAsia="zh-CN"/>
              </w:rPr>
              <w:t>，污水排放系数取0.8，则生活污水的产生量约为</w:t>
            </w:r>
            <w:r>
              <w:rPr>
                <w:rFonts w:hint="eastAsia" w:ascii="Times New Roman" w:hAnsi="Times New Roman" w:cs="Times New Roman"/>
                <w:bCs/>
                <w:color w:val="auto"/>
                <w:sz w:val="24"/>
                <w:szCs w:val="24"/>
                <w:u w:val="none"/>
                <w:lang w:val="en-US" w:eastAsia="zh-CN"/>
              </w:rPr>
              <w:t>1.01</w:t>
            </w:r>
            <w:r>
              <w:rPr>
                <w:rFonts w:hint="eastAsia" w:cs="Times New Roman"/>
                <w:bCs/>
                <w:color w:val="auto"/>
                <w:sz w:val="24"/>
                <w:szCs w:val="24"/>
                <w:u w:val="none"/>
                <w:lang w:val="en-US" w:eastAsia="zh-CN"/>
              </w:rPr>
              <w:t>4</w:t>
            </w:r>
            <w:r>
              <w:rPr>
                <w:rFonts w:hint="default" w:ascii="Times New Roman" w:hAnsi="Times New Roman" w:cs="Times New Roman"/>
                <w:bCs/>
                <w:color w:val="auto"/>
                <w:sz w:val="24"/>
                <w:szCs w:val="24"/>
                <w:u w:val="none"/>
                <w:lang w:val="en-US" w:eastAsia="zh-CN"/>
              </w:rPr>
              <w:t>m</w:t>
            </w:r>
            <w:r>
              <w:rPr>
                <w:rFonts w:hint="default" w:ascii="Times New Roman" w:hAnsi="Times New Roman" w:cs="Times New Roman"/>
                <w:bCs/>
                <w:color w:val="auto"/>
                <w:sz w:val="24"/>
                <w:szCs w:val="24"/>
                <w:u w:val="none"/>
                <w:vertAlign w:val="superscript"/>
                <w:lang w:val="en-US" w:eastAsia="zh-CN"/>
              </w:rPr>
              <w:t>3</w:t>
            </w:r>
            <w:r>
              <w:rPr>
                <w:rFonts w:hint="default" w:ascii="Times New Roman" w:hAnsi="Times New Roman" w:cs="Times New Roman"/>
                <w:bCs/>
                <w:color w:val="auto"/>
                <w:sz w:val="24"/>
                <w:szCs w:val="24"/>
                <w:u w:val="none"/>
                <w:lang w:val="en-US" w:eastAsia="zh-CN"/>
              </w:rPr>
              <w:t>/d（</w:t>
            </w:r>
            <w:r>
              <w:rPr>
                <w:rFonts w:hint="eastAsia" w:ascii="Times New Roman" w:hAnsi="Times New Roman" w:cs="Times New Roman"/>
                <w:bCs/>
                <w:color w:val="auto"/>
                <w:sz w:val="24"/>
                <w:szCs w:val="24"/>
                <w:u w:val="none"/>
                <w:lang w:val="en-US" w:eastAsia="zh-CN"/>
              </w:rPr>
              <w:t>304</w:t>
            </w:r>
            <w:r>
              <w:rPr>
                <w:rFonts w:hint="default" w:ascii="Times New Roman" w:hAnsi="Times New Roman" w:cs="Times New Roman"/>
                <w:bCs/>
                <w:color w:val="auto"/>
                <w:sz w:val="24"/>
                <w:szCs w:val="24"/>
                <w:u w:val="none"/>
                <w:lang w:val="en-US" w:eastAsia="zh-CN"/>
              </w:rPr>
              <w:t>m</w:t>
            </w:r>
            <w:r>
              <w:rPr>
                <w:rFonts w:hint="default" w:ascii="Times New Roman" w:hAnsi="Times New Roman" w:cs="Times New Roman"/>
                <w:bCs/>
                <w:color w:val="auto"/>
                <w:sz w:val="24"/>
                <w:szCs w:val="24"/>
                <w:u w:val="none"/>
                <w:vertAlign w:val="superscript"/>
                <w:lang w:val="en-US" w:eastAsia="zh-CN"/>
              </w:rPr>
              <w:t>3</w:t>
            </w:r>
            <w:r>
              <w:rPr>
                <w:rFonts w:hint="default" w:ascii="Times New Roman" w:hAnsi="Times New Roman" w:cs="Times New Roman"/>
                <w:bCs/>
                <w:color w:val="auto"/>
                <w:sz w:val="24"/>
                <w:szCs w:val="24"/>
                <w:u w:val="none"/>
                <w:lang w:val="en-US" w:eastAsia="zh-CN"/>
              </w:rPr>
              <w:t>/a）。</w:t>
            </w:r>
          </w:p>
          <w:p w14:paraId="434E92F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cs="Times New Roman"/>
                <w:bCs/>
                <w:color w:val="auto"/>
                <w:sz w:val="24"/>
                <w:szCs w:val="24"/>
                <w:u w:val="none" w:color="auto"/>
                <w:lang w:val="en-US" w:eastAsia="zh-CN"/>
              </w:rPr>
            </w:pPr>
            <w:r>
              <w:rPr>
                <w:rFonts w:hint="eastAsia" w:eastAsia="宋体" w:cs="Times New Roman"/>
                <w:color w:val="000000" w:themeColor="text1"/>
                <w:sz w:val="24"/>
                <w:szCs w:val="24"/>
                <w:highlight w:val="none"/>
                <w:u w:val="none" w:color="auto"/>
                <w:lang w:val="en-US" w:eastAsia="zh-CN"/>
                <w14:textFill>
                  <w14:solidFill>
                    <w14:schemeClr w14:val="tx1"/>
                  </w14:solidFill>
                </w14:textFill>
              </w:rPr>
              <w:t>废水</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处理措施及去向为：</w:t>
            </w:r>
            <w:r>
              <w:rPr>
                <w:rFonts w:hint="default" w:ascii="Times New Roman" w:hAnsi="Times New Roman" w:cs="Times New Roman"/>
                <w:bCs/>
                <w:color w:val="auto"/>
                <w:sz w:val="24"/>
                <w:szCs w:val="24"/>
                <w:u w:val="none" w:color="auto"/>
                <w:lang w:val="en-US" w:eastAsia="zh-CN"/>
              </w:rPr>
              <w:t>本项目生活污水</w:t>
            </w:r>
            <w:r>
              <w:rPr>
                <w:rFonts w:hint="eastAsia" w:ascii="Times New Roman" w:hAnsi="Times New Roman" w:cs="Times New Roman"/>
                <w:bCs/>
                <w:color w:val="auto"/>
                <w:sz w:val="24"/>
                <w:szCs w:val="24"/>
                <w:u w:val="none" w:color="auto"/>
                <w:lang w:val="en-US" w:eastAsia="zh-CN"/>
              </w:rPr>
              <w:t>经龙昶厂区内现有</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化粪池</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处理达《污水综合排放标准》（GB8978- 1996）表4中三级标准和</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设计进水水质标准后，通过龙昶厂区现有生活污水排污口排入园区污水管网，经</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达到《城镇污水处理厂污染物排放标准》（GB18918-2002）及修改单一级A标准后排入</w:t>
            </w:r>
            <w:r>
              <w:rPr>
                <w:rFonts w:hint="eastAsia" w:ascii="Times New Roman" w:hAnsi="Times New Roman" w:cs="Times New Roman"/>
                <w:color w:val="000000"/>
                <w:kern w:val="0"/>
                <w:sz w:val="24"/>
                <w:szCs w:val="24"/>
                <w:u w:val="none"/>
                <w:lang w:val="en-US" w:eastAsia="zh-CN"/>
              </w:rPr>
              <w:t>新田河</w:t>
            </w:r>
            <w:r>
              <w:rPr>
                <w:rFonts w:hint="eastAsia" w:ascii="Times New Roman" w:hAnsi="Times New Roman" w:cs="Times New Roman"/>
                <w:bCs/>
                <w:color w:val="auto"/>
                <w:sz w:val="24"/>
                <w:szCs w:val="24"/>
                <w:u w:val="none" w:color="auto"/>
                <w:lang w:val="en-US" w:eastAsia="zh-CN"/>
              </w:rPr>
              <w:t>。</w:t>
            </w:r>
            <w:r>
              <w:rPr>
                <w:rFonts w:hint="eastAsia" w:cs="Times New Roman"/>
                <w:bCs/>
                <w:color w:val="auto"/>
                <w:sz w:val="24"/>
                <w:szCs w:val="24"/>
                <w:u w:val="none" w:color="auto"/>
                <w:lang w:val="en-US" w:eastAsia="zh-CN"/>
              </w:rPr>
              <w:t>本项目水平衡详见下图。</w:t>
            </w:r>
          </w:p>
          <w:p w14:paraId="6CEED14B">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cs="Times New Roman"/>
                <w:bCs/>
                <w:color w:val="auto"/>
                <w:sz w:val="24"/>
                <w:szCs w:val="24"/>
                <w:u w:val="none" w:color="auto"/>
                <w:lang w:val="en-US" w:eastAsia="zh-CN"/>
              </w:rPr>
            </w:pPr>
            <w:r>
              <w:rPr>
                <w:rFonts w:hint="default" w:cs="Times New Roman"/>
                <w:bCs/>
                <w:color w:val="auto"/>
                <w:sz w:val="24"/>
                <w:szCs w:val="24"/>
                <w:u w:val="none" w:color="auto"/>
                <w:lang w:val="en-US" w:eastAsia="zh-CN"/>
              </w:rPr>
              <w:object>
                <v:shape id="_x0000_i1025" o:spt="75" type="#_x0000_t75" style="height:133.95pt;width:378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14:paraId="0C0CB4F5">
            <w:pPr>
              <w:spacing w:before="120" w:beforeLines="50"/>
              <w:jc w:val="center"/>
              <w:rPr>
                <w:b/>
              </w:rPr>
            </w:pPr>
            <w:r>
              <w:rPr>
                <w:b/>
                <w:bCs/>
                <w:sz w:val="21"/>
                <w:szCs w:val="21"/>
              </w:rPr>
              <w:t>图2-1  项目水平衡图（单位：m</w:t>
            </w:r>
            <w:r>
              <w:rPr>
                <w:b/>
                <w:bCs/>
                <w:sz w:val="21"/>
                <w:szCs w:val="21"/>
                <w:vertAlign w:val="superscript"/>
              </w:rPr>
              <w:t>3</w:t>
            </w:r>
            <w:r>
              <w:rPr>
                <w:b/>
                <w:bCs/>
                <w:sz w:val="21"/>
                <w:szCs w:val="21"/>
              </w:rPr>
              <w:t>/a）</w:t>
            </w:r>
          </w:p>
          <w:p w14:paraId="211462AB">
            <w:pPr>
              <w:spacing w:line="360" w:lineRule="auto"/>
              <w:ind w:firstLine="480" w:firstLineChars="200"/>
              <w:jc w:val="left"/>
              <w:rPr>
                <w:rFonts w:hint="default" w:ascii="Times New Roman" w:hAnsi="Times New Roman" w:eastAsia="宋体" w:cs="Times New Roman"/>
                <w:bCs/>
                <w:color w:val="000000"/>
                <w:sz w:val="24"/>
                <w:lang w:val="en-US" w:eastAsia="zh-CN"/>
              </w:rPr>
            </w:pPr>
            <w:r>
              <w:rPr>
                <w:rFonts w:hint="eastAsia" w:ascii="Times New Roman" w:hAnsi="Times New Roman" w:eastAsia="宋体" w:cs="Times New Roman"/>
                <w:bCs/>
                <w:color w:val="000000"/>
                <w:sz w:val="24"/>
                <w:lang w:val="en-US" w:eastAsia="zh-CN"/>
              </w:rPr>
              <w:t>（</w:t>
            </w:r>
            <w:r>
              <w:rPr>
                <w:rFonts w:hint="default" w:ascii="Times New Roman" w:hAnsi="Times New Roman" w:eastAsia="宋体" w:cs="Times New Roman"/>
                <w:bCs/>
                <w:color w:val="000000"/>
                <w:sz w:val="24"/>
                <w:lang w:val="en-US" w:eastAsia="zh-CN"/>
              </w:rPr>
              <w:t>3）供电</w:t>
            </w:r>
          </w:p>
          <w:p w14:paraId="15078D8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本项目年消耗电量为</w:t>
            </w:r>
            <w:r>
              <w:rPr>
                <w:rFonts w:hint="eastAsia" w:ascii="Times New Roman" w:hAnsi="Times New Roman" w:eastAsia="宋体" w:cs="Times New Roman"/>
                <w:bCs/>
                <w:color w:val="000000"/>
                <w:sz w:val="24"/>
                <w:lang w:val="en-US" w:eastAsia="zh-CN"/>
              </w:rPr>
              <w:t>8000</w:t>
            </w:r>
            <w:r>
              <w:rPr>
                <w:rFonts w:hint="default" w:ascii="Times New Roman" w:hAnsi="Times New Roman" w:eastAsia="宋体" w:cs="Times New Roman"/>
                <w:bCs/>
                <w:color w:val="000000"/>
                <w:sz w:val="24"/>
                <w:lang w:val="en-US" w:eastAsia="zh-CN"/>
              </w:rPr>
              <w:t>kW·</w:t>
            </w:r>
            <w:r>
              <w:rPr>
                <w:rFonts w:hint="eastAsia" w:ascii="Times New Roman" w:hAnsi="Times New Roman" w:eastAsia="宋体" w:cs="Times New Roman"/>
                <w:bCs/>
                <w:color w:val="000000"/>
                <w:sz w:val="24"/>
                <w:lang w:val="en-US" w:eastAsia="zh-CN"/>
              </w:rPr>
              <w:t>h</w:t>
            </w:r>
            <w:r>
              <w:rPr>
                <w:rFonts w:hint="default" w:ascii="Times New Roman" w:hAnsi="Times New Roman" w:eastAsia="宋体" w:cs="Times New Roman"/>
                <w:bCs/>
                <w:color w:val="000000"/>
                <w:sz w:val="24"/>
                <w:lang w:val="en-US" w:eastAsia="zh-CN"/>
              </w:rPr>
              <w:t>，由市政供电系统供给</w:t>
            </w:r>
            <w:r>
              <w:rPr>
                <w:rFonts w:hint="eastAsia" w:cs="Times New Roman"/>
                <w:bCs/>
                <w:color w:val="000000"/>
                <w:sz w:val="24"/>
                <w:lang w:val="en-US" w:eastAsia="zh-CN"/>
              </w:rPr>
              <w:t>；厂区不设备用发电机</w:t>
            </w:r>
            <w:r>
              <w:rPr>
                <w:rFonts w:hint="default" w:ascii="Times New Roman" w:hAnsi="Times New Roman" w:eastAsia="宋体" w:cs="Times New Roman"/>
                <w:bCs/>
                <w:color w:val="000000"/>
                <w:sz w:val="24"/>
                <w:lang w:val="en-US" w:eastAsia="zh-CN"/>
              </w:rPr>
              <w:t>。</w:t>
            </w:r>
          </w:p>
          <w:p w14:paraId="49CF0EE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sz w:val="24"/>
                <w:szCs w:val="24"/>
                <w:u w:val="none"/>
                <w:lang w:val="en-US" w:eastAsia="zh-CN"/>
              </w:rPr>
            </w:pPr>
            <w:r>
              <w:rPr>
                <w:rFonts w:hint="default" w:ascii="Times New Roman" w:hAnsi="Times New Roman" w:eastAsia="宋体" w:cs="Times New Roman"/>
                <w:b/>
                <w:bCs w:val="0"/>
                <w:color w:val="auto"/>
                <w:kern w:val="2"/>
                <w:sz w:val="24"/>
                <w:szCs w:val="24"/>
                <w:lang w:val="en-US" w:eastAsia="zh-CN" w:bidi="ar-SA"/>
              </w:rPr>
              <w:t>9、依托工程现状及本项目依托可行性分析</w:t>
            </w:r>
          </w:p>
          <w:p w14:paraId="31D5DEF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本项目租赁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bCs/>
                <w:color w:val="auto"/>
                <w:sz w:val="24"/>
                <w:szCs w:val="24"/>
                <w:u w:val="none"/>
                <w:lang w:val="en-US" w:eastAsia="zh-CN"/>
              </w:rPr>
              <w:t>厂区</w:t>
            </w:r>
            <w:r>
              <w:rPr>
                <w:rFonts w:hint="default" w:ascii="Times New Roman" w:hAnsi="Times New Roman" w:eastAsia="宋体" w:cs="Times New Roman"/>
                <w:b w:val="0"/>
                <w:bCs/>
                <w:color w:val="auto"/>
                <w:kern w:val="2"/>
                <w:sz w:val="24"/>
                <w:szCs w:val="24"/>
                <w:lang w:val="en-US" w:eastAsia="zh-CN" w:bidi="ar-SA"/>
              </w:rPr>
              <w:t>内现有标准厂房，依托</w:t>
            </w:r>
            <w:r>
              <w:rPr>
                <w:rFonts w:hint="eastAsia" w:ascii="Times New Roman" w:hAnsi="Times New Roman" w:eastAsia="宋体" w:cs="Times New Roman"/>
                <w:color w:val="000000"/>
                <w:sz w:val="24"/>
                <w:szCs w:val="24"/>
                <w:highlight w:val="none"/>
                <w:lang w:val="en-US" w:eastAsia="zh-CN"/>
              </w:rPr>
              <w:t>龙昶</w:t>
            </w:r>
            <w:r>
              <w:rPr>
                <w:rFonts w:hint="default" w:ascii="Times New Roman" w:hAnsi="Times New Roman" w:eastAsia="宋体" w:cs="Times New Roman"/>
                <w:b w:val="0"/>
                <w:bCs/>
                <w:color w:val="auto"/>
                <w:kern w:val="2"/>
                <w:sz w:val="24"/>
                <w:szCs w:val="24"/>
                <w:lang w:val="en-US" w:eastAsia="zh-CN" w:bidi="ar-SA"/>
              </w:rPr>
              <w:t>厂区内公用工程（</w:t>
            </w:r>
            <w:r>
              <w:rPr>
                <w:rFonts w:hint="default" w:ascii="Times New Roman" w:hAnsi="Times New Roman" w:cs="Times New Roman"/>
                <w:color w:val="auto"/>
                <w:sz w:val="24"/>
                <w:szCs w:val="24"/>
                <w:highlight w:val="none"/>
                <w:lang w:val="en-US" w:eastAsia="zh-CN"/>
              </w:rPr>
              <w:t>供电系统、供水系统、雨污排放管网</w:t>
            </w:r>
            <w:r>
              <w:rPr>
                <w:rFonts w:hint="default" w:ascii="Times New Roman" w:hAnsi="Times New Roman" w:eastAsia="宋体" w:cs="Times New Roman"/>
                <w:b w:val="0"/>
                <w:bCs/>
                <w:color w:val="auto"/>
                <w:kern w:val="2"/>
                <w:sz w:val="24"/>
                <w:szCs w:val="24"/>
                <w:lang w:val="en-US" w:eastAsia="zh-CN" w:bidi="ar-SA"/>
              </w:rPr>
              <w:t>等）、办公生活区</w:t>
            </w:r>
            <w:r>
              <w:rPr>
                <w:rFonts w:hint="eastAsia"/>
                <w:sz w:val="24"/>
                <w:szCs w:val="24"/>
                <w:lang w:eastAsia="zh-CN"/>
              </w:rPr>
              <w:t>、</w:t>
            </w:r>
            <w:r>
              <w:rPr>
                <w:rFonts w:hint="default" w:ascii="Times New Roman" w:hAnsi="Times New Roman" w:eastAsia="宋体" w:cs="Times New Roman"/>
                <w:b w:val="0"/>
                <w:bCs/>
                <w:color w:val="auto"/>
                <w:kern w:val="2"/>
                <w:sz w:val="24"/>
                <w:szCs w:val="24"/>
                <w:lang w:val="en-US" w:eastAsia="zh-CN" w:bidi="ar-SA"/>
              </w:rPr>
              <w:t>生活污水处理设施（化粪池）。</w:t>
            </w:r>
          </w:p>
          <w:p w14:paraId="4905BB3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auto"/>
                <w:kern w:val="2"/>
                <w:sz w:val="24"/>
                <w:szCs w:val="24"/>
                <w:lang w:val="en-US" w:eastAsia="zh-CN" w:bidi="ar-SA"/>
              </w:rPr>
              <w:t>（1）</w:t>
            </w:r>
            <w:r>
              <w:rPr>
                <w:rFonts w:hint="default" w:ascii="Times New Roman" w:hAnsi="Times New Roman" w:cs="Times New Roman"/>
                <w:color w:val="auto"/>
                <w:sz w:val="24"/>
                <w:szCs w:val="24"/>
                <w:lang w:val="en-US" w:eastAsia="zh-CN"/>
              </w:rPr>
              <w:t>依托工程现状</w:t>
            </w:r>
          </w:p>
          <w:p w14:paraId="35D1E155">
            <w:pPr>
              <w:pStyle w:val="36"/>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湖南龙昶机械股份有限公司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于</w:t>
            </w:r>
            <w:r>
              <w:rPr>
                <w:rFonts w:hint="eastAsia" w:cs="Times New Roman"/>
                <w:color w:val="000000" w:themeColor="text1"/>
                <w:sz w:val="24"/>
                <w:szCs w:val="24"/>
                <w:highlight w:val="none"/>
                <w:lang w:val="en-US" w:eastAsia="zh-CN"/>
                <w14:textFill>
                  <w14:solidFill>
                    <w14:schemeClr w14:val="tx1"/>
                  </w14:solidFill>
                </w14:textFill>
              </w:rPr>
              <w:t>2021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年取得</w:t>
            </w:r>
            <w:r>
              <w:rPr>
                <w:rFonts w:hint="eastAsia" w:cs="Times New Roman"/>
                <w:color w:val="000000" w:themeColor="text1"/>
                <w:sz w:val="24"/>
                <w:szCs w:val="24"/>
                <w:highlight w:val="none"/>
                <w:lang w:val="en-US" w:eastAsia="zh-CN"/>
                <w14:textFill>
                  <w14:solidFill>
                    <w14:schemeClr w14:val="tx1"/>
                  </w14:solidFill>
                </w14:textFill>
              </w:rPr>
              <w:t>新田县不动产登记中心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下发的《不动产权证书》，明确：将位于</w:t>
            </w:r>
            <w:r>
              <w:rPr>
                <w:rFonts w:hint="default" w:ascii="Times New Roman" w:hAnsi="Times New Roman" w:cs="Times New Roman"/>
                <w:color w:val="000000" w:themeColor="text1"/>
                <w:sz w:val="24"/>
                <w:szCs w:val="24"/>
                <w:highlight w:val="none"/>
                <w:lang w:eastAsia="zh-CN"/>
                <w14:textFill>
                  <w14:solidFill>
                    <w14:schemeClr w14:val="tx1"/>
                  </w14:solidFill>
                </w14:textFill>
              </w:rPr>
              <w:t>新田县龙泉镇工业南园支一路与支三路交叉口西南角</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龙昶机械厂房二</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101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的地块（占地面积</w:t>
            </w:r>
            <w:r>
              <w:rPr>
                <w:rFonts w:hint="eastAsia" w:cs="Times New Roman"/>
                <w:color w:val="000000" w:themeColor="text1"/>
                <w:sz w:val="24"/>
                <w:szCs w:val="24"/>
                <w:highlight w:val="none"/>
                <w:lang w:val="en-US" w:eastAsia="zh-CN"/>
                <w14:textFill>
                  <w14:solidFill>
                    <w14:schemeClr w14:val="tx1"/>
                  </w14:solidFill>
                </w14:textFill>
              </w:rPr>
              <w:t>6252.50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）出让给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湖南龙昶机械股份有限公司</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用地用途为工业用地。</w:t>
            </w:r>
          </w:p>
          <w:p w14:paraId="58A005BF">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cs="Times New Roman"/>
                <w:bCs/>
                <w:color w:val="000000"/>
                <w:sz w:val="24"/>
                <w:lang w:val="en-US" w:eastAsia="zh-CN"/>
              </w:rPr>
            </w:pPr>
            <w:r>
              <w:rPr>
                <w:rFonts w:hint="eastAsia" w:cs="Times New Roman"/>
                <w:bCs/>
                <w:color w:val="000000" w:themeColor="text1"/>
                <w:sz w:val="24"/>
                <w:lang w:val="en-US" w:eastAsia="zh-CN"/>
                <w14:textFill>
                  <w14:solidFill>
                    <w14:schemeClr w14:val="tx1"/>
                  </w14:solidFill>
                </w14:textFill>
              </w:rPr>
              <w:t>2014年，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湖南龙昶机械股份有限公司</w:t>
            </w:r>
            <w:r>
              <w:rPr>
                <w:rFonts w:hint="eastAsia" w:cs="Times New Roman"/>
                <w:bCs/>
                <w:color w:val="000000" w:themeColor="text1"/>
                <w:sz w:val="24"/>
                <w:lang w:val="en-US" w:eastAsia="zh-CN"/>
                <w14:textFill>
                  <w14:solidFill>
                    <w14:schemeClr w14:val="tx1"/>
                  </w14:solidFill>
                </w14:textFill>
              </w:rPr>
              <w:t>投资6000万建设“湖南龙昶机械工程有限公司扩建项目”，并于2014年5月取得永州市生态环境局新田分局（原新田县环境保护局）下发的环评批复（新环审字[2014]08号），2016年2月通过永州市生态环境局新田分局（原新田县环境保护局）竣工环境保护验收（新环验[2016]01号）</w:t>
            </w:r>
            <w:r>
              <w:rPr>
                <w:rFonts w:hint="eastAsia" w:cs="Times New Roman"/>
                <w:bCs/>
                <w:color w:val="000000"/>
                <w:sz w:val="24"/>
                <w:lang w:val="en-US" w:eastAsia="zh-CN"/>
              </w:rPr>
              <w:t>。2019年，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湖南龙昶机械股份有限公司委托苏州合巨环保技术有限公司编制了《湖南龙昶机械工程有限公司机械设备生产厂改扩建项目环境影响报告表》，</w:t>
            </w:r>
            <w:r>
              <w:rPr>
                <w:rFonts w:hint="eastAsia" w:cs="Times New Roman"/>
                <w:bCs/>
                <w:color w:val="000000" w:themeColor="text1"/>
                <w:sz w:val="24"/>
                <w:lang w:val="en-US" w:eastAsia="zh-CN"/>
                <w14:textFill>
                  <w14:solidFill>
                    <w14:schemeClr w14:val="tx1"/>
                  </w14:solidFill>
                </w14:textFill>
              </w:rPr>
              <w:t>并于2019年6月17日取得永州市生态环境局新田分局（原新田县环境保护局）下发的环评批复（新环审字[2019]17号）。</w:t>
            </w:r>
          </w:p>
          <w:p w14:paraId="291084AC">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cs="Times New Roman"/>
                <w:color w:val="000000" w:themeColor="text1"/>
                <w:highlight w:val="none"/>
                <w:u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根据现场勘察，</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color w:val="000000" w:themeColor="text1"/>
                <w:highlight w:val="none"/>
                <w:lang w:val="en-US" w:eastAsia="zh-CN"/>
                <w14:textFill>
                  <w14:solidFill>
                    <w14:schemeClr w14:val="tx1"/>
                  </w14:solidFill>
                </w14:textFill>
              </w:rPr>
              <w:t>标准厂房厂区内</w:t>
            </w:r>
            <w:r>
              <w:rPr>
                <w:rFonts w:hint="default" w:ascii="Times New Roman" w:hAnsi="Times New Roman" w:cs="Times New Roman"/>
                <w:color w:val="000000" w:themeColor="text1"/>
                <w:highlight w:val="none"/>
                <w:u w:val="none"/>
                <w:lang w:val="en-US" w:eastAsia="zh-CN"/>
                <w14:textFill>
                  <w14:solidFill>
                    <w14:schemeClr w14:val="tx1"/>
                  </w14:solidFill>
                </w14:textFill>
              </w:rPr>
              <w:t>主体工程（</w:t>
            </w:r>
            <w:r>
              <w:rPr>
                <w:rFonts w:hint="eastAsia" w:cs="Times New Roman"/>
                <w:color w:val="000000" w:themeColor="text1"/>
                <w:highlight w:val="none"/>
                <w:u w:val="none"/>
                <w:lang w:val="en-US" w:eastAsia="zh-CN"/>
                <w14:textFill>
                  <w14:solidFill>
                    <w14:schemeClr w14:val="tx1"/>
                  </w14:solidFill>
                </w14:textFill>
              </w:rPr>
              <w:t>1</w:t>
            </w:r>
            <w:r>
              <w:rPr>
                <w:rFonts w:hint="default" w:ascii="Times New Roman" w:hAnsi="Times New Roman" w:cs="Times New Roman"/>
                <w:color w:val="000000" w:themeColor="text1"/>
                <w:highlight w:val="none"/>
                <w:u w:val="none"/>
                <w:lang w:val="en-US" w:eastAsia="zh-CN"/>
                <w14:textFill>
                  <w14:solidFill>
                    <w14:schemeClr w14:val="tx1"/>
                  </w14:solidFill>
                </w14:textFill>
              </w:rPr>
              <w:t>#厂房</w:t>
            </w:r>
            <w:r>
              <w:rPr>
                <w:rFonts w:hint="eastAsia" w:ascii="Times New Roman" w:hAnsi="Times New Roman" w:cs="Times New Roman"/>
                <w:color w:val="000000" w:themeColor="text1"/>
                <w:highlight w:val="none"/>
                <w:u w:val="none"/>
                <w:lang w:val="en-US" w:eastAsia="zh-CN"/>
                <w14:textFill>
                  <w14:solidFill>
                    <w14:schemeClr w14:val="tx1"/>
                  </w14:solidFill>
                </w14:textFill>
              </w:rPr>
              <w:t>、</w:t>
            </w:r>
            <w:r>
              <w:rPr>
                <w:rFonts w:hint="eastAsia" w:cs="Times New Roman"/>
                <w:color w:val="000000" w:themeColor="text1"/>
                <w:highlight w:val="none"/>
                <w:u w:val="none"/>
                <w:lang w:val="en-US" w:eastAsia="zh-CN"/>
                <w14:textFill>
                  <w14:solidFill>
                    <w14:schemeClr w14:val="tx1"/>
                  </w14:solidFill>
                </w14:textFill>
              </w:rPr>
              <w:t>2</w:t>
            </w:r>
            <w:r>
              <w:rPr>
                <w:rFonts w:hint="default" w:ascii="Times New Roman" w:hAnsi="Times New Roman" w:cs="Times New Roman"/>
                <w:color w:val="000000" w:themeColor="text1"/>
                <w:highlight w:val="none"/>
                <w:u w:val="none"/>
                <w:lang w:val="en-US" w:eastAsia="zh-CN"/>
                <w14:textFill>
                  <w14:solidFill>
                    <w14:schemeClr w14:val="tx1"/>
                  </w14:solidFill>
                </w14:textFill>
              </w:rPr>
              <w:t>#厂房</w:t>
            </w:r>
            <w:r>
              <w:rPr>
                <w:rFonts w:hint="eastAsia" w:ascii="Times New Roman" w:hAnsi="Times New Roman" w:cs="Times New Roman"/>
                <w:color w:val="000000" w:themeColor="text1"/>
                <w:highlight w:val="none"/>
                <w:u w:val="none"/>
                <w:lang w:val="en-US" w:eastAsia="zh-CN"/>
                <w14:textFill>
                  <w14:solidFill>
                    <w14:schemeClr w14:val="tx1"/>
                  </w14:solidFill>
                </w14:textFill>
              </w:rPr>
              <w:t>和</w:t>
            </w:r>
            <w:r>
              <w:rPr>
                <w:rFonts w:hint="eastAsia" w:cs="Times New Roman"/>
                <w:color w:val="000000" w:themeColor="text1"/>
                <w:highlight w:val="none"/>
                <w:u w:val="none"/>
                <w:lang w:val="en-US" w:eastAsia="zh-CN"/>
                <w14:textFill>
                  <w14:solidFill>
                    <w14:schemeClr w14:val="tx1"/>
                  </w14:solidFill>
                </w14:textFill>
              </w:rPr>
              <w:t>3</w:t>
            </w:r>
            <w:r>
              <w:rPr>
                <w:rFonts w:hint="eastAsia" w:ascii="Times New Roman" w:hAnsi="Times New Roman" w:cs="Times New Roman"/>
                <w:color w:val="000000" w:themeColor="text1"/>
                <w:highlight w:val="none"/>
                <w:u w:val="none"/>
                <w:lang w:val="en-US" w:eastAsia="zh-CN"/>
                <w14:textFill>
                  <w14:solidFill>
                    <w14:schemeClr w14:val="tx1"/>
                  </w14:solidFill>
                </w14:textFill>
              </w:rPr>
              <w:t>#厂房</w:t>
            </w:r>
            <w:r>
              <w:rPr>
                <w:rFonts w:hint="default" w:ascii="Times New Roman" w:hAnsi="Times New Roman" w:cs="Times New Roman"/>
                <w:color w:val="000000" w:themeColor="text1"/>
                <w:highlight w:val="none"/>
                <w:u w:val="none"/>
                <w:lang w:val="en-US" w:eastAsia="zh-CN"/>
                <w14:textFill>
                  <w14:solidFill>
                    <w14:schemeClr w14:val="tx1"/>
                  </w14:solidFill>
                </w14:textFill>
              </w:rPr>
              <w:t>）、配套工程（</w:t>
            </w:r>
            <w:r>
              <w:rPr>
                <w:rFonts w:hint="eastAsia" w:ascii="Times New Roman" w:hAnsi="Times New Roman" w:cs="Times New Roman"/>
                <w:color w:val="000000" w:themeColor="text1"/>
                <w:highlight w:val="none"/>
                <w:u w:val="none"/>
                <w:lang w:val="en-US" w:eastAsia="zh-CN"/>
                <w14:textFill>
                  <w14:solidFill>
                    <w14:schemeClr w14:val="tx1"/>
                  </w14:solidFill>
                </w14:textFill>
              </w:rPr>
              <w:t>办公</w:t>
            </w:r>
            <w:r>
              <w:rPr>
                <w:rFonts w:hint="default" w:ascii="Times New Roman" w:hAnsi="Times New Roman" w:cs="Times New Roman"/>
                <w:color w:val="000000" w:themeColor="text1"/>
                <w:highlight w:val="none"/>
                <w:u w:val="none"/>
                <w:lang w:val="en-US" w:eastAsia="zh-CN"/>
                <w14:textFill>
                  <w14:solidFill>
                    <w14:schemeClr w14:val="tx1"/>
                  </w14:solidFill>
                </w14:textFill>
              </w:rPr>
              <w:t>楼）、环保工程（化粪池）及公用工程（供电系统、供水系统、雨污排放管网等）等设施均已建成</w:t>
            </w:r>
            <w:r>
              <w:rPr>
                <w:rFonts w:hint="eastAsia" w:ascii="Times New Roman" w:hAnsi="Times New Roman" w:cs="Times New Roman"/>
                <w:color w:val="000000" w:themeColor="text1"/>
                <w:highlight w:val="none"/>
                <w:u w:val="none"/>
                <w:lang w:val="en-US" w:eastAsia="zh-CN"/>
                <w14:textFill>
                  <w14:solidFill>
                    <w14:schemeClr w14:val="tx1"/>
                  </w14:solidFill>
                </w14:textFill>
              </w:rPr>
              <w:t>。</w:t>
            </w:r>
          </w:p>
          <w:p w14:paraId="35DCF092">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Cs w:val="24"/>
              </w:rPr>
            </w:pPr>
            <w:r>
              <w:rPr>
                <w:rFonts w:hint="eastAsia" w:ascii="Times New Roman" w:hAnsi="Times New Roman" w:eastAsia="宋体" w:cs="Times New Roman"/>
                <w:color w:val="auto"/>
                <w:kern w:val="0"/>
                <w:sz w:val="24"/>
                <w:szCs w:val="24"/>
                <w:lang w:val="en-US" w:eastAsia="zh-CN" w:bidi="ar-SA"/>
              </w:rPr>
              <w:t>（2）</w:t>
            </w:r>
            <w:r>
              <w:rPr>
                <w:rFonts w:hint="eastAsia" w:ascii="Times New Roman" w:hAnsi="Times New Roman" w:eastAsia="宋体" w:cs="Times New Roman"/>
                <w:color w:val="auto"/>
                <w:szCs w:val="24"/>
              </w:rPr>
              <w:t>本项目依托可行性分析</w:t>
            </w:r>
          </w:p>
          <w:p w14:paraId="72A6060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u w:val="none"/>
                <w:lang w:val="en-US" w:eastAsia="zh-CN"/>
              </w:rPr>
            </w:pPr>
            <w:r>
              <w:rPr>
                <w:rFonts w:hint="eastAsia" w:ascii="宋体" w:hAnsi="宋体" w:cs="宋体"/>
                <w:color w:val="auto"/>
                <w:sz w:val="24"/>
                <w:u w:val="none"/>
              </w:rPr>
              <w:t>①</w:t>
            </w:r>
            <w:r>
              <w:rPr>
                <w:rFonts w:hint="eastAsia" w:ascii="宋体" w:hAnsi="宋体" w:cs="宋体"/>
                <w:color w:val="auto"/>
                <w:sz w:val="24"/>
                <w:u w:val="none"/>
                <w:lang w:val="en-US" w:eastAsia="zh-CN"/>
              </w:rPr>
              <w:t>公用工程</w:t>
            </w:r>
          </w:p>
          <w:p w14:paraId="120F17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根据现场调查，</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厂区内供电系统、供水系统及雨污排放管网均已完善，并运行正常。同时，本项目用电量和用水量不会对</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厂区现有工程的电量和水量负荷造成冲击。因此，本项目依托</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厂区的供电系统、供水系统等公用工程可行。</w:t>
            </w:r>
          </w:p>
          <w:p w14:paraId="0A880F3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②</w:t>
            </w:r>
            <w:r>
              <w:rPr>
                <w:rFonts w:hint="default" w:ascii="Times New Roman" w:hAnsi="Times New Roman" w:eastAsia="宋体" w:cs="Times New Roman"/>
                <w:color w:val="auto"/>
                <w:sz w:val="24"/>
                <w:highlight w:val="none"/>
                <w:u w:val="none" w:color="auto"/>
                <w:lang w:val="en-US" w:eastAsia="zh-CN"/>
              </w:rPr>
              <w:t>办公生活区</w:t>
            </w:r>
          </w:p>
          <w:p w14:paraId="1C16253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根据现场调查，</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厂区内已建一栋1层的办公楼，位于厂区西北侧，可容纳员工100人，</w:t>
            </w:r>
            <w:r>
              <w:rPr>
                <w:rFonts w:hint="default" w:ascii="Times New Roman" w:hAnsi="Times New Roman" w:eastAsia="宋体" w:cs="Times New Roman"/>
                <w:color w:val="auto"/>
                <w:sz w:val="24"/>
                <w:highlight w:val="none"/>
                <w:u w:val="none" w:color="auto"/>
                <w:lang w:val="en-US" w:eastAsia="zh-CN"/>
              </w:rPr>
              <w:t>本项目劳动定员共</w:t>
            </w:r>
            <w:r>
              <w:rPr>
                <w:rFonts w:hint="eastAsia" w:ascii="Times New Roman" w:hAnsi="Times New Roman" w:eastAsia="宋体" w:cs="Times New Roman"/>
                <w:color w:val="auto"/>
                <w:sz w:val="24"/>
                <w:highlight w:val="none"/>
                <w:u w:val="none" w:color="auto"/>
                <w:lang w:val="en-US" w:eastAsia="zh-CN"/>
              </w:rPr>
              <w:t>10</w:t>
            </w:r>
            <w:r>
              <w:rPr>
                <w:rFonts w:hint="default" w:ascii="Times New Roman" w:hAnsi="Times New Roman" w:eastAsia="宋体" w:cs="Times New Roman"/>
                <w:color w:val="auto"/>
                <w:sz w:val="24"/>
                <w:highlight w:val="none"/>
                <w:u w:val="none" w:color="auto"/>
                <w:lang w:val="en-US" w:eastAsia="zh-CN"/>
              </w:rPr>
              <w:t>人，</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厂区办公楼可容纳本项目员工生活办公所需。因此，本项目依托</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厂区的</w:t>
            </w:r>
            <w:r>
              <w:rPr>
                <w:rFonts w:hint="default" w:ascii="Times New Roman" w:hAnsi="Times New Roman" w:eastAsia="宋体" w:cs="Times New Roman"/>
                <w:color w:val="auto"/>
                <w:sz w:val="24"/>
                <w:highlight w:val="none"/>
                <w:u w:val="none" w:color="auto"/>
                <w:lang w:val="en-US" w:eastAsia="zh-CN"/>
              </w:rPr>
              <w:t>办公生活区</w:t>
            </w:r>
            <w:r>
              <w:rPr>
                <w:rFonts w:hint="eastAsia" w:ascii="Times New Roman" w:hAnsi="Times New Roman" w:eastAsia="宋体" w:cs="Times New Roman"/>
                <w:color w:val="auto"/>
                <w:sz w:val="24"/>
                <w:highlight w:val="none"/>
                <w:u w:val="none" w:color="auto"/>
                <w:lang w:val="en-US" w:eastAsia="zh-CN"/>
              </w:rPr>
              <w:t>可行。</w:t>
            </w:r>
          </w:p>
          <w:p w14:paraId="1D7FB3B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③</w:t>
            </w:r>
            <w:r>
              <w:rPr>
                <w:rFonts w:hint="eastAsia" w:ascii="Times New Roman" w:hAnsi="Times New Roman" w:eastAsia="宋体" w:cs="Times New Roman"/>
                <w:color w:val="auto"/>
                <w:sz w:val="24"/>
                <w:highlight w:val="none"/>
                <w:u w:val="none" w:color="auto"/>
                <w:lang w:val="en-US" w:eastAsia="zh-CN"/>
              </w:rPr>
              <w:t>生活污水处理设施</w:t>
            </w:r>
          </w:p>
          <w:p w14:paraId="509B211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auto"/>
                <w:sz w:val="24"/>
                <w:highlight w:val="none"/>
                <w:u w:val="none" w:color="auto"/>
                <w:lang w:val="en-US" w:eastAsia="zh-CN"/>
              </w:rPr>
              <w:t>本项目生活污水</w:t>
            </w:r>
            <w:r>
              <w:rPr>
                <w:rFonts w:hint="eastAsia" w:ascii="Times New Roman" w:hAnsi="Times New Roman" w:eastAsia="宋体" w:cs="Times New Roman"/>
                <w:color w:val="auto"/>
                <w:sz w:val="24"/>
                <w:highlight w:val="none"/>
                <w:u w:val="none" w:color="auto"/>
                <w:lang w:val="en-US" w:eastAsia="zh-CN"/>
              </w:rPr>
              <w:t>经</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厂区内现有化粪池处理达《污水综合排放标准》（GB8978- 1996）表4中三级标准和</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eastAsia="宋体" w:cs="Times New Roman"/>
                <w:color w:val="auto"/>
                <w:sz w:val="24"/>
                <w:highlight w:val="none"/>
                <w:u w:val="none" w:color="auto"/>
                <w:lang w:val="en-US" w:eastAsia="zh-CN"/>
              </w:rPr>
              <w:t>设计进水水质标准后，通过</w:t>
            </w:r>
            <w:r>
              <w:rPr>
                <w:rFonts w:hint="eastAsia" w:ascii="Times New Roman" w:hAnsi="Times New Roman" w:eastAsia="宋体" w:cs="Times New Roman"/>
                <w:color w:val="000000"/>
                <w:sz w:val="24"/>
                <w:szCs w:val="24"/>
                <w:highlight w:val="none"/>
                <w:lang w:val="en-US" w:eastAsia="zh-CN"/>
              </w:rPr>
              <w:t>龙昶</w:t>
            </w:r>
            <w:r>
              <w:rPr>
                <w:rFonts w:hint="eastAsia" w:ascii="Times New Roman" w:hAnsi="Times New Roman" w:eastAsia="宋体" w:cs="Times New Roman"/>
                <w:color w:val="auto"/>
                <w:sz w:val="24"/>
                <w:highlight w:val="none"/>
                <w:u w:val="none" w:color="auto"/>
                <w:lang w:val="en-US" w:eastAsia="zh-CN"/>
              </w:rPr>
              <w:t>厂区现有生活污水排污口排入园区污水管网，经</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eastAsia="宋体" w:cs="Times New Roman"/>
                <w:color w:val="auto"/>
                <w:sz w:val="24"/>
                <w:highlight w:val="none"/>
                <w:u w:val="none" w:color="auto"/>
                <w:lang w:val="en-US" w:eastAsia="zh-CN"/>
              </w:rPr>
              <w:t>达到《城镇污水处理厂污染物排放标准》（GB18918-2002）及修改单一级A标准后排入新田河。</w:t>
            </w:r>
            <w:r>
              <w:rPr>
                <w:rFonts w:hint="default" w:ascii="Times New Roman" w:hAnsi="Times New Roman" w:eastAsia="宋体" w:cs="Times New Roman"/>
                <w:color w:val="auto"/>
                <w:sz w:val="24"/>
                <w:highlight w:val="none"/>
                <w:u w:val="none" w:color="auto"/>
                <w:lang w:val="en-US" w:eastAsia="zh-CN"/>
              </w:rPr>
              <w:t>由此表明，本项目营运期生活污水依托</w:t>
            </w:r>
            <w:r>
              <w:rPr>
                <w:rFonts w:hint="eastAsia" w:ascii="Times New Roman" w:hAnsi="Times New Roman" w:eastAsia="宋体" w:cs="Times New Roman"/>
                <w:color w:val="000000"/>
                <w:sz w:val="24"/>
                <w:szCs w:val="24"/>
                <w:highlight w:val="none"/>
                <w:lang w:val="en-US" w:eastAsia="zh-CN"/>
              </w:rPr>
              <w:t>龙昶</w:t>
            </w:r>
            <w:r>
              <w:rPr>
                <w:rFonts w:hint="default" w:ascii="Times New Roman" w:hAnsi="Times New Roman" w:eastAsia="宋体" w:cs="Times New Roman"/>
                <w:color w:val="auto"/>
                <w:sz w:val="24"/>
                <w:highlight w:val="none"/>
                <w:u w:val="none" w:color="auto"/>
                <w:lang w:val="en-US" w:eastAsia="zh-CN"/>
              </w:rPr>
              <w:t>厂区内生活污水处理设施，即现有化粪池，</w:t>
            </w:r>
            <w:r>
              <w:rPr>
                <w:rFonts w:hint="eastAsia" w:ascii="Times New Roman" w:hAnsi="Times New Roman" w:eastAsia="宋体" w:cs="Times New Roman"/>
                <w:color w:val="auto"/>
                <w:sz w:val="24"/>
                <w:highlight w:val="none"/>
                <w:u w:val="none" w:color="auto"/>
                <w:lang w:val="en-US" w:eastAsia="zh-CN"/>
              </w:rPr>
              <w:t>根据现场调查，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龙昶</w:t>
            </w: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厂区内已建1座化粪池，容积为10</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w:t>
            </w:r>
          </w:p>
          <w:p w14:paraId="4B16082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2"/>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根据水平衡可知：本项目生活污水的产生量为</w:t>
            </w:r>
            <w:r>
              <w:rPr>
                <w:rFonts w:hint="eastAsia" w:ascii="Times New Roman" w:hAnsi="Times New Roman" w:cs="Times New Roman"/>
                <w:bCs/>
                <w:color w:val="000000" w:themeColor="text1"/>
                <w:sz w:val="24"/>
                <w:szCs w:val="24"/>
                <w:u w:val="none"/>
                <w:lang w:val="en-US" w:eastAsia="zh-CN"/>
                <w14:textFill>
                  <w14:solidFill>
                    <w14:schemeClr w14:val="tx1"/>
                  </w14:solidFill>
                </w14:textFill>
              </w:rPr>
              <w:t>1.01</w:t>
            </w:r>
            <w:r>
              <w:rPr>
                <w:rFonts w:hint="eastAsia" w:cs="Times New Roman"/>
                <w:bCs/>
                <w:color w:val="000000" w:themeColor="text1"/>
                <w:sz w:val="24"/>
                <w:szCs w:val="24"/>
                <w:u w:val="none"/>
                <w:lang w:val="en-US" w:eastAsia="zh-CN"/>
                <w14:textFill>
                  <w14:solidFill>
                    <w14:schemeClr w14:val="tx1"/>
                  </w14:solidFill>
                </w14:textFill>
              </w:rPr>
              <w:t>4</w:t>
            </w:r>
            <w:r>
              <w:rPr>
                <w:rFonts w:hint="default" w:ascii="Times New Roman" w:hAnsi="Times New Roman" w:cs="Times New Roman"/>
                <w:bCs/>
                <w:color w:val="000000" w:themeColor="text1"/>
                <w:sz w:val="24"/>
                <w:szCs w:val="24"/>
                <w:u w:val="none"/>
                <w:lang w:val="en-US" w:eastAsia="zh-CN"/>
                <w14:textFill>
                  <w14:solidFill>
                    <w14:schemeClr w14:val="tx1"/>
                  </w14:solidFill>
                </w14:textFill>
              </w:rPr>
              <w:t>m</w:t>
            </w:r>
            <w:r>
              <w:rPr>
                <w:rFonts w:hint="default" w:ascii="Times New Roman" w:hAnsi="Times New Roman" w:cs="Times New Roman"/>
                <w:bCs/>
                <w:color w:val="000000" w:themeColor="text1"/>
                <w:sz w:val="24"/>
                <w:szCs w:val="24"/>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szCs w:val="24"/>
                <w:u w:val="none"/>
                <w:lang w:val="en-US" w:eastAsia="zh-CN"/>
                <w14:textFill>
                  <w14:solidFill>
                    <w14:schemeClr w14:val="tx1"/>
                  </w14:solidFill>
                </w14:textFill>
              </w:rPr>
              <w:t>/d（</w:t>
            </w:r>
            <w:r>
              <w:rPr>
                <w:rFonts w:hint="eastAsia" w:ascii="Times New Roman" w:hAnsi="Times New Roman" w:cs="Times New Roman"/>
                <w:bCs/>
                <w:color w:val="000000" w:themeColor="text1"/>
                <w:sz w:val="24"/>
                <w:szCs w:val="24"/>
                <w:u w:val="none"/>
                <w:lang w:val="en-US" w:eastAsia="zh-CN"/>
                <w14:textFill>
                  <w14:solidFill>
                    <w14:schemeClr w14:val="tx1"/>
                  </w14:solidFill>
                </w14:textFill>
              </w:rPr>
              <w:t>304</w:t>
            </w:r>
            <w:r>
              <w:rPr>
                <w:rFonts w:hint="default" w:ascii="Times New Roman" w:hAnsi="Times New Roman" w:cs="Times New Roman"/>
                <w:bCs/>
                <w:color w:val="000000" w:themeColor="text1"/>
                <w:sz w:val="24"/>
                <w:szCs w:val="24"/>
                <w:u w:val="none"/>
                <w:lang w:val="en-US" w:eastAsia="zh-CN"/>
                <w14:textFill>
                  <w14:solidFill>
                    <w14:schemeClr w14:val="tx1"/>
                  </w14:solidFill>
                </w14:textFill>
              </w:rPr>
              <w:t>m</w:t>
            </w:r>
            <w:r>
              <w:rPr>
                <w:rFonts w:hint="default" w:ascii="Times New Roman" w:hAnsi="Times New Roman" w:cs="Times New Roman"/>
                <w:bCs/>
                <w:color w:val="000000" w:themeColor="text1"/>
                <w:sz w:val="24"/>
                <w:szCs w:val="24"/>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szCs w:val="24"/>
                <w:u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，占化粪池有效容积（</w:t>
            </w:r>
            <w:r>
              <w:rPr>
                <w:rFonts w:hint="eastAsia" w:cs="Times New Roman"/>
                <w:color w:val="000000" w:themeColor="text1"/>
                <w:sz w:val="24"/>
                <w:highlight w:val="none"/>
                <w:u w:val="none" w:color="auto"/>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）的</w:t>
            </w: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10.14</w:t>
            </w:r>
            <w:r>
              <w:rPr>
                <w:rFonts w:hint="default" w:ascii="Times New Roman" w:hAnsi="Times New Roman" w:eastAsia="宋体" w:cs="Times New Roman"/>
                <w:color w:val="000000" w:themeColor="text1"/>
                <w:sz w:val="24"/>
                <w:highlight w:val="none"/>
                <w:u w:val="none" w:color="auto"/>
                <w:lang w:val="en-US" w:eastAsia="zh-CN"/>
                <w14:textFill>
                  <w14:solidFill>
                    <w14:schemeClr w14:val="tx1"/>
                  </w14:solidFill>
                </w14:textFill>
              </w:rPr>
              <w:t>%。为此，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龙昶</w:t>
            </w: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厂区内化粪池的有效容积可满足本项目生活污水的处理需求。</w:t>
            </w:r>
          </w:p>
          <w:p w14:paraId="7D490424">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val="0"/>
                <w:color w:val="000000" w:themeColor="text1"/>
                <w:sz w:val="24"/>
                <w:szCs w:val="24"/>
                <w:u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施工期</w:t>
            </w:r>
          </w:p>
          <w:p w14:paraId="69C094D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r>
              <w:rPr>
                <w:rFonts w:hint="eastAsia" w:ascii="Times New Roman" w:hAnsi="Times New Roman" w:eastAsia="宋体"/>
                <w:bCs/>
                <w:color w:val="auto"/>
              </w:rPr>
              <w:t>施工期</w:t>
            </w:r>
            <w:r>
              <w:rPr>
                <w:rFonts w:hint="eastAsia"/>
                <w:bCs/>
                <w:color w:val="auto"/>
                <w:lang w:val="en-US" w:eastAsia="zh-CN"/>
              </w:rPr>
              <w:t>3</w:t>
            </w:r>
            <w:r>
              <w:rPr>
                <w:rFonts w:hint="eastAsia" w:ascii="Times New Roman" w:hAnsi="Times New Roman" w:eastAsia="宋体"/>
                <w:bCs/>
                <w:color w:val="auto"/>
              </w:rPr>
              <w:t>个月</w:t>
            </w:r>
            <w:r>
              <w:rPr>
                <w:rFonts w:hint="eastAsia"/>
                <w:bCs/>
                <w:color w:val="auto"/>
                <w:lang w:eastAsia="zh-CN"/>
              </w:rPr>
              <w:t>，</w:t>
            </w:r>
            <w:r>
              <w:rPr>
                <w:rFonts w:hint="eastAsia" w:ascii="Times New Roman" w:hAnsi="Times New Roman" w:eastAsia="宋体"/>
                <w:bCs/>
                <w:color w:val="auto"/>
              </w:rPr>
              <w:t>202</w:t>
            </w:r>
            <w:r>
              <w:rPr>
                <w:rFonts w:hint="eastAsia"/>
                <w:bCs/>
                <w:color w:val="auto"/>
                <w:lang w:val="en-US" w:eastAsia="zh-CN"/>
              </w:rPr>
              <w:t>5</w:t>
            </w:r>
            <w:r>
              <w:rPr>
                <w:rFonts w:hint="eastAsia" w:ascii="Times New Roman" w:hAnsi="Times New Roman" w:eastAsia="宋体"/>
                <w:bCs/>
                <w:color w:val="auto"/>
              </w:rPr>
              <w:t>年</w:t>
            </w:r>
            <w:r>
              <w:rPr>
                <w:rFonts w:hint="eastAsia"/>
                <w:bCs/>
                <w:color w:val="auto"/>
                <w:lang w:val="en-US" w:eastAsia="zh-CN"/>
              </w:rPr>
              <w:t>1</w:t>
            </w:r>
            <w:r>
              <w:rPr>
                <w:rFonts w:hint="eastAsia" w:ascii="Times New Roman" w:hAnsi="Times New Roman" w:eastAsia="宋体"/>
                <w:bCs/>
                <w:color w:val="auto"/>
              </w:rPr>
              <w:t>月</w:t>
            </w:r>
            <w:r>
              <w:rPr>
                <w:rFonts w:hint="default" w:ascii="Times New Roman" w:hAnsi="Times New Roman" w:eastAsia="宋体" w:cs="Times New Roman"/>
                <w:bCs/>
                <w:color w:val="auto"/>
              </w:rPr>
              <w:t>~</w:t>
            </w:r>
            <w:r>
              <w:rPr>
                <w:rFonts w:hint="eastAsia" w:ascii="Times New Roman" w:hAnsi="Times New Roman" w:eastAsia="宋体"/>
                <w:bCs/>
                <w:color w:val="auto"/>
              </w:rPr>
              <w:t>202</w:t>
            </w:r>
            <w:r>
              <w:rPr>
                <w:rFonts w:hint="eastAsia" w:ascii="Times New Roman" w:hAnsi="Times New Roman"/>
                <w:bCs/>
                <w:color w:val="auto"/>
                <w:lang w:val="en-US" w:eastAsia="zh-CN"/>
              </w:rPr>
              <w:t>5</w:t>
            </w:r>
            <w:r>
              <w:rPr>
                <w:rFonts w:hint="eastAsia" w:ascii="Times New Roman" w:hAnsi="Times New Roman" w:eastAsia="宋体"/>
                <w:bCs/>
                <w:color w:val="auto"/>
              </w:rPr>
              <w:t>年</w:t>
            </w:r>
            <w:r>
              <w:rPr>
                <w:rFonts w:hint="eastAsia"/>
                <w:bCs/>
                <w:color w:val="auto"/>
                <w:lang w:val="en-US" w:eastAsia="zh-CN"/>
              </w:rPr>
              <w:t>3</w:t>
            </w:r>
            <w:r>
              <w:rPr>
                <w:rFonts w:hint="eastAsia" w:ascii="Times New Roman" w:hAnsi="Times New Roman" w:eastAsia="宋体"/>
                <w:bCs/>
                <w:color w:val="auto"/>
              </w:rPr>
              <w:t>月。</w:t>
            </w:r>
          </w:p>
          <w:p w14:paraId="5F3BCCF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56C0029A">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2847DCCB">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7B1FF02F">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2169A64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365CF7E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5CED0674">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17D7B86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3DA63D0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bCs/>
                <w:color w:val="auto"/>
              </w:rPr>
            </w:pPr>
          </w:p>
          <w:p w14:paraId="6BF19338">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p w14:paraId="34DD9D6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p w14:paraId="06EE09CB">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p w14:paraId="57457C05">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p w14:paraId="288AE61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p w14:paraId="46A5D577">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bCs/>
                <w:color w:val="auto"/>
                <w:lang w:val="en-US" w:eastAsia="zh-CN"/>
              </w:rPr>
            </w:pPr>
          </w:p>
        </w:tc>
      </w:tr>
      <w:tr w14:paraId="0715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6" w:hRule="atLeast"/>
          <w:jc w:val="center"/>
        </w:trPr>
        <w:tc>
          <w:tcPr>
            <w:tcW w:w="736" w:type="dxa"/>
            <w:vAlign w:val="center"/>
          </w:tcPr>
          <w:p w14:paraId="5850A1D9">
            <w:pPr>
              <w:pStyle w:val="19"/>
              <w:numPr>
                <w:ilvl w:val="0"/>
                <w:numId w:val="0"/>
              </w:numPr>
              <w:spacing w:line="240" w:lineRule="auto"/>
              <w:jc w:val="center"/>
              <w:rPr>
                <w:rFonts w:ascii="Times New Roman" w:hAnsi="Times New Roman"/>
                <w:sz w:val="24"/>
                <w:szCs w:val="24"/>
              </w:rPr>
            </w:pPr>
            <w:bookmarkStart w:id="100" w:name="_Toc19681"/>
            <w:r>
              <w:rPr>
                <w:rFonts w:hint="eastAsia" w:ascii="Times New Roman" w:hAnsi="Times New Roman" w:eastAsia="宋体" w:cs="Times New Roman"/>
                <w:bCs/>
                <w:color w:val="000000"/>
                <w:kern w:val="2"/>
                <w:sz w:val="24"/>
                <w:szCs w:val="24"/>
                <w:lang w:val="en-US" w:eastAsia="zh-CN" w:bidi="ar-SA"/>
              </w:rPr>
              <w:t>工艺流程和产排污环节</w:t>
            </w:r>
            <w:bookmarkEnd w:id="100"/>
          </w:p>
        </w:tc>
        <w:tc>
          <w:tcPr>
            <w:tcW w:w="7786" w:type="dxa"/>
          </w:tcPr>
          <w:p w14:paraId="40E87062">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1、施工期工艺流程</w:t>
            </w:r>
          </w:p>
          <w:p w14:paraId="37DB56C5">
            <w:pPr>
              <w:pStyle w:val="14"/>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w:t>
            </w:r>
            <w:r>
              <w:rPr>
                <w:rFonts w:hint="default" w:ascii="Times New Roman" w:hAnsi="Times New Roman" w:cs="Times New Roman"/>
                <w:bCs/>
                <w:color w:val="auto"/>
                <w:sz w:val="24"/>
                <w:szCs w:val="24"/>
                <w:u w:val="none"/>
                <w:lang w:val="en-US" w:eastAsia="zh-CN"/>
              </w:rPr>
              <w:t>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bCs/>
                <w:color w:val="auto"/>
                <w:sz w:val="24"/>
                <w:szCs w:val="24"/>
                <w:u w:val="none"/>
                <w:lang w:val="en-US" w:eastAsia="zh-CN"/>
              </w:rPr>
              <w:t>厂区内</w:t>
            </w:r>
            <w:r>
              <w:rPr>
                <w:rFonts w:hint="default" w:ascii="Times New Roman" w:hAnsi="Times New Roman" w:cs="Times New Roman"/>
                <w:b w:val="0"/>
                <w:bCs w:val="0"/>
                <w:color w:val="auto"/>
                <w:sz w:val="24"/>
                <w:szCs w:val="24"/>
                <w:lang w:val="en-US" w:eastAsia="zh-CN"/>
              </w:rPr>
              <w:t>已建厂房，公用基础设施已安装，</w:t>
            </w:r>
            <w:r>
              <w:rPr>
                <w:rFonts w:hint="default" w:ascii="Times New Roman" w:hAnsi="Times New Roman" w:cs="Times New Roman"/>
                <w:color w:val="auto"/>
                <w:sz w:val="24"/>
                <w:highlight w:val="none"/>
                <w:u w:val="none" w:color="auto"/>
                <w:lang w:val="en-US" w:eastAsia="zh-CN"/>
              </w:rPr>
              <w:t>不涉及建（构）筑物改造或新建</w:t>
            </w:r>
            <w:r>
              <w:rPr>
                <w:rFonts w:hint="default" w:ascii="Times New Roman" w:hAnsi="Times New Roman" w:cs="Times New Roman"/>
                <w:b w:val="0"/>
                <w:bCs w:val="0"/>
                <w:color w:val="auto"/>
                <w:sz w:val="24"/>
                <w:szCs w:val="24"/>
                <w:lang w:val="en-US" w:eastAsia="zh-CN"/>
              </w:rPr>
              <w:t>。因此，本项目施工期主要为生产设备的安装工程，即设备安装过程中会产生施工噪声。这些施工活动均在厂房内进行、施工期短，对环境影响较小，且设备安装噪声将随工程施工的结束而消失，本环评不对施工期环境影响做详细分析。</w:t>
            </w:r>
          </w:p>
          <w:p w14:paraId="4C2EB40A">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auto"/>
                <w:sz w:val="24"/>
                <w:szCs w:val="24"/>
                <w:u w:val="none" w:color="auto"/>
                <w:lang w:val="en-US" w:eastAsia="zh-CN"/>
              </w:rPr>
            </w:pPr>
            <w:r>
              <w:rPr>
                <w:rFonts w:hint="default" w:ascii="Times New Roman" w:hAnsi="Times New Roman" w:eastAsia="宋体" w:cs="Times New Roman"/>
                <w:b/>
                <w:bCs/>
                <w:color w:val="auto"/>
                <w:kern w:val="0"/>
                <w:sz w:val="24"/>
                <w:szCs w:val="24"/>
                <w:u w:color="auto"/>
                <w:lang w:val="en-US" w:eastAsia="zh-CN" w:bidi="ar-SA"/>
              </w:rPr>
              <w:t>2、</w:t>
            </w:r>
            <w:r>
              <w:rPr>
                <w:rFonts w:hint="default" w:ascii="Times New Roman" w:hAnsi="Times New Roman" w:cs="Times New Roman"/>
                <w:b/>
                <w:bCs/>
                <w:color w:val="auto"/>
                <w:sz w:val="24"/>
                <w:szCs w:val="24"/>
                <w:u w:val="none" w:color="auto"/>
                <w:lang w:val="en-US" w:eastAsia="zh-CN"/>
              </w:rPr>
              <w:t>营运期工艺流程</w:t>
            </w:r>
          </w:p>
          <w:p w14:paraId="2137F8B9">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auto"/>
                <w:sz w:val="24"/>
                <w:szCs w:val="24"/>
                <w:highlight w:val="none"/>
                <w:u w:val="none" w:color="auto"/>
              </w:rPr>
            </w:pPr>
            <w:r>
              <w:rPr>
                <w:rFonts w:hint="eastAsia" w:ascii="宋体" w:hAnsi="宋体" w:cs="宋体"/>
                <w:color w:val="000000"/>
                <w:kern w:val="0"/>
                <w:sz w:val="24"/>
                <w:szCs w:val="24"/>
                <w:lang w:val="en-US" w:eastAsia="zh-CN" w:bidi="ar"/>
              </w:rPr>
              <w:t>本项目</w:t>
            </w:r>
            <w:r>
              <w:rPr>
                <w:rFonts w:hint="default" w:ascii="Times New Roman" w:hAnsi="Times New Roman" w:cs="Times New Roman"/>
                <w:color w:val="auto"/>
                <w:sz w:val="24"/>
                <w:szCs w:val="24"/>
              </w:rPr>
              <w:t>主要</w:t>
            </w:r>
            <w:r>
              <w:rPr>
                <w:rFonts w:hint="eastAsia" w:cs="Times New Roman"/>
                <w:color w:val="auto"/>
                <w:sz w:val="24"/>
                <w:szCs w:val="24"/>
                <w:lang w:val="en-US" w:eastAsia="zh-CN"/>
              </w:rPr>
              <w:t>利用回收的</w:t>
            </w:r>
            <w:r>
              <w:rPr>
                <w:rFonts w:hint="eastAsia" w:ascii="Times New Roman" w:hAnsi="Times New Roman" w:eastAsia="宋体" w:cs="Times New Roman"/>
                <w:color w:val="auto"/>
                <w:sz w:val="24"/>
                <w:szCs w:val="24"/>
                <w:lang w:val="en-US" w:eastAsia="zh-CN"/>
              </w:rPr>
              <w:t>废纺织布料、废鞋材料、废箱包材料、废塑胶</w:t>
            </w:r>
            <w:r>
              <w:rPr>
                <w:rFonts w:hint="default" w:ascii="Times New Roman" w:hAnsi="Times New Roman" w:cs="Times New Roman"/>
                <w:color w:val="auto"/>
                <w:sz w:val="24"/>
                <w:szCs w:val="24"/>
              </w:rPr>
              <w:t>生产RDF替代燃料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，其年产量为50000吨；并年处理回收10000吨废塑料、10000吨废纸/纸箱、10000吨废旧整衣服。</w:t>
            </w:r>
            <w:r>
              <w:rPr>
                <w:rFonts w:hint="default" w:ascii="Times New Roman" w:hAnsi="Times New Roman" w:eastAsia="宋体" w:cs="Times New Roman"/>
                <w:bCs/>
                <w:color w:val="auto"/>
                <w:sz w:val="24"/>
                <w:szCs w:val="24"/>
                <w:highlight w:val="none"/>
                <w:u w:val="none" w:color="auto"/>
              </w:rPr>
              <w:t>根据建设</w:t>
            </w:r>
            <w:r>
              <w:rPr>
                <w:rFonts w:hint="eastAsia" w:ascii="Times New Roman" w:hAnsi="Times New Roman" w:cs="Times New Roman"/>
                <w:bCs/>
                <w:color w:val="auto"/>
                <w:sz w:val="24"/>
                <w:szCs w:val="24"/>
                <w:highlight w:val="none"/>
                <w:u w:val="none" w:color="auto"/>
                <w:lang w:val="en-US" w:eastAsia="zh-CN"/>
              </w:rPr>
              <w:t>单位</w:t>
            </w:r>
            <w:r>
              <w:rPr>
                <w:rFonts w:hint="default" w:ascii="Times New Roman" w:hAnsi="Times New Roman" w:eastAsia="宋体" w:cs="Times New Roman"/>
                <w:bCs/>
                <w:color w:val="auto"/>
                <w:sz w:val="24"/>
                <w:szCs w:val="24"/>
                <w:highlight w:val="none"/>
                <w:u w:val="none" w:color="auto"/>
              </w:rPr>
              <w:t>提供的资料，本项目工艺流程图如下：</w:t>
            </w:r>
          </w:p>
          <w:p w14:paraId="69158F6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color="auto"/>
                <w:lang w:val="en-US" w:eastAsia="zh-CN" w:bidi="ar-SA"/>
              </w:rPr>
              <w:t>（1）</w:t>
            </w:r>
            <w:r>
              <w:rPr>
                <w:rFonts w:hint="default" w:ascii="Times New Roman" w:hAnsi="Times New Roman" w:cs="Times New Roman"/>
                <w:color w:val="auto"/>
                <w:sz w:val="24"/>
                <w:szCs w:val="24"/>
              </w:rPr>
              <w:t>RDF替代燃料</w:t>
            </w:r>
            <w:r>
              <w:rPr>
                <w:rFonts w:hint="eastAsia" w:ascii="Times New Roman" w:hAnsi="Times New Roman" w:eastAsia="宋体" w:cs="Times New Roman"/>
                <w:color w:val="auto"/>
                <w:kern w:val="2"/>
                <w:sz w:val="24"/>
                <w:szCs w:val="24"/>
                <w:u w:val="none" w:color="auto"/>
                <w:lang w:val="en-US" w:eastAsia="zh-CN" w:bidi="ar-SA"/>
              </w:rPr>
              <w:t>生产工艺流程</w:t>
            </w:r>
          </w:p>
          <w:p w14:paraId="7B04D9E4">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08A19564">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1784CE7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2DFF4600">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212CBBE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581E76F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2F5333F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009D3D3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6FBB4670">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308B2F48">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1B01C46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1533F8E7">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5A5172D0">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0B5029EB">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25E24587">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14E6C27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0919BB8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kern w:val="2"/>
                <w:sz w:val="24"/>
                <w:szCs w:val="24"/>
                <w:u w:val="none" w:color="auto"/>
                <w:lang w:val="en-US" w:eastAsia="zh-CN" w:bidi="ar-SA"/>
              </w:rPr>
            </w:pPr>
          </w:p>
          <w:p w14:paraId="714AAF34">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object>
                <v:shape id="_x0000_i1026" o:spt="75" type="#_x0000_t75" style="height:507.05pt;width:320.3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14:paraId="2FE25C4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lang w:val="en-US" w:eastAsia="zh-CN"/>
              </w:rPr>
              <w:t>图2-</w:t>
            </w:r>
            <w:r>
              <w:rPr>
                <w:rFonts w:hint="eastAsia" w:ascii="Times New Roman" w:hAnsi="Times New Roman" w:cs="Times New Roman"/>
                <w:b/>
                <w:bCs w:val="0"/>
                <w:color w:val="auto"/>
                <w:sz w:val="21"/>
                <w:szCs w:val="21"/>
                <w:highlight w:val="none"/>
                <w:u w:val="none" w:color="auto"/>
                <w:lang w:val="en-US" w:eastAsia="zh-CN"/>
              </w:rPr>
              <w:t>2</w:t>
            </w:r>
            <w:r>
              <w:rPr>
                <w:rFonts w:hint="default" w:ascii="Times New Roman" w:hAnsi="Times New Roman" w:cs="Times New Roman"/>
                <w:b/>
                <w:bCs w:val="0"/>
                <w:color w:val="auto"/>
                <w:sz w:val="21"/>
                <w:szCs w:val="21"/>
                <w:highlight w:val="none"/>
                <w:u w:val="none" w:color="auto"/>
                <w:lang w:val="en-US" w:eastAsia="zh-CN"/>
              </w:rPr>
              <w:t xml:space="preserve">  RDF替代燃料生产工艺流程图</w:t>
            </w:r>
          </w:p>
          <w:p w14:paraId="0CECCE6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jc w:val="both"/>
              <w:textAlignment w:val="auto"/>
              <w:rPr>
                <w:b/>
                <w:bCs w:val="0"/>
                <w:i w:val="0"/>
                <w:iCs w:val="0"/>
                <w:color w:val="000000"/>
                <w:sz w:val="24"/>
                <w:szCs w:val="24"/>
              </w:rPr>
            </w:pPr>
            <w:r>
              <w:rPr>
                <w:b/>
                <w:bCs w:val="0"/>
                <w:i w:val="0"/>
                <w:iCs w:val="0"/>
                <w:color w:val="000000"/>
                <w:sz w:val="24"/>
              </w:rPr>
              <w:t>工艺流程</w:t>
            </w:r>
            <w:r>
              <w:rPr>
                <w:b/>
                <w:bCs w:val="0"/>
                <w:i w:val="0"/>
                <w:iCs w:val="0"/>
                <w:color w:val="000000"/>
                <w:sz w:val="24"/>
                <w:szCs w:val="24"/>
              </w:rPr>
              <w:t>简介：</w:t>
            </w:r>
          </w:p>
          <w:p w14:paraId="2AD4449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①卸货堆存</w:t>
            </w:r>
          </w:p>
          <w:p w14:paraId="2881A3B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default" w:ascii="Times New Roman" w:hAnsi="Times New Roman" w:eastAsia="宋体" w:cs="Times New Roman"/>
                <w:b w:val="0"/>
                <w:bCs/>
                <w:i w:val="0"/>
                <w:iCs w:val="0"/>
                <w:color w:val="000000"/>
                <w:kern w:val="0"/>
                <w:sz w:val="24"/>
                <w:szCs w:val="24"/>
                <w:lang w:val="en-US" w:eastAsia="zh-CN" w:bidi="ar-SA"/>
              </w:rPr>
              <w:t>项目原料</w:t>
            </w:r>
            <w:r>
              <w:rPr>
                <w:rFonts w:hint="eastAsia" w:ascii="Times New Roman" w:hAnsi="Times New Roman" w:eastAsia="宋体" w:cs="Times New Roman"/>
                <w:color w:val="auto"/>
                <w:sz w:val="24"/>
                <w:szCs w:val="24"/>
                <w:lang w:val="en-US" w:eastAsia="zh-CN"/>
              </w:rPr>
              <w:t>废纺织布料、废鞋材料、废箱包材料、废塑胶</w:t>
            </w:r>
            <w:r>
              <w:rPr>
                <w:rFonts w:hint="default" w:ascii="Times New Roman" w:hAnsi="Times New Roman" w:eastAsia="宋体" w:cs="Times New Roman"/>
                <w:b w:val="0"/>
                <w:bCs/>
                <w:i w:val="0"/>
                <w:iCs w:val="0"/>
                <w:color w:val="000000"/>
                <w:kern w:val="0"/>
                <w:sz w:val="24"/>
                <w:szCs w:val="24"/>
                <w:lang w:val="en-US" w:eastAsia="zh-CN" w:bidi="ar-SA"/>
              </w:rPr>
              <w:t>主要通过供货方汽车送入厂内，运输车辆采用布覆盖，杜绝遗落。原料主要为压包处理，少量散装</w:t>
            </w:r>
            <w:r>
              <w:rPr>
                <w:rFonts w:hint="eastAsia" w:ascii="Times New Roman" w:hAnsi="Times New Roman" w:eastAsia="宋体" w:cs="Times New Roman"/>
                <w:b w:val="0"/>
                <w:bCs/>
                <w:i w:val="0"/>
                <w:iCs w:val="0"/>
                <w:color w:val="000000"/>
                <w:kern w:val="0"/>
                <w:sz w:val="24"/>
                <w:szCs w:val="24"/>
                <w:lang w:val="en-US" w:eastAsia="zh-CN" w:bidi="ar-SA"/>
              </w:rPr>
              <w:t>，</w:t>
            </w:r>
            <w:r>
              <w:rPr>
                <w:rFonts w:hint="default" w:ascii="Times New Roman" w:hAnsi="Times New Roman" w:eastAsia="宋体" w:cs="Times New Roman"/>
                <w:b w:val="0"/>
                <w:bCs/>
                <w:i w:val="0"/>
                <w:iCs w:val="0"/>
                <w:color w:val="000000"/>
                <w:kern w:val="0"/>
                <w:sz w:val="24"/>
                <w:szCs w:val="24"/>
                <w:lang w:val="en-US" w:eastAsia="zh-CN" w:bidi="ar-SA"/>
              </w:rPr>
              <w:t>采用抓机、</w:t>
            </w:r>
            <w:r>
              <w:rPr>
                <w:rFonts w:hint="eastAsia" w:ascii="Times New Roman" w:hAnsi="Times New Roman" w:eastAsia="宋体" w:cs="Times New Roman"/>
                <w:b w:val="0"/>
                <w:bCs/>
                <w:i w:val="0"/>
                <w:iCs w:val="0"/>
                <w:color w:val="000000"/>
                <w:kern w:val="0"/>
                <w:sz w:val="24"/>
                <w:szCs w:val="24"/>
                <w:lang w:val="en-US" w:eastAsia="zh-CN" w:bidi="ar-SA"/>
              </w:rPr>
              <w:t>抱</w:t>
            </w:r>
            <w:r>
              <w:rPr>
                <w:rFonts w:hint="default" w:ascii="Times New Roman" w:hAnsi="Times New Roman" w:eastAsia="宋体" w:cs="Times New Roman"/>
                <w:b w:val="0"/>
                <w:bCs/>
                <w:i w:val="0"/>
                <w:iCs w:val="0"/>
                <w:color w:val="000000"/>
                <w:kern w:val="0"/>
                <w:sz w:val="24"/>
                <w:szCs w:val="24"/>
                <w:lang w:val="en-US" w:eastAsia="zh-CN" w:bidi="ar-SA"/>
              </w:rPr>
              <w:t>机协助卸货入原料库</w:t>
            </w:r>
            <w:r>
              <w:rPr>
                <w:rFonts w:hint="eastAsia" w:ascii="Times New Roman" w:hAnsi="Times New Roman" w:eastAsia="宋体" w:cs="Times New Roman"/>
                <w:b w:val="0"/>
                <w:bCs/>
                <w:i w:val="0"/>
                <w:iCs w:val="0"/>
                <w:color w:val="000000"/>
                <w:kern w:val="0"/>
                <w:sz w:val="24"/>
                <w:szCs w:val="24"/>
                <w:lang w:val="en-US" w:eastAsia="zh-CN" w:bidi="ar-SA"/>
              </w:rPr>
              <w:t>存放</w:t>
            </w:r>
            <w:r>
              <w:rPr>
                <w:rFonts w:hint="default" w:ascii="Times New Roman" w:hAnsi="Times New Roman" w:eastAsia="宋体" w:cs="Times New Roman"/>
                <w:b w:val="0"/>
                <w:bCs/>
                <w:i w:val="0"/>
                <w:iCs w:val="0"/>
                <w:color w:val="000000"/>
                <w:kern w:val="0"/>
                <w:sz w:val="24"/>
                <w:szCs w:val="24"/>
                <w:lang w:val="en-US" w:eastAsia="zh-CN" w:bidi="ar-SA"/>
              </w:rPr>
              <w:t>，项目原料进厂分区存放，皆为可燃性一般固废</w:t>
            </w:r>
            <w:r>
              <w:rPr>
                <w:rFonts w:hint="eastAsia" w:ascii="Times New Roman" w:hAnsi="Times New Roman" w:eastAsia="宋体" w:cs="Times New Roman"/>
                <w:b w:val="0"/>
                <w:bCs/>
                <w:i w:val="0"/>
                <w:iCs w:val="0"/>
                <w:color w:val="000000"/>
                <w:kern w:val="0"/>
                <w:sz w:val="24"/>
                <w:szCs w:val="24"/>
                <w:lang w:val="en-US" w:eastAsia="zh-CN" w:bidi="ar-SA"/>
              </w:rPr>
              <w:t>。</w:t>
            </w:r>
          </w:p>
          <w:p w14:paraId="10D0B51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i w:val="0"/>
                <w:iCs w:val="0"/>
                <w:color w:val="000000"/>
                <w:kern w:val="0"/>
                <w:sz w:val="24"/>
                <w:szCs w:val="24"/>
                <w:lang w:val="en-US" w:eastAsia="zh-CN" w:bidi="ar-SA"/>
              </w:rPr>
            </w:pPr>
            <w:r>
              <w:rPr>
                <w:rFonts w:hint="eastAsia"/>
                <w:color w:val="000000"/>
                <w:kern w:val="0"/>
                <w:sz w:val="24"/>
                <w:lang w:val="en-US" w:eastAsia="zh-CN"/>
              </w:rPr>
              <w:t>此工序会产生卸货堆存废气</w:t>
            </w:r>
            <w:r>
              <w:rPr>
                <w:rFonts w:hint="eastAsia"/>
                <w:color w:val="auto"/>
                <w:kern w:val="0"/>
                <w:sz w:val="24"/>
                <w:lang w:val="en-US" w:eastAsia="zh-CN"/>
              </w:rPr>
              <w:t>、堆放恶臭</w:t>
            </w:r>
            <w:r>
              <w:rPr>
                <w:rFonts w:hint="eastAsia"/>
                <w:color w:val="000000"/>
                <w:kern w:val="0"/>
                <w:sz w:val="24"/>
                <w:lang w:val="en-US" w:eastAsia="zh-CN"/>
              </w:rPr>
              <w:t>和设备运行噪声。其中卸货废气主要污染物为颗粒物，通过卸货处、原料储存区设高压喷淋装置喷水雾抑尘，采取无组织排放；</w:t>
            </w:r>
            <w:r>
              <w:rPr>
                <w:rFonts w:hint="eastAsia"/>
                <w:color w:val="auto"/>
                <w:kern w:val="0"/>
                <w:sz w:val="24"/>
                <w:lang w:val="en-US" w:eastAsia="zh-CN"/>
              </w:rPr>
              <w:t>堆放恶臭</w:t>
            </w:r>
            <w:r>
              <w:rPr>
                <w:rFonts w:hint="eastAsia"/>
                <w:color w:val="000000"/>
                <w:kern w:val="0"/>
                <w:sz w:val="24"/>
                <w:lang w:val="en-US" w:eastAsia="zh-CN"/>
              </w:rPr>
              <w:t>主要污染物为氨、硫化氢、臭气浓度，通过定期喷洒除臭剂、加强厂区通排风之后采取无组织排放。</w:t>
            </w:r>
          </w:p>
          <w:p w14:paraId="76B7D859">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②人工分拣</w:t>
            </w:r>
          </w:p>
          <w:p w14:paraId="73A014C8">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由于进厂的部分原料为混合料，为了避免杂料影响生产，该工序安排工人对进厂原料进行分拣，分拣的</w:t>
            </w:r>
            <w:r>
              <w:rPr>
                <w:rFonts w:hint="eastAsia" w:ascii="Times New Roman" w:hAnsi="Times New Roman" w:eastAsia="宋体" w:cs="Times New Roman"/>
                <w:color w:val="auto"/>
                <w:sz w:val="24"/>
                <w:szCs w:val="24"/>
                <w:lang w:val="en-US" w:eastAsia="zh-CN"/>
              </w:rPr>
              <w:t>废纺织布料</w:t>
            </w:r>
            <w:r>
              <w:rPr>
                <w:rFonts w:hint="eastAsia" w:ascii="Times New Roman" w:hAnsi="Times New Roman" w:eastAsia="宋体" w:cs="Times New Roman"/>
                <w:b w:val="0"/>
                <w:bCs/>
                <w:i w:val="0"/>
                <w:iCs w:val="0"/>
                <w:color w:val="000000"/>
                <w:kern w:val="0"/>
                <w:sz w:val="24"/>
                <w:szCs w:val="24"/>
                <w:lang w:val="en-US" w:eastAsia="zh-CN" w:bidi="ar-SA"/>
              </w:rPr>
              <w:t>、废鞋材料、废箱包材料进入磁选工序进行处理，废塑胶直接进入配比工序。</w:t>
            </w:r>
          </w:p>
          <w:p w14:paraId="6C9675D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color w:val="000000"/>
                <w:kern w:val="0"/>
                <w:sz w:val="24"/>
                <w:lang w:val="en-US" w:eastAsia="zh-CN"/>
              </w:rPr>
              <w:t>此工序会产生分拣废料。</w:t>
            </w:r>
          </w:p>
          <w:p w14:paraId="75DD6D0C">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b w:val="0"/>
                <w:bCs/>
                <w:i w:val="0"/>
                <w:iCs w:val="0"/>
                <w:color w:val="000000"/>
                <w:kern w:val="0"/>
                <w:sz w:val="24"/>
                <w:szCs w:val="24"/>
                <w:lang w:val="en-US" w:eastAsia="zh-CN" w:bidi="ar-SA"/>
              </w:rPr>
              <w:t>③</w:t>
            </w:r>
            <w:r>
              <w:rPr>
                <w:rFonts w:hint="eastAsia" w:ascii="Times New Roman" w:hAnsi="Times New Roman" w:eastAsia="宋体" w:cs="Times New Roman"/>
                <w:color w:val="000000"/>
                <w:kern w:val="0"/>
                <w:sz w:val="24"/>
                <w:lang w:val="en-US" w:eastAsia="zh-CN"/>
              </w:rPr>
              <w:t>磁选</w:t>
            </w:r>
          </w:p>
          <w:p w14:paraId="0EB5E50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为</w:t>
            </w:r>
            <w:r>
              <w:rPr>
                <w:rFonts w:hint="default" w:ascii="Times New Roman" w:hAnsi="Times New Roman" w:eastAsia="宋体" w:cs="Times New Roman"/>
                <w:color w:val="000000"/>
                <w:kern w:val="0"/>
                <w:sz w:val="24"/>
                <w:lang w:val="en-US" w:eastAsia="zh-CN"/>
              </w:rPr>
              <w:t>防止原料中夹杂磁性硬物，损伤破碎机，</w:t>
            </w:r>
            <w:r>
              <w:rPr>
                <w:rFonts w:hint="eastAsia" w:ascii="Times New Roman" w:hAnsi="Times New Roman" w:eastAsia="宋体" w:cs="Times New Roman"/>
                <w:color w:val="000000"/>
                <w:kern w:val="0"/>
                <w:sz w:val="24"/>
                <w:lang w:val="en-US" w:eastAsia="zh-CN"/>
              </w:rPr>
              <w:t>采用</w:t>
            </w:r>
            <w:r>
              <w:rPr>
                <w:rFonts w:hint="default" w:ascii="Times New Roman" w:hAnsi="Times New Roman" w:eastAsia="宋体" w:cs="Times New Roman"/>
                <w:color w:val="000000"/>
                <w:kern w:val="0"/>
                <w:sz w:val="24"/>
                <w:lang w:val="en-US" w:eastAsia="zh-CN"/>
              </w:rPr>
              <w:t>磁选机</w:t>
            </w:r>
            <w:r>
              <w:rPr>
                <w:rFonts w:hint="eastAsia" w:ascii="Times New Roman" w:hAnsi="Times New Roman" w:eastAsia="宋体" w:cs="Times New Roman"/>
                <w:color w:val="000000"/>
                <w:kern w:val="0"/>
                <w:sz w:val="24"/>
                <w:lang w:val="en-US" w:eastAsia="zh-CN"/>
              </w:rPr>
              <w:t>进行除铁</w:t>
            </w:r>
            <w:r>
              <w:rPr>
                <w:rFonts w:hint="default" w:ascii="Times New Roman" w:hAnsi="Times New Roman" w:eastAsia="宋体" w:cs="Times New Roman"/>
                <w:color w:val="000000"/>
                <w:kern w:val="0"/>
                <w:sz w:val="24"/>
                <w:lang w:val="en-US" w:eastAsia="zh-CN"/>
              </w:rPr>
              <w:t>。</w:t>
            </w:r>
            <w:r>
              <w:rPr>
                <w:rFonts w:hint="eastAsia" w:ascii="Times New Roman" w:hAnsi="Times New Roman" w:eastAsia="宋体" w:cs="Times New Roman"/>
                <w:color w:val="000000"/>
                <w:kern w:val="0"/>
                <w:sz w:val="24"/>
                <w:lang w:val="en-US" w:eastAsia="zh-CN"/>
              </w:rPr>
              <w:t>通过磁选输送机送至下一工序。</w:t>
            </w:r>
          </w:p>
          <w:p w14:paraId="3AF6D5F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color w:val="000000"/>
                <w:kern w:val="0"/>
                <w:sz w:val="24"/>
                <w:lang w:val="en-US" w:eastAsia="zh-CN"/>
              </w:rPr>
              <w:t>此工序会产生含铁杂质。</w:t>
            </w:r>
          </w:p>
          <w:p w14:paraId="026E435F">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④喷淋加湿</w:t>
            </w:r>
          </w:p>
          <w:p w14:paraId="14A21963">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lang w:val="en-US" w:eastAsia="zh-CN"/>
              </w:rPr>
            </w:pPr>
            <w:r>
              <w:rPr>
                <w:rFonts w:hint="eastAsia" w:cs="Times New Roman"/>
                <w:color w:val="000000"/>
                <w:kern w:val="0"/>
                <w:sz w:val="24"/>
                <w:szCs w:val="24"/>
                <w:u w:val="none"/>
                <w:lang w:val="en-US" w:eastAsia="zh-CN"/>
              </w:rPr>
              <w:t>项目拟在3台</w:t>
            </w:r>
            <w:r>
              <w:rPr>
                <w:rFonts w:hint="eastAsia" w:ascii="Times New Roman" w:hAnsi="Times New Roman" w:eastAsia="宋体" w:cs="Times New Roman"/>
                <w:color w:val="000000"/>
                <w:kern w:val="0"/>
                <w:sz w:val="24"/>
                <w:szCs w:val="24"/>
                <w:u w:val="none"/>
                <w:lang w:val="en-US" w:eastAsia="zh-CN"/>
              </w:rPr>
              <w:t>双轴破碎机</w:t>
            </w:r>
            <w:r>
              <w:rPr>
                <w:rFonts w:hint="eastAsia" w:cs="Times New Roman"/>
                <w:color w:val="000000"/>
                <w:kern w:val="0"/>
                <w:sz w:val="24"/>
                <w:szCs w:val="24"/>
                <w:u w:val="none"/>
                <w:lang w:val="en-US" w:eastAsia="zh-CN"/>
              </w:rPr>
              <w:t>投料口周围设置3台喷淋装置，</w:t>
            </w:r>
            <w:r>
              <w:rPr>
                <w:rFonts w:hint="eastAsia" w:ascii="Times New Roman" w:hAnsi="Times New Roman" w:eastAsia="宋体" w:cs="Times New Roman"/>
                <w:color w:val="000000"/>
                <w:kern w:val="0"/>
                <w:sz w:val="24"/>
                <w:lang w:val="en-US" w:eastAsia="zh-CN"/>
              </w:rPr>
              <w:t>对原料进行喷淋加湿，目的是为了增强物料与设备刀片的贴合度，从而提高破碎的效率和效果，原料控制含水率不超过15%。</w:t>
            </w:r>
          </w:p>
          <w:p w14:paraId="56E234C1">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Cs/>
                <w:color w:val="000000"/>
                <w:kern w:val="2"/>
                <w:sz w:val="24"/>
                <w:szCs w:val="24"/>
                <w:u w:color="auto"/>
                <w:lang w:val="en-US" w:eastAsia="zh-CN" w:bidi="ar-SA"/>
              </w:rPr>
            </w:pPr>
            <w:r>
              <w:rPr>
                <w:rFonts w:hint="eastAsia" w:ascii="Times New Roman" w:hAnsi="Times New Roman" w:eastAsia="宋体" w:cs="Times New Roman"/>
                <w:bCs/>
                <w:color w:val="000000"/>
                <w:kern w:val="2"/>
                <w:sz w:val="24"/>
                <w:szCs w:val="24"/>
                <w:u w:color="auto"/>
                <w:lang w:val="en-US" w:eastAsia="zh-CN" w:bidi="ar-SA"/>
              </w:rPr>
              <w:t>⑤一次破碎</w:t>
            </w:r>
          </w:p>
          <w:p w14:paraId="6FDA1D97">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Cs/>
                <w:color w:val="000000"/>
                <w:kern w:val="2"/>
                <w:sz w:val="24"/>
                <w:szCs w:val="24"/>
                <w:u w:color="auto"/>
                <w:lang w:val="en-US" w:eastAsia="zh-CN" w:bidi="ar-SA"/>
              </w:rPr>
            </w:pPr>
            <w:r>
              <w:rPr>
                <w:rFonts w:hint="eastAsia" w:ascii="Times New Roman" w:hAnsi="Times New Roman" w:eastAsia="宋体" w:cs="Times New Roman"/>
                <w:bCs/>
                <w:color w:val="000000"/>
                <w:kern w:val="2"/>
                <w:sz w:val="24"/>
                <w:szCs w:val="24"/>
                <w:u w:color="auto"/>
                <w:lang w:val="en-US" w:eastAsia="zh-CN" w:bidi="ar-SA"/>
              </w:rPr>
              <w:t>加湿后的原料进行第一次破碎，</w:t>
            </w:r>
            <w:r>
              <w:rPr>
                <w:rFonts w:hint="default" w:ascii="Times New Roman" w:hAnsi="Times New Roman" w:eastAsia="宋体" w:cs="Times New Roman"/>
                <w:bCs/>
                <w:color w:val="000000"/>
                <w:kern w:val="2"/>
                <w:sz w:val="24"/>
                <w:szCs w:val="24"/>
                <w:u w:color="auto"/>
                <w:lang w:val="en-US" w:eastAsia="zh-CN" w:bidi="ar-SA"/>
              </w:rPr>
              <w:t>破碎所采用的智能双轴破碎机具备低转速、大扭矩等特性，能够适应混合、复杂、高强度、高韧性的物料破碎工作。一次破碎起到破碎和松散作用</w:t>
            </w:r>
            <w:r>
              <w:rPr>
                <w:rFonts w:hint="eastAsia" w:ascii="Times New Roman" w:hAnsi="Times New Roman" w:eastAsia="宋体" w:cs="Times New Roman"/>
                <w:bCs/>
                <w:color w:val="000000"/>
                <w:kern w:val="2"/>
                <w:sz w:val="24"/>
                <w:szCs w:val="24"/>
                <w:u w:color="auto"/>
                <w:lang w:val="en-US" w:eastAsia="zh-CN" w:bidi="ar-SA"/>
              </w:rPr>
              <w:t>，将原料破碎至20-30厘米，</w:t>
            </w:r>
            <w:r>
              <w:rPr>
                <w:rFonts w:hint="default" w:ascii="Times New Roman" w:hAnsi="Times New Roman" w:eastAsia="宋体" w:cs="Times New Roman"/>
                <w:bCs/>
                <w:color w:val="000000"/>
                <w:kern w:val="2"/>
                <w:sz w:val="24"/>
                <w:szCs w:val="24"/>
                <w:u w:color="auto"/>
                <w:lang w:val="en-US" w:eastAsia="zh-CN" w:bidi="ar-SA"/>
              </w:rPr>
              <w:t>保证后续</w:t>
            </w:r>
            <w:r>
              <w:rPr>
                <w:rFonts w:hint="eastAsia" w:ascii="Times New Roman" w:hAnsi="Times New Roman" w:eastAsia="宋体" w:cs="Times New Roman"/>
                <w:bCs/>
                <w:color w:val="000000"/>
                <w:kern w:val="2"/>
                <w:sz w:val="24"/>
                <w:szCs w:val="24"/>
                <w:u w:color="auto"/>
                <w:lang w:val="en-US" w:eastAsia="zh-CN" w:bidi="ar-SA"/>
              </w:rPr>
              <w:t>筛分</w:t>
            </w:r>
            <w:r>
              <w:rPr>
                <w:rFonts w:hint="default" w:ascii="Times New Roman" w:hAnsi="Times New Roman" w:eastAsia="宋体" w:cs="Times New Roman"/>
                <w:bCs/>
                <w:color w:val="000000"/>
                <w:kern w:val="2"/>
                <w:sz w:val="24"/>
                <w:szCs w:val="24"/>
                <w:u w:color="auto"/>
                <w:lang w:val="en-US" w:eastAsia="zh-CN" w:bidi="ar-SA"/>
              </w:rPr>
              <w:t>机和二次破碎机等设备的平稳运行</w:t>
            </w:r>
            <w:r>
              <w:rPr>
                <w:rFonts w:hint="eastAsia" w:ascii="Times New Roman" w:hAnsi="Times New Roman" w:eastAsia="宋体" w:cs="Times New Roman"/>
                <w:bCs/>
                <w:color w:val="000000"/>
                <w:kern w:val="2"/>
                <w:sz w:val="24"/>
                <w:szCs w:val="24"/>
                <w:u w:color="auto"/>
                <w:lang w:val="en-US" w:eastAsia="zh-CN" w:bidi="ar-SA"/>
              </w:rPr>
              <w:t>。</w:t>
            </w:r>
            <w:r>
              <w:rPr>
                <w:rFonts w:hint="default" w:ascii="Times New Roman" w:hAnsi="Times New Roman" w:eastAsia="宋体" w:cs="Times New Roman"/>
                <w:bCs/>
                <w:color w:val="000000"/>
                <w:kern w:val="2"/>
                <w:sz w:val="24"/>
                <w:szCs w:val="24"/>
                <w:u w:color="auto"/>
                <w:lang w:val="en-US" w:eastAsia="zh-CN" w:bidi="ar-SA"/>
              </w:rPr>
              <w:t>动力方面配置液压驱动</w:t>
            </w:r>
            <w:r>
              <w:rPr>
                <w:rFonts w:hint="eastAsia" w:ascii="Times New Roman" w:hAnsi="Times New Roman" w:eastAsia="宋体" w:cs="Times New Roman"/>
                <w:bCs/>
                <w:color w:val="000000"/>
                <w:kern w:val="2"/>
                <w:sz w:val="24"/>
                <w:szCs w:val="24"/>
                <w:u w:color="auto"/>
                <w:lang w:val="en-US" w:eastAsia="zh-CN" w:bidi="ar-SA"/>
              </w:rPr>
              <w:t>，</w:t>
            </w:r>
            <w:r>
              <w:rPr>
                <w:rFonts w:hint="default" w:ascii="Times New Roman" w:hAnsi="Times New Roman" w:eastAsia="宋体" w:cs="Times New Roman"/>
                <w:bCs/>
                <w:color w:val="000000"/>
                <w:kern w:val="2"/>
                <w:sz w:val="24"/>
                <w:szCs w:val="24"/>
                <w:u w:color="auto"/>
                <w:lang w:val="en-US" w:eastAsia="zh-CN" w:bidi="ar-SA"/>
              </w:rPr>
              <w:t>控制上使用恒功率控制逻辑，可根据物料负载情况智能调节转速和扭矩，同时具备多种智能保护措施。</w:t>
            </w:r>
          </w:p>
          <w:p w14:paraId="507EBBE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ascii="Times New Roman" w:hAnsi="Times New Roman" w:eastAsia="宋体" w:cs="Times New Roman"/>
                <w:bCs/>
                <w:color w:val="000000"/>
                <w:kern w:val="2"/>
                <w:sz w:val="24"/>
                <w:szCs w:val="24"/>
                <w:u w:color="auto"/>
                <w:lang w:val="en-US" w:eastAsia="zh-CN" w:bidi="ar-SA"/>
              </w:rPr>
              <w:t>此工序会产生破碎</w:t>
            </w:r>
            <w:r>
              <w:rPr>
                <w:rFonts w:hint="eastAsia"/>
                <w:color w:val="000000"/>
                <w:kern w:val="0"/>
                <w:sz w:val="24"/>
                <w:lang w:val="en-US" w:eastAsia="zh-CN"/>
              </w:rPr>
              <w:t>废气</w:t>
            </w:r>
            <w:r>
              <w:rPr>
                <w:rFonts w:hint="eastAsia" w:ascii="Times New Roman" w:hAnsi="Times New Roman" w:eastAsia="宋体" w:cs="Times New Roman"/>
                <w:bCs/>
                <w:color w:val="000000"/>
                <w:kern w:val="2"/>
                <w:sz w:val="24"/>
                <w:szCs w:val="24"/>
                <w:u w:color="auto"/>
                <w:lang w:val="en-US" w:eastAsia="zh-CN" w:bidi="ar-SA"/>
              </w:rPr>
              <w:t>和</w:t>
            </w:r>
            <w:r>
              <w:rPr>
                <w:rFonts w:hint="eastAsia"/>
                <w:color w:val="000000"/>
                <w:kern w:val="0"/>
                <w:sz w:val="24"/>
                <w:lang w:val="en-US" w:eastAsia="zh-CN"/>
              </w:rPr>
              <w:t>设备运行噪声。</w:t>
            </w:r>
          </w:p>
          <w:p w14:paraId="3F2521F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⑥一次筛分</w:t>
            </w:r>
          </w:p>
          <w:p w14:paraId="17ED6EDA">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筛分的目的主要是为了去除一破后</w:t>
            </w:r>
            <w:r>
              <w:rPr>
                <w:rFonts w:hint="eastAsia" w:ascii="Times New Roman" w:hAnsi="Times New Roman" w:eastAsia="宋体" w:cs="Times New Roman"/>
                <w:bCs/>
                <w:color w:val="000000"/>
                <w:kern w:val="2"/>
                <w:sz w:val="24"/>
                <w:szCs w:val="24"/>
                <w:u w:color="auto"/>
                <w:lang w:val="en-US" w:eastAsia="zh-CN" w:bidi="ar-SA"/>
              </w:rPr>
              <w:t>未破碎完全的原</w:t>
            </w:r>
            <w:r>
              <w:rPr>
                <w:rFonts w:hint="eastAsia" w:ascii="Times New Roman" w:hAnsi="Times New Roman" w:eastAsia="宋体" w:cs="Times New Roman"/>
                <w:color w:val="000000"/>
                <w:kern w:val="0"/>
                <w:sz w:val="24"/>
                <w:szCs w:val="24"/>
                <w:lang w:val="en-US" w:eastAsia="zh-CN" w:bidi="ar-SA"/>
              </w:rPr>
              <w:t>料残渣</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SA"/>
              </w:rPr>
              <w:t>避免</w:t>
            </w:r>
            <w:r>
              <w:rPr>
                <w:rFonts w:hint="default" w:ascii="Times New Roman" w:hAnsi="Times New Roman" w:eastAsia="宋体" w:cs="Times New Roman"/>
                <w:color w:val="000000"/>
                <w:kern w:val="0"/>
                <w:sz w:val="24"/>
                <w:szCs w:val="24"/>
                <w:lang w:val="en-US" w:eastAsia="zh-CN" w:bidi="ar-SA"/>
              </w:rPr>
              <w:t>损伤后续破碎设备刀片</w:t>
            </w:r>
            <w:r>
              <w:rPr>
                <w:rFonts w:hint="eastAsia" w:ascii="Times New Roman" w:hAnsi="Times New Roman" w:eastAsia="宋体" w:cs="Times New Roman"/>
                <w:color w:val="000000"/>
                <w:kern w:val="0"/>
                <w:sz w:val="24"/>
                <w:szCs w:val="24"/>
                <w:lang w:val="en-US" w:eastAsia="zh-CN" w:bidi="ar-SA"/>
              </w:rPr>
              <w:t>。</w:t>
            </w:r>
          </w:p>
          <w:p w14:paraId="6F45F2B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ascii="Times New Roman" w:hAnsi="Times New Roman" w:eastAsia="宋体" w:cs="Times New Roman"/>
                <w:bCs/>
                <w:color w:val="000000"/>
                <w:kern w:val="2"/>
                <w:sz w:val="24"/>
                <w:szCs w:val="24"/>
                <w:u w:color="auto"/>
                <w:lang w:val="en-US" w:eastAsia="zh-CN" w:bidi="ar-SA"/>
              </w:rPr>
              <w:t>此工序会产生筛分</w:t>
            </w:r>
            <w:r>
              <w:rPr>
                <w:rFonts w:hint="eastAsia"/>
                <w:color w:val="000000"/>
                <w:kern w:val="0"/>
                <w:sz w:val="24"/>
                <w:lang w:val="en-US" w:eastAsia="zh-CN"/>
              </w:rPr>
              <w:t>废气</w:t>
            </w:r>
            <w:r>
              <w:rPr>
                <w:rFonts w:hint="eastAsia" w:ascii="Times New Roman" w:hAnsi="Times New Roman" w:eastAsia="宋体" w:cs="Times New Roman"/>
                <w:bCs/>
                <w:color w:val="000000"/>
                <w:kern w:val="2"/>
                <w:sz w:val="24"/>
                <w:szCs w:val="24"/>
                <w:u w:color="auto"/>
                <w:lang w:val="en-US" w:eastAsia="zh-CN" w:bidi="ar-SA"/>
              </w:rPr>
              <w:t>、筛分废料和</w:t>
            </w:r>
            <w:r>
              <w:rPr>
                <w:rFonts w:hint="eastAsia"/>
                <w:color w:val="000000"/>
                <w:kern w:val="0"/>
                <w:sz w:val="24"/>
                <w:lang w:val="en-US" w:eastAsia="zh-CN"/>
              </w:rPr>
              <w:t>设备运行噪声。其中</w:t>
            </w:r>
            <w:r>
              <w:rPr>
                <w:rFonts w:hint="eastAsia" w:ascii="Times New Roman" w:hAnsi="Times New Roman" w:eastAsia="宋体" w:cs="Times New Roman"/>
                <w:bCs/>
                <w:color w:val="000000"/>
                <w:kern w:val="2"/>
                <w:sz w:val="24"/>
                <w:szCs w:val="24"/>
                <w:u w:color="auto"/>
                <w:lang w:val="en-US" w:eastAsia="zh-CN" w:bidi="ar-SA"/>
              </w:rPr>
              <w:t>筛分粉尘</w:t>
            </w:r>
            <w:r>
              <w:rPr>
                <w:rFonts w:hint="eastAsia"/>
                <w:color w:val="000000"/>
                <w:kern w:val="0"/>
                <w:sz w:val="24"/>
                <w:lang w:val="en-US" w:eastAsia="zh-CN"/>
              </w:rPr>
              <w:t>主要污染物为颗粒物，因产生量较少，通过</w:t>
            </w:r>
            <w:r>
              <w:rPr>
                <w:rFonts w:hint="eastAsia" w:ascii="Times New Roman" w:hAnsi="Times New Roman" w:eastAsia="宋体" w:cs="Times New Roman"/>
                <w:bCs/>
                <w:color w:val="auto"/>
                <w:sz w:val="24"/>
                <w:u w:val="none" w:color="auto"/>
                <w:lang w:val="en-US" w:eastAsia="zh-CN"/>
              </w:rPr>
              <w:t>保持车间整洁、定期清扫</w:t>
            </w:r>
            <w:r>
              <w:rPr>
                <w:rFonts w:hint="eastAsia"/>
                <w:color w:val="000000"/>
                <w:kern w:val="0"/>
                <w:sz w:val="24"/>
                <w:lang w:val="en-US" w:eastAsia="zh-CN"/>
              </w:rPr>
              <w:t>后采取无组织排放。</w:t>
            </w:r>
          </w:p>
          <w:p w14:paraId="0C2DB81F">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Cs/>
                <w:color w:val="000000"/>
                <w:kern w:val="2"/>
                <w:sz w:val="24"/>
                <w:szCs w:val="24"/>
                <w:u w:color="auto"/>
                <w:lang w:val="en-US" w:eastAsia="zh-CN" w:bidi="ar-SA"/>
              </w:rPr>
            </w:pPr>
            <w:r>
              <w:rPr>
                <w:rFonts w:hint="eastAsia" w:ascii="Times New Roman" w:hAnsi="Times New Roman" w:eastAsia="宋体" w:cs="Times New Roman"/>
                <w:color w:val="000000"/>
                <w:kern w:val="0"/>
                <w:sz w:val="24"/>
                <w:szCs w:val="24"/>
                <w:lang w:val="en-US" w:eastAsia="zh-CN" w:bidi="ar-SA"/>
              </w:rPr>
              <w:t>⑦</w:t>
            </w:r>
            <w:r>
              <w:rPr>
                <w:rFonts w:hint="eastAsia" w:ascii="Times New Roman" w:hAnsi="Times New Roman" w:eastAsia="宋体" w:cs="Times New Roman"/>
                <w:bCs/>
                <w:color w:val="000000"/>
                <w:kern w:val="2"/>
                <w:sz w:val="24"/>
                <w:szCs w:val="24"/>
                <w:u w:color="auto"/>
                <w:lang w:val="en-US" w:eastAsia="zh-CN" w:bidi="ar-SA"/>
              </w:rPr>
              <w:t>二次破碎</w:t>
            </w:r>
          </w:p>
          <w:p w14:paraId="1F02AE8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kern w:val="0"/>
                <w:sz w:val="24"/>
                <w:szCs w:val="20"/>
                <w:lang w:val="en-US" w:eastAsia="zh-CN" w:bidi="ar-SA"/>
              </w:rPr>
            </w:pPr>
            <w:r>
              <w:rPr>
                <w:rFonts w:hint="eastAsia" w:ascii="Times New Roman" w:hAnsi="Times New Roman" w:eastAsia="宋体" w:cs="Times New Roman"/>
                <w:color w:val="000000"/>
                <w:kern w:val="0"/>
                <w:sz w:val="24"/>
                <w:szCs w:val="20"/>
                <w:lang w:val="en-US" w:eastAsia="zh-CN" w:bidi="ar-SA"/>
              </w:rPr>
              <w:t>一次筛分后的物料，通过物料输送机送入二破工序，二次破碎与一次破碎机相同，二次破碎后，原料破碎成8-10cm左右物料。</w:t>
            </w:r>
          </w:p>
          <w:p w14:paraId="0546707B">
            <w:pPr>
              <w:keepNext w:val="0"/>
              <w:keepLines w:val="0"/>
              <w:widowControl/>
              <w:suppressLineNumbers w:val="0"/>
              <w:spacing w:line="360" w:lineRule="auto"/>
              <w:ind w:firstLine="480" w:firstLineChars="200"/>
              <w:jc w:val="left"/>
              <w:rPr>
                <w:rFonts w:hint="eastAsia"/>
                <w:color w:val="000000"/>
                <w:kern w:val="0"/>
                <w:sz w:val="24"/>
                <w:lang w:val="en-US" w:eastAsia="zh-CN"/>
              </w:rPr>
            </w:pPr>
            <w:r>
              <w:rPr>
                <w:rFonts w:hint="eastAsia" w:ascii="Times New Roman" w:hAnsi="Times New Roman" w:eastAsia="宋体" w:cs="Times New Roman"/>
                <w:bCs/>
                <w:color w:val="000000"/>
                <w:kern w:val="2"/>
                <w:sz w:val="24"/>
                <w:szCs w:val="24"/>
                <w:u w:color="auto"/>
                <w:lang w:val="en-US" w:eastAsia="zh-CN" w:bidi="ar-SA"/>
              </w:rPr>
              <w:t>此工序会产生破碎</w:t>
            </w:r>
            <w:r>
              <w:rPr>
                <w:rFonts w:hint="eastAsia"/>
                <w:color w:val="000000"/>
                <w:kern w:val="0"/>
                <w:sz w:val="24"/>
                <w:lang w:val="en-US" w:eastAsia="zh-CN"/>
              </w:rPr>
              <w:t>废气</w:t>
            </w:r>
            <w:r>
              <w:rPr>
                <w:rFonts w:hint="eastAsia" w:ascii="Times New Roman" w:hAnsi="Times New Roman" w:eastAsia="宋体" w:cs="Times New Roman"/>
                <w:bCs/>
                <w:color w:val="000000"/>
                <w:kern w:val="2"/>
                <w:sz w:val="24"/>
                <w:szCs w:val="24"/>
                <w:u w:color="auto"/>
                <w:lang w:val="en-US" w:eastAsia="zh-CN" w:bidi="ar-SA"/>
              </w:rPr>
              <w:t>和</w:t>
            </w:r>
            <w:r>
              <w:rPr>
                <w:rFonts w:hint="eastAsia"/>
                <w:color w:val="000000"/>
                <w:kern w:val="0"/>
                <w:sz w:val="24"/>
                <w:lang w:val="en-US" w:eastAsia="zh-CN"/>
              </w:rPr>
              <w:t>设备运行噪声。</w:t>
            </w:r>
          </w:p>
          <w:p w14:paraId="7371EE5D">
            <w:pPr>
              <w:keepNext w:val="0"/>
              <w:keepLines w:val="0"/>
              <w:widowControl/>
              <w:suppressLineNumbers w:val="0"/>
              <w:spacing w:line="360" w:lineRule="auto"/>
              <w:ind w:firstLine="480" w:firstLineChars="200"/>
              <w:jc w:val="left"/>
              <w:rPr>
                <w:rFonts w:hint="eastAsia"/>
                <w:color w:val="000000"/>
                <w:kern w:val="0"/>
                <w:sz w:val="24"/>
                <w:lang w:val="en-US" w:eastAsia="zh-CN"/>
              </w:rPr>
            </w:pPr>
            <w:r>
              <w:rPr>
                <w:rFonts w:hint="eastAsia" w:ascii="Times New Roman" w:hAnsi="Times New Roman" w:eastAsia="宋体" w:cs="Times New Roman"/>
                <w:color w:val="auto"/>
                <w:kern w:val="0"/>
                <w:sz w:val="24"/>
                <w:szCs w:val="24"/>
                <w:lang w:val="en-US" w:eastAsia="zh-CN" w:bidi="ar-SA"/>
              </w:rPr>
              <w:t>⑧</w:t>
            </w:r>
            <w:r>
              <w:rPr>
                <w:rFonts w:hint="eastAsia" w:ascii="Times New Roman" w:hAnsi="Times New Roman" w:eastAsia="宋体" w:cs="Times New Roman"/>
                <w:color w:val="000000"/>
                <w:kern w:val="0"/>
                <w:sz w:val="24"/>
                <w:szCs w:val="24"/>
                <w:lang w:val="en-US" w:eastAsia="zh-CN" w:bidi="ar-SA"/>
              </w:rPr>
              <w:t>二次筛分</w:t>
            </w:r>
          </w:p>
          <w:p w14:paraId="4AA14D99">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bCs/>
                <w:color w:val="000000"/>
                <w:kern w:val="2"/>
                <w:sz w:val="24"/>
                <w:szCs w:val="24"/>
                <w:u w:color="auto"/>
                <w:lang w:val="en-US" w:eastAsia="zh-CN" w:bidi="ar-SA"/>
              </w:rPr>
              <w:t>二次筛分的目的为了去除</w:t>
            </w:r>
            <w:r>
              <w:rPr>
                <w:rFonts w:hint="eastAsia" w:ascii="Times New Roman" w:hAnsi="Times New Roman" w:eastAsia="宋体" w:cs="Times New Roman"/>
                <w:color w:val="000000"/>
                <w:kern w:val="0"/>
                <w:sz w:val="24"/>
                <w:szCs w:val="24"/>
                <w:lang w:val="en-US" w:eastAsia="zh-CN" w:bidi="ar-SA"/>
              </w:rPr>
              <w:t>二</w:t>
            </w:r>
            <w:r>
              <w:rPr>
                <w:rFonts w:hint="default" w:ascii="Times New Roman" w:hAnsi="Times New Roman" w:eastAsia="宋体" w:cs="Times New Roman"/>
                <w:color w:val="000000"/>
                <w:kern w:val="0"/>
                <w:sz w:val="24"/>
                <w:szCs w:val="24"/>
                <w:lang w:val="en-US" w:eastAsia="zh-CN" w:bidi="ar-SA"/>
              </w:rPr>
              <w:t>破后</w:t>
            </w:r>
            <w:r>
              <w:rPr>
                <w:rFonts w:hint="eastAsia" w:ascii="Times New Roman" w:hAnsi="Times New Roman" w:eastAsia="宋体" w:cs="Times New Roman"/>
                <w:bCs/>
                <w:color w:val="000000"/>
                <w:kern w:val="2"/>
                <w:sz w:val="24"/>
                <w:szCs w:val="24"/>
                <w:u w:color="auto"/>
                <w:lang w:val="en-US" w:eastAsia="zh-CN" w:bidi="ar-SA"/>
              </w:rPr>
              <w:t>未破碎完全的原</w:t>
            </w:r>
            <w:r>
              <w:rPr>
                <w:rFonts w:hint="eastAsia" w:ascii="Times New Roman" w:hAnsi="Times New Roman" w:eastAsia="宋体" w:cs="Times New Roman"/>
                <w:color w:val="000000"/>
                <w:kern w:val="0"/>
                <w:sz w:val="24"/>
                <w:szCs w:val="24"/>
                <w:lang w:val="en-US" w:eastAsia="zh-CN" w:bidi="ar-SA"/>
              </w:rPr>
              <w:t>料残渣</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SA"/>
              </w:rPr>
              <w:t>避免</w:t>
            </w:r>
            <w:r>
              <w:rPr>
                <w:rFonts w:hint="default" w:ascii="Times New Roman" w:hAnsi="Times New Roman" w:eastAsia="宋体" w:cs="Times New Roman"/>
                <w:color w:val="000000"/>
                <w:kern w:val="0"/>
                <w:sz w:val="24"/>
                <w:szCs w:val="24"/>
                <w:lang w:val="en-US" w:eastAsia="zh-CN" w:bidi="ar-SA"/>
              </w:rPr>
              <w:t>损伤后续破碎设备刀片</w:t>
            </w:r>
            <w:r>
              <w:rPr>
                <w:rFonts w:hint="eastAsia" w:ascii="Times New Roman" w:hAnsi="Times New Roman" w:eastAsia="宋体" w:cs="Times New Roman"/>
                <w:color w:val="000000"/>
                <w:kern w:val="0"/>
                <w:sz w:val="24"/>
                <w:szCs w:val="24"/>
                <w:lang w:val="en-US" w:eastAsia="zh-CN" w:bidi="ar-SA"/>
              </w:rPr>
              <w:t>。</w:t>
            </w:r>
          </w:p>
          <w:p w14:paraId="1ED1C19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ascii="Times New Roman" w:hAnsi="Times New Roman" w:eastAsia="宋体" w:cs="Times New Roman"/>
                <w:bCs/>
                <w:color w:val="000000"/>
                <w:kern w:val="2"/>
                <w:sz w:val="24"/>
                <w:szCs w:val="24"/>
                <w:u w:color="auto"/>
                <w:lang w:val="en-US" w:eastAsia="zh-CN" w:bidi="ar-SA"/>
              </w:rPr>
              <w:t>此工序会产生筛分</w:t>
            </w:r>
            <w:r>
              <w:rPr>
                <w:rFonts w:hint="eastAsia"/>
                <w:color w:val="000000"/>
                <w:kern w:val="0"/>
                <w:sz w:val="24"/>
                <w:lang w:val="en-US" w:eastAsia="zh-CN"/>
              </w:rPr>
              <w:t>废气</w:t>
            </w:r>
            <w:r>
              <w:rPr>
                <w:rFonts w:hint="eastAsia" w:ascii="Times New Roman" w:hAnsi="Times New Roman" w:eastAsia="宋体" w:cs="Times New Roman"/>
                <w:bCs/>
                <w:color w:val="000000"/>
                <w:kern w:val="2"/>
                <w:sz w:val="24"/>
                <w:szCs w:val="24"/>
                <w:u w:color="auto"/>
                <w:lang w:val="en-US" w:eastAsia="zh-CN" w:bidi="ar-SA"/>
              </w:rPr>
              <w:t>、筛分废料和</w:t>
            </w:r>
            <w:r>
              <w:rPr>
                <w:rFonts w:hint="eastAsia"/>
                <w:color w:val="000000"/>
                <w:kern w:val="0"/>
                <w:sz w:val="24"/>
                <w:lang w:val="en-US" w:eastAsia="zh-CN"/>
              </w:rPr>
              <w:t>设备运行噪声。其中</w:t>
            </w:r>
            <w:r>
              <w:rPr>
                <w:rFonts w:hint="eastAsia" w:ascii="Times New Roman" w:hAnsi="Times New Roman" w:eastAsia="宋体" w:cs="Times New Roman"/>
                <w:bCs/>
                <w:color w:val="000000"/>
                <w:kern w:val="2"/>
                <w:sz w:val="24"/>
                <w:szCs w:val="24"/>
                <w:u w:color="auto"/>
                <w:lang w:val="en-US" w:eastAsia="zh-CN" w:bidi="ar-SA"/>
              </w:rPr>
              <w:t>筛分</w:t>
            </w:r>
            <w:r>
              <w:rPr>
                <w:rFonts w:hint="eastAsia"/>
                <w:color w:val="000000"/>
                <w:kern w:val="0"/>
                <w:sz w:val="24"/>
                <w:lang w:val="en-US" w:eastAsia="zh-CN"/>
              </w:rPr>
              <w:t>废气主要污染物为颗粒物，因产生量较少，通过</w:t>
            </w:r>
            <w:r>
              <w:rPr>
                <w:rFonts w:hint="eastAsia" w:ascii="Times New Roman" w:hAnsi="Times New Roman" w:eastAsia="宋体" w:cs="Times New Roman"/>
                <w:bCs/>
                <w:color w:val="auto"/>
                <w:sz w:val="24"/>
                <w:u w:val="none" w:color="auto"/>
                <w:lang w:val="en-US" w:eastAsia="zh-CN"/>
              </w:rPr>
              <w:t>保持车间整洁、定期清扫</w:t>
            </w:r>
            <w:r>
              <w:rPr>
                <w:rFonts w:hint="eastAsia"/>
                <w:color w:val="000000"/>
                <w:kern w:val="0"/>
                <w:sz w:val="24"/>
                <w:lang w:val="en-US" w:eastAsia="zh-CN"/>
              </w:rPr>
              <w:t>后采取无组织排放。</w:t>
            </w:r>
          </w:p>
          <w:p w14:paraId="18EAA4EA">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⑨三次破碎</w:t>
            </w:r>
          </w:p>
          <w:p w14:paraId="07115B30">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szCs w:val="24"/>
                <w:lang w:val="en-US" w:eastAsia="zh-CN" w:bidi="ar-SA"/>
              </w:rPr>
              <w:t>三次</w:t>
            </w:r>
            <w:r>
              <w:rPr>
                <w:rFonts w:hint="default" w:ascii="Times New Roman" w:hAnsi="Times New Roman" w:eastAsia="宋体" w:cs="Times New Roman"/>
                <w:color w:val="000000"/>
                <w:kern w:val="0"/>
                <w:sz w:val="24"/>
                <w:lang w:val="en-US" w:eastAsia="zh-CN"/>
              </w:rPr>
              <w:t>破碎与</w:t>
            </w:r>
            <w:r>
              <w:rPr>
                <w:rFonts w:hint="eastAsia" w:ascii="Times New Roman" w:hAnsi="Times New Roman" w:eastAsia="宋体" w:cs="Times New Roman"/>
                <w:color w:val="000000"/>
                <w:kern w:val="0"/>
                <w:sz w:val="24"/>
                <w:lang w:val="en-US" w:eastAsia="zh-CN"/>
              </w:rPr>
              <w:t>前两次</w:t>
            </w:r>
            <w:r>
              <w:rPr>
                <w:rFonts w:hint="default" w:ascii="Times New Roman" w:hAnsi="Times New Roman" w:eastAsia="宋体" w:cs="Times New Roman"/>
                <w:color w:val="000000"/>
                <w:kern w:val="0"/>
                <w:sz w:val="24"/>
                <w:lang w:val="en-US" w:eastAsia="zh-CN"/>
              </w:rPr>
              <w:t>破碎机相同，</w:t>
            </w:r>
            <w:r>
              <w:rPr>
                <w:rFonts w:hint="eastAsia" w:ascii="Times New Roman" w:hAnsi="Times New Roman" w:eastAsia="宋体" w:cs="Times New Roman"/>
                <w:color w:val="000000"/>
                <w:kern w:val="0"/>
                <w:sz w:val="24"/>
                <w:szCs w:val="24"/>
                <w:lang w:val="en-US" w:eastAsia="zh-CN" w:bidi="ar-SA"/>
              </w:rPr>
              <w:t>三次</w:t>
            </w:r>
            <w:r>
              <w:rPr>
                <w:rFonts w:hint="default" w:ascii="Times New Roman" w:hAnsi="Times New Roman" w:eastAsia="宋体" w:cs="Times New Roman"/>
                <w:color w:val="000000"/>
                <w:kern w:val="0"/>
                <w:sz w:val="24"/>
                <w:lang w:val="en-US" w:eastAsia="zh-CN"/>
              </w:rPr>
              <w:t>破碎后，原料破碎成5-</w:t>
            </w:r>
            <w:r>
              <w:rPr>
                <w:rFonts w:hint="eastAsia" w:cs="Times New Roman"/>
                <w:color w:val="000000"/>
                <w:kern w:val="0"/>
                <w:sz w:val="24"/>
                <w:lang w:val="en-US" w:eastAsia="zh-CN"/>
              </w:rPr>
              <w:t>8</w:t>
            </w:r>
            <w:r>
              <w:rPr>
                <w:rFonts w:hint="default" w:ascii="Times New Roman" w:hAnsi="Times New Roman" w:eastAsia="宋体" w:cs="Times New Roman"/>
                <w:color w:val="000000"/>
                <w:kern w:val="0"/>
                <w:sz w:val="24"/>
                <w:lang w:val="en-US" w:eastAsia="zh-CN"/>
              </w:rPr>
              <w:t>m左右物料。</w:t>
            </w:r>
          </w:p>
          <w:p w14:paraId="603F9B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cs="Times New Roman"/>
                <w:bCs/>
                <w:color w:val="000000"/>
                <w:sz w:val="24"/>
                <w:szCs w:val="24"/>
                <w:highlight w:val="none"/>
                <w:u w:val="none" w:color="auto"/>
                <w:lang w:eastAsia="zh-CN"/>
              </w:rPr>
            </w:pPr>
            <w:r>
              <w:rPr>
                <w:rFonts w:hint="eastAsia" w:ascii="Times New Roman" w:hAnsi="Times New Roman" w:eastAsia="宋体" w:cs="Times New Roman"/>
                <w:bCs/>
                <w:color w:val="000000"/>
                <w:kern w:val="2"/>
                <w:sz w:val="24"/>
                <w:szCs w:val="24"/>
                <w:u w:color="auto"/>
                <w:lang w:val="en-US" w:eastAsia="zh-CN" w:bidi="ar-SA"/>
              </w:rPr>
              <w:t>此工序会产生破碎</w:t>
            </w:r>
            <w:r>
              <w:rPr>
                <w:rFonts w:hint="eastAsia"/>
                <w:color w:val="000000"/>
                <w:kern w:val="0"/>
                <w:sz w:val="24"/>
                <w:lang w:val="en-US" w:eastAsia="zh-CN"/>
              </w:rPr>
              <w:t>废气</w:t>
            </w:r>
            <w:r>
              <w:rPr>
                <w:rFonts w:hint="eastAsia" w:ascii="Times New Roman" w:hAnsi="Times New Roman" w:eastAsia="宋体" w:cs="Times New Roman"/>
                <w:bCs/>
                <w:color w:val="000000"/>
                <w:kern w:val="2"/>
                <w:sz w:val="24"/>
                <w:szCs w:val="24"/>
                <w:u w:color="auto"/>
                <w:lang w:val="en-US" w:eastAsia="zh-CN" w:bidi="ar-SA"/>
              </w:rPr>
              <w:t>和</w:t>
            </w:r>
            <w:r>
              <w:rPr>
                <w:rFonts w:hint="eastAsia"/>
                <w:color w:val="000000"/>
                <w:kern w:val="0"/>
                <w:sz w:val="24"/>
                <w:lang w:val="en-US" w:eastAsia="zh-CN"/>
              </w:rPr>
              <w:t>设备运行噪声。一次、二次、三次</w:t>
            </w:r>
            <w:r>
              <w:rPr>
                <w:rFonts w:hint="eastAsia" w:ascii="Times New Roman" w:hAnsi="Times New Roman" w:eastAsia="宋体" w:cs="Times New Roman"/>
                <w:bCs/>
                <w:color w:val="000000"/>
                <w:kern w:val="2"/>
                <w:sz w:val="24"/>
                <w:szCs w:val="24"/>
                <w:u w:color="auto"/>
                <w:lang w:val="en-US" w:eastAsia="zh-CN" w:bidi="ar-SA"/>
              </w:rPr>
              <w:t>破碎粉尘</w:t>
            </w:r>
            <w:r>
              <w:rPr>
                <w:rFonts w:hint="eastAsia"/>
                <w:color w:val="000000"/>
                <w:kern w:val="0"/>
                <w:sz w:val="24"/>
                <w:lang w:val="en-US" w:eastAsia="zh-CN"/>
              </w:rPr>
              <w:t>主要污染物为颗粒物，</w:t>
            </w:r>
            <w:r>
              <w:rPr>
                <w:rFonts w:hint="eastAsia" w:ascii="Times New Roman" w:hAnsi="Times New Roman" w:eastAsia="宋体" w:cs="Times New Roman"/>
                <w:bCs/>
                <w:color w:val="000000"/>
                <w:kern w:val="2"/>
                <w:sz w:val="24"/>
                <w:szCs w:val="24"/>
                <w:u w:color="auto"/>
                <w:lang w:val="en-US" w:eastAsia="zh-CN" w:bidi="ar-SA"/>
              </w:rPr>
              <w:t>破碎</w:t>
            </w:r>
            <w:r>
              <w:rPr>
                <w:rFonts w:hint="eastAsia"/>
                <w:color w:val="000000"/>
                <w:kern w:val="0"/>
                <w:sz w:val="24"/>
                <w:lang w:val="en-US" w:eastAsia="zh-CN"/>
              </w:rPr>
              <w:t>废气</w:t>
            </w:r>
            <w:r>
              <w:rPr>
                <w:rFonts w:hint="eastAsia" w:ascii="Times New Roman" w:eastAsia="宋体" w:cs="Times New Roman"/>
                <w:bCs/>
                <w:color w:val="000000"/>
                <w:sz w:val="24"/>
                <w:highlight w:val="none"/>
                <w:u w:val="none" w:color="auto"/>
                <w:lang w:val="en-US" w:eastAsia="zh-CN"/>
              </w:rPr>
              <w:t>措施：在各破碎机上方设集气罩，经</w:t>
            </w:r>
            <w:r>
              <w:rPr>
                <w:rFonts w:hint="eastAsia" w:ascii="Times New Roman" w:hAnsi="Times New Roman" w:eastAsia="宋体" w:cs="Times New Roman"/>
                <w:bCs/>
                <w:color w:val="000000"/>
                <w:sz w:val="24"/>
                <w:szCs w:val="24"/>
                <w:u w:val="none" w:color="auto"/>
                <w:lang w:val="en-US" w:eastAsia="zh-CN"/>
              </w:rPr>
              <w:t>负压收集后引至1</w:t>
            </w:r>
            <w:r>
              <w:rPr>
                <w:rFonts w:hint="eastAsia" w:ascii="Times New Roman" w:hAnsi="Times New Roman" w:eastAsia="宋体" w:cs="Times New Roman"/>
                <w:bCs/>
                <w:color w:val="000000"/>
                <w:sz w:val="24"/>
                <w:szCs w:val="24"/>
                <w:highlight w:val="none"/>
                <w:u w:val="none" w:color="auto"/>
                <w:lang w:val="en-US" w:eastAsia="zh-CN"/>
              </w:rPr>
              <w:t>套布袋除尘器装置，处理后经1根1</w:t>
            </w:r>
            <w:r>
              <w:rPr>
                <w:rFonts w:hint="eastAsia" w:ascii="Times New Roman" w:hAnsi="Times New Roman" w:cs="Times New Roman"/>
                <w:bCs/>
                <w:color w:val="000000"/>
                <w:sz w:val="24"/>
                <w:szCs w:val="24"/>
                <w:highlight w:val="none"/>
                <w:u w:val="none" w:color="auto"/>
                <w:lang w:val="en-US" w:eastAsia="zh-CN"/>
              </w:rPr>
              <w:t>5</w:t>
            </w:r>
            <w:r>
              <w:rPr>
                <w:rFonts w:hint="eastAsia" w:ascii="Times New Roman" w:hAnsi="Times New Roman" w:eastAsia="宋体" w:cs="Times New Roman"/>
                <w:bCs/>
                <w:color w:val="000000"/>
                <w:sz w:val="24"/>
                <w:szCs w:val="24"/>
                <w:highlight w:val="none"/>
                <w:u w:val="none" w:color="auto"/>
                <w:lang w:val="en-US" w:eastAsia="zh-CN"/>
              </w:rPr>
              <w:t>m排气筒</w:t>
            </w:r>
            <w:r>
              <w:rPr>
                <w:rFonts w:hint="eastAsia" w:ascii="Times New Roman" w:hAnsi="Times New Roman" w:cs="Times New Roman"/>
                <w:bCs/>
                <w:color w:val="000000"/>
                <w:sz w:val="24"/>
                <w:szCs w:val="24"/>
                <w:highlight w:val="none"/>
                <w:u w:val="none" w:color="auto"/>
                <w:lang w:eastAsia="zh-CN"/>
              </w:rPr>
              <w:t>（</w:t>
            </w:r>
            <w:r>
              <w:rPr>
                <w:rFonts w:hint="eastAsia" w:ascii="Times New Roman" w:hAnsi="Times New Roman" w:cs="Times New Roman"/>
                <w:bCs/>
                <w:color w:val="000000"/>
                <w:sz w:val="24"/>
                <w:szCs w:val="24"/>
                <w:highlight w:val="none"/>
                <w:u w:val="none" w:color="auto"/>
                <w:lang w:val="en-US" w:eastAsia="zh-CN"/>
              </w:rPr>
              <w:t>DA001</w:t>
            </w:r>
            <w:r>
              <w:rPr>
                <w:rFonts w:hint="eastAsia" w:ascii="Times New Roman" w:hAnsi="Times New Roman" w:cs="Times New Roman"/>
                <w:bCs/>
                <w:color w:val="000000"/>
                <w:sz w:val="24"/>
                <w:szCs w:val="24"/>
                <w:highlight w:val="none"/>
                <w:u w:val="none" w:color="auto"/>
                <w:lang w:eastAsia="zh-CN"/>
              </w:rPr>
              <w:t>）</w:t>
            </w:r>
            <w:r>
              <w:rPr>
                <w:rFonts w:hint="default" w:ascii="Times New Roman" w:hAnsi="Times New Roman" w:cs="Times New Roman"/>
                <w:bCs/>
                <w:color w:val="000000"/>
                <w:sz w:val="24"/>
                <w:szCs w:val="24"/>
                <w:highlight w:val="none"/>
                <w:u w:val="none" w:color="auto"/>
              </w:rPr>
              <w:t>排放</w:t>
            </w:r>
            <w:r>
              <w:rPr>
                <w:rFonts w:hint="eastAsia" w:ascii="Times New Roman" w:hAnsi="Times New Roman" w:cs="Times New Roman"/>
                <w:bCs/>
                <w:color w:val="000000"/>
                <w:sz w:val="24"/>
                <w:szCs w:val="24"/>
                <w:highlight w:val="none"/>
                <w:u w:val="none" w:color="auto"/>
                <w:lang w:eastAsia="zh-CN"/>
              </w:rPr>
              <w:t>。</w:t>
            </w:r>
          </w:p>
          <w:p w14:paraId="60E9D1F5">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⑩配比</w:t>
            </w:r>
          </w:p>
          <w:p w14:paraId="36A3B04B">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经过多重破碎后的原料（</w:t>
            </w:r>
            <w:r>
              <w:rPr>
                <w:rFonts w:hint="eastAsia" w:ascii="Times New Roman" w:hAnsi="Times New Roman" w:eastAsia="宋体" w:cs="Times New Roman"/>
                <w:color w:val="auto"/>
                <w:sz w:val="24"/>
                <w:szCs w:val="24"/>
                <w:lang w:val="en-US" w:eastAsia="zh-CN"/>
              </w:rPr>
              <w:t>废纺织布料、废鞋材料、废箱包材料</w:t>
            </w:r>
            <w:r>
              <w:rPr>
                <w:rFonts w:hint="eastAsia" w:ascii="Times New Roman" w:hAnsi="Times New Roman" w:eastAsia="宋体" w:cs="Times New Roman"/>
                <w:color w:val="000000"/>
                <w:kern w:val="0"/>
                <w:sz w:val="24"/>
                <w:szCs w:val="24"/>
                <w:lang w:val="en-US" w:eastAsia="zh-CN" w:bidi="ar-SA"/>
              </w:rPr>
              <w:t>）与废塑胶按照一定的比例配比。</w:t>
            </w:r>
          </w:p>
          <w:p w14:paraId="0072B43A">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⑪打包成型、入库待售</w:t>
            </w:r>
          </w:p>
          <w:p w14:paraId="3AE628D7">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jc w:val="both"/>
              <w:textAlignment w:val="auto"/>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color w:val="000000"/>
                <w:kern w:val="0"/>
                <w:sz w:val="24"/>
                <w:szCs w:val="24"/>
                <w:lang w:val="en-US" w:eastAsia="zh-CN" w:bidi="ar-SA"/>
              </w:rPr>
              <w:t>配比后的</w:t>
            </w:r>
            <w:r>
              <w:rPr>
                <w:rFonts w:hint="eastAsia" w:ascii="Times New Roman" w:hAnsi="Times New Roman" w:eastAsia="宋体" w:cs="Times New Roman"/>
                <w:color w:val="000000"/>
                <w:kern w:val="0"/>
                <w:sz w:val="24"/>
                <w:szCs w:val="24"/>
                <w:lang w:val="en-US" w:eastAsia="zh-CN" w:bidi="ar-SA"/>
              </w:rPr>
              <w:t>原</w:t>
            </w:r>
            <w:r>
              <w:rPr>
                <w:rFonts w:hint="default" w:ascii="Times New Roman" w:hAnsi="Times New Roman" w:eastAsia="宋体" w:cs="Times New Roman"/>
                <w:color w:val="000000"/>
                <w:kern w:val="0"/>
                <w:sz w:val="24"/>
                <w:szCs w:val="24"/>
                <w:lang w:val="en-US" w:eastAsia="zh-CN" w:bidi="ar-SA"/>
              </w:rPr>
              <w:t>料，通过推机挤压成方块</w:t>
            </w:r>
            <w:r>
              <w:rPr>
                <w:rFonts w:hint="eastAsia" w:ascii="Times New Roman" w:hAnsi="Times New Roman" w:eastAsia="宋体" w:cs="Times New Roman"/>
                <w:color w:val="000000"/>
                <w:kern w:val="0"/>
                <w:sz w:val="24"/>
                <w:szCs w:val="24"/>
                <w:lang w:val="en-US" w:eastAsia="zh-CN" w:bidi="ar-SA"/>
              </w:rPr>
              <w:t>成品</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SA"/>
              </w:rPr>
              <w:t>之后入库待售。</w:t>
            </w:r>
          </w:p>
          <w:p w14:paraId="7511470F">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Times New Roman" w:hAnsi="Times New Roman" w:eastAsia="宋体" w:cs="Times New Roman"/>
                <w:color w:val="000000"/>
                <w:kern w:val="0"/>
                <w:sz w:val="24"/>
                <w:szCs w:val="24"/>
                <w:lang w:val="en-US" w:eastAsia="zh-CN" w:bidi="ar-SA"/>
              </w:rPr>
            </w:pPr>
            <w:r>
              <w:rPr>
                <w:rFonts w:hint="eastAsia"/>
                <w:color w:val="000000"/>
                <w:kern w:val="0"/>
                <w:sz w:val="24"/>
                <w:lang w:val="en-US" w:eastAsia="zh-CN"/>
              </w:rPr>
              <w:t>此工序会产生设备运行噪声。</w:t>
            </w:r>
          </w:p>
          <w:p w14:paraId="12932F2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color="auto"/>
                <w:lang w:val="en-US" w:eastAsia="zh-CN" w:bidi="ar-SA"/>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废塑料、废纸/纸箱、废旧整衣服回收</w:t>
            </w:r>
            <w:r>
              <w:rPr>
                <w:rFonts w:hint="eastAsia" w:ascii="Times New Roman" w:hAnsi="Times New Roman" w:eastAsia="宋体" w:cs="Times New Roman"/>
                <w:color w:val="auto"/>
                <w:kern w:val="2"/>
                <w:sz w:val="24"/>
                <w:szCs w:val="24"/>
                <w:u w:val="none" w:color="auto"/>
                <w:lang w:val="en-US" w:eastAsia="zh-CN" w:bidi="ar-SA"/>
              </w:rPr>
              <w:t>生产工艺流程</w:t>
            </w:r>
          </w:p>
          <w:p w14:paraId="646F4AF2">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object>
                <v:shape id="_x0000_i1027" o:spt="75" type="#_x0000_t75" style="height:215.3pt;width:195.8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14:paraId="27B724CD">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b/>
                <w:bCs w:val="0"/>
                <w:color w:val="auto"/>
                <w:sz w:val="21"/>
                <w:szCs w:val="21"/>
                <w:highlight w:val="none"/>
                <w:u w:val="none" w:color="auto"/>
                <w:lang w:val="en-US" w:eastAsia="zh-CN"/>
              </w:rPr>
            </w:pPr>
            <w:r>
              <w:rPr>
                <w:rFonts w:hint="default" w:ascii="Times New Roman" w:hAnsi="Times New Roman" w:cs="Times New Roman"/>
                <w:b/>
                <w:bCs w:val="0"/>
                <w:color w:val="auto"/>
                <w:sz w:val="21"/>
                <w:szCs w:val="21"/>
                <w:highlight w:val="none"/>
                <w:u w:val="none" w:color="auto"/>
                <w:lang w:val="en-US" w:eastAsia="zh-CN"/>
              </w:rPr>
              <w:t>图2-</w:t>
            </w:r>
            <w:r>
              <w:rPr>
                <w:rFonts w:hint="eastAsia" w:ascii="Times New Roman" w:hAnsi="Times New Roman" w:cs="Times New Roman"/>
                <w:b/>
                <w:bCs w:val="0"/>
                <w:color w:val="auto"/>
                <w:sz w:val="21"/>
                <w:szCs w:val="21"/>
                <w:highlight w:val="none"/>
                <w:u w:val="none" w:color="auto"/>
                <w:lang w:val="en-US" w:eastAsia="zh-CN"/>
              </w:rPr>
              <w:t>3</w:t>
            </w:r>
            <w:r>
              <w:rPr>
                <w:rFonts w:hint="default" w:ascii="Times New Roman" w:hAnsi="Times New Roman" w:cs="Times New Roman"/>
                <w:b/>
                <w:bCs w:val="0"/>
                <w:color w:val="auto"/>
                <w:sz w:val="21"/>
                <w:szCs w:val="21"/>
                <w:highlight w:val="none"/>
                <w:u w:val="none" w:color="auto"/>
                <w:lang w:val="en-US" w:eastAsia="zh-CN"/>
              </w:rPr>
              <w:t xml:space="preserve">  废塑料、废纸/纸箱、废旧整衣服回收生产工艺流程图</w:t>
            </w:r>
          </w:p>
          <w:p w14:paraId="79167141">
            <w:pPr>
              <w:pStyle w:val="14"/>
              <w:keepNext w:val="0"/>
              <w:keepLines w:val="0"/>
              <w:pageBreakBefore w:val="0"/>
              <w:widowControl w:val="0"/>
              <w:kinsoku/>
              <w:wordWrap/>
              <w:overflowPunct/>
              <w:topLinePunct w:val="0"/>
              <w:autoSpaceDE/>
              <w:autoSpaceDN/>
              <w:bidi w:val="0"/>
              <w:adjustRightInd w:val="0"/>
              <w:snapToGrid/>
              <w:textAlignment w:val="auto"/>
              <w:rPr>
                <w:b/>
                <w:bCs w:val="0"/>
                <w:i w:val="0"/>
                <w:iCs w:val="0"/>
                <w:color w:val="000000"/>
                <w:sz w:val="24"/>
                <w:szCs w:val="24"/>
              </w:rPr>
            </w:pPr>
            <w:r>
              <w:rPr>
                <w:b/>
                <w:bCs w:val="0"/>
                <w:i w:val="0"/>
                <w:iCs w:val="0"/>
                <w:color w:val="000000"/>
                <w:sz w:val="24"/>
              </w:rPr>
              <w:t>工艺流程</w:t>
            </w:r>
            <w:r>
              <w:rPr>
                <w:b/>
                <w:bCs w:val="0"/>
                <w:i w:val="0"/>
                <w:iCs w:val="0"/>
                <w:color w:val="000000"/>
                <w:sz w:val="24"/>
                <w:szCs w:val="24"/>
              </w:rPr>
              <w:t>简介：</w:t>
            </w:r>
          </w:p>
          <w:p w14:paraId="436D847E">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①卸货堆存</w:t>
            </w:r>
          </w:p>
          <w:p w14:paraId="5D13D0EC">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default" w:ascii="Times New Roman" w:hAnsi="Times New Roman" w:eastAsia="宋体" w:cs="Times New Roman"/>
                <w:b w:val="0"/>
                <w:bCs/>
                <w:i w:val="0"/>
                <w:iCs w:val="0"/>
                <w:color w:val="000000"/>
                <w:kern w:val="0"/>
                <w:sz w:val="24"/>
                <w:szCs w:val="24"/>
                <w:lang w:val="en-US" w:eastAsia="zh-CN" w:bidi="ar-SA"/>
              </w:rPr>
              <w:t>项目原料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废塑料、废纸/纸箱、废旧整衣服</w:t>
            </w:r>
            <w:r>
              <w:rPr>
                <w:rFonts w:hint="default" w:ascii="Times New Roman" w:hAnsi="Times New Roman" w:eastAsia="宋体" w:cs="Times New Roman"/>
                <w:b w:val="0"/>
                <w:bCs/>
                <w:i w:val="0"/>
                <w:iCs w:val="0"/>
                <w:color w:val="000000"/>
                <w:kern w:val="0"/>
                <w:sz w:val="24"/>
                <w:szCs w:val="24"/>
                <w:lang w:val="en-US" w:eastAsia="zh-CN" w:bidi="ar-SA"/>
              </w:rPr>
              <w:t>主要通过供货方汽车送入厂内，运输车辆采用布覆盖，杜绝遗落。原料主要为压包处理，少量散装</w:t>
            </w:r>
            <w:r>
              <w:rPr>
                <w:rFonts w:hint="eastAsia" w:ascii="Times New Roman" w:hAnsi="Times New Roman" w:eastAsia="宋体" w:cs="Times New Roman"/>
                <w:b w:val="0"/>
                <w:bCs/>
                <w:i w:val="0"/>
                <w:iCs w:val="0"/>
                <w:color w:val="000000"/>
                <w:kern w:val="0"/>
                <w:sz w:val="24"/>
                <w:szCs w:val="24"/>
                <w:lang w:val="en-US" w:eastAsia="zh-CN" w:bidi="ar-SA"/>
              </w:rPr>
              <w:t>，</w:t>
            </w:r>
            <w:r>
              <w:rPr>
                <w:rFonts w:hint="default" w:ascii="Times New Roman" w:hAnsi="Times New Roman" w:eastAsia="宋体" w:cs="Times New Roman"/>
                <w:b w:val="0"/>
                <w:bCs/>
                <w:i w:val="0"/>
                <w:iCs w:val="0"/>
                <w:color w:val="000000"/>
                <w:kern w:val="0"/>
                <w:sz w:val="24"/>
                <w:szCs w:val="24"/>
                <w:lang w:val="en-US" w:eastAsia="zh-CN" w:bidi="ar-SA"/>
              </w:rPr>
              <w:t>采用抓机、</w:t>
            </w:r>
            <w:r>
              <w:rPr>
                <w:rFonts w:hint="eastAsia" w:ascii="Times New Roman" w:hAnsi="Times New Roman" w:eastAsia="宋体" w:cs="Times New Roman"/>
                <w:b w:val="0"/>
                <w:bCs/>
                <w:i w:val="0"/>
                <w:iCs w:val="0"/>
                <w:color w:val="000000"/>
                <w:kern w:val="0"/>
                <w:sz w:val="24"/>
                <w:szCs w:val="24"/>
                <w:lang w:val="en-US" w:eastAsia="zh-CN" w:bidi="ar-SA"/>
              </w:rPr>
              <w:t>抱</w:t>
            </w:r>
            <w:r>
              <w:rPr>
                <w:rFonts w:hint="default" w:ascii="Times New Roman" w:hAnsi="Times New Roman" w:eastAsia="宋体" w:cs="Times New Roman"/>
                <w:b w:val="0"/>
                <w:bCs/>
                <w:i w:val="0"/>
                <w:iCs w:val="0"/>
                <w:color w:val="000000"/>
                <w:kern w:val="0"/>
                <w:sz w:val="24"/>
                <w:szCs w:val="24"/>
                <w:lang w:val="en-US" w:eastAsia="zh-CN" w:bidi="ar-SA"/>
              </w:rPr>
              <w:t>机协助卸货入原料库</w:t>
            </w:r>
            <w:r>
              <w:rPr>
                <w:rFonts w:hint="eastAsia" w:ascii="Times New Roman" w:hAnsi="Times New Roman" w:eastAsia="宋体" w:cs="Times New Roman"/>
                <w:b w:val="0"/>
                <w:bCs/>
                <w:i w:val="0"/>
                <w:iCs w:val="0"/>
                <w:color w:val="000000"/>
                <w:kern w:val="0"/>
                <w:sz w:val="24"/>
                <w:szCs w:val="24"/>
                <w:lang w:val="en-US" w:eastAsia="zh-CN" w:bidi="ar-SA"/>
              </w:rPr>
              <w:t>存放。</w:t>
            </w:r>
          </w:p>
          <w:p w14:paraId="6EA20FBB">
            <w:pPr>
              <w:pStyle w:val="14"/>
              <w:keepNext w:val="0"/>
              <w:keepLines w:val="0"/>
              <w:pageBreakBefore w:val="0"/>
              <w:widowControl w:val="0"/>
              <w:kinsoku/>
              <w:wordWrap/>
              <w:overflowPunct/>
              <w:topLinePunct w:val="0"/>
              <w:autoSpaceDE/>
              <w:autoSpaceDN/>
              <w:bidi w:val="0"/>
              <w:adjustRightInd w:val="0"/>
              <w:snapToGrid/>
              <w:textAlignment w:val="auto"/>
              <w:rPr>
                <w:rFonts w:hint="eastAsia"/>
                <w:color w:val="000000"/>
                <w:kern w:val="0"/>
                <w:sz w:val="24"/>
                <w:lang w:val="en-US" w:eastAsia="zh-CN"/>
              </w:rPr>
            </w:pPr>
            <w:r>
              <w:rPr>
                <w:rFonts w:hint="eastAsia"/>
                <w:color w:val="000000"/>
                <w:kern w:val="0"/>
                <w:sz w:val="24"/>
                <w:lang w:val="en-US" w:eastAsia="zh-CN"/>
              </w:rPr>
              <w:t>此工序会产生卸货堆存废气</w:t>
            </w:r>
            <w:r>
              <w:rPr>
                <w:rFonts w:hint="eastAsia"/>
                <w:color w:val="auto"/>
                <w:kern w:val="0"/>
                <w:sz w:val="24"/>
                <w:lang w:val="en-US" w:eastAsia="zh-CN"/>
              </w:rPr>
              <w:t>、堆放异味</w:t>
            </w:r>
            <w:r>
              <w:rPr>
                <w:rFonts w:hint="eastAsia"/>
                <w:color w:val="000000"/>
                <w:kern w:val="0"/>
                <w:sz w:val="24"/>
                <w:lang w:val="en-US" w:eastAsia="zh-CN"/>
              </w:rPr>
              <w:t>和设备运行噪声。其中卸货粉尘主要污染物为颗粒物，通过原料库设高压喷淋装置喷水雾抑尘，采取无组织排放；</w:t>
            </w:r>
            <w:r>
              <w:rPr>
                <w:rFonts w:hint="eastAsia"/>
                <w:color w:val="auto"/>
                <w:kern w:val="0"/>
                <w:sz w:val="24"/>
                <w:lang w:val="en-US" w:eastAsia="zh-CN"/>
              </w:rPr>
              <w:t>堆放恶臭</w:t>
            </w:r>
            <w:r>
              <w:rPr>
                <w:rFonts w:hint="eastAsia"/>
                <w:color w:val="000000"/>
                <w:kern w:val="0"/>
                <w:sz w:val="24"/>
                <w:lang w:val="en-US" w:eastAsia="zh-CN"/>
              </w:rPr>
              <w:t>主要污染物为氨、硫化氢、臭气浓度，通过定期喷洒除臭剂、加强厂区通排风之后采取无组织排放。</w:t>
            </w:r>
          </w:p>
          <w:p w14:paraId="5C9121B6">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②人工分拣</w:t>
            </w:r>
          </w:p>
          <w:p w14:paraId="425281DA">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i w:val="0"/>
                <w:iCs w:val="0"/>
                <w:color w:val="000000"/>
                <w:kern w:val="0"/>
                <w:sz w:val="24"/>
                <w:szCs w:val="24"/>
                <w:lang w:val="en-US" w:eastAsia="zh-CN" w:bidi="ar-SA"/>
              </w:rPr>
              <w:t>由于进厂的部分原料为混合料，为了避免杂料影响生产，该工序安排工人对进厂原料进行分拣，按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废塑料、废纸/纸箱、废旧整衣服分类至下一工序。</w:t>
            </w:r>
          </w:p>
          <w:p w14:paraId="6D991255">
            <w:pPr>
              <w:pStyle w:val="1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rPr>
                <w:rFonts w:hint="eastAsia"/>
                <w:color w:val="000000"/>
                <w:kern w:val="0"/>
                <w:sz w:val="24"/>
                <w:lang w:val="en-US" w:eastAsia="zh-CN"/>
              </w:rPr>
            </w:pPr>
            <w:r>
              <w:rPr>
                <w:rFonts w:hint="eastAsia"/>
                <w:color w:val="000000"/>
                <w:kern w:val="0"/>
                <w:sz w:val="24"/>
                <w:lang w:val="en-US" w:eastAsia="zh-CN"/>
              </w:rPr>
              <w:t>此工序会产生分拣废料。</w:t>
            </w:r>
          </w:p>
          <w:p w14:paraId="5ED217FE">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Times New Roman" w:hAnsi="Times New Roman" w:eastAsia="宋体" w:cs="Times New Roman"/>
                <w:b w:val="0"/>
                <w:bCs/>
                <w:i w:val="0"/>
                <w:iCs w:val="0"/>
                <w:color w:val="000000"/>
                <w:kern w:val="0"/>
                <w:sz w:val="24"/>
                <w:szCs w:val="24"/>
                <w:lang w:val="en-US" w:eastAsia="zh-CN" w:bidi="ar-SA"/>
              </w:rPr>
            </w:pPr>
            <w:r>
              <w:rPr>
                <w:rFonts w:hint="eastAsia" w:ascii="Times New Roman" w:hAnsi="Times New Roman" w:eastAsia="宋体" w:cs="Times New Roman"/>
                <w:b w:val="0"/>
                <w:bCs/>
                <w:i w:val="0"/>
                <w:iCs w:val="0"/>
                <w:color w:val="000000"/>
                <w:kern w:val="0"/>
                <w:sz w:val="24"/>
                <w:szCs w:val="24"/>
                <w:lang w:val="en-US" w:eastAsia="zh-CN" w:bidi="ar-SA"/>
              </w:rPr>
              <w:t>③打包成型</w:t>
            </w:r>
          </w:p>
          <w:p w14:paraId="42B60878">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分拣后的原料按照分类</w:t>
            </w:r>
            <w:r>
              <w:rPr>
                <w:rFonts w:hint="default" w:ascii="Times New Roman" w:hAnsi="Times New Roman" w:eastAsia="宋体" w:cs="Times New Roman"/>
                <w:color w:val="000000"/>
                <w:kern w:val="0"/>
                <w:sz w:val="24"/>
                <w:szCs w:val="24"/>
                <w:lang w:val="en-US" w:eastAsia="zh-CN" w:bidi="ar-SA"/>
              </w:rPr>
              <w:t>通过推机挤压成方块</w:t>
            </w:r>
            <w:r>
              <w:rPr>
                <w:rFonts w:hint="eastAsia" w:ascii="Times New Roman" w:hAnsi="Times New Roman" w:eastAsia="宋体" w:cs="Times New Roman"/>
                <w:color w:val="000000"/>
                <w:kern w:val="0"/>
                <w:sz w:val="24"/>
                <w:szCs w:val="24"/>
                <w:lang w:val="en-US" w:eastAsia="zh-CN" w:bidi="ar-SA"/>
              </w:rPr>
              <w:t>成品</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SA"/>
              </w:rPr>
              <w:t>之后入库待售。</w:t>
            </w:r>
          </w:p>
          <w:p w14:paraId="60089E2C">
            <w:pPr>
              <w:pStyle w:val="14"/>
              <w:keepNext w:val="0"/>
              <w:keepLines w:val="0"/>
              <w:pageBreakBefore w:val="0"/>
              <w:widowControl w:val="0"/>
              <w:kinsoku/>
              <w:wordWrap/>
              <w:overflowPunct/>
              <w:topLinePunct w:val="0"/>
              <w:autoSpaceDE/>
              <w:autoSpaceDN/>
              <w:bidi w:val="0"/>
              <w:adjustRightInd w:val="0"/>
              <w:snapToGrid/>
              <w:textAlignment w:val="auto"/>
              <w:rPr>
                <w:rFonts w:hint="default" w:ascii="Times New Roman" w:hAnsi="Times New Roman" w:eastAsia="宋体" w:cs="Times New Roman"/>
                <w:color w:val="000000"/>
                <w:kern w:val="0"/>
                <w:sz w:val="24"/>
                <w:szCs w:val="24"/>
                <w:lang w:val="en-US" w:eastAsia="zh-CN" w:bidi="ar-SA"/>
              </w:rPr>
            </w:pPr>
            <w:r>
              <w:rPr>
                <w:rFonts w:hint="eastAsia"/>
                <w:color w:val="000000"/>
                <w:kern w:val="0"/>
                <w:sz w:val="24"/>
                <w:lang w:val="en-US" w:eastAsia="zh-CN"/>
              </w:rPr>
              <w:t>此工序会产生设备运行噪声。</w:t>
            </w:r>
          </w:p>
          <w:p w14:paraId="2779F28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b/>
                <w:bCs/>
                <w:color w:val="000000"/>
                <w:kern w:val="0"/>
                <w:sz w:val="21"/>
                <w:szCs w:val="21"/>
                <w:u w:val="single" w:color="auto"/>
                <w:lang w:val="en-US" w:eastAsia="zh-CN" w:bidi="ar"/>
              </w:rPr>
            </w:pPr>
            <w:r>
              <w:rPr>
                <w:rFonts w:hint="eastAsia" w:ascii="Times New Roman" w:hAnsi="Times New Roman" w:eastAsia="宋体" w:cs="Times New Roman"/>
                <w:color w:val="000000"/>
                <w:kern w:val="0"/>
                <w:sz w:val="24"/>
                <w:szCs w:val="24"/>
                <w:u w:val="single" w:color="auto"/>
                <w:lang w:val="en-US" w:eastAsia="zh-CN"/>
              </w:rPr>
              <w:t xml:space="preserve">综上所述，本项目主要污染工序及环保措施情况见下表。 </w:t>
            </w:r>
          </w:p>
          <w:p w14:paraId="6256737C">
            <w:pPr>
              <w:keepNext w:val="0"/>
              <w:keepLines w:val="0"/>
              <w:widowControl/>
              <w:suppressLineNumbers w:val="0"/>
              <w:ind w:firstLine="0" w:firstLineChars="0"/>
              <w:jc w:val="center"/>
              <w:rPr>
                <w:rFonts w:hint="default" w:ascii="Times New Roman" w:hAnsi="Times New Roman" w:eastAsia="宋体" w:cs="Times New Roman"/>
                <w:b/>
                <w:bCs/>
                <w:color w:val="000000"/>
                <w:kern w:val="0"/>
                <w:sz w:val="24"/>
                <w:szCs w:val="24"/>
                <w:u w:val="single" w:color="auto"/>
                <w:lang w:val="en-US" w:eastAsia="zh-CN" w:bidi="ar"/>
              </w:rPr>
            </w:pPr>
            <w:r>
              <w:rPr>
                <w:rFonts w:hint="default" w:ascii="Times New Roman" w:hAnsi="Times New Roman" w:eastAsia="宋体" w:cs="Times New Roman"/>
                <w:b/>
                <w:bCs/>
                <w:color w:val="000000"/>
                <w:kern w:val="0"/>
                <w:sz w:val="21"/>
                <w:szCs w:val="21"/>
                <w:u w:val="single" w:color="auto"/>
                <w:lang w:val="en-US" w:eastAsia="zh-CN" w:bidi="ar"/>
              </w:rPr>
              <w:t>表2-</w:t>
            </w:r>
            <w:r>
              <w:rPr>
                <w:rFonts w:hint="eastAsia" w:cs="Times New Roman"/>
                <w:b/>
                <w:bCs/>
                <w:color w:val="000000"/>
                <w:kern w:val="0"/>
                <w:sz w:val="21"/>
                <w:szCs w:val="21"/>
                <w:u w:val="single" w:color="auto"/>
                <w:lang w:val="en-US" w:eastAsia="zh-CN" w:bidi="ar"/>
              </w:rPr>
              <w:t>9</w:t>
            </w:r>
            <w:r>
              <w:rPr>
                <w:rFonts w:hint="default" w:ascii="Times New Roman" w:hAnsi="Times New Roman" w:cs="Times New Roman"/>
                <w:b/>
                <w:bCs/>
                <w:color w:val="000000"/>
                <w:kern w:val="0"/>
                <w:sz w:val="21"/>
                <w:szCs w:val="21"/>
                <w:u w:val="single" w:color="auto"/>
                <w:lang w:val="en-US" w:eastAsia="zh-CN" w:bidi="ar"/>
              </w:rPr>
              <w:t xml:space="preserve">  </w:t>
            </w:r>
            <w:r>
              <w:rPr>
                <w:rFonts w:hint="default" w:ascii="Times New Roman" w:hAnsi="Times New Roman" w:eastAsia="宋体" w:cs="Times New Roman"/>
                <w:b/>
                <w:bCs/>
                <w:color w:val="000000"/>
                <w:kern w:val="0"/>
                <w:sz w:val="21"/>
                <w:szCs w:val="21"/>
                <w:u w:val="single" w:color="auto"/>
                <w:lang w:val="en-US" w:eastAsia="zh-CN" w:bidi="ar"/>
              </w:rPr>
              <w:t>主要污染工序一览表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225"/>
              <w:gridCol w:w="1649"/>
              <w:gridCol w:w="2248"/>
            </w:tblGrid>
            <w:tr w14:paraId="148F4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tcBorders>
                    <w:tl2br w:val="nil"/>
                    <w:tr2bl w:val="nil"/>
                  </w:tcBorders>
                  <w:noWrap w:val="0"/>
                  <w:vAlign w:val="center"/>
                </w:tcPr>
                <w:p w14:paraId="7952F321">
                  <w:pPr>
                    <w:keepNext w:val="0"/>
                    <w:keepLines w:val="0"/>
                    <w:widowControl/>
                    <w:suppressLineNumbers w:val="0"/>
                    <w:jc w:val="center"/>
                    <w:rPr>
                      <w:rFonts w:hint="default" w:ascii="Times New Roman" w:hAnsi="Times New Roman" w:eastAsia="宋体" w:cs="Times New Roman"/>
                      <w:b/>
                      <w:bCs/>
                      <w:color w:val="000000"/>
                      <w:kern w:val="2"/>
                      <w:sz w:val="21"/>
                      <w:szCs w:val="21"/>
                      <w:u w:val="single" w:color="auto"/>
                      <w:lang w:val="en-US" w:eastAsia="zh-CN" w:bidi="ar-SA"/>
                    </w:rPr>
                  </w:pPr>
                  <w:r>
                    <w:rPr>
                      <w:rFonts w:hint="eastAsia" w:ascii="Times New Roman" w:hAnsi="Times New Roman" w:cs="Times New Roman"/>
                      <w:b/>
                      <w:bCs/>
                      <w:color w:val="000000"/>
                      <w:kern w:val="2"/>
                      <w:sz w:val="21"/>
                      <w:szCs w:val="21"/>
                      <w:u w:val="single" w:color="auto"/>
                      <w:lang w:val="en-US" w:eastAsia="zh-CN" w:bidi="ar-SA"/>
                    </w:rPr>
                    <w:t>类别</w:t>
                  </w:r>
                </w:p>
              </w:tc>
              <w:tc>
                <w:tcPr>
                  <w:tcW w:w="1475" w:type="pct"/>
                  <w:tcBorders>
                    <w:tl2br w:val="nil"/>
                    <w:tr2bl w:val="nil"/>
                  </w:tcBorders>
                  <w:noWrap w:val="0"/>
                  <w:vAlign w:val="center"/>
                </w:tcPr>
                <w:p w14:paraId="629425FD">
                  <w:pPr>
                    <w:keepNext w:val="0"/>
                    <w:keepLines w:val="0"/>
                    <w:widowControl/>
                    <w:suppressLineNumbers w:val="0"/>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kern w:val="2"/>
                      <w:sz w:val="21"/>
                      <w:szCs w:val="21"/>
                      <w:u w:val="single" w:color="auto"/>
                      <w:lang w:val="en-US" w:eastAsia="zh-CN" w:bidi="ar-SA"/>
                    </w:rPr>
                    <w:t>工序</w:t>
                  </w:r>
                </w:p>
              </w:tc>
              <w:tc>
                <w:tcPr>
                  <w:tcW w:w="1093" w:type="pct"/>
                  <w:tcBorders>
                    <w:tl2br w:val="nil"/>
                    <w:tr2bl w:val="nil"/>
                  </w:tcBorders>
                  <w:noWrap w:val="0"/>
                  <w:vAlign w:val="center"/>
                </w:tcPr>
                <w:p w14:paraId="729F1810">
                  <w:pPr>
                    <w:keepNext w:val="0"/>
                    <w:keepLines w:val="0"/>
                    <w:widowControl/>
                    <w:suppressLineNumbers w:val="0"/>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cs="Times New Roman"/>
                      <w:b/>
                      <w:bCs/>
                      <w:color w:val="000000"/>
                      <w:kern w:val="2"/>
                      <w:sz w:val="21"/>
                      <w:szCs w:val="21"/>
                      <w:u w:val="single" w:color="auto"/>
                      <w:lang w:val="en-US" w:eastAsia="zh-CN" w:bidi="ar-SA"/>
                    </w:rPr>
                    <w:t>污染源</w:t>
                  </w:r>
                </w:p>
              </w:tc>
              <w:tc>
                <w:tcPr>
                  <w:tcW w:w="1491" w:type="pct"/>
                  <w:tcBorders>
                    <w:tl2br w:val="nil"/>
                    <w:tr2bl w:val="nil"/>
                  </w:tcBorders>
                  <w:noWrap w:val="0"/>
                  <w:vAlign w:val="center"/>
                </w:tcPr>
                <w:p w14:paraId="52EE8F55">
                  <w:pPr>
                    <w:keepNext w:val="0"/>
                    <w:keepLines w:val="0"/>
                    <w:widowControl/>
                    <w:suppressLineNumbers w:val="0"/>
                    <w:jc w:val="center"/>
                    <w:rPr>
                      <w:rFonts w:hint="default" w:ascii="Times New Roman" w:hAnsi="Times New Roman" w:eastAsia="宋体" w:cs="Times New Roman"/>
                      <w:b/>
                      <w:bCs/>
                      <w:color w:val="000000"/>
                      <w:kern w:val="2"/>
                      <w:sz w:val="21"/>
                      <w:szCs w:val="21"/>
                      <w:u w:val="single" w:color="auto"/>
                      <w:lang w:val="en-US" w:eastAsia="zh-CN" w:bidi="ar-SA"/>
                    </w:rPr>
                  </w:pPr>
                  <w:r>
                    <w:rPr>
                      <w:rFonts w:hint="default" w:ascii="Times New Roman" w:hAnsi="Times New Roman" w:eastAsia="宋体" w:cs="Times New Roman"/>
                      <w:b/>
                      <w:bCs/>
                      <w:color w:val="000000"/>
                      <w:kern w:val="2"/>
                      <w:sz w:val="21"/>
                      <w:szCs w:val="21"/>
                      <w:u w:val="single" w:color="auto"/>
                      <w:lang w:val="en-US" w:eastAsia="zh-CN" w:bidi="ar-SA"/>
                    </w:rPr>
                    <w:t>污染物种类</w:t>
                  </w:r>
                </w:p>
              </w:tc>
            </w:tr>
            <w:tr w14:paraId="07AB5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restart"/>
                  <w:tcBorders>
                    <w:tl2br w:val="nil"/>
                    <w:tr2bl w:val="nil"/>
                  </w:tcBorders>
                  <w:noWrap w:val="0"/>
                  <w:vAlign w:val="center"/>
                </w:tcPr>
                <w:p w14:paraId="7E398D42">
                  <w:pPr>
                    <w:keepNext w:val="0"/>
                    <w:keepLines w:val="0"/>
                    <w:widowControl/>
                    <w:suppressLineNumbers w:val="0"/>
                    <w:jc w:val="center"/>
                    <w:rPr>
                      <w:rFonts w:hint="default" w:ascii="Times New Roman" w:hAnsi="Times New Roman" w:eastAsia="宋体" w:cs="Times New Roman"/>
                      <w:color w:val="000000"/>
                      <w:sz w:val="21"/>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废气</w:t>
                  </w:r>
                </w:p>
              </w:tc>
              <w:tc>
                <w:tcPr>
                  <w:tcW w:w="1475" w:type="pct"/>
                  <w:tcBorders>
                    <w:tl2br w:val="nil"/>
                    <w:tr2bl w:val="nil"/>
                  </w:tcBorders>
                  <w:noWrap w:val="0"/>
                  <w:vAlign w:val="center"/>
                </w:tcPr>
                <w:p w14:paraId="0136FB68">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卸货堆存</w:t>
                  </w:r>
                </w:p>
              </w:tc>
              <w:tc>
                <w:tcPr>
                  <w:tcW w:w="1093" w:type="pct"/>
                  <w:tcBorders>
                    <w:tl2br w:val="nil"/>
                    <w:tr2bl w:val="nil"/>
                  </w:tcBorders>
                  <w:shd w:val="clear" w:color="auto" w:fill="auto"/>
                  <w:noWrap w:val="0"/>
                  <w:vAlign w:val="center"/>
                </w:tcPr>
                <w:p w14:paraId="4CD299CA">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卸货</w:t>
                  </w:r>
                  <w:r>
                    <w:rPr>
                      <w:rFonts w:hint="default" w:ascii="Times New Roman" w:hAnsi="Times New Roman" w:eastAsia="宋体" w:cs="Times New Roman"/>
                      <w:color w:val="000000"/>
                      <w:kern w:val="0"/>
                      <w:szCs w:val="21"/>
                      <w:u w:val="single" w:color="auto"/>
                      <w:lang w:val="en-US" w:eastAsia="zh-CN" w:bidi="ar"/>
                    </w:rPr>
                    <w:t>堆存</w:t>
                  </w:r>
                  <w:r>
                    <w:rPr>
                      <w:rFonts w:hint="eastAsia" w:ascii="Times New Roman" w:hAnsi="Times New Roman" w:eastAsia="宋体" w:cs="Times New Roman"/>
                      <w:color w:val="000000"/>
                      <w:kern w:val="0"/>
                      <w:szCs w:val="21"/>
                      <w:u w:val="single" w:color="auto"/>
                      <w:lang w:val="en-US" w:eastAsia="zh-CN" w:bidi="ar"/>
                    </w:rPr>
                    <w:t>废气</w:t>
                  </w:r>
                </w:p>
              </w:tc>
              <w:tc>
                <w:tcPr>
                  <w:tcW w:w="1491" w:type="pct"/>
                  <w:tcBorders>
                    <w:tl2br w:val="nil"/>
                    <w:tr2bl w:val="nil"/>
                  </w:tcBorders>
                  <w:noWrap w:val="0"/>
                  <w:vAlign w:val="center"/>
                </w:tcPr>
                <w:p w14:paraId="33B3285D">
                  <w:pPr>
                    <w:keepNext w:val="0"/>
                    <w:keepLines w:val="0"/>
                    <w:widowControl/>
                    <w:suppressLineNumbers w:val="0"/>
                    <w:jc w:val="center"/>
                    <w:rPr>
                      <w:rFonts w:hint="default" w:ascii="Times New Roman" w:hAnsi="Times New Roman" w:eastAsia="宋体" w:cs="Times New Roman"/>
                      <w:color w:val="000000"/>
                      <w:sz w:val="21"/>
                      <w:szCs w:val="21"/>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lang w:val="en-US" w:eastAsia="zh-CN"/>
                    </w:rPr>
                    <w:t>颗粒物</w:t>
                  </w:r>
                </w:p>
              </w:tc>
            </w:tr>
            <w:tr w14:paraId="2D27A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continue"/>
                  <w:tcBorders>
                    <w:tl2br w:val="nil"/>
                    <w:tr2bl w:val="nil"/>
                  </w:tcBorders>
                  <w:noWrap w:val="0"/>
                  <w:vAlign w:val="center"/>
                </w:tcPr>
                <w:p w14:paraId="25691C1F">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single" w:color="auto"/>
                      <w:vertAlign w:val="baseline"/>
                      <w:lang w:val="en-US" w:eastAsia="zh-CN"/>
                    </w:rPr>
                  </w:pPr>
                </w:p>
              </w:tc>
              <w:tc>
                <w:tcPr>
                  <w:tcW w:w="1475" w:type="pct"/>
                  <w:tcBorders>
                    <w:tl2br w:val="nil"/>
                    <w:tr2bl w:val="nil"/>
                  </w:tcBorders>
                  <w:noWrap w:val="0"/>
                  <w:vAlign w:val="center"/>
                </w:tcPr>
                <w:p w14:paraId="1743E544">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卸货堆存</w:t>
                  </w:r>
                </w:p>
              </w:tc>
              <w:tc>
                <w:tcPr>
                  <w:tcW w:w="1093" w:type="pct"/>
                  <w:tcBorders>
                    <w:tl2br w:val="nil"/>
                    <w:tr2bl w:val="nil"/>
                  </w:tcBorders>
                  <w:shd w:val="clear" w:color="auto" w:fill="auto"/>
                  <w:noWrap w:val="0"/>
                  <w:vAlign w:val="center"/>
                </w:tcPr>
                <w:p w14:paraId="30DF035E">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堆放</w:t>
                  </w:r>
                  <w:r>
                    <w:rPr>
                      <w:rFonts w:hint="eastAsia" w:cs="Times New Roman"/>
                      <w:color w:val="000000"/>
                      <w:kern w:val="0"/>
                      <w:szCs w:val="21"/>
                      <w:u w:val="single" w:color="auto"/>
                      <w:lang w:val="en-US" w:eastAsia="zh-CN" w:bidi="ar"/>
                    </w:rPr>
                    <w:t>异味</w:t>
                  </w:r>
                </w:p>
              </w:tc>
              <w:tc>
                <w:tcPr>
                  <w:tcW w:w="1491" w:type="pct"/>
                  <w:tcBorders>
                    <w:tl2br w:val="nil"/>
                    <w:tr2bl w:val="nil"/>
                  </w:tcBorders>
                  <w:noWrap w:val="0"/>
                  <w:vAlign w:val="center"/>
                </w:tcPr>
                <w:p w14:paraId="185E89ED">
                  <w:pPr>
                    <w:keepNext w:val="0"/>
                    <w:keepLines w:val="0"/>
                    <w:widowControl/>
                    <w:suppressLineNumbers w:val="0"/>
                    <w:jc w:val="center"/>
                    <w:rPr>
                      <w:rFonts w:hint="default" w:ascii="Times New Roman" w:hAnsi="Times New Roman" w:eastAsia="宋体" w:cs="Times New Roman"/>
                      <w:color w:val="000000"/>
                      <w:sz w:val="21"/>
                      <w:szCs w:val="21"/>
                      <w:u w:val="single" w:color="auto"/>
                      <w:vertAlign w:val="baseline"/>
                      <w:lang w:val="en-US" w:eastAsia="zh-CN"/>
                    </w:rPr>
                  </w:pPr>
                  <w:r>
                    <w:rPr>
                      <w:rFonts w:hint="eastAsia" w:ascii="Times New Roman" w:hAnsi="Times New Roman" w:cs="Times New Roman"/>
                      <w:color w:val="000000"/>
                      <w:kern w:val="0"/>
                      <w:szCs w:val="21"/>
                      <w:u w:val="single" w:color="auto"/>
                      <w:lang w:val="en-US" w:eastAsia="zh-CN" w:bidi="ar"/>
                    </w:rPr>
                    <w:t>氨、硫化氢、臭气浓度</w:t>
                  </w:r>
                </w:p>
              </w:tc>
            </w:tr>
            <w:tr w14:paraId="63F4D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continue"/>
                  <w:tcBorders>
                    <w:tl2br w:val="nil"/>
                    <w:tr2bl w:val="nil"/>
                  </w:tcBorders>
                  <w:noWrap w:val="0"/>
                  <w:vAlign w:val="center"/>
                </w:tcPr>
                <w:p w14:paraId="44964C9B">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single" w:color="auto"/>
                      <w:vertAlign w:val="baseline"/>
                      <w:lang w:val="en-US" w:eastAsia="zh-CN"/>
                    </w:rPr>
                  </w:pPr>
                </w:p>
              </w:tc>
              <w:tc>
                <w:tcPr>
                  <w:tcW w:w="1475" w:type="pct"/>
                  <w:tcBorders>
                    <w:tl2br w:val="nil"/>
                    <w:tr2bl w:val="nil"/>
                  </w:tcBorders>
                  <w:noWrap w:val="0"/>
                  <w:vAlign w:val="center"/>
                </w:tcPr>
                <w:p w14:paraId="3AF8A451">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一次、二次筛分</w:t>
                  </w:r>
                </w:p>
              </w:tc>
              <w:tc>
                <w:tcPr>
                  <w:tcW w:w="1093" w:type="pct"/>
                  <w:tcBorders>
                    <w:tl2br w:val="nil"/>
                    <w:tr2bl w:val="nil"/>
                  </w:tcBorders>
                  <w:shd w:val="clear" w:color="auto" w:fill="auto"/>
                  <w:noWrap w:val="0"/>
                  <w:vAlign w:val="center"/>
                </w:tcPr>
                <w:p w14:paraId="0144B6E0">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筛分废气</w:t>
                  </w:r>
                </w:p>
              </w:tc>
              <w:tc>
                <w:tcPr>
                  <w:tcW w:w="1491" w:type="pct"/>
                  <w:tcBorders>
                    <w:tl2br w:val="nil"/>
                    <w:tr2bl w:val="nil"/>
                  </w:tcBorders>
                  <w:noWrap w:val="0"/>
                  <w:vAlign w:val="center"/>
                </w:tcPr>
                <w:p w14:paraId="72A178F2">
                  <w:pPr>
                    <w:keepNext w:val="0"/>
                    <w:keepLines w:val="0"/>
                    <w:widowControl/>
                    <w:suppressLineNumbers w:val="0"/>
                    <w:jc w:val="center"/>
                    <w:rPr>
                      <w:rFonts w:hint="default" w:ascii="Times New Roman" w:hAnsi="Times New Roman" w:cs="Times New Roman"/>
                      <w:color w:val="000000"/>
                      <w:kern w:val="0"/>
                      <w:szCs w:val="21"/>
                      <w:u w:val="single" w:color="auto"/>
                      <w:lang w:bidi="ar"/>
                    </w:rPr>
                  </w:pPr>
                  <w:r>
                    <w:rPr>
                      <w:rFonts w:hint="eastAsia" w:ascii="Times New Roman" w:hAnsi="Times New Roman" w:cs="Times New Roman"/>
                      <w:color w:val="000000"/>
                      <w:kern w:val="0"/>
                      <w:szCs w:val="21"/>
                      <w:u w:val="single" w:color="auto"/>
                      <w:lang w:val="en-US" w:eastAsia="zh-CN" w:bidi="ar"/>
                    </w:rPr>
                    <w:t>颗粒物</w:t>
                  </w:r>
                </w:p>
              </w:tc>
            </w:tr>
            <w:tr w14:paraId="466F8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continue"/>
                  <w:tcBorders>
                    <w:tl2br w:val="nil"/>
                    <w:tr2bl w:val="nil"/>
                  </w:tcBorders>
                  <w:noWrap w:val="0"/>
                  <w:vAlign w:val="center"/>
                </w:tcPr>
                <w:p w14:paraId="439576E5">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single" w:color="auto"/>
                      <w:vertAlign w:val="baseline"/>
                      <w:lang w:val="en-US" w:eastAsia="zh-CN"/>
                    </w:rPr>
                  </w:pPr>
                </w:p>
              </w:tc>
              <w:tc>
                <w:tcPr>
                  <w:tcW w:w="1475" w:type="pct"/>
                  <w:tcBorders>
                    <w:tl2br w:val="nil"/>
                    <w:tr2bl w:val="nil"/>
                  </w:tcBorders>
                  <w:noWrap w:val="0"/>
                  <w:vAlign w:val="center"/>
                </w:tcPr>
                <w:p w14:paraId="45FB2DC7">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一次、二次、三次破碎</w:t>
                  </w:r>
                </w:p>
              </w:tc>
              <w:tc>
                <w:tcPr>
                  <w:tcW w:w="1093" w:type="pct"/>
                  <w:tcBorders>
                    <w:tl2br w:val="nil"/>
                    <w:tr2bl w:val="nil"/>
                  </w:tcBorders>
                  <w:shd w:val="clear" w:color="auto" w:fill="auto"/>
                  <w:noWrap w:val="0"/>
                  <w:vAlign w:val="center"/>
                </w:tcPr>
                <w:p w14:paraId="0B9BFD56">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破碎废气</w:t>
                  </w:r>
                </w:p>
              </w:tc>
              <w:tc>
                <w:tcPr>
                  <w:tcW w:w="1491" w:type="pct"/>
                  <w:tcBorders>
                    <w:tl2br w:val="nil"/>
                    <w:tr2bl w:val="nil"/>
                  </w:tcBorders>
                  <w:noWrap w:val="0"/>
                  <w:vAlign w:val="center"/>
                </w:tcPr>
                <w:p w14:paraId="47F5E639">
                  <w:pPr>
                    <w:keepNext w:val="0"/>
                    <w:keepLines w:val="0"/>
                    <w:widowControl/>
                    <w:suppressLineNumbers w:val="0"/>
                    <w:jc w:val="center"/>
                    <w:rPr>
                      <w:rFonts w:hint="default" w:ascii="Times New Roman" w:hAnsi="Times New Roman" w:cs="Times New Roman"/>
                      <w:color w:val="000000"/>
                      <w:kern w:val="0"/>
                      <w:szCs w:val="21"/>
                      <w:u w:val="single" w:color="auto"/>
                      <w:lang w:val="en-US" w:eastAsia="zh-CN" w:bidi="ar"/>
                    </w:rPr>
                  </w:pPr>
                  <w:r>
                    <w:rPr>
                      <w:rFonts w:hint="eastAsia" w:ascii="Times New Roman" w:hAnsi="Times New Roman" w:cs="Times New Roman"/>
                      <w:color w:val="000000"/>
                      <w:kern w:val="0"/>
                      <w:szCs w:val="21"/>
                      <w:u w:val="single" w:color="auto"/>
                      <w:lang w:val="en-US" w:eastAsia="zh-CN" w:bidi="ar"/>
                    </w:rPr>
                    <w:t>颗粒物</w:t>
                  </w:r>
                </w:p>
              </w:tc>
            </w:tr>
            <w:tr w14:paraId="438F8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39" w:type="pct"/>
                  <w:tcBorders>
                    <w:tl2br w:val="nil"/>
                    <w:tr2bl w:val="nil"/>
                  </w:tcBorders>
                  <w:noWrap w:val="0"/>
                  <w:vAlign w:val="center"/>
                </w:tcPr>
                <w:p w14:paraId="0DB8B553">
                  <w:pPr>
                    <w:keepNext w:val="0"/>
                    <w:keepLines w:val="0"/>
                    <w:widowControl/>
                    <w:suppressLineNumbers w:val="0"/>
                    <w:jc w:val="center"/>
                    <w:rPr>
                      <w:rFonts w:hint="default" w:ascii="Times New Roman" w:hAnsi="Times New Roman" w:eastAsia="宋体" w:cs="Times New Roman"/>
                      <w:color w:val="000000"/>
                      <w:sz w:val="21"/>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噪声</w:t>
                  </w:r>
                </w:p>
              </w:tc>
              <w:tc>
                <w:tcPr>
                  <w:tcW w:w="1475" w:type="pct"/>
                  <w:tcBorders>
                    <w:tl2br w:val="nil"/>
                    <w:tr2bl w:val="nil"/>
                  </w:tcBorders>
                  <w:noWrap w:val="0"/>
                  <w:vAlign w:val="center"/>
                </w:tcPr>
                <w:p w14:paraId="2272D977">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生产过程</w:t>
                  </w:r>
                </w:p>
              </w:tc>
              <w:tc>
                <w:tcPr>
                  <w:tcW w:w="1093" w:type="pct"/>
                  <w:tcBorders>
                    <w:tl2br w:val="nil"/>
                    <w:tr2bl w:val="nil"/>
                  </w:tcBorders>
                  <w:noWrap w:val="0"/>
                  <w:vAlign w:val="center"/>
                </w:tcPr>
                <w:p w14:paraId="6A8A243F">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机械设备</w:t>
                  </w:r>
                </w:p>
              </w:tc>
              <w:tc>
                <w:tcPr>
                  <w:tcW w:w="1491" w:type="pct"/>
                  <w:tcBorders>
                    <w:tl2br w:val="nil"/>
                    <w:tr2bl w:val="nil"/>
                  </w:tcBorders>
                  <w:noWrap w:val="0"/>
                  <w:vAlign w:val="center"/>
                </w:tcPr>
                <w:p w14:paraId="574D17AF">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噪声</w:t>
                  </w:r>
                </w:p>
              </w:tc>
            </w:tr>
            <w:tr w14:paraId="7FF63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restart"/>
                  <w:tcBorders>
                    <w:tl2br w:val="nil"/>
                    <w:tr2bl w:val="nil"/>
                  </w:tcBorders>
                  <w:noWrap w:val="0"/>
                  <w:vAlign w:val="center"/>
                </w:tcPr>
                <w:p w14:paraId="3BEA4405">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r>
                    <w:rPr>
                      <w:rFonts w:hint="eastAsia" w:ascii="Times New Roman" w:hAnsi="Times New Roman" w:cs="Times New Roman"/>
                      <w:color w:val="000000"/>
                      <w:kern w:val="0"/>
                      <w:sz w:val="21"/>
                      <w:szCs w:val="21"/>
                      <w:u w:val="single" w:color="auto"/>
                      <w:lang w:val="en-US" w:eastAsia="zh-CN" w:bidi="ar"/>
                    </w:rPr>
                    <w:t>固废</w:t>
                  </w:r>
                </w:p>
              </w:tc>
              <w:tc>
                <w:tcPr>
                  <w:tcW w:w="1475" w:type="pct"/>
                  <w:tcBorders>
                    <w:tl2br w:val="nil"/>
                    <w:tr2bl w:val="nil"/>
                  </w:tcBorders>
                  <w:noWrap w:val="0"/>
                  <w:vAlign w:val="center"/>
                </w:tcPr>
                <w:p w14:paraId="3AF7FD9A">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人工分拣</w:t>
                  </w:r>
                </w:p>
              </w:tc>
              <w:tc>
                <w:tcPr>
                  <w:tcW w:w="1093" w:type="pct"/>
                  <w:tcBorders>
                    <w:tl2br w:val="nil"/>
                    <w:tr2bl w:val="nil"/>
                  </w:tcBorders>
                  <w:noWrap w:val="0"/>
                  <w:vAlign w:val="center"/>
                </w:tcPr>
                <w:p w14:paraId="04169088">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分拣废料</w:t>
                  </w:r>
                </w:p>
              </w:tc>
              <w:tc>
                <w:tcPr>
                  <w:tcW w:w="1491" w:type="pct"/>
                  <w:tcBorders>
                    <w:tl2br w:val="nil"/>
                    <w:tr2bl w:val="nil"/>
                  </w:tcBorders>
                  <w:noWrap w:val="0"/>
                  <w:vAlign w:val="center"/>
                </w:tcPr>
                <w:p w14:paraId="4F984470">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分拣废料</w:t>
                  </w:r>
                </w:p>
              </w:tc>
            </w:tr>
            <w:tr w14:paraId="28728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9" w:type="pct"/>
                  <w:vMerge w:val="continue"/>
                  <w:tcBorders>
                    <w:tl2br w:val="nil"/>
                    <w:tr2bl w:val="nil"/>
                  </w:tcBorders>
                  <w:noWrap w:val="0"/>
                  <w:vAlign w:val="center"/>
                </w:tcPr>
                <w:p w14:paraId="2F5D25FD">
                  <w:pPr>
                    <w:keepNext w:val="0"/>
                    <w:keepLines w:val="0"/>
                    <w:widowControl/>
                    <w:suppressLineNumbers w:val="0"/>
                    <w:jc w:val="center"/>
                    <w:rPr>
                      <w:rFonts w:hint="default" w:ascii="Times New Roman" w:hAnsi="Times New Roman" w:eastAsia="宋体" w:cs="Times New Roman"/>
                      <w:color w:val="000000"/>
                      <w:kern w:val="0"/>
                      <w:sz w:val="21"/>
                      <w:szCs w:val="21"/>
                      <w:u w:val="single" w:color="auto"/>
                      <w:lang w:val="en-US" w:eastAsia="zh-CN" w:bidi="ar"/>
                    </w:rPr>
                  </w:pPr>
                </w:p>
              </w:tc>
              <w:tc>
                <w:tcPr>
                  <w:tcW w:w="1475" w:type="pct"/>
                  <w:tcBorders>
                    <w:tl2br w:val="nil"/>
                    <w:tr2bl w:val="nil"/>
                  </w:tcBorders>
                  <w:noWrap w:val="0"/>
                  <w:vAlign w:val="center"/>
                </w:tcPr>
                <w:p w14:paraId="683C15AE">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磁选</w:t>
                  </w:r>
                </w:p>
              </w:tc>
              <w:tc>
                <w:tcPr>
                  <w:tcW w:w="1093" w:type="pct"/>
                  <w:tcBorders>
                    <w:tl2br w:val="nil"/>
                    <w:tr2bl w:val="nil"/>
                  </w:tcBorders>
                  <w:noWrap w:val="0"/>
                  <w:vAlign w:val="center"/>
                </w:tcPr>
                <w:p w14:paraId="4F2B35C2">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含铁杂质</w:t>
                  </w:r>
                </w:p>
              </w:tc>
              <w:tc>
                <w:tcPr>
                  <w:tcW w:w="1491" w:type="pct"/>
                  <w:tcBorders>
                    <w:tl2br w:val="nil"/>
                    <w:tr2bl w:val="nil"/>
                  </w:tcBorders>
                  <w:noWrap w:val="0"/>
                  <w:vAlign w:val="center"/>
                </w:tcPr>
                <w:p w14:paraId="29D67553">
                  <w:pPr>
                    <w:keepNext w:val="0"/>
                    <w:keepLines w:val="0"/>
                    <w:widowControl/>
                    <w:suppressLineNumbers w:val="0"/>
                    <w:jc w:val="center"/>
                    <w:rPr>
                      <w:rFonts w:hint="default"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Cs w:val="21"/>
                      <w:u w:val="single" w:color="auto"/>
                      <w:lang w:val="en-US" w:eastAsia="zh-CN" w:bidi="ar"/>
                    </w:rPr>
                    <w:t>含铁杂质</w:t>
                  </w:r>
                </w:p>
              </w:tc>
            </w:tr>
          </w:tbl>
          <w:p w14:paraId="7C24E579">
            <w:pPr>
              <w:pStyle w:val="14"/>
              <w:keepNext w:val="0"/>
              <w:keepLines w:val="0"/>
              <w:pageBreakBefore w:val="0"/>
              <w:widowControl w:val="0"/>
              <w:kinsoku/>
              <w:wordWrap/>
              <w:overflowPunct/>
              <w:topLinePunct w:val="0"/>
              <w:autoSpaceDE/>
              <w:autoSpaceDN/>
              <w:bidi w:val="0"/>
              <w:adjustRightInd w:val="0"/>
              <w:snapToGrid/>
              <w:ind w:left="0" w:leftChars="0" w:firstLine="0" w:firstLineChars="0"/>
              <w:textAlignment w:val="auto"/>
              <w:rPr>
                <w:rFonts w:hint="default" w:ascii="Times New Roman" w:hAnsi="Times New Roman" w:eastAsia="宋体" w:cs="Times New Roman"/>
                <w:color w:val="000000"/>
                <w:kern w:val="0"/>
                <w:sz w:val="24"/>
                <w:szCs w:val="24"/>
                <w:lang w:val="en-US" w:eastAsia="zh-CN" w:bidi="ar-SA"/>
              </w:rPr>
            </w:pPr>
          </w:p>
        </w:tc>
      </w:tr>
      <w:tr w14:paraId="223E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736" w:type="dxa"/>
            <w:vAlign w:val="center"/>
          </w:tcPr>
          <w:p w14:paraId="59FD9C0B">
            <w:pPr>
              <w:pStyle w:val="19"/>
              <w:numPr>
                <w:ilvl w:val="0"/>
                <w:numId w:val="0"/>
              </w:numPr>
              <w:spacing w:line="240" w:lineRule="auto"/>
              <w:jc w:val="center"/>
              <w:rPr>
                <w:rFonts w:hint="eastAsia" w:ascii="Times New Roman" w:hAnsi="Times New Roman" w:eastAsia="宋体" w:cs="Times New Roman"/>
                <w:bCs/>
                <w:color w:val="000000"/>
                <w:kern w:val="2"/>
                <w:sz w:val="24"/>
                <w:szCs w:val="24"/>
                <w:lang w:val="en-US" w:eastAsia="zh-CN" w:bidi="ar-SA"/>
              </w:rPr>
            </w:pPr>
            <w:r>
              <w:rPr>
                <w:rFonts w:hint="eastAsia" w:ascii="宋体" w:hAnsi="宋体" w:eastAsia="宋体" w:cs="宋体"/>
                <w:sz w:val="24"/>
                <w:szCs w:val="24"/>
                <w:lang w:eastAsia="zh-CN"/>
              </w:rPr>
              <w:t>与项目有关的原有环境污染问题</w:t>
            </w:r>
          </w:p>
        </w:tc>
        <w:tc>
          <w:tcPr>
            <w:tcW w:w="7786" w:type="dxa"/>
          </w:tcPr>
          <w:p w14:paraId="2F36D0BB">
            <w:pPr>
              <w:pStyle w:val="14"/>
              <w:keepNext w:val="0"/>
              <w:keepLines w:val="0"/>
              <w:pageBreakBefore w:val="0"/>
              <w:widowControl w:val="0"/>
              <w:kinsoku/>
              <w:wordWrap/>
              <w:overflowPunct/>
              <w:topLinePunct w:val="0"/>
              <w:autoSpaceDE/>
              <w:autoSpaceDN/>
              <w:bidi w:val="0"/>
              <w:adjustRightInd w:val="0"/>
              <w:snapToGrid/>
              <w:ind w:left="0" w:leftChars="0" w:firstLine="480" w:firstLineChars="200"/>
              <w:textAlignment w:val="auto"/>
              <w:rPr>
                <w:rFonts w:hint="eastAsia"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kern w:val="2"/>
                <w:sz w:val="24"/>
                <w:szCs w:val="24"/>
                <w:u w:val="none"/>
                <w:lang w:val="en-US" w:eastAsia="zh-CN" w:bidi="ar-SA"/>
              </w:rPr>
              <w:t>本项目</w:t>
            </w:r>
            <w:r>
              <w:rPr>
                <w:rFonts w:hint="eastAsia" w:cs="Times New Roman"/>
                <w:kern w:val="2"/>
                <w:sz w:val="24"/>
                <w:szCs w:val="24"/>
                <w:u w:val="none"/>
                <w:lang w:val="en-US" w:eastAsia="zh-CN" w:bidi="ar-SA"/>
              </w:rPr>
              <w:t>位于</w:t>
            </w:r>
            <w:r>
              <w:rPr>
                <w:rFonts w:hint="default" w:ascii="Times New Roman" w:hAnsi="Times New Roman" w:eastAsia="宋体" w:cs="Times New Roman"/>
                <w:color w:val="000000"/>
                <w:sz w:val="24"/>
                <w:szCs w:val="24"/>
                <w:highlight w:val="none"/>
                <w:lang w:eastAsia="zh-CN"/>
              </w:rPr>
              <w:t>永州市新田县龙泉街道工业南园支一路与支三路交叉口西南角</w:t>
            </w:r>
            <w:r>
              <w:rPr>
                <w:rFonts w:hint="default" w:ascii="Times New Roman" w:hAnsi="Times New Roman" w:eastAsia="宋体" w:cs="Times New Roman"/>
                <w:color w:val="auto"/>
                <w:kern w:val="2"/>
                <w:sz w:val="24"/>
                <w:szCs w:val="24"/>
                <w:u w:val="none"/>
                <w:lang w:val="en-US" w:eastAsia="zh-CN" w:bidi="ar-SA"/>
              </w:rPr>
              <w:t>，</w:t>
            </w:r>
            <w:r>
              <w:rPr>
                <w:rFonts w:hint="default" w:ascii="Times New Roman" w:hAnsi="Times New Roman" w:cs="Times New Roman"/>
                <w:bCs/>
                <w:color w:val="auto"/>
                <w:sz w:val="24"/>
                <w:szCs w:val="24"/>
                <w:u w:val="none"/>
                <w:lang w:val="en-US" w:eastAsia="zh-CN"/>
              </w:rPr>
              <w:t>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bCs/>
                <w:color w:val="auto"/>
                <w:sz w:val="24"/>
                <w:szCs w:val="24"/>
                <w:u w:val="none"/>
                <w:lang w:val="en-US" w:eastAsia="zh-CN"/>
              </w:rPr>
              <w:t>厂区内现有生产厂房</w:t>
            </w:r>
            <w:r>
              <w:rPr>
                <w:rFonts w:hint="eastAsia" w:ascii="Times New Roman" w:hAnsi="Times New Roman" w:cs="Times New Roman"/>
                <w:bCs/>
                <w:color w:val="auto"/>
                <w:sz w:val="24"/>
                <w:szCs w:val="24"/>
                <w:u w:val="none"/>
                <w:lang w:val="en-US" w:eastAsia="zh-CN"/>
              </w:rPr>
              <w:t>；</w:t>
            </w:r>
            <w:r>
              <w:rPr>
                <w:rFonts w:hint="default" w:ascii="Times New Roman" w:hAnsi="Times New Roman" w:eastAsia="宋体" w:cs="Times New Roman"/>
                <w:color w:val="auto"/>
                <w:kern w:val="2"/>
                <w:sz w:val="24"/>
                <w:szCs w:val="24"/>
                <w:u w:val="none"/>
                <w:lang w:val="en-US" w:eastAsia="zh-CN" w:bidi="ar-SA"/>
              </w:rPr>
              <w:t>项目所在地</w:t>
            </w:r>
            <w:r>
              <w:rPr>
                <w:rFonts w:hint="eastAsia" w:ascii="Times New Roman" w:hAnsi="Times New Roman" w:eastAsia="宋体" w:cs="Times New Roman"/>
                <w:color w:val="auto"/>
                <w:kern w:val="2"/>
                <w:sz w:val="24"/>
                <w:szCs w:val="24"/>
                <w:u w:val="none"/>
                <w:lang w:val="en-US" w:eastAsia="zh-CN" w:bidi="ar-SA"/>
              </w:rPr>
              <w:t>原作为</w:t>
            </w:r>
            <w:r>
              <w:rPr>
                <w:rFonts w:hint="eastAsia" w:ascii="Times New Roman" w:hAnsi="Times New Roman" w:eastAsia="宋体" w:cs="Times New Roman"/>
                <w:color w:val="000000"/>
                <w:sz w:val="24"/>
                <w:szCs w:val="24"/>
                <w:highlight w:val="none"/>
                <w:lang w:val="en-US" w:eastAsia="zh-CN"/>
              </w:rPr>
              <w:t>龙昶厂区精工车间</w:t>
            </w:r>
            <w:r>
              <w:rPr>
                <w:rFonts w:hint="eastAsia" w:ascii="Times New Roman" w:hAnsi="Times New Roman" w:eastAsia="宋体" w:cs="Times New Roman"/>
                <w:color w:val="auto"/>
                <w:kern w:val="2"/>
                <w:sz w:val="24"/>
                <w:szCs w:val="24"/>
                <w:u w:val="none"/>
                <w:lang w:val="en-US" w:eastAsia="zh-CN" w:bidi="ar-SA"/>
              </w:rPr>
              <w:t>使用，</w:t>
            </w:r>
            <w:r>
              <w:rPr>
                <w:rFonts w:hint="eastAsia" w:cs="Times New Roman"/>
                <w:color w:val="auto"/>
                <w:kern w:val="2"/>
                <w:sz w:val="24"/>
                <w:szCs w:val="24"/>
                <w:u w:val="none"/>
                <w:lang w:val="en-US" w:eastAsia="zh-CN" w:bidi="ar-SA"/>
              </w:rPr>
              <w:t>未</w:t>
            </w:r>
            <w:r>
              <w:rPr>
                <w:rFonts w:hint="default" w:ascii="Times New Roman" w:hAnsi="Times New Roman" w:eastAsia="宋体" w:cs="Times New Roman"/>
                <w:color w:val="auto"/>
                <w:kern w:val="2"/>
                <w:sz w:val="24"/>
                <w:szCs w:val="24"/>
                <w:u w:val="none"/>
                <w:lang w:val="en-US" w:eastAsia="zh-CN" w:bidi="ar-SA"/>
              </w:rPr>
              <w:t>从事过有色金属冶炼、石油加</w:t>
            </w:r>
            <w:r>
              <w:rPr>
                <w:rFonts w:hint="default" w:ascii="Times New Roman" w:hAnsi="Times New Roman" w:eastAsia="宋体" w:cs="Times New Roman"/>
                <w:kern w:val="2"/>
                <w:sz w:val="24"/>
                <w:szCs w:val="24"/>
                <w:u w:val="none"/>
                <w:lang w:val="en-US" w:eastAsia="zh-CN" w:bidi="ar-SA"/>
              </w:rPr>
              <w:t>工、</w:t>
            </w:r>
            <w:r>
              <w:rPr>
                <w:rFonts w:hint="eastAsia" w:ascii="Times New Roman" w:hAnsi="Times New Roman" w:eastAsia="宋体" w:cs="Times New Roman"/>
                <w:kern w:val="2"/>
                <w:sz w:val="24"/>
                <w:szCs w:val="24"/>
                <w:u w:val="none"/>
                <w:lang w:val="en-US" w:eastAsia="zh-CN" w:bidi="ar-SA"/>
              </w:rPr>
              <w:t>化工、</w:t>
            </w:r>
            <w:r>
              <w:rPr>
                <w:rFonts w:hint="default" w:ascii="Times New Roman" w:hAnsi="Times New Roman" w:eastAsia="宋体" w:cs="Times New Roman"/>
                <w:kern w:val="2"/>
                <w:sz w:val="24"/>
                <w:szCs w:val="24"/>
                <w:u w:val="none"/>
                <w:lang w:val="en-US" w:eastAsia="zh-CN" w:bidi="ar-SA"/>
              </w:rPr>
              <w:t>焦化、电镀、制革等行业生产经营活动，也未从事过危险废物贮存、利用、处置活动；本项目建设前，厂房已处于空置状态，无环境遗留问题，因此不存在与本项目有关的原有环境污染问题。</w:t>
            </w:r>
          </w:p>
        </w:tc>
      </w:tr>
    </w:tbl>
    <w:p w14:paraId="78CB8FAB">
      <w:pPr>
        <w:pStyle w:val="19"/>
        <w:numPr>
          <w:ilvl w:val="0"/>
          <w:numId w:val="0"/>
        </w:num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622AD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snapToGrid w:val="0"/>
          <w:color w:val="000000"/>
          <w:sz w:val="30"/>
          <w:szCs w:val="30"/>
        </w:rPr>
      </w:pPr>
      <w:bookmarkStart w:id="101" w:name="_Toc10015"/>
      <w:bookmarkStart w:id="102" w:name="_Toc15489"/>
      <w:bookmarkStart w:id="103" w:name="_Toc4940"/>
      <w:r>
        <w:rPr>
          <w:rFonts w:hint="eastAsia" w:ascii="黑体" w:hAnsi="黑体" w:eastAsia="黑体" w:cs="Times New Roman"/>
          <w:snapToGrid w:val="0"/>
          <w:color w:val="000000"/>
          <w:kern w:val="2"/>
          <w:sz w:val="30"/>
          <w:szCs w:val="30"/>
          <w:lang w:val="en-US" w:eastAsia="zh-CN" w:bidi="ar-SA"/>
        </w:rPr>
        <w:t>三、</w:t>
      </w:r>
      <w:r>
        <w:rPr>
          <w:rFonts w:hint="eastAsia" w:ascii="黑体" w:hAnsi="黑体" w:eastAsia="黑体"/>
          <w:snapToGrid w:val="0"/>
          <w:color w:val="000000"/>
          <w:sz w:val="30"/>
          <w:szCs w:val="30"/>
        </w:rPr>
        <w:t>区域环境质量现状、环境保护目标及评价标准</w:t>
      </w:r>
      <w:bookmarkEnd w:id="101"/>
      <w:bookmarkEnd w:id="102"/>
      <w:bookmarkEnd w:id="103"/>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801"/>
      </w:tblGrid>
      <w:tr w14:paraId="4834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4ABBF6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snapToGrid w:val="0"/>
                <w:color w:val="000000"/>
                <w:sz w:val="30"/>
                <w:szCs w:val="30"/>
                <w:vertAlign w:val="baseline"/>
                <w:lang w:val="en-US" w:eastAsia="zh-CN"/>
              </w:rPr>
            </w:pPr>
            <w:bookmarkStart w:id="104" w:name="_Toc11362"/>
            <w:r>
              <w:rPr>
                <w:rFonts w:hint="eastAsia" w:ascii="宋体" w:hAnsi="宋体" w:eastAsia="宋体" w:cs="宋体"/>
                <w:bCs/>
                <w:color w:val="000000"/>
                <w:kern w:val="2"/>
                <w:sz w:val="24"/>
                <w:szCs w:val="24"/>
                <w:highlight w:val="none"/>
              </w:rPr>
              <w:t>区域环境质量现状</w:t>
            </w:r>
            <w:bookmarkEnd w:id="104"/>
          </w:p>
        </w:tc>
        <w:tc>
          <w:tcPr>
            <w:tcW w:w="7801" w:type="dxa"/>
          </w:tcPr>
          <w:p w14:paraId="2126D326">
            <w:pPr>
              <w:autoSpaceDE w:val="0"/>
              <w:autoSpaceDN w:val="0"/>
              <w:adjustRightInd w:val="0"/>
              <w:snapToGrid w:val="0"/>
              <w:spacing w:line="360" w:lineRule="auto"/>
              <w:ind w:firstLine="482" w:firstLineChars="200"/>
              <w:rPr>
                <w:b/>
                <w:color w:val="000000"/>
                <w:sz w:val="24"/>
                <w:highlight w:val="none"/>
                <w:u w:val="single" w:color="auto"/>
              </w:rPr>
            </w:pPr>
            <w:r>
              <w:rPr>
                <w:b/>
                <w:color w:val="000000"/>
                <w:sz w:val="24"/>
                <w:highlight w:val="none"/>
                <w:u w:val="single" w:color="auto"/>
              </w:rPr>
              <w:t>1、环境空气质量现状</w:t>
            </w:r>
          </w:p>
          <w:p w14:paraId="6C6ADC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u w:val="single" w:color="auto"/>
                <w:lang w:val="zh-CN" w:eastAsia="zh-CN"/>
              </w:rPr>
            </w:pPr>
            <w:r>
              <w:rPr>
                <w:rFonts w:hint="eastAsia" w:ascii="Times New Roman" w:hAnsi="Times New Roman" w:eastAsia="宋体" w:cs="Times New Roman"/>
                <w:color w:val="000000"/>
                <w:kern w:val="0"/>
                <w:sz w:val="24"/>
                <w:szCs w:val="24"/>
                <w:u w:val="single" w:color="auto"/>
                <w:lang w:val="zh-CN" w:eastAsia="zh-CN"/>
              </w:rPr>
              <w:t>（</w:t>
            </w:r>
            <w:r>
              <w:rPr>
                <w:rFonts w:hint="eastAsia" w:ascii="Times New Roman" w:hAnsi="Times New Roman" w:eastAsia="宋体" w:cs="Times New Roman"/>
                <w:color w:val="000000"/>
                <w:kern w:val="0"/>
                <w:sz w:val="24"/>
                <w:szCs w:val="24"/>
                <w:u w:val="single" w:color="auto"/>
                <w:lang w:val="en-US" w:eastAsia="zh-CN"/>
              </w:rPr>
              <w:t>1</w:t>
            </w:r>
            <w:r>
              <w:rPr>
                <w:rFonts w:hint="eastAsia" w:ascii="Times New Roman" w:hAnsi="Times New Roman" w:eastAsia="宋体" w:cs="Times New Roman"/>
                <w:color w:val="000000"/>
                <w:kern w:val="0"/>
                <w:sz w:val="24"/>
                <w:szCs w:val="24"/>
                <w:u w:val="single" w:color="auto"/>
                <w:lang w:val="zh-CN" w:eastAsia="zh-CN"/>
              </w:rPr>
              <w:t>）环境空气质量达标判定</w:t>
            </w:r>
          </w:p>
          <w:p w14:paraId="23B3526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kern w:val="0"/>
                <w:sz w:val="24"/>
                <w:szCs w:val="24"/>
                <w:u w:val="single" w:color="auto"/>
                <w:lang w:val="en-US" w:eastAsia="zh-CN"/>
              </w:rPr>
            </w:pPr>
            <w:r>
              <w:rPr>
                <w:rFonts w:hint="eastAsia" w:ascii="Times New Roman" w:hAnsi="Times New Roman" w:eastAsia="宋体" w:cs="Times New Roman"/>
                <w:color w:val="000000"/>
                <w:kern w:val="0"/>
                <w:sz w:val="24"/>
                <w:szCs w:val="24"/>
                <w:u w:val="single" w:color="auto"/>
                <w:lang w:val="en-US" w:eastAsia="zh-CN"/>
              </w:rPr>
              <w:t>本项目位于永州市新田县；该区域属于</w:t>
            </w:r>
            <w:r>
              <w:rPr>
                <w:rFonts w:hint="default" w:ascii="Times New Roman" w:hAnsi="Times New Roman" w:eastAsia="宋体" w:cs="Times New Roman"/>
                <w:color w:val="000000"/>
                <w:kern w:val="0"/>
                <w:sz w:val="24"/>
                <w:szCs w:val="24"/>
                <w:u w:val="single" w:color="auto"/>
                <w:lang w:val="en-US" w:eastAsia="zh-CN"/>
              </w:rPr>
              <w:t>《环境</w:t>
            </w:r>
            <w:r>
              <w:rPr>
                <w:rFonts w:hint="eastAsia" w:ascii="Times New Roman" w:hAnsi="Times New Roman" w:eastAsia="宋体" w:cs="Times New Roman"/>
                <w:color w:val="000000"/>
                <w:kern w:val="0"/>
                <w:sz w:val="24"/>
                <w:szCs w:val="24"/>
                <w:u w:val="single" w:color="auto"/>
                <w:lang w:val="en-US" w:eastAsia="zh-CN"/>
              </w:rPr>
              <w:t>空气质量标准》</w:t>
            </w:r>
            <w:r>
              <w:rPr>
                <w:rFonts w:hint="default" w:ascii="Times New Roman" w:hAnsi="Times New Roman" w:eastAsia="宋体" w:cs="Times New Roman"/>
                <w:color w:val="000000"/>
                <w:kern w:val="0"/>
                <w:sz w:val="24"/>
                <w:szCs w:val="24"/>
                <w:u w:val="single" w:color="auto"/>
                <w:lang w:val="en-US" w:eastAsia="zh-CN"/>
              </w:rPr>
              <w:t>（</w:t>
            </w:r>
            <w:r>
              <w:rPr>
                <w:rFonts w:hint="eastAsia" w:ascii="Times New Roman" w:hAnsi="Times New Roman" w:eastAsia="宋体" w:cs="Times New Roman"/>
                <w:color w:val="000000"/>
                <w:kern w:val="0"/>
                <w:sz w:val="24"/>
                <w:szCs w:val="24"/>
                <w:u w:val="single" w:color="auto"/>
                <w:lang w:val="en-US" w:eastAsia="zh-CN"/>
              </w:rPr>
              <w:t>GB3095</w:t>
            </w:r>
            <w:r>
              <w:rPr>
                <w:rFonts w:hint="default" w:ascii="Times New Roman" w:hAnsi="Times New Roman" w:eastAsia="宋体" w:cs="Times New Roman"/>
                <w:color w:val="000000"/>
                <w:kern w:val="0"/>
                <w:sz w:val="24"/>
                <w:szCs w:val="24"/>
                <w:u w:val="single" w:color="auto"/>
                <w:lang w:val="en-US" w:eastAsia="zh-CN"/>
              </w:rPr>
              <w:t>-20</w:t>
            </w:r>
            <w:r>
              <w:rPr>
                <w:rFonts w:hint="eastAsia" w:ascii="Times New Roman" w:hAnsi="Times New Roman" w:eastAsia="宋体" w:cs="Times New Roman"/>
                <w:color w:val="000000"/>
                <w:kern w:val="0"/>
                <w:sz w:val="24"/>
                <w:szCs w:val="24"/>
                <w:u w:val="single" w:color="auto"/>
                <w:lang w:val="en-US" w:eastAsia="zh-CN"/>
              </w:rPr>
              <w:t>12</w:t>
            </w:r>
            <w:r>
              <w:rPr>
                <w:rFonts w:hint="default" w:ascii="Times New Roman" w:hAnsi="Times New Roman" w:eastAsia="宋体" w:cs="Times New Roman"/>
                <w:color w:val="000000"/>
                <w:kern w:val="0"/>
                <w:sz w:val="24"/>
                <w:szCs w:val="24"/>
                <w:u w:val="single" w:color="auto"/>
                <w:lang w:val="en-US" w:eastAsia="zh-CN"/>
              </w:rPr>
              <w:t>）</w:t>
            </w:r>
            <w:r>
              <w:rPr>
                <w:rFonts w:hint="eastAsia" w:ascii="Times New Roman" w:hAnsi="Times New Roman" w:eastAsia="宋体" w:cs="Times New Roman"/>
                <w:color w:val="000000"/>
                <w:kern w:val="0"/>
                <w:sz w:val="24"/>
                <w:szCs w:val="24"/>
                <w:u w:val="single" w:color="auto"/>
                <w:lang w:val="en-US" w:eastAsia="zh-CN"/>
              </w:rPr>
              <w:t>及其2018年修改单中二类环境空气功能区，环境空气执行</w:t>
            </w:r>
            <w:r>
              <w:rPr>
                <w:rFonts w:hint="default" w:ascii="Times New Roman" w:hAnsi="Times New Roman" w:eastAsia="宋体" w:cs="Times New Roman"/>
                <w:color w:val="000000"/>
                <w:kern w:val="0"/>
                <w:sz w:val="24"/>
                <w:szCs w:val="24"/>
                <w:u w:val="single" w:color="auto"/>
                <w:lang w:val="en-US" w:eastAsia="zh-CN"/>
              </w:rPr>
              <w:t>《环境</w:t>
            </w:r>
            <w:r>
              <w:rPr>
                <w:rFonts w:hint="eastAsia" w:ascii="Times New Roman" w:hAnsi="Times New Roman" w:eastAsia="宋体" w:cs="Times New Roman"/>
                <w:color w:val="000000"/>
                <w:kern w:val="0"/>
                <w:sz w:val="24"/>
                <w:szCs w:val="24"/>
                <w:u w:val="single" w:color="auto"/>
                <w:lang w:val="en-US" w:eastAsia="zh-CN"/>
              </w:rPr>
              <w:t>空气质量标准》</w:t>
            </w:r>
            <w:r>
              <w:rPr>
                <w:rFonts w:hint="default" w:ascii="Times New Roman" w:hAnsi="Times New Roman" w:eastAsia="宋体" w:cs="Times New Roman"/>
                <w:color w:val="000000"/>
                <w:kern w:val="0"/>
                <w:sz w:val="24"/>
                <w:szCs w:val="24"/>
                <w:u w:val="single" w:color="auto"/>
                <w:lang w:val="en-US" w:eastAsia="zh-CN"/>
              </w:rPr>
              <w:t>（</w:t>
            </w:r>
            <w:r>
              <w:rPr>
                <w:rFonts w:hint="eastAsia" w:ascii="Times New Roman" w:hAnsi="Times New Roman" w:eastAsia="宋体" w:cs="Times New Roman"/>
                <w:color w:val="000000"/>
                <w:kern w:val="0"/>
                <w:sz w:val="24"/>
                <w:szCs w:val="24"/>
                <w:u w:val="single" w:color="auto"/>
                <w:lang w:val="en-US" w:eastAsia="zh-CN"/>
              </w:rPr>
              <w:t>GB3095</w:t>
            </w:r>
            <w:r>
              <w:rPr>
                <w:rFonts w:hint="default" w:ascii="Times New Roman" w:hAnsi="Times New Roman" w:eastAsia="宋体" w:cs="Times New Roman"/>
                <w:color w:val="000000"/>
                <w:kern w:val="0"/>
                <w:sz w:val="24"/>
                <w:szCs w:val="24"/>
                <w:u w:val="single" w:color="auto"/>
                <w:lang w:val="en-US" w:eastAsia="zh-CN"/>
              </w:rPr>
              <w:t>-20</w:t>
            </w:r>
            <w:r>
              <w:rPr>
                <w:rFonts w:hint="eastAsia" w:ascii="Times New Roman" w:hAnsi="Times New Roman" w:eastAsia="宋体" w:cs="Times New Roman"/>
                <w:color w:val="000000"/>
                <w:kern w:val="0"/>
                <w:sz w:val="24"/>
                <w:szCs w:val="24"/>
                <w:u w:val="single" w:color="auto"/>
                <w:lang w:val="en-US" w:eastAsia="zh-CN"/>
              </w:rPr>
              <w:t>12</w:t>
            </w:r>
            <w:r>
              <w:rPr>
                <w:rFonts w:hint="default" w:ascii="Times New Roman" w:hAnsi="Times New Roman" w:eastAsia="宋体" w:cs="Times New Roman"/>
                <w:color w:val="000000"/>
                <w:kern w:val="0"/>
                <w:sz w:val="24"/>
                <w:szCs w:val="24"/>
                <w:u w:val="single" w:color="auto"/>
                <w:lang w:val="en-US" w:eastAsia="zh-CN"/>
              </w:rPr>
              <w:t>）</w:t>
            </w:r>
            <w:r>
              <w:rPr>
                <w:rFonts w:hint="eastAsia" w:ascii="Times New Roman" w:hAnsi="Times New Roman" w:eastAsia="宋体" w:cs="Times New Roman"/>
                <w:color w:val="000000"/>
                <w:kern w:val="0"/>
                <w:sz w:val="24"/>
                <w:szCs w:val="24"/>
                <w:u w:val="single" w:color="auto"/>
                <w:lang w:val="en-US" w:eastAsia="zh-CN"/>
              </w:rPr>
              <w:t>及其2018年修改单中的二级标准。为了解本项目所在区域环境空气质量现状，本次评价收集了永州市生态环境局发布的《2023年全市生态环境工作情况》中</w:t>
            </w:r>
            <w:r>
              <w:rPr>
                <w:rFonts w:hint="eastAsia" w:cs="Times New Roman"/>
                <w:color w:val="000000"/>
                <w:kern w:val="0"/>
                <w:sz w:val="24"/>
                <w:szCs w:val="24"/>
                <w:u w:val="single" w:color="auto"/>
                <w:lang w:val="en-US" w:eastAsia="zh-CN"/>
              </w:rPr>
              <w:t>新田县</w:t>
            </w:r>
            <w:r>
              <w:rPr>
                <w:rFonts w:hint="eastAsia" w:ascii="Times New Roman" w:hAnsi="Times New Roman" w:eastAsia="宋体" w:cs="Times New Roman"/>
                <w:color w:val="000000"/>
                <w:kern w:val="0"/>
                <w:sz w:val="24"/>
                <w:szCs w:val="24"/>
                <w:u w:val="single" w:color="auto"/>
                <w:lang w:val="en-US" w:eastAsia="zh-CN"/>
              </w:rPr>
              <w:t>环境空气质量状况，具体详见下表：</w:t>
            </w:r>
          </w:p>
          <w:p w14:paraId="7AD86ED6">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表</w:t>
            </w:r>
            <w:r>
              <w:rPr>
                <w:rFonts w:hint="eastAsia" w:ascii="Times New Roman" w:hAnsi="Times New Roman" w:cs="Times New Roman"/>
                <w:b/>
                <w:bCs/>
                <w:color w:val="000000"/>
                <w:sz w:val="21"/>
                <w:szCs w:val="21"/>
                <w:u w:val="single" w:color="auto"/>
                <w:lang w:val="en-US" w:eastAsia="zh-CN"/>
              </w:rPr>
              <w:t>3-1</w:t>
            </w:r>
            <w:r>
              <w:rPr>
                <w:rFonts w:hint="default" w:ascii="Times New Roman" w:hAnsi="Times New Roman" w:cs="Times New Roman"/>
                <w:b/>
                <w:bCs/>
                <w:color w:val="000000"/>
                <w:sz w:val="21"/>
                <w:szCs w:val="21"/>
                <w:u w:val="single" w:color="auto"/>
              </w:rPr>
              <w:t xml:space="preserve"> </w:t>
            </w:r>
            <w:r>
              <w:rPr>
                <w:rFonts w:hint="eastAsia" w:ascii="Times New Roman" w:hAnsi="Times New Roman" w:cs="Times New Roman"/>
                <w:b/>
                <w:bCs/>
                <w:color w:val="000000"/>
                <w:sz w:val="21"/>
                <w:szCs w:val="21"/>
                <w:u w:val="single" w:color="auto"/>
                <w:lang w:val="en-US" w:eastAsia="zh-CN"/>
              </w:rPr>
              <w:t xml:space="preserve"> </w:t>
            </w:r>
            <w:r>
              <w:rPr>
                <w:rFonts w:hint="eastAsia" w:ascii="Times New Roman" w:hAnsi="Times New Roman" w:eastAsia="宋体" w:cs="Times New Roman"/>
                <w:b/>
                <w:color w:val="000000"/>
                <w:sz w:val="21"/>
                <w:szCs w:val="21"/>
                <w:highlight w:val="none"/>
                <w:u w:val="single" w:color="auto"/>
                <w:lang w:val="en-US" w:eastAsia="zh-CN"/>
              </w:rPr>
              <w:t>2023年永州市新田县环境空气质量现状监测结果统计一览表</w:t>
            </w:r>
          </w:p>
          <w:tbl>
            <w:tblPr>
              <w:tblStyle w:val="27"/>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61"/>
              <w:gridCol w:w="1396"/>
              <w:gridCol w:w="1440"/>
              <w:gridCol w:w="900"/>
              <w:gridCol w:w="1047"/>
            </w:tblGrid>
            <w:tr w14:paraId="04716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62EC5F51">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污染物</w:t>
                  </w:r>
                </w:p>
              </w:tc>
              <w:tc>
                <w:tcPr>
                  <w:tcW w:w="1961" w:type="dxa"/>
                  <w:tcBorders>
                    <w:tl2br w:val="nil"/>
                    <w:tr2bl w:val="nil"/>
                  </w:tcBorders>
                  <w:noWrap w:val="0"/>
                  <w:vAlign w:val="center"/>
                </w:tcPr>
                <w:p w14:paraId="0843FEC2">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年评价指标</w:t>
                  </w:r>
                </w:p>
              </w:tc>
              <w:tc>
                <w:tcPr>
                  <w:tcW w:w="1396" w:type="dxa"/>
                  <w:tcBorders>
                    <w:tl2br w:val="nil"/>
                    <w:tr2bl w:val="nil"/>
                  </w:tcBorders>
                  <w:noWrap w:val="0"/>
                  <w:vAlign w:val="center"/>
                </w:tcPr>
                <w:p w14:paraId="2773B028">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现状浓度/（μg/m</w:t>
                  </w:r>
                  <w:r>
                    <w:rPr>
                      <w:rFonts w:hint="default" w:ascii="Times New Roman" w:hAnsi="Times New Roman" w:cs="Times New Roman"/>
                      <w:b/>
                      <w:bCs/>
                      <w:color w:val="000000"/>
                      <w:sz w:val="21"/>
                      <w:szCs w:val="21"/>
                      <w:u w:val="single" w:color="auto"/>
                      <w:vertAlign w:val="superscript"/>
                    </w:rPr>
                    <w:t>3</w:t>
                  </w:r>
                  <w:r>
                    <w:rPr>
                      <w:rFonts w:hint="default" w:ascii="Times New Roman" w:hAnsi="Times New Roman" w:cs="Times New Roman"/>
                      <w:b/>
                      <w:bCs/>
                      <w:color w:val="000000"/>
                      <w:sz w:val="21"/>
                      <w:szCs w:val="21"/>
                      <w:u w:val="single" w:color="auto"/>
                    </w:rPr>
                    <w:t>）</w:t>
                  </w:r>
                </w:p>
              </w:tc>
              <w:tc>
                <w:tcPr>
                  <w:tcW w:w="1440" w:type="dxa"/>
                  <w:tcBorders>
                    <w:tl2br w:val="nil"/>
                    <w:tr2bl w:val="nil"/>
                  </w:tcBorders>
                  <w:noWrap w:val="0"/>
                  <w:vAlign w:val="center"/>
                </w:tcPr>
                <w:p w14:paraId="088E2AB7">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标准值/（μg/m</w:t>
                  </w:r>
                  <w:r>
                    <w:rPr>
                      <w:rFonts w:hint="default" w:ascii="Times New Roman" w:hAnsi="Times New Roman" w:cs="Times New Roman"/>
                      <w:b/>
                      <w:bCs/>
                      <w:color w:val="000000"/>
                      <w:sz w:val="21"/>
                      <w:szCs w:val="21"/>
                      <w:u w:val="single" w:color="auto"/>
                      <w:vertAlign w:val="superscript"/>
                    </w:rPr>
                    <w:t>3</w:t>
                  </w:r>
                  <w:r>
                    <w:rPr>
                      <w:rFonts w:hint="default" w:ascii="Times New Roman" w:hAnsi="Times New Roman" w:cs="Times New Roman"/>
                      <w:b/>
                      <w:bCs/>
                      <w:color w:val="000000"/>
                      <w:sz w:val="21"/>
                      <w:szCs w:val="21"/>
                      <w:u w:val="single" w:color="auto"/>
                    </w:rPr>
                    <w:t>）</w:t>
                  </w:r>
                </w:p>
              </w:tc>
              <w:tc>
                <w:tcPr>
                  <w:tcW w:w="900" w:type="dxa"/>
                  <w:tcBorders>
                    <w:tl2br w:val="nil"/>
                    <w:tr2bl w:val="nil"/>
                  </w:tcBorders>
                  <w:noWrap w:val="0"/>
                  <w:vAlign w:val="center"/>
                </w:tcPr>
                <w:p w14:paraId="534F37E5">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占标率/%</w:t>
                  </w:r>
                </w:p>
              </w:tc>
              <w:tc>
                <w:tcPr>
                  <w:tcW w:w="1047" w:type="dxa"/>
                  <w:tcBorders>
                    <w:tl2br w:val="nil"/>
                    <w:tr2bl w:val="nil"/>
                  </w:tcBorders>
                  <w:noWrap w:val="0"/>
                  <w:vAlign w:val="center"/>
                </w:tcPr>
                <w:p w14:paraId="00F8ECA0">
                  <w:pPr>
                    <w:adjustRightInd w:val="0"/>
                    <w:snapToGrid w:val="0"/>
                    <w:jc w:val="center"/>
                    <w:rPr>
                      <w:rFonts w:hint="default" w:ascii="Times New Roman" w:hAnsi="Times New Roman" w:cs="Times New Roman"/>
                      <w:b/>
                      <w:bCs/>
                      <w:color w:val="000000"/>
                      <w:sz w:val="21"/>
                      <w:szCs w:val="21"/>
                      <w:u w:val="single" w:color="auto"/>
                    </w:rPr>
                  </w:pPr>
                  <w:r>
                    <w:rPr>
                      <w:rFonts w:hint="default" w:ascii="Times New Roman" w:hAnsi="Times New Roman" w:cs="Times New Roman"/>
                      <w:b/>
                      <w:bCs/>
                      <w:color w:val="000000"/>
                      <w:sz w:val="21"/>
                      <w:szCs w:val="21"/>
                      <w:u w:val="single" w:color="auto"/>
                    </w:rPr>
                    <w:t>达标情况</w:t>
                  </w:r>
                </w:p>
              </w:tc>
            </w:tr>
            <w:tr w14:paraId="7C97E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6F54E682">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SO</w:t>
                  </w:r>
                  <w:r>
                    <w:rPr>
                      <w:rFonts w:hint="default" w:ascii="Times New Roman" w:hAnsi="Times New Roman" w:cs="Times New Roman"/>
                      <w:color w:val="000000"/>
                      <w:sz w:val="21"/>
                      <w:szCs w:val="21"/>
                      <w:u w:val="single" w:color="auto"/>
                      <w:vertAlign w:val="subscript"/>
                    </w:rPr>
                    <w:t>2</w:t>
                  </w:r>
                </w:p>
              </w:tc>
              <w:tc>
                <w:tcPr>
                  <w:tcW w:w="1961" w:type="dxa"/>
                  <w:tcBorders>
                    <w:tl2br w:val="nil"/>
                    <w:tr2bl w:val="nil"/>
                  </w:tcBorders>
                  <w:noWrap w:val="0"/>
                  <w:vAlign w:val="center"/>
                </w:tcPr>
                <w:p w14:paraId="216BF981">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年平均质量浓度</w:t>
                  </w:r>
                </w:p>
              </w:tc>
              <w:tc>
                <w:tcPr>
                  <w:tcW w:w="1396" w:type="dxa"/>
                  <w:tcBorders>
                    <w:tl2br w:val="nil"/>
                    <w:tr2bl w:val="nil"/>
                  </w:tcBorders>
                  <w:noWrap w:val="0"/>
                  <w:vAlign w:val="center"/>
                </w:tcPr>
                <w:p w14:paraId="1B4314C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7</w:t>
                  </w:r>
                </w:p>
              </w:tc>
              <w:tc>
                <w:tcPr>
                  <w:tcW w:w="1440" w:type="dxa"/>
                  <w:tcBorders>
                    <w:tl2br w:val="nil"/>
                    <w:tr2bl w:val="nil"/>
                  </w:tcBorders>
                  <w:noWrap w:val="0"/>
                  <w:vAlign w:val="center"/>
                </w:tcPr>
                <w:p w14:paraId="0DDF77B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60</w:t>
                  </w:r>
                </w:p>
              </w:tc>
              <w:tc>
                <w:tcPr>
                  <w:tcW w:w="900" w:type="dxa"/>
                  <w:tcBorders>
                    <w:tl2br w:val="nil"/>
                    <w:tr2bl w:val="nil"/>
                  </w:tcBorders>
                  <w:noWrap w:val="0"/>
                  <w:vAlign w:val="center"/>
                </w:tcPr>
                <w:p w14:paraId="1CA2A4C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11.67 </w:t>
                  </w:r>
                </w:p>
              </w:tc>
              <w:tc>
                <w:tcPr>
                  <w:tcW w:w="1047" w:type="dxa"/>
                  <w:tcBorders>
                    <w:tl2br w:val="nil"/>
                    <w:tr2bl w:val="nil"/>
                  </w:tcBorders>
                  <w:noWrap w:val="0"/>
                  <w:vAlign w:val="center"/>
                </w:tcPr>
                <w:p w14:paraId="3C14CEAE">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r w14:paraId="3B02D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3D3EDA3A">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NO</w:t>
                  </w:r>
                  <w:r>
                    <w:rPr>
                      <w:rFonts w:hint="default" w:ascii="Times New Roman" w:hAnsi="Times New Roman" w:cs="Times New Roman"/>
                      <w:color w:val="000000"/>
                      <w:sz w:val="21"/>
                      <w:szCs w:val="21"/>
                      <w:u w:val="single" w:color="auto"/>
                      <w:vertAlign w:val="subscript"/>
                    </w:rPr>
                    <w:t>2</w:t>
                  </w:r>
                </w:p>
              </w:tc>
              <w:tc>
                <w:tcPr>
                  <w:tcW w:w="1961" w:type="dxa"/>
                  <w:tcBorders>
                    <w:tl2br w:val="nil"/>
                    <w:tr2bl w:val="nil"/>
                  </w:tcBorders>
                  <w:noWrap w:val="0"/>
                  <w:vAlign w:val="center"/>
                </w:tcPr>
                <w:p w14:paraId="5C14B0E8">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年平均质量浓度</w:t>
                  </w:r>
                </w:p>
              </w:tc>
              <w:tc>
                <w:tcPr>
                  <w:tcW w:w="1396" w:type="dxa"/>
                  <w:tcBorders>
                    <w:tl2br w:val="nil"/>
                    <w:tr2bl w:val="nil"/>
                  </w:tcBorders>
                  <w:noWrap w:val="0"/>
                  <w:vAlign w:val="center"/>
                </w:tcPr>
                <w:p w14:paraId="44314A35">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8</w:t>
                  </w:r>
                </w:p>
              </w:tc>
              <w:tc>
                <w:tcPr>
                  <w:tcW w:w="1440" w:type="dxa"/>
                  <w:tcBorders>
                    <w:tl2br w:val="nil"/>
                    <w:tr2bl w:val="nil"/>
                  </w:tcBorders>
                  <w:noWrap w:val="0"/>
                  <w:vAlign w:val="center"/>
                </w:tcPr>
                <w:p w14:paraId="48E8F5F6">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40</w:t>
                  </w:r>
                </w:p>
              </w:tc>
              <w:tc>
                <w:tcPr>
                  <w:tcW w:w="900" w:type="dxa"/>
                  <w:tcBorders>
                    <w:tl2br w:val="nil"/>
                    <w:tr2bl w:val="nil"/>
                  </w:tcBorders>
                  <w:noWrap w:val="0"/>
                  <w:vAlign w:val="center"/>
                </w:tcPr>
                <w:p w14:paraId="5E35F81F">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20.00 </w:t>
                  </w:r>
                </w:p>
              </w:tc>
              <w:tc>
                <w:tcPr>
                  <w:tcW w:w="1047" w:type="dxa"/>
                  <w:tcBorders>
                    <w:tl2br w:val="nil"/>
                    <w:tr2bl w:val="nil"/>
                  </w:tcBorders>
                  <w:noWrap w:val="0"/>
                  <w:vAlign w:val="center"/>
                </w:tcPr>
                <w:p w14:paraId="733FC7FB">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r w14:paraId="39398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2E4A4DE4">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PM</w:t>
                  </w:r>
                  <w:r>
                    <w:rPr>
                      <w:rFonts w:hint="default" w:ascii="Times New Roman" w:hAnsi="Times New Roman" w:cs="Times New Roman"/>
                      <w:color w:val="000000"/>
                      <w:sz w:val="21"/>
                      <w:szCs w:val="21"/>
                      <w:u w:val="single" w:color="auto"/>
                      <w:vertAlign w:val="subscript"/>
                    </w:rPr>
                    <w:t>10</w:t>
                  </w:r>
                </w:p>
              </w:tc>
              <w:tc>
                <w:tcPr>
                  <w:tcW w:w="1961" w:type="dxa"/>
                  <w:tcBorders>
                    <w:tl2br w:val="nil"/>
                    <w:tr2bl w:val="nil"/>
                  </w:tcBorders>
                  <w:noWrap w:val="0"/>
                  <w:vAlign w:val="center"/>
                </w:tcPr>
                <w:p w14:paraId="0B33794C">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年平均质量浓度</w:t>
                  </w:r>
                </w:p>
              </w:tc>
              <w:tc>
                <w:tcPr>
                  <w:tcW w:w="1396" w:type="dxa"/>
                  <w:tcBorders>
                    <w:tl2br w:val="nil"/>
                    <w:tr2bl w:val="nil"/>
                  </w:tcBorders>
                  <w:noWrap w:val="0"/>
                  <w:vAlign w:val="center"/>
                </w:tcPr>
                <w:p w14:paraId="00ABC268">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44</w:t>
                  </w:r>
                </w:p>
              </w:tc>
              <w:tc>
                <w:tcPr>
                  <w:tcW w:w="1440" w:type="dxa"/>
                  <w:tcBorders>
                    <w:tl2br w:val="nil"/>
                    <w:tr2bl w:val="nil"/>
                  </w:tcBorders>
                  <w:noWrap w:val="0"/>
                  <w:vAlign w:val="center"/>
                </w:tcPr>
                <w:p w14:paraId="27BCCFD1">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70</w:t>
                  </w:r>
                </w:p>
              </w:tc>
              <w:tc>
                <w:tcPr>
                  <w:tcW w:w="900" w:type="dxa"/>
                  <w:tcBorders>
                    <w:tl2br w:val="nil"/>
                    <w:tr2bl w:val="nil"/>
                  </w:tcBorders>
                  <w:noWrap w:val="0"/>
                  <w:vAlign w:val="center"/>
                </w:tcPr>
                <w:p w14:paraId="02373A7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62.86 </w:t>
                  </w:r>
                </w:p>
              </w:tc>
              <w:tc>
                <w:tcPr>
                  <w:tcW w:w="1047" w:type="dxa"/>
                  <w:tcBorders>
                    <w:tl2br w:val="nil"/>
                    <w:tr2bl w:val="nil"/>
                  </w:tcBorders>
                  <w:noWrap w:val="0"/>
                  <w:vAlign w:val="center"/>
                </w:tcPr>
                <w:p w14:paraId="2AD589A7">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r w14:paraId="24F72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6BAF867F">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PM</w:t>
                  </w:r>
                  <w:r>
                    <w:rPr>
                      <w:rFonts w:hint="default" w:ascii="Times New Roman" w:hAnsi="Times New Roman" w:cs="Times New Roman"/>
                      <w:color w:val="000000"/>
                      <w:sz w:val="21"/>
                      <w:szCs w:val="21"/>
                      <w:u w:val="single" w:color="auto"/>
                      <w:vertAlign w:val="subscript"/>
                    </w:rPr>
                    <w:t>2.5</w:t>
                  </w:r>
                </w:p>
              </w:tc>
              <w:tc>
                <w:tcPr>
                  <w:tcW w:w="1961" w:type="dxa"/>
                  <w:tcBorders>
                    <w:tl2br w:val="nil"/>
                    <w:tr2bl w:val="nil"/>
                  </w:tcBorders>
                  <w:noWrap w:val="0"/>
                  <w:vAlign w:val="center"/>
                </w:tcPr>
                <w:p w14:paraId="7070BEEC">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年平均质量浓度</w:t>
                  </w:r>
                </w:p>
              </w:tc>
              <w:tc>
                <w:tcPr>
                  <w:tcW w:w="1396" w:type="dxa"/>
                  <w:tcBorders>
                    <w:tl2br w:val="nil"/>
                    <w:tr2bl w:val="nil"/>
                  </w:tcBorders>
                  <w:noWrap w:val="0"/>
                  <w:vAlign w:val="center"/>
                </w:tcPr>
                <w:p w14:paraId="31F58BCD">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30</w:t>
                  </w:r>
                </w:p>
              </w:tc>
              <w:tc>
                <w:tcPr>
                  <w:tcW w:w="1440" w:type="dxa"/>
                  <w:tcBorders>
                    <w:tl2br w:val="nil"/>
                    <w:tr2bl w:val="nil"/>
                  </w:tcBorders>
                  <w:noWrap w:val="0"/>
                  <w:vAlign w:val="center"/>
                </w:tcPr>
                <w:p w14:paraId="66607C77">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35</w:t>
                  </w:r>
                </w:p>
              </w:tc>
              <w:tc>
                <w:tcPr>
                  <w:tcW w:w="900" w:type="dxa"/>
                  <w:tcBorders>
                    <w:tl2br w:val="nil"/>
                    <w:tr2bl w:val="nil"/>
                  </w:tcBorders>
                  <w:noWrap w:val="0"/>
                  <w:vAlign w:val="center"/>
                </w:tcPr>
                <w:p w14:paraId="6AECA5C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85.71 </w:t>
                  </w:r>
                </w:p>
              </w:tc>
              <w:tc>
                <w:tcPr>
                  <w:tcW w:w="1047" w:type="dxa"/>
                  <w:tcBorders>
                    <w:tl2br w:val="nil"/>
                    <w:tr2bl w:val="nil"/>
                  </w:tcBorders>
                  <w:noWrap w:val="0"/>
                  <w:vAlign w:val="center"/>
                </w:tcPr>
                <w:p w14:paraId="5ED38F57">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r w14:paraId="5F983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70D6ED80">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CO</w:t>
                  </w:r>
                </w:p>
              </w:tc>
              <w:tc>
                <w:tcPr>
                  <w:tcW w:w="1961" w:type="dxa"/>
                  <w:tcBorders>
                    <w:tl2br w:val="nil"/>
                    <w:tr2bl w:val="nil"/>
                  </w:tcBorders>
                  <w:noWrap w:val="0"/>
                  <w:vAlign w:val="center"/>
                </w:tcPr>
                <w:p w14:paraId="1E33A5F1">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第95百分位数日平均浓度</w:t>
                  </w:r>
                </w:p>
              </w:tc>
              <w:tc>
                <w:tcPr>
                  <w:tcW w:w="1396" w:type="dxa"/>
                  <w:tcBorders>
                    <w:tl2br w:val="nil"/>
                    <w:tr2bl w:val="nil"/>
                  </w:tcBorders>
                  <w:noWrap w:val="0"/>
                  <w:vAlign w:val="center"/>
                </w:tcPr>
                <w:p w14:paraId="43C037E8">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680</w:t>
                  </w:r>
                </w:p>
              </w:tc>
              <w:tc>
                <w:tcPr>
                  <w:tcW w:w="1440" w:type="dxa"/>
                  <w:tcBorders>
                    <w:tl2br w:val="nil"/>
                    <w:tr2bl w:val="nil"/>
                  </w:tcBorders>
                  <w:noWrap w:val="0"/>
                  <w:vAlign w:val="center"/>
                </w:tcPr>
                <w:p w14:paraId="5A840357">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4000</w:t>
                  </w:r>
                </w:p>
              </w:tc>
              <w:tc>
                <w:tcPr>
                  <w:tcW w:w="900" w:type="dxa"/>
                  <w:tcBorders>
                    <w:tl2br w:val="nil"/>
                    <w:tr2bl w:val="nil"/>
                  </w:tcBorders>
                  <w:noWrap w:val="0"/>
                  <w:vAlign w:val="center"/>
                </w:tcPr>
                <w:p w14:paraId="2871E89E">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17.00 </w:t>
                  </w:r>
                </w:p>
              </w:tc>
              <w:tc>
                <w:tcPr>
                  <w:tcW w:w="1047" w:type="dxa"/>
                  <w:tcBorders>
                    <w:tl2br w:val="nil"/>
                    <w:tr2bl w:val="nil"/>
                  </w:tcBorders>
                  <w:noWrap w:val="0"/>
                  <w:vAlign w:val="center"/>
                </w:tcPr>
                <w:p w14:paraId="0D7014F2">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r w14:paraId="0E665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0" w:type="dxa"/>
                  <w:tcBorders>
                    <w:tl2br w:val="nil"/>
                    <w:tr2bl w:val="nil"/>
                  </w:tcBorders>
                  <w:noWrap w:val="0"/>
                  <w:vAlign w:val="center"/>
                </w:tcPr>
                <w:p w14:paraId="757CDEEC">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O</w:t>
                  </w:r>
                  <w:r>
                    <w:rPr>
                      <w:rFonts w:hint="default" w:ascii="Times New Roman" w:hAnsi="Times New Roman" w:cs="Times New Roman"/>
                      <w:color w:val="000000"/>
                      <w:sz w:val="21"/>
                      <w:szCs w:val="21"/>
                      <w:u w:val="single" w:color="auto"/>
                      <w:vertAlign w:val="subscript"/>
                    </w:rPr>
                    <w:t>3</w:t>
                  </w:r>
                </w:p>
              </w:tc>
              <w:tc>
                <w:tcPr>
                  <w:tcW w:w="1961" w:type="dxa"/>
                  <w:tcBorders>
                    <w:tl2br w:val="nil"/>
                    <w:tr2bl w:val="nil"/>
                  </w:tcBorders>
                  <w:noWrap w:val="0"/>
                  <w:vAlign w:val="center"/>
                </w:tcPr>
                <w:p w14:paraId="0B7DB67B">
                  <w:pPr>
                    <w:adjustRightInd w:val="0"/>
                    <w:snapToGrid w:val="0"/>
                    <w:jc w:val="center"/>
                    <w:rPr>
                      <w:rFonts w:hint="default" w:ascii="Times New Roman" w:hAnsi="Times New Roman" w:cs="Times New Roman"/>
                      <w:color w:val="000000"/>
                      <w:sz w:val="21"/>
                      <w:szCs w:val="21"/>
                      <w:u w:val="single" w:color="auto"/>
                    </w:rPr>
                  </w:pPr>
                  <w:r>
                    <w:rPr>
                      <w:rFonts w:hint="default" w:ascii="Times New Roman" w:hAnsi="Times New Roman" w:cs="Times New Roman"/>
                      <w:color w:val="000000"/>
                      <w:sz w:val="21"/>
                      <w:szCs w:val="21"/>
                      <w:u w:val="single" w:color="auto"/>
                    </w:rPr>
                    <w:t>第90百分位数日最大8h平均浓度</w:t>
                  </w:r>
                </w:p>
              </w:tc>
              <w:tc>
                <w:tcPr>
                  <w:tcW w:w="1396" w:type="dxa"/>
                  <w:tcBorders>
                    <w:tl2br w:val="nil"/>
                    <w:tr2bl w:val="nil"/>
                  </w:tcBorders>
                  <w:noWrap w:val="0"/>
                  <w:vAlign w:val="center"/>
                </w:tcPr>
                <w:p w14:paraId="2E259450">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78</w:t>
                  </w:r>
                </w:p>
              </w:tc>
              <w:tc>
                <w:tcPr>
                  <w:tcW w:w="1440" w:type="dxa"/>
                  <w:tcBorders>
                    <w:tl2br w:val="nil"/>
                    <w:tr2bl w:val="nil"/>
                  </w:tcBorders>
                  <w:noWrap w:val="0"/>
                  <w:vAlign w:val="center"/>
                </w:tcPr>
                <w:p w14:paraId="57C97728">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160</w:t>
                  </w:r>
                </w:p>
              </w:tc>
              <w:tc>
                <w:tcPr>
                  <w:tcW w:w="900" w:type="dxa"/>
                  <w:tcBorders>
                    <w:tl2br w:val="nil"/>
                    <w:tr2bl w:val="nil"/>
                  </w:tcBorders>
                  <w:noWrap w:val="0"/>
                  <w:vAlign w:val="center"/>
                </w:tcPr>
                <w:p w14:paraId="42FC0FF6">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eastAsia" w:ascii="Times New Roman" w:hAnsi="Times New Roman" w:eastAsia="宋体" w:cs="Times New Roman"/>
                      <w:bCs/>
                      <w:color w:val="000000"/>
                      <w:sz w:val="21"/>
                      <w:szCs w:val="21"/>
                      <w:u w:val="single" w:color="auto"/>
                      <w:lang w:val="en-US" w:eastAsia="zh-CN"/>
                    </w:rPr>
                    <w:t xml:space="preserve">48.75 </w:t>
                  </w:r>
                </w:p>
              </w:tc>
              <w:tc>
                <w:tcPr>
                  <w:tcW w:w="1047" w:type="dxa"/>
                  <w:tcBorders>
                    <w:tl2br w:val="nil"/>
                    <w:tr2bl w:val="nil"/>
                  </w:tcBorders>
                  <w:noWrap w:val="0"/>
                  <w:vAlign w:val="center"/>
                </w:tcPr>
                <w:p w14:paraId="5B754B09">
                  <w:pPr>
                    <w:pStyle w:val="37"/>
                    <w:spacing w:line="240" w:lineRule="auto"/>
                    <w:ind w:firstLine="0" w:firstLineChars="0"/>
                    <w:jc w:val="center"/>
                    <w:rPr>
                      <w:rFonts w:hint="default" w:ascii="Times New Roman" w:hAnsi="Times New Roman" w:eastAsia="宋体" w:cs="Times New Roman"/>
                      <w:bCs/>
                      <w:color w:val="000000"/>
                      <w:sz w:val="21"/>
                      <w:szCs w:val="21"/>
                      <w:u w:val="single" w:color="auto"/>
                      <w:lang w:val="en-US" w:eastAsia="zh-CN"/>
                    </w:rPr>
                  </w:pPr>
                  <w:r>
                    <w:rPr>
                      <w:rFonts w:hint="default" w:ascii="Times New Roman" w:hAnsi="Times New Roman" w:eastAsia="宋体" w:cs="Times New Roman"/>
                      <w:bCs/>
                      <w:color w:val="000000"/>
                      <w:sz w:val="21"/>
                      <w:szCs w:val="21"/>
                      <w:u w:val="single" w:color="auto"/>
                      <w:lang w:val="en-US" w:eastAsia="zh-CN"/>
                    </w:rPr>
                    <w:t>达标</w:t>
                  </w:r>
                </w:p>
              </w:tc>
            </w:tr>
          </w:tbl>
          <w:p w14:paraId="3F839BCE">
            <w:pPr>
              <w:pStyle w:val="14"/>
              <w:keepNext w:val="0"/>
              <w:keepLines w:val="0"/>
              <w:pageBreakBefore w:val="0"/>
              <w:widowControl w:val="0"/>
              <w:kinsoku/>
              <w:wordWrap/>
              <w:overflowPunct/>
              <w:topLinePunct w:val="0"/>
              <w:autoSpaceDE/>
              <w:autoSpaceDN/>
              <w:bidi w:val="0"/>
              <w:adjustRightInd w:val="0"/>
              <w:snapToGrid/>
              <w:textAlignment w:val="auto"/>
              <w:rPr>
                <w:rFonts w:hint="eastAsia" w:ascii="黑体" w:hAnsi="黑体" w:eastAsia="黑体"/>
                <w:snapToGrid w:val="0"/>
                <w:color w:val="000000"/>
                <w:sz w:val="30"/>
                <w:szCs w:val="30"/>
                <w:u w:val="single" w:color="auto"/>
                <w:vertAlign w:val="baseline"/>
                <w:lang w:val="en-US" w:eastAsia="zh-CN"/>
              </w:rPr>
            </w:pPr>
            <w:r>
              <w:rPr>
                <w:rFonts w:hint="eastAsia" w:ascii="Times New Roman" w:hAnsi="Times New Roman" w:eastAsia="宋体" w:cs="Times New Roman"/>
                <w:b w:val="0"/>
                <w:bCs/>
                <w:kern w:val="2"/>
                <w:sz w:val="24"/>
                <w:szCs w:val="32"/>
                <w:u w:val="single" w:color="auto"/>
                <w:lang w:val="en-US" w:eastAsia="zh-CN" w:bidi="ar-SA"/>
              </w:rPr>
              <w:t>根据以上监测结果可知：2023年</w:t>
            </w:r>
            <w:r>
              <w:rPr>
                <w:rFonts w:hint="eastAsia" w:ascii="Times New Roman" w:hAnsi="Times New Roman" w:eastAsia="宋体" w:cs="Times New Roman"/>
                <w:color w:val="000000"/>
                <w:kern w:val="0"/>
                <w:sz w:val="24"/>
                <w:szCs w:val="24"/>
                <w:u w:val="single" w:color="auto"/>
                <w:lang w:val="en-US" w:eastAsia="zh-CN"/>
              </w:rPr>
              <w:t>永州市新田县</w:t>
            </w:r>
            <w:r>
              <w:rPr>
                <w:rFonts w:hint="eastAsia" w:ascii="Times New Roman" w:hAnsi="Times New Roman" w:eastAsia="宋体" w:cs="Times New Roman"/>
                <w:b w:val="0"/>
                <w:bCs/>
                <w:kern w:val="2"/>
                <w:sz w:val="24"/>
                <w:szCs w:val="32"/>
                <w:u w:val="single" w:color="auto"/>
                <w:lang w:val="en-US" w:eastAsia="zh-CN" w:bidi="ar-SA"/>
              </w:rPr>
              <w:t>评价因子SO</w:t>
            </w:r>
            <w:r>
              <w:rPr>
                <w:rFonts w:hint="eastAsia" w:ascii="Times New Roman" w:hAnsi="Times New Roman" w:eastAsia="宋体" w:cs="Times New Roman"/>
                <w:b w:val="0"/>
                <w:bCs/>
                <w:kern w:val="2"/>
                <w:sz w:val="24"/>
                <w:szCs w:val="32"/>
                <w:u w:val="single" w:color="auto"/>
                <w:vertAlign w:val="subscript"/>
                <w:lang w:val="en-US" w:eastAsia="zh-CN" w:bidi="ar-SA"/>
              </w:rPr>
              <w:t>2</w:t>
            </w:r>
            <w:r>
              <w:rPr>
                <w:rFonts w:hint="eastAsia" w:ascii="Times New Roman" w:hAnsi="Times New Roman" w:eastAsia="宋体" w:cs="Times New Roman"/>
                <w:b w:val="0"/>
                <w:bCs/>
                <w:kern w:val="2"/>
                <w:sz w:val="24"/>
                <w:szCs w:val="32"/>
                <w:u w:val="single" w:color="auto"/>
                <w:lang w:val="en-US" w:eastAsia="zh-CN" w:bidi="ar-SA"/>
              </w:rPr>
              <w:t>、NO</w:t>
            </w:r>
            <w:r>
              <w:rPr>
                <w:rFonts w:hint="eastAsia" w:ascii="Times New Roman" w:hAnsi="Times New Roman" w:eastAsia="宋体" w:cs="Times New Roman"/>
                <w:b w:val="0"/>
                <w:bCs/>
                <w:kern w:val="2"/>
                <w:sz w:val="24"/>
                <w:szCs w:val="32"/>
                <w:u w:val="single" w:color="auto"/>
                <w:vertAlign w:val="subscript"/>
                <w:lang w:val="en-US" w:eastAsia="zh-CN" w:bidi="ar-SA"/>
              </w:rPr>
              <w:t>2</w:t>
            </w:r>
            <w:r>
              <w:rPr>
                <w:rFonts w:hint="eastAsia" w:ascii="Times New Roman" w:hAnsi="Times New Roman" w:eastAsia="宋体" w:cs="Times New Roman"/>
                <w:b w:val="0"/>
                <w:bCs/>
                <w:kern w:val="2"/>
                <w:sz w:val="24"/>
                <w:szCs w:val="32"/>
                <w:u w:val="single" w:color="auto"/>
                <w:lang w:val="en-US" w:eastAsia="zh-CN" w:bidi="ar-SA"/>
              </w:rPr>
              <w:t>、PM</w:t>
            </w:r>
            <w:r>
              <w:rPr>
                <w:rFonts w:hint="eastAsia" w:ascii="Times New Roman" w:hAnsi="Times New Roman" w:eastAsia="宋体" w:cs="Times New Roman"/>
                <w:b w:val="0"/>
                <w:bCs/>
                <w:kern w:val="2"/>
                <w:sz w:val="24"/>
                <w:szCs w:val="32"/>
                <w:u w:val="single" w:color="auto"/>
                <w:vertAlign w:val="subscript"/>
                <w:lang w:val="en-US" w:eastAsia="zh-CN" w:bidi="ar-SA"/>
              </w:rPr>
              <w:t>10</w:t>
            </w:r>
            <w:r>
              <w:rPr>
                <w:rFonts w:hint="eastAsia" w:ascii="Times New Roman" w:hAnsi="Times New Roman" w:eastAsia="宋体" w:cs="Times New Roman"/>
                <w:b w:val="0"/>
                <w:bCs/>
                <w:kern w:val="2"/>
                <w:sz w:val="24"/>
                <w:szCs w:val="32"/>
                <w:u w:val="single" w:color="auto"/>
                <w:lang w:val="en-US" w:eastAsia="zh-CN" w:bidi="ar-SA"/>
              </w:rPr>
              <w:t>、PM</w:t>
            </w:r>
            <w:r>
              <w:rPr>
                <w:rFonts w:hint="eastAsia" w:ascii="Times New Roman" w:hAnsi="Times New Roman" w:eastAsia="宋体" w:cs="Times New Roman"/>
                <w:b w:val="0"/>
                <w:bCs/>
                <w:kern w:val="2"/>
                <w:sz w:val="24"/>
                <w:szCs w:val="32"/>
                <w:u w:val="single" w:color="auto"/>
                <w:vertAlign w:val="subscript"/>
                <w:lang w:val="en-US" w:eastAsia="zh-CN" w:bidi="ar-SA"/>
              </w:rPr>
              <w:t>2.5</w:t>
            </w:r>
            <w:r>
              <w:rPr>
                <w:rFonts w:hint="eastAsia" w:ascii="Times New Roman" w:hAnsi="Times New Roman" w:eastAsia="宋体" w:cs="Times New Roman"/>
                <w:b w:val="0"/>
                <w:bCs/>
                <w:kern w:val="2"/>
                <w:sz w:val="24"/>
                <w:szCs w:val="32"/>
                <w:u w:val="single" w:color="auto"/>
                <w:lang w:val="en-US" w:eastAsia="zh-CN" w:bidi="ar-SA"/>
              </w:rPr>
              <w:t>年平均质量浓度和CO95百分位数日平均质量浓度、O</w:t>
            </w:r>
            <w:r>
              <w:rPr>
                <w:rFonts w:hint="eastAsia" w:ascii="Times New Roman" w:hAnsi="Times New Roman" w:eastAsia="宋体" w:cs="Times New Roman"/>
                <w:b w:val="0"/>
                <w:bCs/>
                <w:kern w:val="2"/>
                <w:sz w:val="24"/>
                <w:szCs w:val="32"/>
                <w:u w:val="single" w:color="auto"/>
                <w:vertAlign w:val="subscript"/>
                <w:lang w:val="en-US" w:eastAsia="zh-CN" w:bidi="ar-SA"/>
              </w:rPr>
              <w:t>3</w:t>
            </w:r>
            <w:r>
              <w:rPr>
                <w:rFonts w:hint="eastAsia" w:ascii="Times New Roman" w:hAnsi="Times New Roman" w:eastAsia="宋体" w:cs="Times New Roman"/>
                <w:b w:val="0"/>
                <w:bCs/>
                <w:kern w:val="2"/>
                <w:sz w:val="24"/>
                <w:szCs w:val="32"/>
                <w:u w:val="single" w:color="auto"/>
                <w:lang w:val="en-US" w:eastAsia="zh-CN" w:bidi="ar-SA"/>
              </w:rPr>
              <w:t xml:space="preserve"> 90百分位数最大8小时平均质量浓度均满足《环境空气质量标准》（GB3095-2012）及其修改单</w:t>
            </w:r>
            <w:r>
              <w:rPr>
                <w:rFonts w:hint="eastAsia" w:cs="Times New Roman"/>
                <w:b w:val="0"/>
                <w:bCs/>
                <w:kern w:val="2"/>
                <w:sz w:val="24"/>
                <w:szCs w:val="32"/>
                <w:u w:val="single" w:color="auto"/>
                <w:lang w:val="en-US" w:eastAsia="zh-CN" w:bidi="ar-SA"/>
              </w:rPr>
              <w:t>“</w:t>
            </w:r>
            <w:r>
              <w:rPr>
                <w:rFonts w:hint="eastAsia" w:ascii="Times New Roman" w:hAnsi="Times New Roman" w:eastAsia="宋体" w:cs="Times New Roman"/>
                <w:b w:val="0"/>
                <w:bCs/>
                <w:kern w:val="2"/>
                <w:sz w:val="24"/>
                <w:szCs w:val="32"/>
                <w:u w:val="single" w:color="auto"/>
                <w:lang w:val="en-US" w:eastAsia="zh-CN" w:bidi="ar-SA"/>
              </w:rPr>
              <w:t>生态环境部公告2018年第29号</w:t>
            </w:r>
            <w:r>
              <w:rPr>
                <w:rFonts w:hint="eastAsia" w:cs="Times New Roman"/>
                <w:b w:val="0"/>
                <w:bCs/>
                <w:kern w:val="2"/>
                <w:sz w:val="24"/>
                <w:szCs w:val="32"/>
                <w:u w:val="single" w:color="auto"/>
                <w:lang w:val="en-US" w:eastAsia="zh-CN" w:bidi="ar-SA"/>
              </w:rPr>
              <w:t>”</w:t>
            </w:r>
            <w:r>
              <w:rPr>
                <w:rFonts w:hint="eastAsia" w:ascii="Times New Roman" w:hAnsi="Times New Roman" w:eastAsia="宋体" w:cs="Times New Roman"/>
                <w:b w:val="0"/>
                <w:bCs/>
                <w:kern w:val="2"/>
                <w:sz w:val="24"/>
                <w:szCs w:val="32"/>
                <w:u w:val="single" w:color="auto"/>
                <w:lang w:val="en-US" w:eastAsia="zh-CN" w:bidi="ar-SA"/>
              </w:rPr>
              <w:t>中的二级标准限值要求，因此，2023年</w:t>
            </w:r>
            <w:r>
              <w:rPr>
                <w:rFonts w:hint="eastAsia" w:ascii="Times New Roman" w:hAnsi="Times New Roman" w:eastAsia="宋体" w:cs="Times New Roman"/>
                <w:color w:val="000000"/>
                <w:kern w:val="0"/>
                <w:sz w:val="24"/>
                <w:szCs w:val="24"/>
                <w:u w:val="single" w:color="auto"/>
                <w:lang w:val="en-US" w:eastAsia="zh-CN"/>
              </w:rPr>
              <w:t>永州市新田县</w:t>
            </w:r>
            <w:r>
              <w:rPr>
                <w:rFonts w:hint="eastAsia" w:ascii="Times New Roman" w:hAnsi="Times New Roman" w:eastAsia="宋体" w:cs="Times New Roman"/>
                <w:b w:val="0"/>
                <w:bCs/>
                <w:kern w:val="2"/>
                <w:sz w:val="24"/>
                <w:szCs w:val="32"/>
                <w:u w:val="single" w:color="auto"/>
                <w:lang w:val="en-US" w:eastAsia="zh-CN" w:bidi="ar-SA"/>
              </w:rPr>
              <w:t>为环境空气质量达标区。</w:t>
            </w:r>
            <w:r>
              <w:rPr>
                <w:rFonts w:hint="default" w:ascii="Times New Roman" w:hAnsi="Times New Roman" w:eastAsia="宋体" w:cs="Times New Roman"/>
                <w:color w:val="000000"/>
                <w:sz w:val="24"/>
                <w:szCs w:val="24"/>
                <w:u w:val="single" w:color="auto"/>
              </w:rPr>
              <w:t>由此表明，项目所在区域环境空气质量良好。</w:t>
            </w:r>
            <w:r>
              <w:rPr>
                <w:rFonts w:hint="eastAsia" w:ascii="黑体" w:hAnsi="黑体" w:eastAsia="黑体"/>
                <w:snapToGrid w:val="0"/>
                <w:color w:val="000000"/>
                <w:sz w:val="30"/>
                <w:szCs w:val="30"/>
                <w:u w:val="single" w:color="auto"/>
                <w:vertAlign w:val="baseline"/>
                <w:lang w:val="en-US" w:eastAsia="zh-CN"/>
              </w:rPr>
              <w:t xml:space="preserve"> </w:t>
            </w:r>
          </w:p>
          <w:p w14:paraId="6BA93119">
            <w:pPr>
              <w:keepNext w:val="0"/>
              <w:keepLines w:val="0"/>
              <w:pageBreakBefore w:val="0"/>
              <w:widowControl w:val="0"/>
              <w:kinsoku/>
              <w:wordWrap/>
              <w:overflowPunct/>
              <w:topLinePunct w:val="0"/>
              <w:autoSpaceDE w:val="0"/>
              <w:autoSpaceDN w:val="0"/>
              <w:bidi w:val="0"/>
              <w:adjustRightInd w:val="0"/>
              <w:snapToGrid/>
              <w:spacing w:line="360" w:lineRule="auto"/>
              <w:ind w:right="0" w:firstLine="480" w:firstLineChars="200"/>
              <w:textAlignment w:val="auto"/>
              <w:rPr>
                <w:rFonts w:hint="eastAsia" w:ascii="Times New Roman" w:hAnsi="Times New Roman" w:eastAsia="宋体" w:cs="Times New Roman"/>
                <w:bCs/>
                <w:color w:val="000000"/>
                <w:sz w:val="24"/>
                <w:szCs w:val="24"/>
                <w:u w:val="single" w:color="auto"/>
                <w:lang w:val="en-US" w:eastAsia="zh-CN"/>
              </w:rPr>
            </w:pPr>
            <w:r>
              <w:rPr>
                <w:rFonts w:hint="eastAsia" w:ascii="Times New Roman" w:hAnsi="Times New Roman" w:eastAsia="宋体" w:cs="Times New Roman"/>
                <w:bCs/>
                <w:color w:val="000000"/>
                <w:sz w:val="24"/>
                <w:szCs w:val="24"/>
                <w:u w:val="single" w:color="auto"/>
                <w:lang w:val="en-US" w:eastAsia="zh-CN"/>
              </w:rPr>
              <w:t>（2）区域污染物环境质量现状</w:t>
            </w:r>
          </w:p>
          <w:p w14:paraId="2F1865A2">
            <w:pPr>
              <w:pStyle w:val="14"/>
              <w:keepNext w:val="0"/>
              <w:keepLines w:val="0"/>
              <w:pageBreakBefore w:val="0"/>
              <w:widowControl w:val="0"/>
              <w:kinsoku/>
              <w:wordWrap/>
              <w:overflowPunct/>
              <w:topLinePunct w:val="0"/>
              <w:bidi w:val="0"/>
              <w:adjustRightInd w:val="0"/>
              <w:snapToGrid/>
              <w:textAlignment w:val="auto"/>
              <w:rPr>
                <w:rFonts w:hint="eastAsia" w:ascii="Times New Roman" w:hAnsi="Times New Roman" w:eastAsia="宋体" w:cs="Times New Roman"/>
                <w:bCs/>
                <w:color w:val="000000"/>
                <w:sz w:val="24"/>
                <w:szCs w:val="24"/>
                <w:u w:val="single" w:color="auto"/>
                <w:lang w:val="en-US" w:eastAsia="zh-CN"/>
              </w:rPr>
            </w:pPr>
            <w:r>
              <w:rPr>
                <w:rFonts w:hint="eastAsia" w:ascii="Times New Roman" w:hAnsi="Times New Roman" w:eastAsia="宋体" w:cs="Times New Roman"/>
                <w:bCs/>
                <w:color w:val="000000"/>
                <w:sz w:val="24"/>
                <w:szCs w:val="24"/>
                <w:u w:val="single" w:color="auto"/>
                <w:lang w:val="en-US" w:eastAsia="zh-CN"/>
              </w:rPr>
              <w:t>根据《建设项目环境影响报告表编制技术指南（污染影响类）（试行）》</w:t>
            </w:r>
            <w:r>
              <w:rPr>
                <w:rFonts w:hint="eastAsia" w:cs="Times New Roman"/>
                <w:bCs/>
                <w:color w:val="000000"/>
                <w:sz w:val="24"/>
                <w:szCs w:val="24"/>
                <w:u w:val="single" w:color="auto"/>
                <w:lang w:val="en-US" w:eastAsia="zh-CN"/>
              </w:rPr>
              <w:t>“</w:t>
            </w:r>
            <w:r>
              <w:rPr>
                <w:rFonts w:hint="eastAsia" w:ascii="Times New Roman" w:hAnsi="Times New Roman" w:eastAsia="宋体" w:cs="Times New Roman"/>
                <w:bCs/>
                <w:color w:val="000000"/>
                <w:sz w:val="24"/>
                <w:szCs w:val="24"/>
                <w:u w:val="single" w:color="auto"/>
                <w:lang w:val="en-US" w:eastAsia="zh-CN"/>
              </w:rPr>
              <w:t>排放国家、地方环境空气质量标准中有标准限值要求的特征污染物时，引用建设项目周边5千米范围内近3年的现有监测数据</w:t>
            </w:r>
            <w:r>
              <w:rPr>
                <w:rFonts w:hint="eastAsia" w:cs="Times New Roman"/>
                <w:bCs/>
                <w:color w:val="000000"/>
                <w:sz w:val="24"/>
                <w:szCs w:val="24"/>
                <w:u w:val="single" w:color="auto"/>
                <w:lang w:val="en-US" w:eastAsia="zh-CN"/>
              </w:rPr>
              <w:t>”</w:t>
            </w:r>
            <w:r>
              <w:rPr>
                <w:rFonts w:hint="eastAsia" w:ascii="Times New Roman" w:hAnsi="Times New Roman" w:eastAsia="宋体" w:cs="Times New Roman"/>
                <w:bCs/>
                <w:color w:val="000000"/>
                <w:sz w:val="24"/>
                <w:szCs w:val="24"/>
                <w:u w:val="single" w:color="auto"/>
                <w:lang w:val="en-US" w:eastAsia="zh-CN"/>
              </w:rPr>
              <w:t>，本项目大气特征污染因子主要为TSP。</w:t>
            </w:r>
          </w:p>
          <w:p w14:paraId="16E56E56">
            <w:pPr>
              <w:pStyle w:val="14"/>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Times New Roman" w:hAnsi="Times New Roman" w:eastAsia="宋体" w:cs="Times New Roman"/>
                <w:bCs/>
                <w:color w:val="000000"/>
                <w:sz w:val="24"/>
                <w:szCs w:val="24"/>
                <w:u w:val="single" w:color="auto"/>
                <w:lang w:val="en-US" w:eastAsia="zh-CN"/>
              </w:rPr>
            </w:pPr>
            <w:r>
              <w:rPr>
                <w:rFonts w:hint="default" w:ascii="Times New Roman" w:hAnsi="Times New Roman" w:eastAsia="宋体" w:cs="Times New Roman"/>
                <w:bCs/>
                <w:color w:val="000000"/>
                <w:sz w:val="24"/>
                <w:szCs w:val="24"/>
                <w:u w:val="single" w:color="auto"/>
                <w:lang w:val="en-US" w:eastAsia="zh-CN"/>
              </w:rPr>
              <w:t>本评价引用湖南鲁丽木业有限公司《湖南鲁丽木业有限公司生物质自备电厂项目环境影响报告表》中</w:t>
            </w:r>
            <w:r>
              <w:rPr>
                <w:rFonts w:hint="eastAsia" w:ascii="Times New Roman" w:hAnsi="Times New Roman" w:eastAsia="宋体" w:cs="Times New Roman"/>
                <w:bCs/>
                <w:color w:val="000000"/>
                <w:sz w:val="24"/>
                <w:szCs w:val="24"/>
                <w:u w:val="single" w:color="auto"/>
                <w:lang w:val="en-US" w:eastAsia="zh-CN"/>
              </w:rPr>
              <w:t>委托湖南乾诚检测有限公司于</w:t>
            </w:r>
            <w:r>
              <w:rPr>
                <w:rFonts w:hint="default" w:ascii="Times New Roman" w:hAnsi="Times New Roman" w:eastAsia="宋体" w:cs="Times New Roman"/>
                <w:bCs/>
                <w:color w:val="000000"/>
                <w:sz w:val="24"/>
                <w:szCs w:val="24"/>
                <w:u w:val="single" w:color="auto"/>
                <w:lang w:val="en-US" w:eastAsia="zh-CN"/>
              </w:rPr>
              <w:t>2023年12月15日~12月21日出具的监测数据（监测点位</w:t>
            </w:r>
            <w:r>
              <w:rPr>
                <w:rFonts w:hint="eastAsia" w:ascii="Times New Roman" w:hAnsi="Times New Roman" w:eastAsia="宋体" w:cs="Times New Roman"/>
                <w:bCs/>
                <w:color w:val="000000"/>
                <w:sz w:val="24"/>
                <w:szCs w:val="24"/>
                <w:u w:val="single" w:color="auto"/>
                <w:lang w:val="en-US" w:eastAsia="zh-CN"/>
              </w:rPr>
              <w:t>新田县德恒实验学校位</w:t>
            </w:r>
            <w:r>
              <w:rPr>
                <w:rFonts w:hint="default" w:ascii="Times New Roman" w:hAnsi="Times New Roman" w:eastAsia="宋体" w:cs="Times New Roman"/>
                <w:bCs/>
                <w:color w:val="000000"/>
                <w:sz w:val="24"/>
                <w:szCs w:val="24"/>
                <w:u w:val="single" w:color="auto"/>
                <w:lang w:val="en-US" w:eastAsia="zh-CN"/>
              </w:rPr>
              <w:t>于本项目东</w:t>
            </w:r>
            <w:r>
              <w:rPr>
                <w:rFonts w:hint="eastAsia" w:ascii="Times New Roman" w:hAnsi="Times New Roman" w:eastAsia="宋体" w:cs="Times New Roman"/>
                <w:bCs/>
                <w:color w:val="000000"/>
                <w:sz w:val="24"/>
                <w:szCs w:val="24"/>
                <w:u w:val="single" w:color="auto"/>
                <w:lang w:val="en-US" w:eastAsia="zh-CN"/>
              </w:rPr>
              <w:t>南</w:t>
            </w:r>
            <w:r>
              <w:rPr>
                <w:rFonts w:hint="default" w:ascii="Times New Roman" w:hAnsi="Times New Roman" w:eastAsia="宋体" w:cs="Times New Roman"/>
                <w:bCs/>
                <w:color w:val="000000"/>
                <w:sz w:val="24"/>
                <w:szCs w:val="24"/>
                <w:u w:val="single" w:color="auto"/>
                <w:lang w:val="en-US" w:eastAsia="zh-CN"/>
              </w:rPr>
              <w:t>侧，直线距离约</w:t>
            </w:r>
            <w:r>
              <w:rPr>
                <w:rFonts w:hint="eastAsia" w:ascii="Times New Roman" w:hAnsi="Times New Roman" w:eastAsia="宋体" w:cs="Times New Roman"/>
                <w:bCs/>
                <w:color w:val="000000"/>
                <w:sz w:val="24"/>
                <w:szCs w:val="24"/>
                <w:u w:val="single" w:color="auto"/>
                <w:lang w:val="en-US" w:eastAsia="zh-CN"/>
              </w:rPr>
              <w:t>1.7</w:t>
            </w:r>
            <w:r>
              <w:rPr>
                <w:rFonts w:hint="default" w:ascii="Times New Roman" w:hAnsi="Times New Roman" w:eastAsia="宋体" w:cs="Times New Roman"/>
                <w:bCs/>
                <w:color w:val="000000"/>
                <w:sz w:val="24"/>
                <w:szCs w:val="24"/>
                <w:u w:val="single" w:color="auto"/>
                <w:lang w:val="en-US" w:eastAsia="zh-CN"/>
              </w:rPr>
              <w:t>km</w:t>
            </w:r>
            <w:r>
              <w:rPr>
                <w:rFonts w:hint="eastAsia" w:cs="Times New Roman"/>
                <w:bCs/>
                <w:color w:val="000000"/>
                <w:sz w:val="24"/>
                <w:szCs w:val="24"/>
                <w:u w:val="single" w:color="auto"/>
                <w:lang w:val="en-US" w:eastAsia="zh-CN"/>
              </w:rPr>
              <w:t>，引用大气环境监测点位位置分布详见附图7</w:t>
            </w:r>
            <w:r>
              <w:rPr>
                <w:rFonts w:hint="default" w:ascii="Times New Roman" w:hAnsi="Times New Roman" w:eastAsia="宋体" w:cs="Times New Roman"/>
                <w:bCs/>
                <w:color w:val="000000"/>
                <w:sz w:val="24"/>
                <w:szCs w:val="24"/>
                <w:u w:val="single" w:color="auto"/>
                <w:lang w:val="en-US" w:eastAsia="zh-CN"/>
              </w:rPr>
              <w:t>）。</w:t>
            </w:r>
            <w:r>
              <w:rPr>
                <w:rFonts w:hint="eastAsia" w:ascii="Times New Roman" w:hAnsi="Times New Roman" w:eastAsia="宋体" w:cs="Times New Roman"/>
                <w:bCs/>
                <w:color w:val="000000"/>
                <w:sz w:val="24"/>
                <w:szCs w:val="24"/>
                <w:u w:val="single" w:color="auto"/>
                <w:lang w:val="en-US" w:eastAsia="zh-CN"/>
              </w:rPr>
              <w:t>检测结果见表3-</w:t>
            </w:r>
            <w:r>
              <w:rPr>
                <w:rFonts w:hint="eastAsia" w:cs="Times New Roman"/>
                <w:bCs/>
                <w:color w:val="000000"/>
                <w:sz w:val="24"/>
                <w:szCs w:val="24"/>
                <w:u w:val="single" w:color="auto"/>
                <w:lang w:val="en-US" w:eastAsia="zh-CN"/>
              </w:rPr>
              <w:t>3</w:t>
            </w:r>
            <w:r>
              <w:rPr>
                <w:rFonts w:hint="eastAsia" w:ascii="Times New Roman" w:hAnsi="Times New Roman" w:eastAsia="宋体" w:cs="Times New Roman"/>
                <w:bCs/>
                <w:color w:val="000000"/>
                <w:sz w:val="24"/>
                <w:szCs w:val="24"/>
                <w:u w:val="single" w:color="auto"/>
                <w:lang w:val="en-US" w:eastAsia="zh-CN"/>
              </w:rPr>
              <w:t>。</w:t>
            </w:r>
          </w:p>
          <w:p w14:paraId="7ED774BD">
            <w:pPr>
              <w:autoSpaceDE w:val="0"/>
              <w:autoSpaceDN w:val="0"/>
              <w:adjustRightInd w:val="0"/>
              <w:snapToGrid w:val="0"/>
              <w:spacing w:line="240" w:lineRule="auto"/>
              <w:ind w:firstLine="0" w:firstLineChars="0"/>
              <w:jc w:val="center"/>
              <w:rPr>
                <w:rFonts w:hint="eastAsia" w:ascii="Times New Roman" w:hAnsi="Times New Roman" w:eastAsia="宋体" w:cs="Times New Roman"/>
                <w:b/>
                <w:color w:val="000000"/>
                <w:sz w:val="21"/>
                <w:szCs w:val="21"/>
                <w:highlight w:val="none"/>
                <w:u w:val="single" w:color="auto"/>
                <w:lang w:val="en-US" w:eastAsia="zh-CN"/>
              </w:rPr>
            </w:pPr>
            <w:r>
              <w:rPr>
                <w:rFonts w:hint="default" w:ascii="Times New Roman" w:hAnsi="Times New Roman" w:eastAsia="宋体" w:cs="Times New Roman"/>
                <w:b/>
                <w:color w:val="000000"/>
                <w:sz w:val="21"/>
                <w:szCs w:val="21"/>
                <w:highlight w:val="none"/>
                <w:u w:val="single" w:color="auto"/>
                <w:lang w:val="en-US" w:eastAsia="zh-CN"/>
              </w:rPr>
              <w:t>表</w:t>
            </w:r>
            <w:r>
              <w:rPr>
                <w:rFonts w:hint="eastAsia" w:ascii="Times New Roman" w:hAnsi="Times New Roman" w:eastAsia="宋体" w:cs="Times New Roman"/>
                <w:b/>
                <w:color w:val="000000"/>
                <w:sz w:val="21"/>
                <w:szCs w:val="21"/>
                <w:highlight w:val="none"/>
                <w:u w:val="single" w:color="auto"/>
                <w:lang w:val="en-US" w:eastAsia="zh-CN"/>
              </w:rPr>
              <w:t>3</w:t>
            </w:r>
            <w:r>
              <w:rPr>
                <w:rFonts w:hint="default" w:ascii="Times New Roman" w:hAnsi="Times New Roman" w:eastAsia="宋体" w:cs="Times New Roman"/>
                <w:b/>
                <w:color w:val="000000"/>
                <w:sz w:val="21"/>
                <w:szCs w:val="21"/>
                <w:highlight w:val="none"/>
                <w:u w:val="single" w:color="auto"/>
                <w:lang w:val="en-US" w:eastAsia="zh-CN"/>
              </w:rPr>
              <w:t>-</w:t>
            </w:r>
            <w:r>
              <w:rPr>
                <w:rFonts w:hint="eastAsia" w:ascii="Times New Roman" w:hAnsi="Times New Roman" w:eastAsia="宋体" w:cs="Times New Roman"/>
                <w:b/>
                <w:color w:val="000000"/>
                <w:sz w:val="21"/>
                <w:szCs w:val="21"/>
                <w:highlight w:val="none"/>
                <w:u w:val="single" w:color="auto"/>
                <w:lang w:val="en-US" w:eastAsia="zh-CN"/>
              </w:rPr>
              <w:t xml:space="preserve">2 </w:t>
            </w:r>
            <w:r>
              <w:rPr>
                <w:rFonts w:hint="default" w:ascii="Times New Roman" w:hAnsi="Times New Roman" w:eastAsia="宋体" w:cs="Times New Roman"/>
                <w:b/>
                <w:color w:val="000000"/>
                <w:sz w:val="21"/>
                <w:szCs w:val="21"/>
                <w:highlight w:val="none"/>
                <w:u w:val="single" w:color="auto"/>
                <w:lang w:val="en-US" w:eastAsia="zh-CN"/>
              </w:rPr>
              <w:t xml:space="preserve"> </w:t>
            </w:r>
            <w:r>
              <w:rPr>
                <w:rFonts w:hint="eastAsia" w:ascii="Times New Roman" w:hAnsi="Times New Roman" w:eastAsia="宋体" w:cs="Times New Roman"/>
                <w:b/>
                <w:color w:val="000000"/>
                <w:sz w:val="21"/>
                <w:szCs w:val="21"/>
                <w:highlight w:val="none"/>
                <w:u w:val="single" w:color="auto"/>
                <w:lang w:val="en-US" w:eastAsia="zh-CN"/>
              </w:rPr>
              <w:t>环境空气质量现状监测内容</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49"/>
              <w:gridCol w:w="571"/>
              <w:gridCol w:w="1039"/>
              <w:gridCol w:w="976"/>
              <w:gridCol w:w="1427"/>
              <w:gridCol w:w="2993"/>
            </w:tblGrid>
            <w:tr w14:paraId="7A573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 w:hRule="atLeast"/>
                <w:jc w:val="center"/>
              </w:trPr>
              <w:tc>
                <w:tcPr>
                  <w:tcW w:w="549" w:type="dxa"/>
                  <w:tcBorders>
                    <w:tl2br w:val="nil"/>
                    <w:tr2bl w:val="nil"/>
                  </w:tcBorders>
                  <w:noWrap w:val="0"/>
                  <w:vAlign w:val="center"/>
                </w:tcPr>
                <w:p w14:paraId="1E55C8FF">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000000"/>
                      <w:sz w:val="21"/>
                      <w:szCs w:val="21"/>
                      <w:highlight w:val="none"/>
                      <w:u w:val="single" w:color="auto"/>
                      <w:lang w:val="en-US" w:eastAsia="zh-CN"/>
                    </w:rPr>
                  </w:pPr>
                  <w:r>
                    <w:rPr>
                      <w:rFonts w:hint="eastAsia" w:ascii="Times New Roman" w:hAnsi="Times New Roman" w:eastAsia="宋体" w:cs="Times New Roman"/>
                      <w:b/>
                      <w:bCs/>
                      <w:color w:val="000000"/>
                      <w:sz w:val="21"/>
                      <w:szCs w:val="21"/>
                      <w:highlight w:val="none"/>
                      <w:u w:val="single" w:color="auto"/>
                      <w:lang w:val="en-US" w:eastAsia="zh-CN"/>
                    </w:rPr>
                    <w:t>序号</w:t>
                  </w:r>
                </w:p>
              </w:tc>
              <w:tc>
                <w:tcPr>
                  <w:tcW w:w="570" w:type="dxa"/>
                  <w:tcBorders>
                    <w:tl2br w:val="nil"/>
                    <w:tr2bl w:val="nil"/>
                  </w:tcBorders>
                  <w:noWrap w:val="0"/>
                  <w:vAlign w:val="center"/>
                </w:tcPr>
                <w:p w14:paraId="6CFFD73D">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kern w:val="2"/>
                      <w:position w:val="-3"/>
                      <w:sz w:val="21"/>
                      <w:szCs w:val="21"/>
                      <w:highlight w:val="none"/>
                      <w:u w:val="single" w:color="auto"/>
                      <w:lang w:val="en-US" w:eastAsia="zh-CN" w:bidi="ar-SA"/>
                    </w:rPr>
                  </w:pPr>
                  <w:r>
                    <w:rPr>
                      <w:rFonts w:hint="eastAsia" w:ascii="Times New Roman" w:hAnsi="Times New Roman" w:eastAsia="宋体" w:cs="Times New Roman"/>
                      <w:b/>
                      <w:bCs/>
                      <w:color w:val="000000"/>
                      <w:sz w:val="21"/>
                      <w:szCs w:val="21"/>
                      <w:highlight w:val="none"/>
                      <w:u w:val="single" w:color="auto"/>
                      <w:lang w:val="en-US" w:eastAsia="zh-CN"/>
                    </w:rPr>
                    <w:t>编号</w:t>
                  </w:r>
                </w:p>
              </w:tc>
              <w:tc>
                <w:tcPr>
                  <w:tcW w:w="1038" w:type="dxa"/>
                  <w:tcBorders>
                    <w:tl2br w:val="nil"/>
                    <w:tr2bl w:val="nil"/>
                  </w:tcBorders>
                  <w:noWrap w:val="0"/>
                  <w:vAlign w:val="center"/>
                </w:tcPr>
                <w:p w14:paraId="397C6A7E">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监测点</w:t>
                  </w:r>
                  <w:r>
                    <w:rPr>
                      <w:rFonts w:hint="eastAsia" w:ascii="Times New Roman" w:hAnsi="Times New Roman" w:eastAsia="宋体" w:cs="Times New Roman"/>
                      <w:b/>
                      <w:bCs/>
                      <w:color w:val="000000"/>
                      <w:sz w:val="21"/>
                      <w:szCs w:val="21"/>
                      <w:highlight w:val="none"/>
                      <w:u w:val="single" w:color="auto"/>
                      <w:lang w:val="en-US" w:eastAsia="zh-CN"/>
                    </w:rPr>
                    <w:t>位</w:t>
                  </w:r>
                </w:p>
              </w:tc>
              <w:tc>
                <w:tcPr>
                  <w:tcW w:w="975" w:type="dxa"/>
                  <w:tcBorders>
                    <w:tl2br w:val="nil"/>
                    <w:tr2bl w:val="nil"/>
                  </w:tcBorders>
                  <w:noWrap w:val="0"/>
                  <w:vAlign w:val="center"/>
                </w:tcPr>
                <w:p w14:paraId="0614099C">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r>
                    <w:rPr>
                      <w:rFonts w:hint="eastAsia" w:ascii="Times New Roman" w:hAnsi="Times New Roman" w:eastAsia="宋体" w:cs="Times New Roman"/>
                      <w:b/>
                      <w:bCs/>
                      <w:color w:val="000000"/>
                      <w:sz w:val="21"/>
                      <w:szCs w:val="21"/>
                      <w:highlight w:val="none"/>
                      <w:u w:val="single" w:color="auto"/>
                      <w:lang w:val="en-US" w:eastAsia="zh-CN"/>
                    </w:rPr>
                    <w:t>监测因子</w:t>
                  </w:r>
                </w:p>
              </w:tc>
              <w:tc>
                <w:tcPr>
                  <w:tcW w:w="1425" w:type="dxa"/>
                  <w:tcBorders>
                    <w:tl2br w:val="nil"/>
                    <w:tr2bl w:val="nil"/>
                  </w:tcBorders>
                  <w:noWrap w:val="0"/>
                  <w:vAlign w:val="center"/>
                </w:tcPr>
                <w:p w14:paraId="62B9C958">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000000"/>
                      <w:sz w:val="21"/>
                      <w:szCs w:val="21"/>
                      <w:highlight w:val="none"/>
                      <w:u w:val="single" w:color="auto"/>
                      <w:lang w:val="en-US" w:eastAsia="zh-CN"/>
                    </w:rPr>
                  </w:pPr>
                  <w:r>
                    <w:rPr>
                      <w:rFonts w:hint="eastAsia" w:ascii="Times New Roman" w:hAnsi="Times New Roman" w:eastAsia="宋体" w:cs="Times New Roman"/>
                      <w:b/>
                      <w:bCs/>
                      <w:color w:val="000000"/>
                      <w:sz w:val="21"/>
                      <w:szCs w:val="21"/>
                      <w:highlight w:val="none"/>
                      <w:u w:val="single" w:color="auto"/>
                      <w:lang w:val="en-US" w:eastAsia="zh-CN"/>
                    </w:rPr>
                    <w:t>监测频次</w:t>
                  </w:r>
                </w:p>
              </w:tc>
              <w:tc>
                <w:tcPr>
                  <w:tcW w:w="2990" w:type="dxa"/>
                  <w:tcBorders>
                    <w:tl2br w:val="nil"/>
                    <w:tr2bl w:val="nil"/>
                  </w:tcBorders>
                  <w:noWrap w:val="0"/>
                  <w:vAlign w:val="center"/>
                </w:tcPr>
                <w:p w14:paraId="4903B540">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b/>
                      <w:bCs/>
                      <w:color w:val="000000"/>
                      <w:sz w:val="21"/>
                      <w:szCs w:val="21"/>
                      <w:highlight w:val="none"/>
                      <w:u w:val="single" w:color="auto"/>
                      <w:lang w:val="en-US" w:eastAsia="zh-CN"/>
                    </w:rPr>
                  </w:pPr>
                  <w:r>
                    <w:rPr>
                      <w:rFonts w:hint="eastAsia" w:ascii="Times New Roman" w:hAnsi="Times New Roman" w:eastAsia="宋体" w:cs="Times New Roman"/>
                      <w:b/>
                      <w:bCs/>
                      <w:color w:val="000000"/>
                      <w:sz w:val="21"/>
                      <w:szCs w:val="21"/>
                      <w:highlight w:val="none"/>
                      <w:u w:val="single" w:color="auto"/>
                      <w:lang w:val="en-US" w:eastAsia="zh-CN"/>
                    </w:rPr>
                    <w:t>评价标准</w:t>
                  </w:r>
                </w:p>
              </w:tc>
            </w:tr>
            <w:tr w14:paraId="22725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 w:hRule="atLeast"/>
                <w:jc w:val="center"/>
              </w:trPr>
              <w:tc>
                <w:tcPr>
                  <w:tcW w:w="549" w:type="dxa"/>
                  <w:tcBorders>
                    <w:tl2br w:val="nil"/>
                    <w:tr2bl w:val="nil"/>
                  </w:tcBorders>
                  <w:noWrap w:val="0"/>
                  <w:vAlign w:val="center"/>
                </w:tcPr>
                <w:p w14:paraId="4BB343D5">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cs="Times New Roman"/>
                      <w:color w:val="000000"/>
                      <w:sz w:val="21"/>
                      <w:szCs w:val="21"/>
                      <w:highlight w:val="none"/>
                      <w:u w:val="single" w:color="auto"/>
                      <w:lang w:val="en-US" w:eastAsia="zh-CN"/>
                    </w:rPr>
                    <w:t>1</w:t>
                  </w:r>
                </w:p>
              </w:tc>
              <w:tc>
                <w:tcPr>
                  <w:tcW w:w="570" w:type="dxa"/>
                  <w:tcBorders>
                    <w:tl2br w:val="nil"/>
                    <w:tr2bl w:val="nil"/>
                  </w:tcBorders>
                  <w:noWrap w:val="0"/>
                  <w:vAlign w:val="center"/>
                </w:tcPr>
                <w:p w14:paraId="49F106EF">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kern w:val="0"/>
                      <w:sz w:val="21"/>
                      <w:szCs w:val="21"/>
                      <w:highlight w:val="none"/>
                      <w:u w:val="single" w:color="auto"/>
                      <w:lang w:val="en-US" w:eastAsia="zh-CN" w:bidi="ar-SA"/>
                    </w:rPr>
                  </w:pPr>
                  <w:r>
                    <w:rPr>
                      <w:rFonts w:hint="default" w:ascii="Times New Roman" w:hAnsi="Times New Roman" w:cs="Times New Roman"/>
                      <w:color w:val="000000"/>
                      <w:sz w:val="21"/>
                      <w:szCs w:val="21"/>
                      <w:highlight w:val="none"/>
                      <w:u w:val="single" w:color="auto"/>
                      <w:lang w:val="en-US" w:eastAsia="zh-CN"/>
                    </w:rPr>
                    <w:t>G1</w:t>
                  </w:r>
                </w:p>
              </w:tc>
              <w:tc>
                <w:tcPr>
                  <w:tcW w:w="1038" w:type="dxa"/>
                  <w:tcBorders>
                    <w:tl2br w:val="nil"/>
                    <w:tr2bl w:val="nil"/>
                  </w:tcBorders>
                  <w:noWrap w:val="0"/>
                  <w:vAlign w:val="center"/>
                </w:tcPr>
                <w:p w14:paraId="4CF6BDED">
                  <w:pPr>
                    <w:keepNext w:val="0"/>
                    <w:keepLines w:val="0"/>
                    <w:pageBreakBefore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新田县德恒实验学校</w:t>
                  </w:r>
                </w:p>
              </w:tc>
              <w:tc>
                <w:tcPr>
                  <w:tcW w:w="975" w:type="dxa"/>
                  <w:tcBorders>
                    <w:tl2br w:val="nil"/>
                    <w:tr2bl w:val="nil"/>
                  </w:tcBorders>
                  <w:noWrap w:val="0"/>
                  <w:vAlign w:val="center"/>
                </w:tcPr>
                <w:p w14:paraId="19D46B4E">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TSP</w:t>
                  </w:r>
                </w:p>
              </w:tc>
              <w:tc>
                <w:tcPr>
                  <w:tcW w:w="1425" w:type="dxa"/>
                  <w:tcBorders>
                    <w:tl2br w:val="nil"/>
                    <w:tr2bl w:val="nil"/>
                  </w:tcBorders>
                  <w:noWrap w:val="0"/>
                  <w:vAlign w:val="center"/>
                </w:tcPr>
                <w:p w14:paraId="6CCD22DD">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kern w:val="2"/>
                      <w:position w:val="-3"/>
                      <w:sz w:val="21"/>
                      <w:szCs w:val="21"/>
                      <w:highlight w:val="none"/>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连续监测7天，每天监测一次</w:t>
                  </w:r>
                </w:p>
              </w:tc>
              <w:tc>
                <w:tcPr>
                  <w:tcW w:w="2990" w:type="dxa"/>
                  <w:tcBorders>
                    <w:tl2br w:val="nil"/>
                    <w:tr2bl w:val="nil"/>
                  </w:tcBorders>
                  <w:noWrap w:val="0"/>
                  <w:vAlign w:val="center"/>
                </w:tcPr>
                <w:p w14:paraId="35C3F5C4">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《环境空气质量标准》（GB3095-2012）及其2018年修改单中二级标准要求</w:t>
                  </w:r>
                </w:p>
              </w:tc>
            </w:tr>
          </w:tbl>
          <w:p w14:paraId="20C74D20">
            <w:pPr>
              <w:autoSpaceDE w:val="0"/>
              <w:autoSpaceDN w:val="0"/>
              <w:adjustRightInd w:val="0"/>
              <w:snapToGrid w:val="0"/>
              <w:spacing w:line="240" w:lineRule="auto"/>
              <w:ind w:firstLine="0" w:firstLineChars="0"/>
              <w:jc w:val="center"/>
              <w:rPr>
                <w:rFonts w:hint="eastAsia" w:ascii="Times New Roman" w:hAnsi="Times New Roman" w:eastAsia="宋体" w:cs="Times New Roman"/>
                <w:b/>
                <w:color w:val="000000"/>
                <w:sz w:val="21"/>
                <w:szCs w:val="21"/>
                <w:highlight w:val="none"/>
                <w:u w:val="single" w:color="auto"/>
                <w:lang w:val="en-US" w:eastAsia="zh-CN"/>
              </w:rPr>
            </w:pPr>
            <w:r>
              <w:rPr>
                <w:rFonts w:hint="eastAsia" w:ascii="Times New Roman" w:hAnsi="Times New Roman" w:eastAsia="宋体" w:cs="Times New Roman"/>
                <w:bCs/>
                <w:color w:val="000000"/>
                <w:sz w:val="24"/>
                <w:szCs w:val="24"/>
                <w:u w:val="single" w:color="auto"/>
                <w:lang w:val="en-US" w:eastAsia="zh-CN"/>
              </w:rPr>
              <w:t xml:space="preserve"> </w:t>
            </w:r>
            <w:r>
              <w:rPr>
                <w:rFonts w:hint="default" w:ascii="Times New Roman" w:hAnsi="Times New Roman" w:eastAsia="宋体" w:cs="Times New Roman"/>
                <w:b/>
                <w:color w:val="000000"/>
                <w:sz w:val="21"/>
                <w:szCs w:val="21"/>
                <w:highlight w:val="none"/>
                <w:u w:val="single" w:color="auto"/>
                <w:lang w:val="en-US" w:eastAsia="zh-CN"/>
              </w:rPr>
              <w:t>表</w:t>
            </w:r>
            <w:r>
              <w:rPr>
                <w:rFonts w:hint="eastAsia" w:ascii="Times New Roman" w:hAnsi="Times New Roman" w:eastAsia="宋体" w:cs="Times New Roman"/>
                <w:b/>
                <w:color w:val="000000"/>
                <w:sz w:val="21"/>
                <w:szCs w:val="21"/>
                <w:highlight w:val="none"/>
                <w:u w:val="single" w:color="auto"/>
                <w:lang w:val="en-US" w:eastAsia="zh-CN"/>
              </w:rPr>
              <w:t>3</w:t>
            </w:r>
            <w:r>
              <w:rPr>
                <w:rFonts w:hint="default" w:ascii="Times New Roman" w:hAnsi="Times New Roman" w:eastAsia="宋体" w:cs="Times New Roman"/>
                <w:b/>
                <w:color w:val="000000"/>
                <w:sz w:val="21"/>
                <w:szCs w:val="21"/>
                <w:highlight w:val="none"/>
                <w:u w:val="single" w:color="auto"/>
                <w:lang w:val="en-US" w:eastAsia="zh-CN"/>
              </w:rPr>
              <w:t>-</w:t>
            </w:r>
            <w:r>
              <w:rPr>
                <w:rFonts w:hint="eastAsia" w:cs="Times New Roman"/>
                <w:b/>
                <w:color w:val="000000"/>
                <w:sz w:val="21"/>
                <w:szCs w:val="21"/>
                <w:highlight w:val="none"/>
                <w:u w:val="single" w:color="auto"/>
                <w:lang w:val="en-US" w:eastAsia="zh-CN"/>
              </w:rPr>
              <w:t>3</w:t>
            </w:r>
            <w:r>
              <w:rPr>
                <w:rFonts w:hint="eastAsia" w:ascii="Times New Roman" w:hAnsi="Times New Roman" w:eastAsia="宋体" w:cs="Times New Roman"/>
                <w:b/>
                <w:color w:val="000000"/>
                <w:sz w:val="21"/>
                <w:szCs w:val="21"/>
                <w:highlight w:val="none"/>
                <w:u w:val="single" w:color="auto"/>
                <w:lang w:val="en-US" w:eastAsia="zh-CN"/>
              </w:rPr>
              <w:t xml:space="preserve"> </w:t>
            </w:r>
            <w:r>
              <w:rPr>
                <w:rFonts w:hint="default" w:ascii="Times New Roman" w:hAnsi="Times New Roman" w:eastAsia="宋体" w:cs="Times New Roman"/>
                <w:b/>
                <w:color w:val="000000"/>
                <w:sz w:val="21"/>
                <w:szCs w:val="21"/>
                <w:highlight w:val="none"/>
                <w:u w:val="single" w:color="auto"/>
                <w:lang w:val="en-US" w:eastAsia="zh-CN"/>
              </w:rPr>
              <w:t xml:space="preserve"> </w:t>
            </w:r>
            <w:r>
              <w:rPr>
                <w:rFonts w:hint="eastAsia" w:ascii="Times New Roman" w:hAnsi="Times New Roman" w:eastAsia="宋体" w:cs="Times New Roman"/>
                <w:b/>
                <w:color w:val="000000"/>
                <w:sz w:val="21"/>
                <w:szCs w:val="21"/>
                <w:highlight w:val="none"/>
                <w:u w:val="single" w:color="auto"/>
                <w:lang w:val="en-US" w:eastAsia="zh-CN"/>
              </w:rPr>
              <w:t>环境空气质量现状</w:t>
            </w:r>
            <w:r>
              <w:rPr>
                <w:rFonts w:hint="eastAsia" w:cs="Times New Roman"/>
                <w:b/>
                <w:color w:val="000000"/>
                <w:sz w:val="21"/>
                <w:szCs w:val="21"/>
                <w:highlight w:val="none"/>
                <w:u w:val="single" w:color="auto"/>
                <w:lang w:val="en-US" w:eastAsia="zh-CN"/>
              </w:rPr>
              <w:t>监测</w:t>
            </w:r>
            <w:r>
              <w:rPr>
                <w:rFonts w:hint="eastAsia" w:ascii="Times New Roman" w:hAnsi="Times New Roman" w:eastAsia="宋体" w:cs="Times New Roman"/>
                <w:b/>
                <w:color w:val="000000"/>
                <w:sz w:val="21"/>
                <w:szCs w:val="21"/>
                <w:highlight w:val="none"/>
                <w:u w:val="single" w:color="auto"/>
                <w:lang w:val="en-US" w:eastAsia="zh-CN"/>
              </w:rPr>
              <w:t>结果</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394"/>
              <w:gridCol w:w="3980"/>
            </w:tblGrid>
            <w:tr w14:paraId="2E47A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80" w:type="dxa"/>
                  <w:vMerge w:val="restart"/>
                  <w:tcBorders>
                    <w:tl2br w:val="nil"/>
                    <w:tr2bl w:val="nil"/>
                  </w:tcBorders>
                  <w:noWrap w:val="0"/>
                  <w:vAlign w:val="center"/>
                </w:tcPr>
                <w:p w14:paraId="11F19002">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监测点位</w:t>
                  </w:r>
                </w:p>
              </w:tc>
              <w:tc>
                <w:tcPr>
                  <w:tcW w:w="2391" w:type="dxa"/>
                  <w:vMerge w:val="restart"/>
                  <w:tcBorders>
                    <w:tl2br w:val="nil"/>
                    <w:tr2bl w:val="nil"/>
                  </w:tcBorders>
                  <w:noWrap w:val="0"/>
                  <w:vAlign w:val="center"/>
                </w:tcPr>
                <w:p w14:paraId="31033776">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评价指标</w:t>
                  </w:r>
                </w:p>
              </w:tc>
              <w:tc>
                <w:tcPr>
                  <w:tcW w:w="3976" w:type="dxa"/>
                  <w:tcBorders>
                    <w:tl2br w:val="nil"/>
                    <w:tr2bl w:val="nil"/>
                  </w:tcBorders>
                  <w:noWrap w:val="0"/>
                  <w:vAlign w:val="center"/>
                </w:tcPr>
                <w:p w14:paraId="02FEDE23">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监测因子</w:t>
                  </w:r>
                </w:p>
              </w:tc>
            </w:tr>
            <w:tr w14:paraId="74118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0" w:type="dxa"/>
                  <w:vMerge w:val="continue"/>
                  <w:tcBorders>
                    <w:tl2br w:val="nil"/>
                    <w:tr2bl w:val="nil"/>
                  </w:tcBorders>
                  <w:noWrap w:val="0"/>
                  <w:vAlign w:val="center"/>
                </w:tcPr>
                <w:p w14:paraId="06524CD7">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p>
              </w:tc>
              <w:tc>
                <w:tcPr>
                  <w:tcW w:w="2391" w:type="dxa"/>
                  <w:vMerge w:val="continue"/>
                  <w:tcBorders>
                    <w:tl2br w:val="nil"/>
                    <w:tr2bl w:val="nil"/>
                  </w:tcBorders>
                  <w:noWrap w:val="0"/>
                  <w:vAlign w:val="center"/>
                </w:tcPr>
                <w:p w14:paraId="3B91C98A">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p>
              </w:tc>
              <w:tc>
                <w:tcPr>
                  <w:tcW w:w="3976" w:type="dxa"/>
                  <w:tcBorders>
                    <w:tl2br w:val="nil"/>
                    <w:tr2bl w:val="nil"/>
                  </w:tcBorders>
                  <w:noWrap w:val="0"/>
                  <w:vAlign w:val="center"/>
                </w:tcPr>
                <w:p w14:paraId="66604E3C">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TSP</w:t>
                  </w:r>
                  <w:r>
                    <w:rPr>
                      <w:rFonts w:hint="eastAsia" w:ascii="Times New Roman" w:hAnsi="Times New Roman" w:eastAsia="宋体" w:cs="Times New Roman"/>
                      <w:b/>
                      <w:bCs/>
                      <w:color w:val="000000"/>
                      <w:sz w:val="21"/>
                      <w:szCs w:val="21"/>
                      <w:highlight w:val="none"/>
                      <w:u w:val="single" w:color="auto"/>
                      <w:lang w:val="en-US" w:eastAsia="zh-CN"/>
                    </w:rPr>
                    <w:t>（24小时均值）</w:t>
                  </w:r>
                </w:p>
              </w:tc>
            </w:tr>
            <w:tr w14:paraId="7823C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0" w:type="dxa"/>
                  <w:vMerge w:val="restart"/>
                  <w:tcBorders>
                    <w:tl2br w:val="nil"/>
                    <w:tr2bl w:val="nil"/>
                  </w:tcBorders>
                  <w:noWrap w:val="0"/>
                  <w:vAlign w:val="center"/>
                </w:tcPr>
                <w:p w14:paraId="2B3242B4">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G1</w:t>
                  </w:r>
                </w:p>
              </w:tc>
              <w:tc>
                <w:tcPr>
                  <w:tcW w:w="2391" w:type="dxa"/>
                  <w:tcBorders>
                    <w:tl2br w:val="nil"/>
                    <w:tr2bl w:val="nil"/>
                  </w:tcBorders>
                  <w:noWrap w:val="0"/>
                  <w:vAlign w:val="center"/>
                </w:tcPr>
                <w:p w14:paraId="2BC3137B">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浓度范围（μg/m</w:t>
                  </w:r>
                  <w:r>
                    <w:rPr>
                      <w:rFonts w:hint="default" w:ascii="Times New Roman" w:hAnsi="Times New Roman" w:eastAsia="宋体" w:cs="Times New Roman"/>
                      <w:color w:val="000000"/>
                      <w:sz w:val="21"/>
                      <w:szCs w:val="21"/>
                      <w:highlight w:val="none"/>
                      <w:u w:val="single" w:color="auto"/>
                      <w:vertAlign w:val="superscript"/>
                      <w:lang w:val="en-US" w:eastAsia="zh-CN"/>
                    </w:rPr>
                    <w:t>3</w:t>
                  </w:r>
                  <w:r>
                    <w:rPr>
                      <w:rFonts w:hint="default" w:ascii="Times New Roman" w:hAnsi="Times New Roman" w:eastAsia="宋体" w:cs="Times New Roman"/>
                      <w:color w:val="000000"/>
                      <w:sz w:val="21"/>
                      <w:szCs w:val="21"/>
                      <w:highlight w:val="none"/>
                      <w:u w:val="single" w:color="auto"/>
                      <w:lang w:val="en-US" w:eastAsia="zh-CN"/>
                    </w:rPr>
                    <w:t>）</w:t>
                  </w:r>
                </w:p>
              </w:tc>
              <w:tc>
                <w:tcPr>
                  <w:tcW w:w="3976" w:type="dxa"/>
                  <w:tcBorders>
                    <w:tl2br w:val="nil"/>
                    <w:tr2bl w:val="nil"/>
                  </w:tcBorders>
                  <w:noWrap w:val="0"/>
                  <w:vAlign w:val="center"/>
                </w:tcPr>
                <w:p w14:paraId="34D7D822">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kern w:val="16"/>
                      <w:sz w:val="21"/>
                      <w:szCs w:val="21"/>
                      <w:u w:val="single" w:color="auto"/>
                    </w:rPr>
                    <w:t>99</w:t>
                  </w:r>
                  <w:r>
                    <w:rPr>
                      <w:rFonts w:ascii="Times New Roman" w:hAnsi="Times New Roman" w:eastAsia="宋体" w:cs="Times New Roman"/>
                      <w:color w:val="000000"/>
                      <w:kern w:val="16"/>
                      <w:sz w:val="21"/>
                      <w:szCs w:val="21"/>
                      <w:u w:val="single" w:color="auto"/>
                    </w:rPr>
                    <w:t>~</w:t>
                  </w:r>
                  <w:r>
                    <w:rPr>
                      <w:rFonts w:hint="eastAsia" w:ascii="Times New Roman" w:hAnsi="Times New Roman" w:eastAsia="宋体" w:cs="Times New Roman"/>
                      <w:color w:val="000000"/>
                      <w:kern w:val="16"/>
                      <w:sz w:val="21"/>
                      <w:szCs w:val="21"/>
                      <w:u w:val="single" w:color="auto"/>
                      <w:lang w:val="en-US" w:eastAsia="zh-CN"/>
                    </w:rPr>
                    <w:t>105</w:t>
                  </w:r>
                </w:p>
              </w:tc>
            </w:tr>
            <w:tr w14:paraId="7113E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0" w:type="dxa"/>
                  <w:vMerge w:val="continue"/>
                  <w:tcBorders>
                    <w:tl2br w:val="nil"/>
                    <w:tr2bl w:val="nil"/>
                  </w:tcBorders>
                  <w:noWrap w:val="0"/>
                  <w:vAlign w:val="center"/>
                </w:tcPr>
                <w:p w14:paraId="63CCAADF">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p>
              </w:tc>
              <w:tc>
                <w:tcPr>
                  <w:tcW w:w="2391" w:type="dxa"/>
                  <w:tcBorders>
                    <w:tl2br w:val="nil"/>
                    <w:tr2bl w:val="nil"/>
                  </w:tcBorders>
                  <w:noWrap w:val="0"/>
                  <w:vAlign w:val="center"/>
                </w:tcPr>
                <w:p w14:paraId="2742F147">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超标率（%）</w:t>
                  </w:r>
                </w:p>
              </w:tc>
              <w:tc>
                <w:tcPr>
                  <w:tcW w:w="3976" w:type="dxa"/>
                  <w:tcBorders>
                    <w:tl2br w:val="nil"/>
                    <w:tr2bl w:val="nil"/>
                  </w:tcBorders>
                  <w:noWrap w:val="0"/>
                  <w:vAlign w:val="center"/>
                </w:tcPr>
                <w:p w14:paraId="3599EB84">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0</w:t>
                  </w:r>
                </w:p>
              </w:tc>
            </w:tr>
            <w:tr w14:paraId="4B4D2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80" w:type="dxa"/>
                  <w:vMerge w:val="continue"/>
                  <w:tcBorders>
                    <w:tl2br w:val="nil"/>
                    <w:tr2bl w:val="nil"/>
                  </w:tcBorders>
                  <w:noWrap w:val="0"/>
                  <w:vAlign w:val="center"/>
                </w:tcPr>
                <w:p w14:paraId="7E64A04B">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p>
              </w:tc>
              <w:tc>
                <w:tcPr>
                  <w:tcW w:w="2391" w:type="dxa"/>
                  <w:tcBorders>
                    <w:tl2br w:val="nil"/>
                    <w:tr2bl w:val="nil"/>
                  </w:tcBorders>
                  <w:noWrap w:val="0"/>
                  <w:vAlign w:val="center"/>
                </w:tcPr>
                <w:p w14:paraId="09FCB9E8">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最大超标倍数</w:t>
                  </w:r>
                </w:p>
              </w:tc>
              <w:tc>
                <w:tcPr>
                  <w:tcW w:w="3976" w:type="dxa"/>
                  <w:tcBorders>
                    <w:tl2br w:val="nil"/>
                    <w:tr2bl w:val="nil"/>
                  </w:tcBorders>
                  <w:noWrap w:val="0"/>
                  <w:vAlign w:val="center"/>
                </w:tcPr>
                <w:p w14:paraId="76F24ED4">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0</w:t>
                  </w:r>
                </w:p>
              </w:tc>
            </w:tr>
            <w:tr w14:paraId="0CDEC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571" w:type="dxa"/>
                  <w:gridSpan w:val="2"/>
                  <w:tcBorders>
                    <w:tl2br w:val="nil"/>
                    <w:tr2bl w:val="nil"/>
                  </w:tcBorders>
                  <w:noWrap w:val="0"/>
                  <w:vAlign w:val="center"/>
                </w:tcPr>
                <w:p w14:paraId="0707BEC9">
                  <w:pPr>
                    <w:widowControl w:val="0"/>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标准限值（</w:t>
                  </w:r>
                  <w:r>
                    <w:rPr>
                      <w:rFonts w:hint="default" w:ascii="Times New Roman" w:hAnsi="Times New Roman" w:eastAsia="宋体" w:cs="Times New Roman"/>
                      <w:color w:val="000000"/>
                      <w:sz w:val="21"/>
                      <w:szCs w:val="21"/>
                      <w:highlight w:val="none"/>
                      <w:u w:val="single" w:color="auto"/>
                      <w:lang w:val="en-US" w:eastAsia="zh-CN"/>
                    </w:rPr>
                    <w:t>μg/m</w:t>
                  </w:r>
                  <w:r>
                    <w:rPr>
                      <w:rFonts w:hint="default" w:ascii="Times New Roman" w:hAnsi="Times New Roman" w:eastAsia="宋体" w:cs="Times New Roman"/>
                      <w:color w:val="000000"/>
                      <w:sz w:val="21"/>
                      <w:szCs w:val="21"/>
                      <w:highlight w:val="none"/>
                      <w:u w:val="single" w:color="auto"/>
                      <w:vertAlign w:val="superscript"/>
                      <w:lang w:val="en-US" w:eastAsia="zh-CN"/>
                    </w:rPr>
                    <w:t>3</w:t>
                  </w:r>
                  <w:r>
                    <w:rPr>
                      <w:rFonts w:hint="eastAsia" w:ascii="Times New Roman" w:hAnsi="Times New Roman" w:eastAsia="宋体" w:cs="Times New Roman"/>
                      <w:color w:val="000000"/>
                      <w:sz w:val="21"/>
                      <w:szCs w:val="21"/>
                      <w:highlight w:val="none"/>
                      <w:u w:val="single" w:color="auto"/>
                      <w:lang w:val="en-US" w:eastAsia="zh-CN"/>
                    </w:rPr>
                    <w:t>）</w:t>
                  </w:r>
                </w:p>
              </w:tc>
              <w:tc>
                <w:tcPr>
                  <w:tcW w:w="3976" w:type="dxa"/>
                  <w:tcBorders>
                    <w:tl2br w:val="nil"/>
                    <w:tr2bl w:val="nil"/>
                  </w:tcBorders>
                  <w:noWrap w:val="0"/>
                  <w:vAlign w:val="center"/>
                </w:tcPr>
                <w:p w14:paraId="4FF90328">
                  <w:pPr>
                    <w:widowControl w:val="0"/>
                    <w:autoSpaceDE w:val="0"/>
                    <w:autoSpaceDN w:val="0"/>
                    <w:adjustRightInd w:val="0"/>
                    <w:snapToGrid w:val="0"/>
                    <w:spacing w:line="240" w:lineRule="auto"/>
                    <w:ind w:firstLine="0" w:firstLineChars="0"/>
                    <w:jc w:val="center"/>
                    <w:rPr>
                      <w:rFonts w:hint="eastAsia" w:ascii="Times New Roman" w:hAnsi="Times New Roman" w:eastAsia="宋体" w:cs="Times New Roman"/>
                      <w:color w:val="000000"/>
                      <w:kern w:val="2"/>
                      <w:position w:val="-3"/>
                      <w:sz w:val="21"/>
                      <w:szCs w:val="21"/>
                      <w:highlight w:val="none"/>
                      <w:u w:val="single" w:color="auto"/>
                      <w:lang w:val="en-US" w:eastAsia="zh-CN" w:bidi="ar-SA"/>
                    </w:rPr>
                  </w:pPr>
                  <w:r>
                    <w:rPr>
                      <w:rFonts w:hint="default" w:ascii="Times New Roman" w:hAnsi="Times New Roman" w:eastAsia="宋体" w:cs="Times New Roman"/>
                      <w:color w:val="000000"/>
                      <w:sz w:val="21"/>
                      <w:szCs w:val="21"/>
                      <w:highlight w:val="none"/>
                      <w:u w:val="single" w:color="auto"/>
                      <w:lang w:val="en-US" w:eastAsia="zh-CN"/>
                    </w:rPr>
                    <w:t>300</w:t>
                  </w:r>
                </w:p>
              </w:tc>
            </w:tr>
          </w:tbl>
          <w:p w14:paraId="27ECF8DF">
            <w:pPr>
              <w:pStyle w:val="14"/>
              <w:bidi w:val="0"/>
              <w:ind w:left="0" w:leftChars="0" w:firstLine="480" w:firstLineChars="200"/>
              <w:rPr>
                <w:rFonts w:hint="eastAsia" w:ascii="Times New Roman" w:hAnsi="Times New Roman" w:cs="Times New Roman"/>
                <w:color w:val="auto"/>
                <w:kern w:val="2"/>
                <w:sz w:val="24"/>
                <w:szCs w:val="24"/>
                <w:highlight w:val="none"/>
                <w:u w:val="single" w:color="auto"/>
                <w:lang w:val="en-US" w:eastAsia="zh-CN" w:bidi="ar-SA"/>
              </w:rPr>
            </w:pPr>
            <w:r>
              <w:rPr>
                <w:rFonts w:hint="eastAsia" w:ascii="Times New Roman" w:hAnsi="Times New Roman" w:eastAsia="宋体" w:cs="Times New Roman"/>
                <w:bCs/>
                <w:color w:val="000000"/>
                <w:sz w:val="24"/>
                <w:szCs w:val="24"/>
                <w:u w:val="single" w:color="auto"/>
                <w:lang w:val="en-US" w:eastAsia="zh-CN"/>
              </w:rPr>
              <w:t xml:space="preserve"> </w:t>
            </w:r>
            <w:r>
              <w:rPr>
                <w:rFonts w:hint="default" w:ascii="Times New Roman" w:hAnsi="Times New Roman" w:eastAsia="宋体" w:cs="Times New Roman"/>
                <w:bCs/>
                <w:color w:val="000000"/>
                <w:sz w:val="24"/>
                <w:szCs w:val="24"/>
                <w:u w:val="single" w:color="auto"/>
                <w:lang w:val="en-US" w:eastAsia="zh-CN"/>
              </w:rPr>
              <w:t>由表3-</w:t>
            </w:r>
            <w:r>
              <w:rPr>
                <w:rFonts w:hint="eastAsia" w:ascii="Times New Roman" w:hAnsi="Times New Roman" w:eastAsia="宋体" w:cs="Times New Roman"/>
                <w:bCs/>
                <w:color w:val="000000"/>
                <w:sz w:val="24"/>
                <w:szCs w:val="24"/>
                <w:u w:val="single" w:color="auto"/>
                <w:lang w:val="en-US" w:eastAsia="zh-CN"/>
              </w:rPr>
              <w:t>4</w:t>
            </w:r>
            <w:r>
              <w:rPr>
                <w:rFonts w:hint="default" w:ascii="Times New Roman" w:hAnsi="Times New Roman" w:eastAsia="宋体" w:cs="Times New Roman"/>
                <w:bCs/>
                <w:color w:val="000000"/>
                <w:sz w:val="24"/>
                <w:szCs w:val="24"/>
                <w:u w:val="single" w:color="auto"/>
                <w:lang w:val="en-US" w:eastAsia="zh-CN"/>
              </w:rPr>
              <w:t>可知，</w:t>
            </w:r>
            <w:r>
              <w:rPr>
                <w:rFonts w:hint="eastAsia" w:ascii="Times New Roman" w:hAnsi="Times New Roman" w:eastAsia="宋体" w:cs="Times New Roman"/>
                <w:bCs/>
                <w:color w:val="000000"/>
                <w:sz w:val="24"/>
                <w:szCs w:val="24"/>
                <w:u w:val="single" w:color="auto"/>
                <w:lang w:val="en-US" w:eastAsia="zh-CN"/>
              </w:rPr>
              <w:t>监测点位TSP的</w:t>
            </w:r>
            <w:r>
              <w:rPr>
                <w:rFonts w:hint="default" w:ascii="Times New Roman" w:hAnsi="Times New Roman" w:eastAsia="宋体" w:cs="Times New Roman"/>
                <w:bCs/>
                <w:color w:val="000000"/>
                <w:sz w:val="24"/>
                <w:szCs w:val="24"/>
                <w:u w:val="single" w:color="auto"/>
                <w:lang w:val="en-US" w:eastAsia="zh-CN"/>
              </w:rPr>
              <w:t>现状监测浓度值满足</w:t>
            </w:r>
            <w:r>
              <w:rPr>
                <w:rFonts w:hint="eastAsia" w:ascii="Times New Roman" w:hAnsi="Times New Roman" w:eastAsia="宋体" w:cs="Times New Roman"/>
                <w:bCs/>
                <w:color w:val="000000"/>
                <w:sz w:val="24"/>
                <w:szCs w:val="24"/>
                <w:u w:val="single" w:color="auto"/>
                <w:lang w:val="en-US" w:eastAsia="zh-CN"/>
              </w:rPr>
              <w:t>《环境空气质量标准》（GB3095-2012）及其2018年修改单中二级标准要求。</w:t>
            </w:r>
            <w:r>
              <w:rPr>
                <w:rFonts w:hint="eastAsia" w:ascii="Times New Roman" w:hAnsi="Times New Roman" w:cs="Times New Roman"/>
                <w:color w:val="auto"/>
                <w:kern w:val="2"/>
                <w:sz w:val="24"/>
                <w:szCs w:val="24"/>
                <w:highlight w:val="none"/>
                <w:u w:val="single" w:color="auto"/>
                <w:lang w:val="en-US" w:eastAsia="zh-CN" w:bidi="ar-SA"/>
              </w:rPr>
              <w:t>由此表明，项目所在区域环境空气质量良好。</w:t>
            </w:r>
          </w:p>
          <w:p w14:paraId="26A961A3">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Times New Roman" w:hAnsi="Times New Roman" w:eastAsia="宋体" w:cs="Times New Roman"/>
                <w:b/>
                <w:color w:val="000000"/>
                <w:sz w:val="24"/>
                <w:highlight w:val="none"/>
              </w:rPr>
            </w:pPr>
            <w:r>
              <w:rPr>
                <w:rFonts w:ascii="Times New Roman" w:hAnsi="Times New Roman" w:eastAsia="宋体" w:cs="Times New Roman"/>
                <w:b/>
                <w:color w:val="000000"/>
                <w:sz w:val="24"/>
                <w:highlight w:val="none"/>
              </w:rPr>
              <w:t>2、水环境质量现状</w:t>
            </w:r>
          </w:p>
          <w:p w14:paraId="7FF61B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en-US" w:eastAsia="zh-CN"/>
              </w:rPr>
              <w:t>本项目</w:t>
            </w:r>
            <w:r>
              <w:rPr>
                <w:rFonts w:hint="eastAsia" w:cs="Times New Roman"/>
                <w:sz w:val="24"/>
                <w:szCs w:val="24"/>
                <w:lang w:val="en-US" w:eastAsia="zh-CN"/>
              </w:rPr>
              <w:t>所在地</w:t>
            </w:r>
            <w:r>
              <w:rPr>
                <w:rFonts w:hint="default" w:ascii="Times New Roman" w:hAnsi="Times New Roman" w:cs="Times New Roman"/>
                <w:sz w:val="24"/>
                <w:szCs w:val="24"/>
                <w:lang w:val="en-US" w:eastAsia="zh-CN"/>
              </w:rPr>
              <w:t>周边水体为</w:t>
            </w:r>
            <w:r>
              <w:rPr>
                <w:rFonts w:hint="eastAsia" w:ascii="Times New Roman" w:hAnsi="Times New Roman" w:cs="Times New Roman"/>
                <w:sz w:val="24"/>
                <w:szCs w:val="24"/>
                <w:lang w:val="en-US" w:eastAsia="zh-CN"/>
              </w:rPr>
              <w:t>新田河</w:t>
            </w:r>
            <w:r>
              <w:rPr>
                <w:rFonts w:hint="default" w:ascii="Times New Roman" w:hAnsi="Times New Roman" w:cs="Times New Roman"/>
                <w:sz w:val="24"/>
                <w:szCs w:val="24"/>
                <w:lang w:val="en-US" w:eastAsia="zh-CN"/>
              </w:rPr>
              <w:t>，位于</w:t>
            </w:r>
            <w:r>
              <w:rPr>
                <w:rFonts w:hint="eastAsia" w:ascii="Times New Roman" w:hAnsi="Times New Roman" w:cs="Times New Roman"/>
                <w:sz w:val="24"/>
                <w:szCs w:val="24"/>
                <w:lang w:val="en-US" w:eastAsia="zh-CN"/>
              </w:rPr>
              <w:t>本项目东</w:t>
            </w:r>
            <w:r>
              <w:rPr>
                <w:rFonts w:hint="default" w:ascii="Times New Roman" w:hAnsi="Times New Roman" w:cs="Times New Roman"/>
                <w:sz w:val="24"/>
                <w:szCs w:val="24"/>
                <w:lang w:val="en-US" w:eastAsia="zh-CN"/>
              </w:rPr>
              <w:t>侧约</w:t>
            </w:r>
            <w:r>
              <w:rPr>
                <w:rFonts w:hint="eastAsia" w:ascii="Times New Roman" w:hAnsi="Times New Roman" w:cs="Times New Roman"/>
                <w:sz w:val="24"/>
                <w:szCs w:val="24"/>
                <w:lang w:val="en-US" w:eastAsia="zh-CN"/>
              </w:rPr>
              <w:t>1.9k</w:t>
            </w:r>
            <w:r>
              <w:rPr>
                <w:rFonts w:hint="default" w:ascii="Times New Roman" w:hAnsi="Times New Roman" w:cs="Times New Roman"/>
                <w:sz w:val="24"/>
                <w:szCs w:val="24"/>
                <w:lang w:val="en-US" w:eastAsia="zh-CN"/>
              </w:rPr>
              <w:t>m。</w:t>
            </w:r>
            <w:r>
              <w:rPr>
                <w:rFonts w:hint="default" w:ascii="Times New Roman" w:hAnsi="Times New Roman" w:cs="Times New Roman"/>
                <w:bCs/>
                <w:color w:val="auto"/>
                <w:sz w:val="24"/>
                <w:szCs w:val="24"/>
                <w:u w:val="none" w:color="auto"/>
                <w:lang w:val="en-US" w:eastAsia="zh-CN"/>
              </w:rPr>
              <w:t>本项目</w:t>
            </w:r>
            <w:r>
              <w:rPr>
                <w:rFonts w:hint="eastAsia" w:ascii="Times New Roman" w:hAnsi="Times New Roman" w:cs="Times New Roman"/>
                <w:bCs/>
                <w:color w:val="auto"/>
                <w:sz w:val="24"/>
                <w:szCs w:val="24"/>
                <w:u w:val="none" w:color="auto"/>
                <w:lang w:val="en-US" w:eastAsia="zh-CN"/>
              </w:rPr>
              <w:t>废水处理措施：</w:t>
            </w:r>
            <w:r>
              <w:rPr>
                <w:rFonts w:hint="default" w:ascii="Times New Roman" w:hAnsi="Times New Roman" w:cs="Times New Roman"/>
                <w:bCs/>
                <w:color w:val="auto"/>
                <w:sz w:val="24"/>
                <w:szCs w:val="24"/>
                <w:u w:val="none" w:color="auto"/>
                <w:lang w:val="en-US" w:eastAsia="zh-CN"/>
              </w:rPr>
              <w:t>生活污水</w:t>
            </w:r>
            <w:r>
              <w:rPr>
                <w:rFonts w:hint="eastAsia" w:ascii="Times New Roman" w:hAnsi="Times New Roman" w:cs="Times New Roman"/>
                <w:bCs/>
                <w:color w:val="auto"/>
                <w:sz w:val="24"/>
                <w:szCs w:val="24"/>
                <w:u w:val="none" w:color="auto"/>
                <w:lang w:val="en-US" w:eastAsia="zh-CN"/>
              </w:rPr>
              <w:t>经龙昶厂区内现有</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化粪池</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处理达《污水综合排放标准》（GB8978- 1996）表4中三级标准和</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设计进水水质标准后，通过龙昶厂区现有生活污水排污口排入园区污水管网，经</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达到《城镇污水处理厂污染物排放标准》（GB18918-2002）及修改单一级A标准后排入</w:t>
            </w:r>
            <w:r>
              <w:rPr>
                <w:rFonts w:hint="eastAsia" w:ascii="Times New Roman" w:hAnsi="Times New Roman" w:cs="Times New Roman"/>
                <w:color w:val="000000"/>
                <w:kern w:val="0"/>
                <w:sz w:val="24"/>
                <w:szCs w:val="24"/>
                <w:u w:val="none"/>
                <w:lang w:val="en-US" w:eastAsia="zh-CN"/>
              </w:rPr>
              <w:t>新田河</w:t>
            </w:r>
            <w:r>
              <w:rPr>
                <w:rFonts w:hint="eastAsia" w:ascii="Times New Roman" w:hAnsi="Times New Roman" w:cs="Times New Roman"/>
                <w:bCs/>
                <w:color w:val="auto"/>
                <w:sz w:val="24"/>
                <w:szCs w:val="24"/>
                <w:u w:val="none" w:color="auto"/>
                <w:lang w:val="en-US" w:eastAsia="zh-CN"/>
              </w:rPr>
              <w:t>。</w:t>
            </w:r>
          </w:p>
          <w:p w14:paraId="3F94AD8A">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kern w:val="0"/>
                <w:sz w:val="24"/>
                <w:szCs w:val="24"/>
                <w:u w:val="none" w:color="auto"/>
                <w:lang w:val="en-US" w:eastAsia="zh-CN" w:bidi="ar"/>
              </w:rPr>
            </w:pPr>
            <w:r>
              <w:rPr>
                <w:rFonts w:hint="default" w:ascii="Times New Roman" w:hAnsi="Times New Roman" w:eastAsia="宋体" w:cs="Times New Roman"/>
                <w:color w:val="auto"/>
                <w:spacing w:val="0"/>
                <w:kern w:val="0"/>
                <w:sz w:val="24"/>
                <w:szCs w:val="24"/>
                <w:u w:val="none" w:color="auto"/>
              </w:rPr>
              <w:t>为</w:t>
            </w:r>
            <w:r>
              <w:rPr>
                <w:rFonts w:hint="default" w:ascii="Times New Roman" w:hAnsi="Times New Roman" w:cs="Times New Roman"/>
                <w:color w:val="auto"/>
                <w:spacing w:val="0"/>
                <w:kern w:val="0"/>
                <w:sz w:val="24"/>
                <w:szCs w:val="24"/>
                <w:u w:val="none" w:color="auto"/>
                <w:lang w:val="en-US" w:eastAsia="zh-CN"/>
              </w:rPr>
              <w:t>进一步</w:t>
            </w:r>
            <w:r>
              <w:rPr>
                <w:rFonts w:hint="default" w:ascii="Times New Roman" w:hAnsi="Times New Roman" w:eastAsia="宋体" w:cs="Times New Roman"/>
                <w:color w:val="auto"/>
                <w:spacing w:val="0"/>
                <w:kern w:val="0"/>
                <w:sz w:val="24"/>
                <w:szCs w:val="24"/>
                <w:u w:val="none" w:color="auto"/>
              </w:rPr>
              <w:t>了解项目所在区域水环境质量现状，</w:t>
            </w:r>
            <w:r>
              <w:rPr>
                <w:rFonts w:hint="default" w:ascii="Times New Roman" w:hAnsi="Times New Roman" w:cs="Times New Roman"/>
                <w:color w:val="auto"/>
                <w:spacing w:val="0"/>
                <w:kern w:val="0"/>
                <w:sz w:val="24"/>
                <w:szCs w:val="24"/>
                <w:u w:val="none" w:color="auto"/>
                <w:lang w:val="en-US" w:eastAsia="zh-CN"/>
              </w:rPr>
              <w:t>根据</w:t>
            </w:r>
            <w:r>
              <w:rPr>
                <w:rFonts w:hint="default" w:ascii="Times New Roman" w:hAnsi="Times New Roman" w:cs="Times New Roman"/>
                <w:color w:val="auto"/>
                <w:kern w:val="0"/>
                <w:sz w:val="24"/>
                <w:szCs w:val="24"/>
                <w:u w:val="none" w:color="auto"/>
                <w:lang w:val="en-US" w:eastAsia="zh-CN" w:bidi="ar"/>
              </w:rPr>
              <w:t>永州市生态环境局发布的永州市2023年1月~12月环境质量状况</w:t>
            </w:r>
            <w:r>
              <w:rPr>
                <w:rFonts w:hint="eastAsia" w:ascii="Times New Roman" w:hAnsi="Times New Roman" w:cs="Times New Roman"/>
                <w:color w:val="auto"/>
                <w:kern w:val="0"/>
                <w:sz w:val="24"/>
                <w:szCs w:val="24"/>
                <w:u w:val="none" w:color="auto"/>
                <w:lang w:val="en-US" w:eastAsia="zh-CN" w:bidi="ar"/>
              </w:rPr>
              <w:t>可知：</w:t>
            </w:r>
            <w:r>
              <w:rPr>
                <w:rFonts w:hint="default" w:ascii="Times New Roman" w:hAnsi="Times New Roman" w:cs="Times New Roman"/>
                <w:color w:val="auto"/>
                <w:kern w:val="0"/>
                <w:sz w:val="24"/>
                <w:szCs w:val="24"/>
                <w:u w:val="none" w:color="auto"/>
                <w:lang w:val="en-US" w:eastAsia="zh-CN" w:bidi="ar"/>
              </w:rPr>
              <w:t>省控断面</w:t>
            </w:r>
            <w:r>
              <w:rPr>
                <w:rFonts w:hint="eastAsia" w:cs="Times New Roman"/>
                <w:color w:val="auto"/>
                <w:kern w:val="0"/>
                <w:sz w:val="24"/>
                <w:szCs w:val="24"/>
                <w:u w:val="none" w:color="auto"/>
                <w:lang w:val="en-US" w:eastAsia="zh-CN" w:bidi="ar"/>
              </w:rPr>
              <w:t>大历县村、纱帽岭村</w:t>
            </w:r>
            <w:r>
              <w:rPr>
                <w:rFonts w:hint="default" w:ascii="Times New Roman" w:hAnsi="Times New Roman" w:cs="Times New Roman"/>
                <w:color w:val="auto"/>
                <w:kern w:val="0"/>
                <w:sz w:val="24"/>
                <w:szCs w:val="24"/>
                <w:u w:val="none" w:color="auto"/>
                <w:lang w:val="en-US" w:eastAsia="zh-CN" w:bidi="ar"/>
              </w:rPr>
              <w:t>2023</w:t>
            </w:r>
            <w:r>
              <w:rPr>
                <w:rFonts w:hint="eastAsia" w:ascii="Times New Roman" w:hAnsi="Times New Roman" w:cs="Times New Roman"/>
                <w:color w:val="auto"/>
                <w:kern w:val="0"/>
                <w:sz w:val="24"/>
                <w:szCs w:val="24"/>
                <w:u w:val="none" w:color="auto"/>
                <w:lang w:val="en-US" w:eastAsia="zh-CN" w:bidi="ar"/>
              </w:rPr>
              <w:t>全年</w:t>
            </w:r>
            <w:r>
              <w:rPr>
                <w:rFonts w:hint="default" w:ascii="Times New Roman" w:hAnsi="Times New Roman" w:cs="Times New Roman"/>
                <w:color w:val="auto"/>
                <w:kern w:val="0"/>
                <w:sz w:val="24"/>
                <w:szCs w:val="24"/>
                <w:u w:val="none" w:color="auto"/>
                <w:lang w:val="en-US" w:eastAsia="zh-CN" w:bidi="ar"/>
              </w:rPr>
              <w:t>水质</w:t>
            </w:r>
            <w:r>
              <w:rPr>
                <w:rFonts w:hint="eastAsia" w:ascii="Times New Roman" w:hAnsi="Times New Roman" w:cs="Times New Roman"/>
                <w:color w:val="auto"/>
                <w:kern w:val="0"/>
                <w:sz w:val="24"/>
                <w:szCs w:val="24"/>
                <w:u w:val="none" w:color="auto"/>
                <w:lang w:val="en-US" w:eastAsia="zh-CN" w:bidi="ar"/>
              </w:rPr>
              <w:t>均</w:t>
            </w:r>
            <w:r>
              <w:rPr>
                <w:rFonts w:hint="default" w:ascii="Times New Roman" w:hAnsi="Times New Roman" w:cs="Times New Roman"/>
                <w:color w:val="auto"/>
                <w:kern w:val="0"/>
                <w:sz w:val="24"/>
                <w:szCs w:val="24"/>
                <w:u w:val="none" w:color="auto"/>
                <w:lang w:val="en-US" w:eastAsia="zh-CN" w:bidi="ar"/>
              </w:rPr>
              <w:t>达到</w:t>
            </w:r>
            <w:r>
              <w:rPr>
                <w:rFonts w:hint="default" w:ascii="Times New Roman" w:hAnsi="Times New Roman" w:eastAsia="宋体" w:cs="Times New Roman"/>
                <w:color w:val="auto"/>
                <w:kern w:val="0"/>
                <w:sz w:val="24"/>
                <w:szCs w:val="24"/>
                <w:u w:val="none" w:color="auto"/>
                <w:lang w:val="en-US" w:eastAsia="zh-CN" w:bidi="ar"/>
              </w:rPr>
              <w:t>Ⅲ</w:t>
            </w:r>
            <w:r>
              <w:rPr>
                <w:rFonts w:hint="default" w:ascii="Times New Roman" w:hAnsi="Times New Roman" w:cs="Times New Roman"/>
                <w:color w:val="auto"/>
                <w:kern w:val="0"/>
                <w:sz w:val="24"/>
                <w:szCs w:val="24"/>
                <w:u w:val="none" w:color="auto"/>
                <w:lang w:val="en-US" w:eastAsia="zh-CN" w:bidi="ar"/>
              </w:rPr>
              <w:t>类标准，</w:t>
            </w:r>
            <w:r>
              <w:rPr>
                <w:rFonts w:hint="eastAsia" w:ascii="Times New Roman" w:hAnsi="Times New Roman" w:cs="Times New Roman"/>
                <w:color w:val="auto"/>
                <w:kern w:val="0"/>
                <w:sz w:val="24"/>
                <w:szCs w:val="24"/>
                <w:u w:val="none" w:color="auto"/>
                <w:lang w:val="en-US" w:eastAsia="zh-CN" w:bidi="ar"/>
              </w:rPr>
              <w:t>由此表明，</w:t>
            </w:r>
            <w:r>
              <w:rPr>
                <w:rFonts w:hint="default" w:ascii="Times New Roman" w:hAnsi="Times New Roman" w:cs="Times New Roman"/>
                <w:color w:val="auto"/>
                <w:kern w:val="0"/>
                <w:sz w:val="24"/>
                <w:szCs w:val="24"/>
                <w:u w:val="none" w:color="auto"/>
                <w:lang w:val="en-US" w:eastAsia="zh-CN" w:bidi="ar"/>
              </w:rPr>
              <w:t>本项目附近地表水环境质量良好。</w:t>
            </w:r>
          </w:p>
          <w:p w14:paraId="7C22707A">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Times New Roman" w:hAnsi="Times New Roman" w:eastAsia="宋体" w:cs="Times New Roman"/>
                <w:b/>
                <w:color w:val="000000"/>
                <w:sz w:val="24"/>
                <w:highlight w:val="none"/>
                <w:lang w:val="en-US" w:eastAsia="zh-CN"/>
              </w:rPr>
            </w:pPr>
            <w:bookmarkStart w:id="105" w:name="_Toc6300"/>
            <w:bookmarkStart w:id="106" w:name="_Toc19949"/>
            <w:bookmarkStart w:id="107" w:name="_Toc5330"/>
            <w:bookmarkStart w:id="108" w:name="_Toc22616"/>
            <w:r>
              <w:rPr>
                <w:rFonts w:hint="eastAsia" w:ascii="Times New Roman" w:hAnsi="Times New Roman" w:eastAsia="宋体" w:cs="Times New Roman"/>
                <w:b/>
                <w:color w:val="000000"/>
                <w:sz w:val="24"/>
                <w:highlight w:val="none"/>
                <w:lang w:val="en-US" w:eastAsia="zh-CN"/>
              </w:rPr>
              <w:t>3、声环境质量现状</w:t>
            </w:r>
            <w:bookmarkEnd w:id="105"/>
            <w:bookmarkEnd w:id="106"/>
            <w:bookmarkEnd w:id="107"/>
            <w:bookmarkEnd w:id="108"/>
          </w:p>
          <w:p w14:paraId="4FB0DB1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u w:val="none"/>
                <w:lang w:val="en-US" w:eastAsia="zh-CN"/>
              </w:rPr>
            </w:pPr>
            <w:bookmarkStart w:id="109" w:name="_Toc21802"/>
            <w:bookmarkStart w:id="110" w:name="_Toc3541"/>
            <w:bookmarkStart w:id="111" w:name="_Toc20834"/>
            <w:bookmarkStart w:id="112" w:name="_Toc25880"/>
            <w:r>
              <w:rPr>
                <w:rFonts w:hint="eastAsia" w:ascii="Times New Roman" w:hAnsi="Times New Roman" w:eastAsia="宋体" w:cs="Times New Roman"/>
                <w:color w:val="000000"/>
                <w:kern w:val="0"/>
                <w:sz w:val="24"/>
                <w:szCs w:val="24"/>
                <w:u w:val="none"/>
                <w:lang w:val="en-US" w:eastAsia="zh-CN"/>
              </w:rPr>
              <w:t>根据《建设项目环境影响报告表编制技术指南（污染影响类）》（试行）明确区域声环境质量现状：厂界外周边50米范围内存在声环境保护目标的建设项目，应监测保护目标声环境质量现状并评价达标情况。</w:t>
            </w:r>
            <w:bookmarkEnd w:id="109"/>
            <w:bookmarkEnd w:id="110"/>
            <w:bookmarkEnd w:id="111"/>
            <w:bookmarkEnd w:id="112"/>
          </w:p>
          <w:p w14:paraId="2D188AD2">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eastAsia" w:ascii="Times New Roman" w:hAnsi="Times New Roman" w:eastAsia="宋体" w:cs="Times New Roman"/>
                <w:color w:val="000000"/>
                <w:kern w:val="0"/>
                <w:sz w:val="24"/>
                <w:szCs w:val="24"/>
                <w:u w:val="none"/>
                <w:lang w:val="en-US" w:eastAsia="zh-CN"/>
              </w:rPr>
            </w:pPr>
            <w:r>
              <w:rPr>
                <w:rFonts w:hint="eastAsia" w:ascii="Times New Roman" w:hAnsi="Times New Roman" w:eastAsia="宋体" w:cs="Times New Roman"/>
                <w:color w:val="000000"/>
                <w:kern w:val="0"/>
                <w:sz w:val="24"/>
                <w:szCs w:val="24"/>
                <w:u w:val="none"/>
                <w:lang w:val="en-US" w:eastAsia="zh-CN"/>
              </w:rPr>
              <w:t>经现场勘查，本项目厂界外周边50m范围内不存在声环境保护目标，可不开展声环境质量现状监测及评价工作。</w:t>
            </w:r>
          </w:p>
          <w:p w14:paraId="53C7F536">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Times New Roman" w:hAnsi="Times New Roman" w:eastAsia="宋体" w:cs="Times New Roman"/>
                <w:b/>
                <w:color w:val="000000"/>
                <w:sz w:val="24"/>
                <w:highlight w:val="none"/>
                <w:lang w:val="en-US" w:eastAsia="zh-CN"/>
              </w:rPr>
            </w:pPr>
            <w:bookmarkStart w:id="113" w:name="_Toc112"/>
            <w:bookmarkStart w:id="114" w:name="_Toc12150"/>
            <w:bookmarkStart w:id="115" w:name="_Toc23277"/>
            <w:bookmarkStart w:id="116" w:name="_Toc28383"/>
            <w:r>
              <w:rPr>
                <w:rFonts w:hint="eastAsia" w:ascii="Times New Roman" w:hAnsi="Times New Roman" w:eastAsia="宋体" w:cs="Times New Roman"/>
                <w:b/>
                <w:color w:val="000000"/>
                <w:sz w:val="24"/>
                <w:highlight w:val="none"/>
                <w:lang w:val="en-US" w:eastAsia="zh-CN"/>
              </w:rPr>
              <w:t>4、生态环境质量现状</w:t>
            </w:r>
            <w:bookmarkEnd w:id="113"/>
            <w:bookmarkEnd w:id="114"/>
            <w:bookmarkEnd w:id="115"/>
            <w:bookmarkEnd w:id="116"/>
          </w:p>
          <w:p w14:paraId="0F2A6ED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u w:val="none"/>
                <w:lang w:val="en-US" w:eastAsia="zh-CN"/>
              </w:rPr>
            </w:pPr>
            <w:bookmarkStart w:id="117" w:name="_Toc12946"/>
            <w:bookmarkStart w:id="118" w:name="_Toc11405"/>
            <w:bookmarkStart w:id="119" w:name="_Toc10132"/>
            <w:bookmarkStart w:id="120" w:name="_Toc1973"/>
            <w:r>
              <w:rPr>
                <w:rFonts w:hint="eastAsia" w:ascii="Times New Roman" w:hAnsi="Times New Roman" w:eastAsia="宋体" w:cs="Times New Roman"/>
                <w:color w:val="000000"/>
                <w:kern w:val="0"/>
                <w:sz w:val="24"/>
                <w:szCs w:val="24"/>
                <w:u w:val="none"/>
                <w:lang w:val="en-US" w:eastAsia="zh-CN"/>
              </w:rPr>
              <w:t>根据</w:t>
            </w:r>
            <w:r>
              <w:rPr>
                <w:rFonts w:hint="default" w:ascii="Times New Roman" w:hAnsi="Times New Roman" w:eastAsia="宋体" w:cs="Times New Roman"/>
                <w:color w:val="000000"/>
                <w:kern w:val="0"/>
                <w:sz w:val="24"/>
                <w:szCs w:val="24"/>
                <w:u w:val="none"/>
                <w:lang w:val="en-US" w:eastAsia="zh-CN"/>
              </w:rPr>
              <w:t>《建设项目环境影响报告表编制技术指南（污染影响类）》（试行）</w:t>
            </w:r>
            <w:r>
              <w:rPr>
                <w:rFonts w:hint="eastAsia" w:ascii="Times New Roman" w:hAnsi="Times New Roman" w:eastAsia="宋体" w:cs="Times New Roman"/>
                <w:color w:val="000000"/>
                <w:kern w:val="0"/>
                <w:sz w:val="24"/>
                <w:szCs w:val="24"/>
                <w:u w:val="none"/>
                <w:lang w:val="en-US" w:eastAsia="zh-CN"/>
              </w:rPr>
              <w:t>明确区域生态环境质量现状：产业园区外建设项目新增用地且用地范围内含有生态环境保护目标时，应进行生态现状调查。</w:t>
            </w:r>
          </w:p>
          <w:p w14:paraId="090F73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eastAsia" w:ascii="Times New Roman" w:hAnsi="Times New Roman" w:eastAsia="宋体" w:cs="Times New Roman"/>
                <w:color w:val="000000"/>
                <w:kern w:val="0"/>
                <w:sz w:val="24"/>
                <w:szCs w:val="24"/>
                <w:u w:val="none"/>
                <w:lang w:val="en-US" w:eastAsia="zh-CN"/>
              </w:rPr>
              <w:t>根据现场勘查，</w:t>
            </w:r>
            <w:r>
              <w:rPr>
                <w:rFonts w:hint="default"/>
                <w:sz w:val="24"/>
                <w:szCs w:val="24"/>
                <w:lang w:val="en-GB" w:eastAsia="zh-CN"/>
              </w:rPr>
              <w:t>本项目</w:t>
            </w:r>
            <w:r>
              <w:rPr>
                <w:rFonts w:hint="eastAsia"/>
                <w:sz w:val="24"/>
                <w:szCs w:val="24"/>
                <w:lang w:val="en-US" w:eastAsia="zh-CN"/>
              </w:rPr>
              <w:t>位于</w:t>
            </w:r>
            <w:r>
              <w:rPr>
                <w:rFonts w:hint="default" w:ascii="Times New Roman" w:hAnsi="Times New Roman" w:eastAsia="宋体" w:cs="Times New Roman"/>
                <w:color w:val="000000"/>
                <w:sz w:val="24"/>
                <w:szCs w:val="24"/>
                <w:highlight w:val="none"/>
                <w:lang w:eastAsia="zh-CN"/>
              </w:rPr>
              <w:t>永州市新田县龙泉街道工业南园支一路与支三路交叉口西南角</w:t>
            </w:r>
            <w:r>
              <w:rPr>
                <w:rFonts w:hint="eastAsia" w:cs="Times New Roman"/>
                <w:color w:val="000000"/>
                <w:kern w:val="0"/>
                <w:sz w:val="24"/>
                <w:szCs w:val="24"/>
                <w:u w:val="none"/>
                <w:lang w:val="en-US" w:eastAsia="zh-CN"/>
              </w:rPr>
              <w:t>，</w:t>
            </w:r>
            <w:r>
              <w:rPr>
                <w:rFonts w:hint="eastAsia" w:ascii="Times New Roman" w:hAnsi="Times New Roman" w:eastAsia="宋体" w:cs="Times New Roman"/>
                <w:color w:val="000000"/>
                <w:kern w:val="0"/>
                <w:sz w:val="24"/>
                <w:szCs w:val="24"/>
                <w:u w:val="none"/>
                <w:lang w:val="en-US" w:eastAsia="zh-CN"/>
              </w:rPr>
              <w:t>属于</w:t>
            </w:r>
            <w:r>
              <w:rPr>
                <w:rFonts w:hint="eastAsia" w:ascii="Times New Roman" w:hAnsi="Times New Roman" w:eastAsia="宋体" w:cs="Times New Roman"/>
                <w:color w:val="000000"/>
                <w:kern w:val="0"/>
                <w:sz w:val="24"/>
                <w:szCs w:val="24"/>
                <w:lang w:val="en-US" w:eastAsia="zh-CN" w:bidi="ar"/>
              </w:rPr>
              <w:t>新田产业开发区</w:t>
            </w:r>
            <w:r>
              <w:rPr>
                <w:rFonts w:hint="eastAsia" w:ascii="Times New Roman" w:hAnsi="Times New Roman" w:eastAsia="宋体" w:cs="Times New Roman"/>
                <w:color w:val="000000"/>
                <w:kern w:val="0"/>
                <w:sz w:val="24"/>
                <w:szCs w:val="24"/>
                <w:u w:val="none"/>
                <w:lang w:val="en-US" w:eastAsia="zh-CN"/>
              </w:rPr>
              <w:t>控制性详规内，即属于产业园区规划范围内。</w:t>
            </w:r>
            <w:r>
              <w:rPr>
                <w:rFonts w:hint="eastAsia"/>
                <w:sz w:val="24"/>
                <w:szCs w:val="24"/>
                <w:lang w:val="en-US" w:eastAsia="zh-CN"/>
              </w:rPr>
              <w:t>同时，</w:t>
            </w:r>
            <w:r>
              <w:rPr>
                <w:rFonts w:hint="default"/>
                <w:sz w:val="24"/>
                <w:szCs w:val="24"/>
              </w:rPr>
              <w:t>根据现场调查，项目所在区域为城市生态系统，植被受人为活动影响较大</w:t>
            </w:r>
            <w:r>
              <w:rPr>
                <w:rFonts w:hint="eastAsia"/>
                <w:sz w:val="24"/>
                <w:szCs w:val="24"/>
                <w:lang w:eastAsia="zh-CN"/>
              </w:rPr>
              <w:t>，</w:t>
            </w:r>
            <w:r>
              <w:rPr>
                <w:rFonts w:hint="default"/>
                <w:sz w:val="24"/>
                <w:szCs w:val="24"/>
              </w:rPr>
              <w:t>区域植被主要由人工林地、道旁绿化带以及未开发区域的杂草等组成</w:t>
            </w:r>
            <w:r>
              <w:rPr>
                <w:rFonts w:hint="eastAsia"/>
                <w:sz w:val="24"/>
                <w:szCs w:val="24"/>
                <w:lang w:eastAsia="zh-CN"/>
              </w:rPr>
              <w:t>，</w:t>
            </w:r>
            <w:r>
              <w:rPr>
                <w:rFonts w:hint="default"/>
                <w:sz w:val="24"/>
                <w:szCs w:val="24"/>
              </w:rPr>
              <w:t>无古树名木以及濒危保护植物物种分布</w:t>
            </w:r>
            <w:r>
              <w:rPr>
                <w:rFonts w:hint="eastAsia"/>
                <w:sz w:val="24"/>
                <w:szCs w:val="24"/>
                <w:lang w:eastAsia="zh-CN"/>
              </w:rPr>
              <w:t>；</w:t>
            </w:r>
            <w:r>
              <w:rPr>
                <w:rFonts w:hint="default"/>
                <w:sz w:val="24"/>
                <w:szCs w:val="24"/>
              </w:rPr>
              <w:t>项目区域内野生动物均为常见种类，主要以青蛙、老鼠、鸟类等小型野生动物为主</w:t>
            </w:r>
            <w:r>
              <w:rPr>
                <w:rFonts w:hint="eastAsia"/>
                <w:sz w:val="24"/>
                <w:szCs w:val="24"/>
                <w:lang w:eastAsia="zh-CN"/>
              </w:rPr>
              <w:t>，</w:t>
            </w:r>
            <w:r>
              <w:rPr>
                <w:rFonts w:hint="default"/>
                <w:sz w:val="24"/>
                <w:szCs w:val="24"/>
              </w:rPr>
              <w:t>无国家重点保护野生动物及栖息地，无珍稀植物种类。</w:t>
            </w:r>
          </w:p>
          <w:p w14:paraId="07989CA5">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eastAsia="宋体" w:cs="Times New Roman"/>
                <w:color w:val="000000"/>
                <w:kern w:val="0"/>
                <w:sz w:val="24"/>
                <w:szCs w:val="24"/>
                <w:u w:val="none"/>
                <w:lang w:val="en-US" w:eastAsia="zh-CN"/>
              </w:rPr>
            </w:pPr>
            <w:r>
              <w:rPr>
                <w:rFonts w:hint="eastAsia"/>
                <w:sz w:val="24"/>
                <w:szCs w:val="24"/>
                <w:lang w:val="en-US" w:eastAsia="zh-CN"/>
              </w:rPr>
              <w:t>因此，本次评价可不开展生态环境现状调查工作。</w:t>
            </w:r>
            <w:bookmarkEnd w:id="117"/>
            <w:bookmarkEnd w:id="118"/>
            <w:bookmarkEnd w:id="119"/>
            <w:bookmarkEnd w:id="120"/>
          </w:p>
        </w:tc>
      </w:tr>
      <w:tr w14:paraId="1D10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7CB72E4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宋体" w:hAnsi="宋体" w:eastAsia="宋体" w:cs="宋体"/>
                <w:bCs/>
                <w:color w:val="000000"/>
                <w:kern w:val="2"/>
                <w:sz w:val="24"/>
                <w:szCs w:val="24"/>
                <w:highlight w:val="none"/>
              </w:rPr>
            </w:pPr>
            <w:bookmarkStart w:id="121" w:name="_Toc3989"/>
            <w:r>
              <w:rPr>
                <w:rFonts w:hint="eastAsia" w:ascii="宋体" w:hAnsi="宋体" w:eastAsia="宋体" w:cs="宋体"/>
                <w:bCs/>
                <w:color w:val="000000"/>
                <w:kern w:val="2"/>
                <w:sz w:val="24"/>
                <w:szCs w:val="24"/>
                <w:highlight w:val="none"/>
              </w:rPr>
              <w:t>环境保护目标</w:t>
            </w:r>
            <w:bookmarkEnd w:id="121"/>
          </w:p>
        </w:tc>
        <w:tc>
          <w:tcPr>
            <w:tcW w:w="7801" w:type="dxa"/>
          </w:tcPr>
          <w:p w14:paraId="738303B5">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lang w:val="en-US" w:eastAsia="zh-CN"/>
              </w:rPr>
            </w:pPr>
            <w:r>
              <w:rPr>
                <w:rFonts w:hint="default" w:ascii="Times New Roman" w:hAnsi="Times New Roman" w:eastAsia="宋体" w:cs="Times New Roman"/>
                <w:b/>
                <w:color w:val="000000"/>
                <w:sz w:val="21"/>
                <w:szCs w:val="21"/>
                <w:highlight w:val="none"/>
                <w:u w:val="single"/>
                <w:lang w:val="en-US" w:eastAsia="zh-CN"/>
              </w:rPr>
              <w:t>表3-</w:t>
            </w:r>
            <w:r>
              <w:rPr>
                <w:rFonts w:hint="eastAsia" w:ascii="Times New Roman" w:hAnsi="Times New Roman" w:eastAsia="宋体" w:cs="Times New Roman"/>
                <w:b/>
                <w:color w:val="000000"/>
                <w:sz w:val="21"/>
                <w:szCs w:val="21"/>
                <w:highlight w:val="none"/>
                <w:u w:val="single"/>
                <w:lang w:val="en-US" w:eastAsia="zh-CN"/>
              </w:rPr>
              <w:t xml:space="preserve">4 </w:t>
            </w:r>
            <w:r>
              <w:rPr>
                <w:rFonts w:hint="default" w:ascii="Times New Roman" w:hAnsi="Times New Roman" w:eastAsia="宋体" w:cs="Times New Roman"/>
                <w:b/>
                <w:color w:val="000000"/>
                <w:sz w:val="21"/>
                <w:szCs w:val="21"/>
                <w:highlight w:val="none"/>
                <w:u w:val="single"/>
                <w:lang w:val="en-US" w:eastAsia="zh-CN"/>
              </w:rPr>
              <w:t xml:space="preserve"> 主要环境保护目标一览表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0"/>
              <w:gridCol w:w="984"/>
              <w:gridCol w:w="1392"/>
              <w:gridCol w:w="1740"/>
              <w:gridCol w:w="1156"/>
              <w:gridCol w:w="1723"/>
            </w:tblGrid>
            <w:tr w14:paraId="26406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560" w:type="dxa"/>
                  <w:vMerge w:val="restart"/>
                  <w:tcBorders>
                    <w:tl2br w:val="nil"/>
                    <w:tr2bl w:val="nil"/>
                  </w:tcBorders>
                  <w:noWrap w:val="0"/>
                  <w:vAlign w:val="center"/>
                </w:tcPr>
                <w:p w14:paraId="37C1311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rPr>
                  </w:pPr>
                  <w:r>
                    <w:rPr>
                      <w:rFonts w:hint="default" w:ascii="Times New Roman" w:hAnsi="Times New Roman" w:cs="Times New Roman"/>
                      <w:b/>
                      <w:bCs/>
                      <w:color w:val="000000"/>
                      <w:kern w:val="2"/>
                      <w:sz w:val="18"/>
                      <w:szCs w:val="18"/>
                      <w:highlight w:val="none"/>
                      <w:u w:val="single"/>
                      <w:lang w:val="en-US" w:eastAsia="zh-CN" w:bidi="ar"/>
                    </w:rPr>
                    <w:t>环境</w:t>
                  </w:r>
                </w:p>
                <w:p w14:paraId="35FE6BA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rPr>
                  </w:pPr>
                  <w:r>
                    <w:rPr>
                      <w:rFonts w:hint="default" w:ascii="Times New Roman" w:hAnsi="Times New Roman" w:cs="Times New Roman"/>
                      <w:b/>
                      <w:bCs/>
                      <w:color w:val="000000"/>
                      <w:kern w:val="2"/>
                      <w:sz w:val="18"/>
                      <w:szCs w:val="18"/>
                      <w:highlight w:val="none"/>
                      <w:u w:val="single"/>
                      <w:lang w:val="en-US" w:eastAsia="zh-CN" w:bidi="ar"/>
                    </w:rPr>
                    <w:t>要素</w:t>
                  </w:r>
                </w:p>
              </w:tc>
              <w:tc>
                <w:tcPr>
                  <w:tcW w:w="984" w:type="dxa"/>
                  <w:vMerge w:val="restart"/>
                  <w:tcBorders>
                    <w:tl2br w:val="nil"/>
                    <w:tr2bl w:val="nil"/>
                  </w:tcBorders>
                  <w:noWrap w:val="0"/>
                  <w:vAlign w:val="center"/>
                </w:tcPr>
                <w:p w14:paraId="230FC82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rPr>
                  </w:pPr>
                  <w:r>
                    <w:rPr>
                      <w:rFonts w:hint="default" w:ascii="Times New Roman" w:hAnsi="Times New Roman" w:eastAsia="宋体" w:cs="Times New Roman"/>
                      <w:b/>
                      <w:bCs/>
                      <w:color w:val="000000"/>
                      <w:kern w:val="2"/>
                      <w:sz w:val="18"/>
                      <w:szCs w:val="18"/>
                      <w:highlight w:val="none"/>
                      <w:u w:val="single"/>
                      <w:lang w:val="en-US" w:eastAsia="zh-CN" w:bidi="ar"/>
                    </w:rPr>
                    <w:t>环</w:t>
                  </w:r>
                  <w:r>
                    <w:rPr>
                      <w:rFonts w:hint="default" w:ascii="Times New Roman" w:hAnsi="Times New Roman" w:cs="Times New Roman"/>
                      <w:b/>
                      <w:bCs/>
                      <w:color w:val="000000"/>
                      <w:kern w:val="2"/>
                      <w:sz w:val="18"/>
                      <w:szCs w:val="18"/>
                      <w:highlight w:val="none"/>
                      <w:u w:val="single"/>
                      <w:lang w:val="en-US" w:eastAsia="zh-CN" w:bidi="ar"/>
                    </w:rPr>
                    <w:t>保目标</w:t>
                  </w:r>
                </w:p>
              </w:tc>
              <w:tc>
                <w:tcPr>
                  <w:tcW w:w="3132" w:type="dxa"/>
                  <w:gridSpan w:val="2"/>
                  <w:tcBorders>
                    <w:tl2br w:val="nil"/>
                    <w:tr2bl w:val="nil"/>
                  </w:tcBorders>
                  <w:noWrap w:val="0"/>
                  <w:vAlign w:val="center"/>
                </w:tcPr>
                <w:p w14:paraId="079F57C7">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lang w:val="en-US" w:eastAsia="zh-CN" w:bidi="ar"/>
                    </w:rPr>
                  </w:pPr>
                  <w:r>
                    <w:rPr>
                      <w:rFonts w:hint="eastAsia" w:ascii="Times New Roman" w:hAnsi="Times New Roman" w:cs="Times New Roman"/>
                      <w:b/>
                      <w:bCs/>
                      <w:color w:val="000000"/>
                      <w:kern w:val="2"/>
                      <w:sz w:val="18"/>
                      <w:szCs w:val="18"/>
                      <w:highlight w:val="none"/>
                      <w:u w:val="single"/>
                      <w:lang w:val="en-US" w:eastAsia="zh-CN" w:bidi="ar"/>
                    </w:rPr>
                    <w:t>与项目位置关系</w:t>
                  </w:r>
                </w:p>
              </w:tc>
              <w:tc>
                <w:tcPr>
                  <w:tcW w:w="1156" w:type="dxa"/>
                  <w:vMerge w:val="restart"/>
                  <w:tcBorders>
                    <w:tl2br w:val="nil"/>
                    <w:tr2bl w:val="nil"/>
                  </w:tcBorders>
                  <w:noWrap w:val="0"/>
                  <w:vAlign w:val="center"/>
                </w:tcPr>
                <w:p w14:paraId="0C0FBAC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rPr>
                  </w:pPr>
                  <w:r>
                    <w:rPr>
                      <w:rFonts w:hint="default" w:ascii="Times New Roman" w:hAnsi="Times New Roman" w:cs="Times New Roman"/>
                      <w:b/>
                      <w:bCs/>
                      <w:color w:val="000000"/>
                      <w:kern w:val="2"/>
                      <w:sz w:val="18"/>
                      <w:szCs w:val="18"/>
                      <w:highlight w:val="none"/>
                      <w:u w:val="single"/>
                      <w:lang w:val="en-US" w:eastAsia="zh-CN" w:bidi="ar"/>
                    </w:rPr>
                    <w:t>功</w:t>
                  </w:r>
                  <w:r>
                    <w:rPr>
                      <w:rFonts w:hint="default" w:ascii="Times New Roman" w:hAnsi="Times New Roman" w:eastAsia="宋体" w:cs="Times New Roman"/>
                      <w:b/>
                      <w:bCs/>
                      <w:color w:val="000000"/>
                      <w:kern w:val="2"/>
                      <w:sz w:val="18"/>
                      <w:szCs w:val="18"/>
                      <w:highlight w:val="none"/>
                      <w:u w:val="single"/>
                      <w:lang w:val="en-US" w:eastAsia="zh-CN" w:bidi="ar"/>
                    </w:rPr>
                    <w:t>能/</w:t>
                  </w:r>
                  <w:r>
                    <w:rPr>
                      <w:rFonts w:hint="default" w:ascii="Times New Roman" w:hAnsi="Times New Roman" w:cs="Times New Roman"/>
                      <w:b/>
                      <w:bCs/>
                      <w:color w:val="000000"/>
                      <w:kern w:val="2"/>
                      <w:sz w:val="18"/>
                      <w:szCs w:val="18"/>
                      <w:highlight w:val="none"/>
                      <w:u w:val="single"/>
                      <w:lang w:val="en-US" w:eastAsia="zh-CN" w:bidi="ar"/>
                    </w:rPr>
                    <w:t>规模</w:t>
                  </w:r>
                </w:p>
              </w:tc>
              <w:tc>
                <w:tcPr>
                  <w:tcW w:w="1723" w:type="dxa"/>
                  <w:vMerge w:val="restart"/>
                  <w:tcBorders>
                    <w:tl2br w:val="nil"/>
                    <w:tr2bl w:val="nil"/>
                  </w:tcBorders>
                  <w:noWrap w:val="0"/>
                  <w:vAlign w:val="center"/>
                </w:tcPr>
                <w:p w14:paraId="1C61E72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rPr>
                  </w:pPr>
                  <w:r>
                    <w:rPr>
                      <w:rFonts w:hint="default" w:ascii="Times New Roman" w:hAnsi="Times New Roman" w:cs="Times New Roman"/>
                      <w:b/>
                      <w:bCs/>
                      <w:color w:val="000000"/>
                      <w:kern w:val="2"/>
                      <w:sz w:val="18"/>
                      <w:szCs w:val="18"/>
                      <w:highlight w:val="none"/>
                      <w:u w:val="single"/>
                      <w:lang w:val="en-US" w:eastAsia="zh-CN" w:bidi="ar"/>
                    </w:rPr>
                    <w:t>保护级别</w:t>
                  </w:r>
                </w:p>
              </w:tc>
            </w:tr>
            <w:tr w14:paraId="42972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560" w:type="dxa"/>
                  <w:vMerge w:val="continue"/>
                  <w:tcBorders>
                    <w:tl2br w:val="nil"/>
                    <w:tr2bl w:val="nil"/>
                  </w:tcBorders>
                  <w:noWrap w:val="0"/>
                  <w:vAlign w:val="center"/>
                </w:tcPr>
                <w:p w14:paraId="665A94D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kern w:val="2"/>
                      <w:sz w:val="18"/>
                      <w:szCs w:val="18"/>
                      <w:highlight w:val="none"/>
                      <w:u w:val="single"/>
                      <w:lang w:val="en-US" w:eastAsia="zh-CN" w:bidi="ar"/>
                    </w:rPr>
                  </w:pPr>
                </w:p>
              </w:tc>
              <w:tc>
                <w:tcPr>
                  <w:tcW w:w="984" w:type="dxa"/>
                  <w:vMerge w:val="continue"/>
                  <w:tcBorders>
                    <w:tl2br w:val="nil"/>
                    <w:tr2bl w:val="nil"/>
                  </w:tcBorders>
                  <w:noWrap w:val="0"/>
                  <w:vAlign w:val="center"/>
                </w:tcPr>
                <w:p w14:paraId="2D6CDB1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b/>
                      <w:bCs/>
                      <w:color w:val="000000"/>
                      <w:kern w:val="2"/>
                      <w:sz w:val="18"/>
                      <w:szCs w:val="18"/>
                      <w:highlight w:val="none"/>
                      <w:u w:val="single"/>
                      <w:lang w:val="en-US" w:eastAsia="zh-CN" w:bidi="ar"/>
                    </w:rPr>
                  </w:pPr>
                </w:p>
              </w:tc>
              <w:tc>
                <w:tcPr>
                  <w:tcW w:w="1392" w:type="dxa"/>
                  <w:tcBorders>
                    <w:tl2br w:val="nil"/>
                    <w:tr2bl w:val="nil"/>
                  </w:tcBorders>
                  <w:noWrap w:val="0"/>
                  <w:vAlign w:val="center"/>
                </w:tcPr>
                <w:p w14:paraId="40C5E38F">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cs="Times New Roman"/>
                      <w:b/>
                      <w:bCs/>
                      <w:color w:val="000000"/>
                      <w:kern w:val="2"/>
                      <w:sz w:val="18"/>
                      <w:szCs w:val="18"/>
                      <w:highlight w:val="none"/>
                      <w:u w:val="single"/>
                      <w:lang w:val="en-US" w:eastAsia="zh-CN" w:bidi="ar"/>
                    </w:rPr>
                  </w:pPr>
                  <w:r>
                    <w:rPr>
                      <w:rFonts w:hint="default" w:ascii="Times New Roman" w:hAnsi="Times New Roman"/>
                      <w:b/>
                      <w:bCs/>
                      <w:color w:val="000000"/>
                      <w:kern w:val="2"/>
                      <w:sz w:val="18"/>
                      <w:szCs w:val="18"/>
                      <w:highlight w:val="none"/>
                      <w:u w:val="single"/>
                      <w:lang w:bidi="ar"/>
                    </w:rPr>
                    <w:t>相对方位及距离</w:t>
                  </w:r>
                </w:p>
              </w:tc>
              <w:tc>
                <w:tcPr>
                  <w:tcW w:w="1740" w:type="dxa"/>
                  <w:tcBorders>
                    <w:tl2br w:val="nil"/>
                    <w:tr2bl w:val="nil"/>
                  </w:tcBorders>
                  <w:noWrap w:val="0"/>
                  <w:vAlign w:val="center"/>
                </w:tcPr>
                <w:p w14:paraId="7823B40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b/>
                      <w:bCs/>
                      <w:color w:val="000000"/>
                      <w:sz w:val="18"/>
                      <w:szCs w:val="18"/>
                      <w:highlight w:val="none"/>
                      <w:u w:val="single"/>
                    </w:rPr>
                  </w:pPr>
                  <w:r>
                    <w:rPr>
                      <w:rFonts w:hint="default" w:ascii="Times New Roman" w:hAnsi="Times New Roman" w:cs="Times New Roman"/>
                      <w:b/>
                      <w:bCs/>
                      <w:color w:val="000000"/>
                      <w:sz w:val="18"/>
                      <w:szCs w:val="18"/>
                      <w:highlight w:val="none"/>
                      <w:u w:val="single"/>
                    </w:rPr>
                    <w:t>最近点坐标</w:t>
                  </w:r>
                </w:p>
              </w:tc>
              <w:tc>
                <w:tcPr>
                  <w:tcW w:w="1156" w:type="dxa"/>
                  <w:vMerge w:val="continue"/>
                  <w:tcBorders>
                    <w:tl2br w:val="nil"/>
                    <w:tr2bl w:val="nil"/>
                  </w:tcBorders>
                  <w:noWrap w:val="0"/>
                  <w:vAlign w:val="center"/>
                </w:tcPr>
                <w:p w14:paraId="5E058AD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1723" w:type="dxa"/>
                  <w:vMerge w:val="continue"/>
                  <w:tcBorders>
                    <w:tl2br w:val="nil"/>
                    <w:tr2bl w:val="nil"/>
                  </w:tcBorders>
                  <w:noWrap w:val="0"/>
                  <w:vAlign w:val="center"/>
                </w:tcPr>
                <w:p w14:paraId="096F77A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r>
            <w:tr w14:paraId="12675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restart"/>
                  <w:tcBorders>
                    <w:tl2br w:val="nil"/>
                    <w:tr2bl w:val="nil"/>
                  </w:tcBorders>
                  <w:noWrap w:val="0"/>
                  <w:vAlign w:val="center"/>
                </w:tcPr>
                <w:p w14:paraId="62C9904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rPr>
                  </w:pPr>
                  <w:r>
                    <w:rPr>
                      <w:rFonts w:hint="default" w:ascii="Times New Roman" w:hAnsi="Times New Roman" w:cs="Times New Roman"/>
                      <w:color w:val="000000"/>
                      <w:kern w:val="2"/>
                      <w:sz w:val="18"/>
                      <w:szCs w:val="18"/>
                      <w:highlight w:val="none"/>
                      <w:u w:val="single"/>
                      <w:lang w:val="en-US" w:eastAsia="zh-CN" w:bidi="ar"/>
                    </w:rPr>
                    <w:t>大气</w:t>
                  </w:r>
                </w:p>
                <w:p w14:paraId="5E8F1D5D">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rPr>
                  </w:pPr>
                  <w:r>
                    <w:rPr>
                      <w:rFonts w:hint="default" w:ascii="Times New Roman" w:hAnsi="Times New Roman" w:cs="Times New Roman"/>
                      <w:color w:val="000000"/>
                      <w:kern w:val="2"/>
                      <w:sz w:val="18"/>
                      <w:szCs w:val="18"/>
                      <w:highlight w:val="none"/>
                      <w:u w:val="single"/>
                      <w:lang w:val="en-US" w:eastAsia="zh-CN" w:bidi="ar"/>
                    </w:rPr>
                    <w:t>环境</w:t>
                  </w:r>
                </w:p>
              </w:tc>
              <w:tc>
                <w:tcPr>
                  <w:tcW w:w="984" w:type="dxa"/>
                  <w:tcBorders>
                    <w:tl2br w:val="nil"/>
                    <w:tr2bl w:val="nil"/>
                  </w:tcBorders>
                  <w:noWrap w:val="0"/>
                  <w:vAlign w:val="center"/>
                </w:tcPr>
                <w:p w14:paraId="25FF0FA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李家</w:t>
                  </w:r>
                </w:p>
              </w:tc>
              <w:tc>
                <w:tcPr>
                  <w:tcW w:w="1392" w:type="dxa"/>
                  <w:tcBorders>
                    <w:tl2br w:val="nil"/>
                    <w:tr2bl w:val="nil"/>
                  </w:tcBorders>
                  <w:noWrap w:val="0"/>
                  <w:vAlign w:val="center"/>
                </w:tcPr>
                <w:p w14:paraId="4ECEDB4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NW，380-500m</w:t>
                  </w:r>
                </w:p>
              </w:tc>
              <w:tc>
                <w:tcPr>
                  <w:tcW w:w="1740" w:type="dxa"/>
                  <w:tcBorders>
                    <w:tl2br w:val="nil"/>
                    <w:tr2bl w:val="nil"/>
                  </w:tcBorders>
                  <w:noWrap w:val="0"/>
                  <w:vAlign w:val="center"/>
                </w:tcPr>
                <w:p w14:paraId="334FAC98">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经度：112°11′3.169″</w:t>
                  </w:r>
                </w:p>
                <w:p w14:paraId="1AD77B48">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纬度：25°54′0.977″</w:t>
                  </w:r>
                </w:p>
              </w:tc>
              <w:tc>
                <w:tcPr>
                  <w:tcW w:w="1156" w:type="dxa"/>
                  <w:tcBorders>
                    <w:tl2br w:val="nil"/>
                    <w:tr2bl w:val="nil"/>
                  </w:tcBorders>
                  <w:noWrap w:val="0"/>
                  <w:vAlign w:val="center"/>
                </w:tcPr>
                <w:p w14:paraId="5362F76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居住，约30户、90人</w:t>
                  </w:r>
                </w:p>
              </w:tc>
              <w:tc>
                <w:tcPr>
                  <w:tcW w:w="1723" w:type="dxa"/>
                  <w:vMerge w:val="restart"/>
                  <w:tcBorders>
                    <w:tl2br w:val="nil"/>
                    <w:tr2bl w:val="nil"/>
                  </w:tcBorders>
                  <w:noWrap w:val="0"/>
                  <w:vAlign w:val="center"/>
                </w:tcPr>
                <w:p w14:paraId="12E420E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r>
                    <w:rPr>
                      <w:rFonts w:hint="default" w:ascii="Times New Roman" w:hAnsi="Times New Roman" w:eastAsia="宋体" w:cs="Times New Roman"/>
                      <w:color w:val="000000"/>
                      <w:kern w:val="2"/>
                      <w:sz w:val="18"/>
                      <w:szCs w:val="18"/>
                      <w:highlight w:val="none"/>
                      <w:u w:val="single"/>
                      <w:lang w:val="en-US" w:eastAsia="zh-CN"/>
                    </w:rPr>
                    <w:t>《环境空气质量标准》（GB3095-2012）</w:t>
                  </w:r>
                  <w:r>
                    <w:rPr>
                      <w:rFonts w:hint="eastAsia" w:ascii="Times New Roman" w:hAnsi="Times New Roman" w:eastAsia="宋体" w:cs="Times New Roman"/>
                      <w:color w:val="000000"/>
                      <w:kern w:val="2"/>
                      <w:sz w:val="18"/>
                      <w:szCs w:val="18"/>
                      <w:highlight w:val="none"/>
                      <w:u w:val="single"/>
                      <w:lang w:val="en-US" w:eastAsia="zh-CN"/>
                    </w:rPr>
                    <w:t>及其修改单</w:t>
                  </w:r>
                  <w:r>
                    <w:rPr>
                      <w:rFonts w:hint="default" w:ascii="Times New Roman" w:hAnsi="Times New Roman" w:eastAsia="宋体" w:cs="Times New Roman"/>
                      <w:color w:val="000000"/>
                      <w:kern w:val="2"/>
                      <w:sz w:val="18"/>
                      <w:szCs w:val="18"/>
                      <w:highlight w:val="none"/>
                      <w:u w:val="single"/>
                      <w:lang w:val="en-US" w:eastAsia="zh-CN"/>
                    </w:rPr>
                    <w:t>中二级标准</w:t>
                  </w:r>
                </w:p>
              </w:tc>
            </w:tr>
            <w:tr w14:paraId="62852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053E7BE7">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26D4DA6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金羊路保障房小区二区</w:t>
                  </w:r>
                </w:p>
              </w:tc>
              <w:tc>
                <w:tcPr>
                  <w:tcW w:w="1392" w:type="dxa"/>
                  <w:tcBorders>
                    <w:tl2br w:val="nil"/>
                    <w:tr2bl w:val="nil"/>
                  </w:tcBorders>
                  <w:noWrap w:val="0"/>
                  <w:vAlign w:val="center"/>
                </w:tcPr>
                <w:p w14:paraId="40C93EB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W-NW，110-200m</w:t>
                  </w:r>
                </w:p>
              </w:tc>
              <w:tc>
                <w:tcPr>
                  <w:tcW w:w="1740" w:type="dxa"/>
                  <w:tcBorders>
                    <w:tl2br w:val="nil"/>
                    <w:tr2bl w:val="nil"/>
                  </w:tcBorders>
                  <w:noWrap w:val="0"/>
                  <w:vAlign w:val="center"/>
                </w:tcPr>
                <w:p w14:paraId="7AD1A0A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经度：112°11′12.283″</w:t>
                  </w:r>
                </w:p>
                <w:p w14:paraId="67D5657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纬度：25°53′53.870″</w:t>
                  </w:r>
                </w:p>
              </w:tc>
              <w:tc>
                <w:tcPr>
                  <w:tcW w:w="1156" w:type="dxa"/>
                  <w:tcBorders>
                    <w:tl2br w:val="nil"/>
                    <w:tr2bl w:val="nil"/>
                  </w:tcBorders>
                  <w:noWrap w:val="0"/>
                  <w:vAlign w:val="center"/>
                </w:tcPr>
                <w:p w14:paraId="0B2F8AD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居住，约70户、210人</w:t>
                  </w:r>
                </w:p>
              </w:tc>
              <w:tc>
                <w:tcPr>
                  <w:tcW w:w="1723" w:type="dxa"/>
                  <w:vMerge w:val="continue"/>
                  <w:tcBorders>
                    <w:tl2br w:val="nil"/>
                    <w:tr2bl w:val="nil"/>
                  </w:tcBorders>
                  <w:noWrap w:val="0"/>
                  <w:vAlign w:val="center"/>
                </w:tcPr>
                <w:p w14:paraId="0EB36DD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3DD2E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647C7BF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323B27A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金羊路保障房小区</w:t>
                  </w:r>
                  <w:r>
                    <w:rPr>
                      <w:rFonts w:hint="eastAsia" w:ascii="Times New Roman" w:hAnsi="Times New Roman" w:cs="Times New Roman"/>
                      <w:color w:val="000000"/>
                      <w:kern w:val="2"/>
                      <w:sz w:val="18"/>
                      <w:szCs w:val="18"/>
                      <w:highlight w:val="none"/>
                      <w:u w:val="single"/>
                      <w:lang w:val="en-US" w:eastAsia="zh-CN" w:bidi="ar"/>
                    </w:rPr>
                    <w:t>一区</w:t>
                  </w:r>
                </w:p>
              </w:tc>
              <w:tc>
                <w:tcPr>
                  <w:tcW w:w="1392" w:type="dxa"/>
                  <w:tcBorders>
                    <w:tl2br w:val="nil"/>
                    <w:tr2bl w:val="nil"/>
                  </w:tcBorders>
                  <w:noWrap w:val="0"/>
                  <w:vAlign w:val="center"/>
                </w:tcPr>
                <w:p w14:paraId="16B85E2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E-NE，260-320m</w:t>
                  </w:r>
                </w:p>
              </w:tc>
              <w:tc>
                <w:tcPr>
                  <w:tcW w:w="1740" w:type="dxa"/>
                  <w:tcBorders>
                    <w:tl2br w:val="nil"/>
                    <w:tr2bl w:val="nil"/>
                  </w:tcBorders>
                  <w:noWrap w:val="0"/>
                  <w:vAlign w:val="center"/>
                </w:tcPr>
                <w:p w14:paraId="5FF01E66">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经度：112°11′29.568″</w:t>
                  </w:r>
                </w:p>
                <w:p w14:paraId="1CC86296">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纬度：25°53′58.312″</w:t>
                  </w:r>
                </w:p>
              </w:tc>
              <w:tc>
                <w:tcPr>
                  <w:tcW w:w="1156" w:type="dxa"/>
                  <w:tcBorders>
                    <w:tl2br w:val="nil"/>
                    <w:tr2bl w:val="nil"/>
                  </w:tcBorders>
                  <w:noWrap w:val="0"/>
                  <w:vAlign w:val="center"/>
                </w:tcPr>
                <w:p w14:paraId="1EA8797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居住，约100户、300人</w:t>
                  </w:r>
                </w:p>
              </w:tc>
              <w:tc>
                <w:tcPr>
                  <w:tcW w:w="1723" w:type="dxa"/>
                  <w:vMerge w:val="continue"/>
                  <w:tcBorders>
                    <w:tl2br w:val="nil"/>
                    <w:tr2bl w:val="nil"/>
                  </w:tcBorders>
                  <w:noWrap w:val="0"/>
                  <w:vAlign w:val="center"/>
                </w:tcPr>
                <w:p w14:paraId="3C2A37C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6D23E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54CA3EA8">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435C0DD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color w:val="000000"/>
                      <w:kern w:val="2"/>
                      <w:sz w:val="18"/>
                      <w:szCs w:val="18"/>
                      <w:highlight w:val="none"/>
                      <w:u w:val="single"/>
                      <w:lang w:bidi="ar"/>
                    </w:rPr>
                  </w:pPr>
                  <w:r>
                    <w:rPr>
                      <w:rFonts w:hint="eastAsia" w:ascii="Times New Roman" w:hAnsi="Times New Roman"/>
                      <w:color w:val="000000"/>
                      <w:kern w:val="2"/>
                      <w:sz w:val="18"/>
                      <w:szCs w:val="18"/>
                      <w:highlight w:val="none"/>
                      <w:u w:val="single"/>
                      <w:lang w:bidi="ar"/>
                    </w:rPr>
                    <w:t>新田徐福天誉</w:t>
                  </w:r>
                </w:p>
              </w:tc>
              <w:tc>
                <w:tcPr>
                  <w:tcW w:w="1392" w:type="dxa"/>
                  <w:tcBorders>
                    <w:tl2br w:val="nil"/>
                    <w:tr2bl w:val="nil"/>
                  </w:tcBorders>
                  <w:noWrap w:val="0"/>
                  <w:vAlign w:val="center"/>
                </w:tcPr>
                <w:p w14:paraId="31A99F2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N-NE，450-500m</w:t>
                  </w:r>
                </w:p>
              </w:tc>
              <w:tc>
                <w:tcPr>
                  <w:tcW w:w="1740" w:type="dxa"/>
                  <w:tcBorders>
                    <w:tl2br w:val="nil"/>
                    <w:tr2bl w:val="nil"/>
                  </w:tcBorders>
                  <w:shd w:val="clear" w:color="auto" w:fill="auto"/>
                  <w:noWrap w:val="0"/>
                  <w:vAlign w:val="center"/>
                </w:tcPr>
                <w:p w14:paraId="17B6287D">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经度：112°11′22.017″</w:t>
                  </w:r>
                </w:p>
                <w:p w14:paraId="1296AA7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纬度：25°54′9.937″</w:t>
                  </w:r>
                </w:p>
              </w:tc>
              <w:tc>
                <w:tcPr>
                  <w:tcW w:w="1156" w:type="dxa"/>
                  <w:tcBorders>
                    <w:tl2br w:val="nil"/>
                    <w:tr2bl w:val="nil"/>
                  </w:tcBorders>
                  <w:shd w:val="clear" w:color="auto" w:fill="auto"/>
                  <w:noWrap w:val="0"/>
                  <w:vAlign w:val="center"/>
                </w:tcPr>
                <w:p w14:paraId="0D0B768B">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SA"/>
                    </w:rPr>
                  </w:pPr>
                  <w:r>
                    <w:rPr>
                      <w:rFonts w:hint="eastAsia" w:ascii="Times New Roman" w:hAnsi="Times New Roman" w:eastAsia="宋体" w:cs="Times New Roman"/>
                      <w:color w:val="000000"/>
                      <w:kern w:val="2"/>
                      <w:sz w:val="18"/>
                      <w:szCs w:val="18"/>
                      <w:highlight w:val="none"/>
                      <w:u w:val="single"/>
                      <w:lang w:val="en-US" w:eastAsia="zh-CN"/>
                    </w:rPr>
                    <w:t>居住，约80户、240人</w:t>
                  </w:r>
                </w:p>
              </w:tc>
              <w:tc>
                <w:tcPr>
                  <w:tcW w:w="1723" w:type="dxa"/>
                  <w:vMerge w:val="continue"/>
                  <w:tcBorders>
                    <w:tl2br w:val="nil"/>
                    <w:tr2bl w:val="nil"/>
                  </w:tcBorders>
                  <w:noWrap w:val="0"/>
                  <w:vAlign w:val="center"/>
                </w:tcPr>
                <w:p w14:paraId="7D04DDF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6BFED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171C08C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1D1E92B4">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新田徐福桃花源</w:t>
                  </w:r>
                </w:p>
              </w:tc>
              <w:tc>
                <w:tcPr>
                  <w:tcW w:w="1392" w:type="dxa"/>
                  <w:tcBorders>
                    <w:tl2br w:val="nil"/>
                    <w:tr2bl w:val="nil"/>
                  </w:tcBorders>
                  <w:noWrap w:val="0"/>
                  <w:vAlign w:val="center"/>
                </w:tcPr>
                <w:p w14:paraId="0AAED93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NE，</w:t>
                  </w:r>
                  <w:r>
                    <w:rPr>
                      <w:rFonts w:hint="eastAsia" w:ascii="Times New Roman" w:hAnsi="Times New Roman" w:eastAsia="宋体" w:cs="Times New Roman"/>
                      <w:color w:val="000000"/>
                      <w:kern w:val="2"/>
                      <w:sz w:val="18"/>
                      <w:szCs w:val="18"/>
                      <w:highlight w:val="none"/>
                      <w:u w:val="single"/>
                      <w:lang w:val="en-US" w:eastAsia="zh-CN" w:bidi="ar"/>
                    </w:rPr>
                    <w:t>410-500m</w:t>
                  </w:r>
                </w:p>
              </w:tc>
              <w:tc>
                <w:tcPr>
                  <w:tcW w:w="1740" w:type="dxa"/>
                  <w:tcBorders>
                    <w:tl2br w:val="nil"/>
                    <w:tr2bl w:val="nil"/>
                  </w:tcBorders>
                  <w:noWrap w:val="0"/>
                  <w:vAlign w:val="center"/>
                </w:tcPr>
                <w:p w14:paraId="1320345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经度：112°11′32.136″</w:t>
                  </w:r>
                </w:p>
                <w:p w14:paraId="15092A5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纬度：25°54′6.075″</w:t>
                  </w:r>
                </w:p>
              </w:tc>
              <w:tc>
                <w:tcPr>
                  <w:tcW w:w="1156" w:type="dxa"/>
                  <w:tcBorders>
                    <w:tl2br w:val="nil"/>
                    <w:tr2bl w:val="nil"/>
                  </w:tcBorders>
                  <w:noWrap w:val="0"/>
                  <w:vAlign w:val="center"/>
                </w:tcPr>
                <w:p w14:paraId="2CC5E31E">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SA"/>
                    </w:rPr>
                  </w:pPr>
                  <w:r>
                    <w:rPr>
                      <w:rFonts w:hint="eastAsia" w:ascii="Times New Roman" w:hAnsi="Times New Roman" w:eastAsia="宋体" w:cs="Times New Roman"/>
                      <w:color w:val="000000"/>
                      <w:kern w:val="2"/>
                      <w:sz w:val="18"/>
                      <w:szCs w:val="18"/>
                      <w:highlight w:val="none"/>
                      <w:u w:val="single"/>
                      <w:lang w:val="en-US" w:eastAsia="zh-CN"/>
                    </w:rPr>
                    <w:t>居住，约150户、450人</w:t>
                  </w:r>
                </w:p>
              </w:tc>
              <w:tc>
                <w:tcPr>
                  <w:tcW w:w="1723" w:type="dxa"/>
                  <w:vMerge w:val="continue"/>
                  <w:tcBorders>
                    <w:tl2br w:val="nil"/>
                    <w:tr2bl w:val="nil"/>
                  </w:tcBorders>
                  <w:noWrap w:val="0"/>
                  <w:vAlign w:val="center"/>
                </w:tcPr>
                <w:p w14:paraId="705EBBA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2D68B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07D574D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058F705D">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道发寺</w:t>
                  </w:r>
                </w:p>
              </w:tc>
              <w:tc>
                <w:tcPr>
                  <w:tcW w:w="1392" w:type="dxa"/>
                  <w:tcBorders>
                    <w:tl2br w:val="nil"/>
                    <w:tr2bl w:val="nil"/>
                  </w:tcBorders>
                  <w:noWrap w:val="0"/>
                  <w:vAlign w:val="center"/>
                </w:tcPr>
                <w:p w14:paraId="0CFA6E7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SW，</w:t>
                  </w:r>
                  <w:r>
                    <w:rPr>
                      <w:rFonts w:hint="eastAsia" w:ascii="Times New Roman" w:hAnsi="Times New Roman" w:eastAsia="宋体" w:cs="Times New Roman"/>
                      <w:color w:val="000000"/>
                      <w:kern w:val="2"/>
                      <w:sz w:val="18"/>
                      <w:szCs w:val="18"/>
                      <w:highlight w:val="none"/>
                      <w:u w:val="single"/>
                      <w:lang w:val="en-US" w:eastAsia="zh-CN" w:bidi="ar"/>
                    </w:rPr>
                    <w:t>370-500m</w:t>
                  </w:r>
                </w:p>
              </w:tc>
              <w:tc>
                <w:tcPr>
                  <w:tcW w:w="1740" w:type="dxa"/>
                  <w:tcBorders>
                    <w:tl2br w:val="nil"/>
                    <w:tr2bl w:val="nil"/>
                  </w:tcBorders>
                  <w:noWrap w:val="0"/>
                  <w:vAlign w:val="center"/>
                </w:tcPr>
                <w:p w14:paraId="0F8A060D">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经度：112°11′3.78</w:t>
                  </w:r>
                  <w:r>
                    <w:rPr>
                      <w:rFonts w:hint="eastAsia" w:ascii="Times New Roman" w:hAnsi="Times New Roman" w:eastAsia="宋体" w:cs="Times New Roman"/>
                      <w:color w:val="000000"/>
                      <w:kern w:val="2"/>
                      <w:sz w:val="18"/>
                      <w:szCs w:val="18"/>
                      <w:highlight w:val="none"/>
                      <w:u w:val="single"/>
                      <w:lang w:val="en-US" w:eastAsia="zh-CN" w:bidi="ar"/>
                    </w:rPr>
                    <w:t>7</w:t>
                  </w:r>
                  <w:r>
                    <w:rPr>
                      <w:rFonts w:hint="default" w:ascii="Times New Roman" w:hAnsi="Times New Roman" w:eastAsia="宋体" w:cs="Times New Roman"/>
                      <w:color w:val="000000"/>
                      <w:kern w:val="2"/>
                      <w:sz w:val="18"/>
                      <w:szCs w:val="18"/>
                      <w:highlight w:val="none"/>
                      <w:u w:val="single"/>
                      <w:lang w:val="en-US" w:eastAsia="zh-CN" w:bidi="ar"/>
                    </w:rPr>
                    <w:t>″</w:t>
                  </w:r>
                </w:p>
                <w:p w14:paraId="16FC37EB">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纬度：25°53′40.429″</w:t>
                  </w:r>
                </w:p>
              </w:tc>
              <w:tc>
                <w:tcPr>
                  <w:tcW w:w="1156" w:type="dxa"/>
                  <w:tcBorders>
                    <w:tl2br w:val="nil"/>
                    <w:tr2bl w:val="nil"/>
                  </w:tcBorders>
                  <w:noWrap w:val="0"/>
                  <w:vAlign w:val="center"/>
                </w:tcPr>
                <w:p w14:paraId="7EB7183D">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SA"/>
                    </w:rPr>
                  </w:pPr>
                  <w:r>
                    <w:rPr>
                      <w:rFonts w:hint="eastAsia" w:ascii="Times New Roman" w:hAnsi="Times New Roman" w:eastAsia="宋体" w:cs="Times New Roman"/>
                      <w:color w:val="000000"/>
                      <w:kern w:val="2"/>
                      <w:sz w:val="18"/>
                      <w:szCs w:val="18"/>
                      <w:highlight w:val="none"/>
                      <w:u w:val="single"/>
                      <w:lang w:val="en-US" w:eastAsia="zh-CN"/>
                    </w:rPr>
                    <w:t>居住，约20户、60人</w:t>
                  </w:r>
                </w:p>
              </w:tc>
              <w:tc>
                <w:tcPr>
                  <w:tcW w:w="1723" w:type="dxa"/>
                  <w:vMerge w:val="continue"/>
                  <w:tcBorders>
                    <w:tl2br w:val="nil"/>
                    <w:tr2bl w:val="nil"/>
                  </w:tcBorders>
                  <w:noWrap w:val="0"/>
                  <w:vAlign w:val="center"/>
                </w:tcPr>
                <w:p w14:paraId="55D1BCD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5A81C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4ED380D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6482DFD6">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坪头岭小区</w:t>
                  </w:r>
                </w:p>
              </w:tc>
              <w:tc>
                <w:tcPr>
                  <w:tcW w:w="1392" w:type="dxa"/>
                  <w:tcBorders>
                    <w:tl2br w:val="nil"/>
                    <w:tr2bl w:val="nil"/>
                  </w:tcBorders>
                  <w:noWrap w:val="0"/>
                  <w:vAlign w:val="center"/>
                </w:tcPr>
                <w:p w14:paraId="3BA430C6">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SW，320-440m</w:t>
                  </w:r>
                </w:p>
              </w:tc>
              <w:tc>
                <w:tcPr>
                  <w:tcW w:w="1740" w:type="dxa"/>
                  <w:tcBorders>
                    <w:tl2br w:val="nil"/>
                    <w:tr2bl w:val="nil"/>
                  </w:tcBorders>
                  <w:noWrap w:val="0"/>
                  <w:vAlign w:val="center"/>
                </w:tcPr>
                <w:p w14:paraId="28B5A76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经度：112°11′11.434″</w:t>
                  </w:r>
                </w:p>
                <w:p w14:paraId="6F7F03D9">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纬度：25°53′40.854″</w:t>
                  </w:r>
                </w:p>
              </w:tc>
              <w:tc>
                <w:tcPr>
                  <w:tcW w:w="1156" w:type="dxa"/>
                  <w:tcBorders>
                    <w:tl2br w:val="nil"/>
                    <w:tr2bl w:val="nil"/>
                  </w:tcBorders>
                  <w:noWrap w:val="0"/>
                  <w:vAlign w:val="center"/>
                </w:tcPr>
                <w:p w14:paraId="2089470E">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居住，约200户、600人</w:t>
                  </w:r>
                </w:p>
              </w:tc>
              <w:tc>
                <w:tcPr>
                  <w:tcW w:w="1723" w:type="dxa"/>
                  <w:vMerge w:val="continue"/>
                  <w:tcBorders>
                    <w:tl2br w:val="nil"/>
                    <w:tr2bl w:val="nil"/>
                  </w:tcBorders>
                  <w:noWrap w:val="0"/>
                  <w:vAlign w:val="center"/>
                </w:tcPr>
                <w:p w14:paraId="5A9D07D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117C9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1A97A12F">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1BC5B096">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窝头山</w:t>
                  </w:r>
                </w:p>
              </w:tc>
              <w:tc>
                <w:tcPr>
                  <w:tcW w:w="1392" w:type="dxa"/>
                  <w:tcBorders>
                    <w:tl2br w:val="nil"/>
                    <w:tr2bl w:val="nil"/>
                  </w:tcBorders>
                  <w:noWrap w:val="0"/>
                  <w:vAlign w:val="center"/>
                </w:tcPr>
                <w:p w14:paraId="775872A5">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S-</w:t>
                  </w:r>
                  <w:r>
                    <w:rPr>
                      <w:rFonts w:hint="eastAsia" w:ascii="Times New Roman" w:hAnsi="Times New Roman" w:eastAsia="宋体" w:cs="Times New Roman"/>
                      <w:color w:val="000000"/>
                      <w:kern w:val="2"/>
                      <w:sz w:val="18"/>
                      <w:szCs w:val="18"/>
                      <w:highlight w:val="none"/>
                      <w:u w:val="single"/>
                      <w:lang w:val="en-US" w:eastAsia="zh-CN" w:bidi="ar"/>
                    </w:rPr>
                    <w:t>S</w:t>
                  </w:r>
                  <w:r>
                    <w:rPr>
                      <w:rFonts w:hint="eastAsia" w:ascii="Times New Roman" w:hAnsi="Times New Roman" w:cs="Times New Roman"/>
                      <w:color w:val="000000"/>
                      <w:kern w:val="2"/>
                      <w:sz w:val="18"/>
                      <w:szCs w:val="18"/>
                      <w:highlight w:val="none"/>
                      <w:u w:val="single"/>
                      <w:lang w:val="en-US" w:eastAsia="zh-CN" w:bidi="ar"/>
                    </w:rPr>
                    <w:t>W，370-500m</w:t>
                  </w:r>
                </w:p>
              </w:tc>
              <w:tc>
                <w:tcPr>
                  <w:tcW w:w="1740" w:type="dxa"/>
                  <w:tcBorders>
                    <w:tl2br w:val="nil"/>
                    <w:tr2bl w:val="nil"/>
                  </w:tcBorders>
                  <w:noWrap w:val="0"/>
                  <w:vAlign w:val="center"/>
                </w:tcPr>
                <w:p w14:paraId="33A4C44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经度：112°11′13.481″</w:t>
                  </w:r>
                </w:p>
                <w:p w14:paraId="3F06ECDD">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纬度：25°53′36.953″</w:t>
                  </w:r>
                </w:p>
              </w:tc>
              <w:tc>
                <w:tcPr>
                  <w:tcW w:w="1156" w:type="dxa"/>
                  <w:tcBorders>
                    <w:tl2br w:val="nil"/>
                    <w:tr2bl w:val="nil"/>
                  </w:tcBorders>
                  <w:noWrap w:val="0"/>
                  <w:vAlign w:val="center"/>
                </w:tcPr>
                <w:p w14:paraId="669A5EBF">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居住，约30户、90人</w:t>
                  </w:r>
                </w:p>
              </w:tc>
              <w:tc>
                <w:tcPr>
                  <w:tcW w:w="1723" w:type="dxa"/>
                  <w:vMerge w:val="continue"/>
                  <w:tcBorders>
                    <w:tl2br w:val="nil"/>
                    <w:tr2bl w:val="nil"/>
                  </w:tcBorders>
                  <w:noWrap w:val="0"/>
                  <w:vAlign w:val="center"/>
                </w:tcPr>
                <w:p w14:paraId="1A6D568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392D2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60" w:type="dxa"/>
                  <w:vMerge w:val="continue"/>
                  <w:tcBorders>
                    <w:tl2br w:val="nil"/>
                    <w:tr2bl w:val="nil"/>
                  </w:tcBorders>
                  <w:noWrap w:val="0"/>
                  <w:vAlign w:val="center"/>
                </w:tcPr>
                <w:p w14:paraId="7275908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cs="Times New Roman"/>
                      <w:color w:val="000000"/>
                      <w:kern w:val="2"/>
                      <w:sz w:val="18"/>
                      <w:szCs w:val="18"/>
                      <w:highlight w:val="none"/>
                      <w:u w:val="single"/>
                      <w:lang w:val="en-US" w:eastAsia="zh-CN" w:bidi="ar"/>
                    </w:rPr>
                  </w:pPr>
                </w:p>
              </w:tc>
              <w:tc>
                <w:tcPr>
                  <w:tcW w:w="984" w:type="dxa"/>
                  <w:tcBorders>
                    <w:tl2br w:val="nil"/>
                    <w:tr2bl w:val="nil"/>
                  </w:tcBorders>
                  <w:noWrap w:val="0"/>
                  <w:vAlign w:val="center"/>
                </w:tcPr>
                <w:p w14:paraId="2AF42A47">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映月社区</w:t>
                  </w:r>
                </w:p>
              </w:tc>
              <w:tc>
                <w:tcPr>
                  <w:tcW w:w="1392" w:type="dxa"/>
                  <w:tcBorders>
                    <w:tl2br w:val="nil"/>
                    <w:tr2bl w:val="nil"/>
                  </w:tcBorders>
                  <w:noWrap w:val="0"/>
                  <w:vAlign w:val="center"/>
                </w:tcPr>
                <w:p w14:paraId="1C53BDD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SE，430-500m</w:t>
                  </w:r>
                </w:p>
              </w:tc>
              <w:tc>
                <w:tcPr>
                  <w:tcW w:w="1740" w:type="dxa"/>
                  <w:tcBorders>
                    <w:tl2br w:val="nil"/>
                    <w:tr2bl w:val="nil"/>
                  </w:tcBorders>
                  <w:noWrap w:val="0"/>
                  <w:vAlign w:val="center"/>
                </w:tcPr>
                <w:p w14:paraId="0C970534">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经度：112°11′36.771″</w:t>
                  </w:r>
                </w:p>
                <w:p w14:paraId="0D411D24">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default" w:ascii="Times New Roman" w:hAnsi="Times New Roman" w:eastAsia="宋体" w:cs="Times New Roman"/>
                      <w:color w:val="000000"/>
                      <w:kern w:val="2"/>
                      <w:sz w:val="18"/>
                      <w:szCs w:val="18"/>
                      <w:highlight w:val="none"/>
                      <w:u w:val="single"/>
                      <w:lang w:val="en-US" w:eastAsia="zh-CN" w:bidi="ar"/>
                    </w:rPr>
                    <w:t>纬度：25°53′44.948″</w:t>
                  </w:r>
                </w:p>
              </w:tc>
              <w:tc>
                <w:tcPr>
                  <w:tcW w:w="1156" w:type="dxa"/>
                  <w:tcBorders>
                    <w:tl2br w:val="nil"/>
                    <w:tr2bl w:val="nil"/>
                  </w:tcBorders>
                  <w:noWrap w:val="0"/>
                  <w:vAlign w:val="center"/>
                </w:tcPr>
                <w:p w14:paraId="460A1DAA">
                  <w:pPr>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居住，约180户、540人</w:t>
                  </w:r>
                </w:p>
              </w:tc>
              <w:tc>
                <w:tcPr>
                  <w:tcW w:w="1723" w:type="dxa"/>
                  <w:vMerge w:val="continue"/>
                  <w:tcBorders>
                    <w:tl2br w:val="nil"/>
                    <w:tr2bl w:val="nil"/>
                  </w:tcBorders>
                  <w:noWrap w:val="0"/>
                  <w:vAlign w:val="center"/>
                </w:tcPr>
                <w:p w14:paraId="3657754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p>
              </w:tc>
            </w:tr>
            <w:tr w14:paraId="277C0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60" w:type="dxa"/>
                  <w:tcBorders>
                    <w:tl2br w:val="nil"/>
                    <w:tr2bl w:val="nil"/>
                  </w:tcBorders>
                  <w:noWrap w:val="0"/>
                  <w:vAlign w:val="center"/>
                </w:tcPr>
                <w:p w14:paraId="694721D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声环境</w:t>
                  </w:r>
                </w:p>
              </w:tc>
              <w:tc>
                <w:tcPr>
                  <w:tcW w:w="6995" w:type="dxa"/>
                  <w:gridSpan w:val="5"/>
                  <w:tcBorders>
                    <w:tl2br w:val="nil"/>
                    <w:tr2bl w:val="nil"/>
                  </w:tcBorders>
                  <w:noWrap w:val="0"/>
                  <w:vAlign w:val="center"/>
                </w:tcPr>
                <w:p w14:paraId="1388CAB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本项目厂界外周边50m范围内无声环境保护目标</w:t>
                  </w:r>
                </w:p>
              </w:tc>
            </w:tr>
            <w:tr w14:paraId="30D9B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60" w:type="dxa"/>
                  <w:tcBorders>
                    <w:tl2br w:val="nil"/>
                    <w:tr2bl w:val="nil"/>
                  </w:tcBorders>
                  <w:noWrap w:val="0"/>
                  <w:vAlign w:val="center"/>
                </w:tcPr>
                <w:p w14:paraId="78E8AFFE">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eastAsia="宋体" w:cs="Times New Roman"/>
                      <w:color w:val="000000"/>
                      <w:kern w:val="2"/>
                      <w:sz w:val="18"/>
                      <w:szCs w:val="18"/>
                      <w:highlight w:val="none"/>
                      <w:u w:val="single"/>
                      <w:lang w:val="en-US" w:eastAsia="zh-CN" w:bidi="ar"/>
                    </w:rPr>
                    <w:t>地表水环境</w:t>
                  </w:r>
                </w:p>
              </w:tc>
              <w:tc>
                <w:tcPr>
                  <w:tcW w:w="984" w:type="dxa"/>
                  <w:tcBorders>
                    <w:tl2br w:val="nil"/>
                    <w:tr2bl w:val="nil"/>
                  </w:tcBorders>
                  <w:noWrap w:val="0"/>
                  <w:vAlign w:val="center"/>
                </w:tcPr>
                <w:p w14:paraId="70F19D4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新田河</w:t>
                  </w:r>
                </w:p>
              </w:tc>
              <w:tc>
                <w:tcPr>
                  <w:tcW w:w="3132" w:type="dxa"/>
                  <w:gridSpan w:val="2"/>
                  <w:tcBorders>
                    <w:tl2br w:val="nil"/>
                    <w:tr2bl w:val="nil"/>
                  </w:tcBorders>
                  <w:noWrap w:val="0"/>
                  <w:vAlign w:val="center"/>
                </w:tcPr>
                <w:p w14:paraId="3CFC608A">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bidi="ar"/>
                    </w:rPr>
                  </w:pPr>
                  <w:r>
                    <w:rPr>
                      <w:rFonts w:hint="eastAsia" w:ascii="Times New Roman" w:hAnsi="Times New Roman" w:cs="Times New Roman"/>
                      <w:color w:val="000000"/>
                      <w:kern w:val="2"/>
                      <w:sz w:val="18"/>
                      <w:szCs w:val="18"/>
                      <w:highlight w:val="none"/>
                      <w:u w:val="single"/>
                      <w:lang w:val="en-US" w:eastAsia="zh-CN" w:bidi="ar"/>
                    </w:rPr>
                    <w:t>E，1.9km</w:t>
                  </w:r>
                </w:p>
              </w:tc>
              <w:tc>
                <w:tcPr>
                  <w:tcW w:w="1156" w:type="dxa"/>
                  <w:tcBorders>
                    <w:tl2br w:val="nil"/>
                    <w:tr2bl w:val="nil"/>
                  </w:tcBorders>
                  <w:noWrap w:val="0"/>
                  <w:vAlign w:val="center"/>
                </w:tcPr>
                <w:p w14:paraId="7C6ECB61">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农业用水区</w:t>
                  </w:r>
                </w:p>
              </w:tc>
              <w:tc>
                <w:tcPr>
                  <w:tcW w:w="1723" w:type="dxa"/>
                  <w:tcBorders>
                    <w:tl2br w:val="nil"/>
                    <w:tr2bl w:val="nil"/>
                  </w:tcBorders>
                  <w:noWrap w:val="0"/>
                  <w:vAlign w:val="center"/>
                </w:tcPr>
                <w:p w14:paraId="05715B4C">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default" w:ascii="Times New Roman" w:hAnsi="Times New Roman" w:eastAsia="宋体" w:cs="Times New Roman"/>
                      <w:color w:val="000000"/>
                      <w:kern w:val="2"/>
                      <w:sz w:val="18"/>
                      <w:szCs w:val="18"/>
                      <w:highlight w:val="none"/>
                      <w:u w:val="single"/>
                      <w:lang w:val="en-US" w:eastAsia="zh-CN"/>
                    </w:rPr>
                    <w:t>《地表水环境质量标准》</w:t>
                  </w:r>
                  <w:r>
                    <w:rPr>
                      <w:rFonts w:hint="eastAsia" w:ascii="Times New Roman" w:hAnsi="Times New Roman" w:eastAsia="宋体" w:cs="Times New Roman"/>
                      <w:color w:val="000000"/>
                      <w:kern w:val="2"/>
                      <w:sz w:val="18"/>
                      <w:szCs w:val="18"/>
                      <w:highlight w:val="none"/>
                      <w:u w:val="single"/>
                      <w:lang w:val="en-US" w:eastAsia="zh-CN"/>
                    </w:rPr>
                    <w:t>（</w:t>
                  </w:r>
                  <w:r>
                    <w:rPr>
                      <w:rFonts w:hint="default" w:ascii="Times New Roman" w:hAnsi="Times New Roman" w:eastAsia="宋体" w:cs="Times New Roman"/>
                      <w:color w:val="000000"/>
                      <w:kern w:val="2"/>
                      <w:sz w:val="18"/>
                      <w:szCs w:val="18"/>
                      <w:highlight w:val="none"/>
                      <w:u w:val="single"/>
                      <w:lang w:val="en-US" w:eastAsia="zh-CN"/>
                    </w:rPr>
                    <w:t>GB3838-2002</w:t>
                  </w:r>
                  <w:r>
                    <w:rPr>
                      <w:rFonts w:hint="eastAsia" w:ascii="Times New Roman" w:hAnsi="Times New Roman" w:eastAsia="宋体" w:cs="Times New Roman"/>
                      <w:color w:val="000000"/>
                      <w:kern w:val="2"/>
                      <w:sz w:val="18"/>
                      <w:szCs w:val="18"/>
                      <w:highlight w:val="none"/>
                      <w:u w:val="single"/>
                      <w:lang w:val="en-US" w:eastAsia="zh-CN"/>
                    </w:rPr>
                    <w:t>）</w:t>
                  </w:r>
                  <w:r>
                    <w:rPr>
                      <w:rFonts w:hint="default" w:ascii="Times New Roman" w:hAnsi="Times New Roman" w:eastAsia="宋体" w:cs="Times New Roman"/>
                      <w:color w:val="000000"/>
                      <w:kern w:val="2"/>
                      <w:sz w:val="18"/>
                      <w:szCs w:val="18"/>
                      <w:highlight w:val="none"/>
                      <w:u w:val="single"/>
                      <w:lang w:val="en-US" w:eastAsia="zh-CN"/>
                    </w:rPr>
                    <w:t>III类</w:t>
                  </w:r>
                </w:p>
              </w:tc>
            </w:tr>
            <w:tr w14:paraId="6A3E0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60" w:type="dxa"/>
                  <w:tcBorders>
                    <w:tl2br w:val="nil"/>
                    <w:tr2bl w:val="nil"/>
                  </w:tcBorders>
                  <w:noWrap w:val="0"/>
                  <w:vAlign w:val="center"/>
                </w:tcPr>
                <w:p w14:paraId="25E00DDF">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地下水环境</w:t>
                  </w:r>
                </w:p>
              </w:tc>
              <w:tc>
                <w:tcPr>
                  <w:tcW w:w="6995" w:type="dxa"/>
                  <w:gridSpan w:val="5"/>
                  <w:tcBorders>
                    <w:tl2br w:val="nil"/>
                    <w:tr2bl w:val="nil"/>
                  </w:tcBorders>
                  <w:noWrap w:val="0"/>
                  <w:vAlign w:val="center"/>
                </w:tcPr>
                <w:p w14:paraId="70F60E9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厂界外500米范围内无地下集中式饮用水水源和热水、矿泉水、温泉等特殊地下水资源</w:t>
                  </w:r>
                </w:p>
              </w:tc>
            </w:tr>
            <w:tr w14:paraId="75D53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60" w:type="dxa"/>
                  <w:tcBorders>
                    <w:tl2br w:val="nil"/>
                    <w:tr2bl w:val="nil"/>
                  </w:tcBorders>
                  <w:noWrap w:val="0"/>
                  <w:vAlign w:val="center"/>
                </w:tcPr>
                <w:p w14:paraId="1A3346B3">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生态</w:t>
                  </w:r>
                </w:p>
                <w:p w14:paraId="6BB3826B">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eastAsia"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环境</w:t>
                  </w:r>
                </w:p>
              </w:tc>
              <w:tc>
                <w:tcPr>
                  <w:tcW w:w="6995" w:type="dxa"/>
                  <w:gridSpan w:val="5"/>
                  <w:tcBorders>
                    <w:tl2br w:val="nil"/>
                    <w:tr2bl w:val="nil"/>
                  </w:tcBorders>
                  <w:noWrap w:val="0"/>
                  <w:vAlign w:val="center"/>
                </w:tcPr>
                <w:p w14:paraId="7E25AAA2">
                  <w:pPr>
                    <w:pStyle w:val="26"/>
                    <w:keepNext w:val="0"/>
                    <w:keepLines w:val="0"/>
                    <w:pageBreakBefore w:val="0"/>
                    <w:widowControl/>
                    <w:suppressLineNumbers w:val="0"/>
                    <w:kinsoku/>
                    <w:wordWrap/>
                    <w:overflowPunct/>
                    <w:topLinePunct w:val="0"/>
                    <w:autoSpaceDE w:val="0"/>
                    <w:autoSpaceDN/>
                    <w:bidi w:val="0"/>
                    <w:adjustRightInd/>
                    <w:snapToGrid/>
                    <w:spacing w:before="0" w:beforeLines="0" w:beforeAutospacing="0" w:after="0" w:afterLines="0" w:afterAutospacing="0" w:line="240" w:lineRule="auto"/>
                    <w:ind w:left="0" w:right="0" w:firstLine="0" w:firstLineChars="0"/>
                    <w:jc w:val="center"/>
                    <w:textAlignment w:val="auto"/>
                    <w:outlineLvl w:val="9"/>
                    <w:rPr>
                      <w:rFonts w:hint="default" w:ascii="Times New Roman" w:hAnsi="Times New Roman" w:eastAsia="宋体" w:cs="Times New Roman"/>
                      <w:color w:val="000000"/>
                      <w:kern w:val="2"/>
                      <w:sz w:val="18"/>
                      <w:szCs w:val="18"/>
                      <w:highlight w:val="none"/>
                      <w:u w:val="single"/>
                      <w:lang w:val="en-US" w:eastAsia="zh-CN"/>
                    </w:rPr>
                  </w:pPr>
                  <w:r>
                    <w:rPr>
                      <w:rFonts w:hint="eastAsia" w:ascii="Times New Roman" w:hAnsi="Times New Roman" w:eastAsia="宋体" w:cs="Times New Roman"/>
                      <w:color w:val="000000"/>
                      <w:kern w:val="2"/>
                      <w:sz w:val="18"/>
                      <w:szCs w:val="18"/>
                      <w:highlight w:val="none"/>
                      <w:u w:val="single"/>
                      <w:lang w:val="en-US" w:eastAsia="zh-CN"/>
                    </w:rPr>
                    <w:t>根据现场勘查，项目用地范围内无生态环境保护目标</w:t>
                  </w:r>
                </w:p>
              </w:tc>
            </w:tr>
          </w:tbl>
          <w:p w14:paraId="2FB35466">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eastAsia"/>
                <w:sz w:val="24"/>
                <w:szCs w:val="24"/>
                <w:lang w:val="en-US" w:eastAsia="zh-CN"/>
              </w:rPr>
            </w:pPr>
          </w:p>
        </w:tc>
      </w:tr>
      <w:tr w14:paraId="7887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5596209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宋体" w:hAnsi="宋体" w:eastAsia="宋体" w:cs="宋体"/>
                <w:bCs/>
                <w:color w:val="000000"/>
                <w:kern w:val="2"/>
                <w:sz w:val="24"/>
                <w:szCs w:val="24"/>
                <w:highlight w:val="none"/>
              </w:rPr>
            </w:pPr>
            <w:bookmarkStart w:id="122" w:name="_Toc19319"/>
            <w:r>
              <w:rPr>
                <w:rFonts w:hint="eastAsia" w:ascii="宋体" w:hAnsi="宋体" w:eastAsia="宋体" w:cs="宋体"/>
                <w:bCs/>
                <w:color w:val="000000"/>
                <w:kern w:val="2"/>
                <w:sz w:val="24"/>
                <w:szCs w:val="24"/>
                <w:highlight w:val="none"/>
              </w:rPr>
              <w:t>污染物排放控制标准</w:t>
            </w:r>
            <w:bookmarkEnd w:id="122"/>
          </w:p>
        </w:tc>
        <w:tc>
          <w:tcPr>
            <w:tcW w:w="7801" w:type="dxa"/>
          </w:tcPr>
          <w:p w14:paraId="0BAA875D">
            <w:pPr>
              <w:pStyle w:val="14"/>
              <w:keepNext w:val="0"/>
              <w:keepLines w:val="0"/>
              <w:pageBreakBefore w:val="0"/>
              <w:widowControl w:val="0"/>
              <w:numPr>
                <w:ilvl w:val="0"/>
                <w:numId w:val="0"/>
              </w:numPr>
              <w:kinsoku/>
              <w:wordWrap/>
              <w:overflowPunct/>
              <w:topLinePunct w:val="0"/>
              <w:autoSpaceDE/>
              <w:autoSpaceDN/>
              <w:bidi w:val="0"/>
              <w:adjustRightInd w:val="0"/>
              <w:snapToGrid/>
              <w:ind w:left="0" w:leftChars="0" w:firstLine="482" w:firstLineChars="200"/>
              <w:textAlignment w:val="auto"/>
              <w:rPr>
                <w:rFonts w:hint="eastAsia"/>
                <w:b/>
                <w:bCs/>
                <w:u w:val="none" w:color="auto"/>
                <w:lang w:val="en-US" w:eastAsia="zh-CN"/>
              </w:rPr>
            </w:pPr>
            <w:r>
              <w:rPr>
                <w:rFonts w:hint="eastAsia" w:ascii="Times New Roman" w:hAnsi="Times New Roman" w:eastAsia="宋体" w:cs="Times New Roman"/>
                <w:b/>
                <w:bCs/>
                <w:kern w:val="0"/>
                <w:sz w:val="24"/>
                <w:szCs w:val="20"/>
                <w:u w:val="none" w:color="auto"/>
                <w:lang w:val="en-US" w:eastAsia="zh-CN" w:bidi="ar-SA"/>
              </w:rPr>
              <w:t>1、</w:t>
            </w:r>
            <w:r>
              <w:rPr>
                <w:rFonts w:hint="eastAsia"/>
                <w:b/>
                <w:bCs/>
                <w:u w:val="none" w:color="auto"/>
                <w:lang w:val="en-US" w:eastAsia="zh-CN"/>
              </w:rPr>
              <w:t>废气</w:t>
            </w:r>
          </w:p>
          <w:p w14:paraId="0A61E931">
            <w:pPr>
              <w:pStyle w:val="14"/>
              <w:keepNext w:val="0"/>
              <w:keepLines w:val="0"/>
              <w:pageBreakBefore w:val="0"/>
              <w:widowControl w:val="0"/>
              <w:kinsoku/>
              <w:wordWrap/>
              <w:overflowPunct/>
              <w:topLinePunct w:val="0"/>
              <w:bidi w:val="0"/>
              <w:snapToGrid/>
              <w:ind w:left="0" w:leftChars="0" w:firstLine="480" w:firstLineChars="200"/>
              <w:textAlignment w:val="auto"/>
              <w:rPr>
                <w:rFonts w:hint="eastAsia"/>
                <w:b w:val="0"/>
                <w:bCs w:val="0"/>
                <w:color w:val="auto"/>
                <w:u w:val="none" w:color="auto"/>
                <w:vertAlign w:val="baseline"/>
                <w:lang w:val="en-US" w:eastAsia="zh-CN"/>
              </w:rPr>
            </w:pPr>
            <w:r>
              <w:rPr>
                <w:rFonts w:hint="eastAsia"/>
                <w:color w:val="auto"/>
                <w:highlight w:val="none"/>
                <w:u w:val="none" w:color="auto"/>
                <w:lang w:eastAsia="zh-CN"/>
              </w:rPr>
              <w:fldChar w:fldCharType="begin"/>
            </w:r>
            <w:r>
              <w:rPr>
                <w:rFonts w:hint="eastAsia"/>
                <w:color w:val="auto"/>
                <w:highlight w:val="none"/>
                <w:u w:val="none" w:color="auto"/>
                <w:lang w:eastAsia="zh-CN"/>
              </w:rPr>
              <w:instrText xml:space="preserve"> = 1 \* GB3 \* MERGEFORMAT </w:instrText>
            </w:r>
            <w:r>
              <w:rPr>
                <w:rFonts w:hint="eastAsia"/>
                <w:color w:val="auto"/>
                <w:highlight w:val="none"/>
                <w:u w:val="none" w:color="auto"/>
                <w:lang w:eastAsia="zh-CN"/>
              </w:rPr>
              <w:fldChar w:fldCharType="separate"/>
            </w:r>
            <w:r>
              <w:rPr>
                <w:color w:val="auto"/>
                <w:u w:val="none" w:color="auto"/>
              </w:rPr>
              <w:t>①</w:t>
            </w:r>
            <w:r>
              <w:rPr>
                <w:rFonts w:hint="eastAsia"/>
                <w:color w:val="auto"/>
                <w:highlight w:val="none"/>
                <w:u w:val="none" w:color="auto"/>
                <w:lang w:eastAsia="zh-CN"/>
              </w:rPr>
              <w:fldChar w:fldCharType="end"/>
            </w:r>
            <w:r>
              <w:rPr>
                <w:rFonts w:hint="eastAsia"/>
                <w:color w:val="auto"/>
                <w:u w:val="none" w:color="auto"/>
                <w:lang w:val="en-US" w:eastAsia="zh-CN"/>
              </w:rPr>
              <w:t>本项目营运期破碎工序</w:t>
            </w:r>
            <w:r>
              <w:rPr>
                <w:rFonts w:hint="eastAsia" w:ascii="Times New Roman" w:hAnsi="Times New Roman" w:eastAsia="宋体" w:cs="Times New Roman"/>
                <w:color w:val="auto"/>
                <w:sz w:val="24"/>
                <w:highlight w:val="none"/>
                <w:u w:val="none" w:color="auto"/>
                <w:lang w:val="en-US" w:eastAsia="zh-CN"/>
              </w:rPr>
              <w:t>有组织排放</w:t>
            </w:r>
            <w:r>
              <w:rPr>
                <w:rFonts w:hint="eastAsia" w:cs="Times New Roman"/>
                <w:color w:val="auto"/>
                <w:sz w:val="24"/>
                <w:highlight w:val="none"/>
                <w:u w:val="none" w:color="auto"/>
                <w:lang w:val="en-US" w:eastAsia="zh-CN"/>
              </w:rPr>
              <w:t>废气中</w:t>
            </w:r>
            <w:r>
              <w:rPr>
                <w:rFonts w:hint="eastAsia"/>
                <w:u w:val="none" w:color="auto"/>
              </w:rPr>
              <w:t>颗粒物执行《大气污染物综合排放标准》（GB16297-1996）表2中二级标准</w:t>
            </w:r>
            <w:r>
              <w:rPr>
                <w:rFonts w:hint="eastAsia"/>
                <w:u w:val="none" w:color="auto"/>
                <w:lang w:val="en-US" w:eastAsia="zh-CN"/>
              </w:rPr>
              <w:t>限值</w:t>
            </w:r>
            <w:r>
              <w:rPr>
                <w:rFonts w:hint="eastAsia" w:ascii="Times New Roman" w:hAnsi="Times New Roman" w:cs="Times New Roman"/>
                <w:color w:val="000000"/>
                <w:kern w:val="0"/>
                <w:sz w:val="24"/>
                <w:szCs w:val="24"/>
                <w:u w:val="none" w:color="auto"/>
                <w:lang w:val="en-US" w:eastAsia="zh-CN"/>
              </w:rPr>
              <w:t>；</w:t>
            </w:r>
          </w:p>
          <w:p w14:paraId="726AF8D0">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eastAsia" w:ascii="Times New Roman" w:hAnsi="Times New Roman" w:eastAsia="宋体" w:cs="Times New Roman"/>
                <w:color w:val="000000"/>
                <w:kern w:val="0"/>
                <w:sz w:val="24"/>
                <w:szCs w:val="24"/>
                <w:u w:val="none" w:color="auto"/>
                <w:lang w:val="en-US" w:eastAsia="zh-CN"/>
              </w:rPr>
            </w:pPr>
            <w:r>
              <w:rPr>
                <w:rFonts w:hint="default"/>
                <w:b w:val="0"/>
                <w:bCs w:val="0"/>
                <w:color w:val="auto"/>
                <w:highlight w:val="none"/>
                <w:u w:val="none" w:color="auto"/>
                <w:vertAlign w:val="baseline"/>
                <w:lang w:val="en-US" w:eastAsia="zh-CN"/>
              </w:rPr>
              <w:fldChar w:fldCharType="begin"/>
            </w:r>
            <w:r>
              <w:rPr>
                <w:rFonts w:hint="default"/>
                <w:b w:val="0"/>
                <w:bCs w:val="0"/>
                <w:color w:val="auto"/>
                <w:highlight w:val="none"/>
                <w:u w:val="none" w:color="auto"/>
                <w:vertAlign w:val="baseline"/>
                <w:lang w:val="en-US" w:eastAsia="zh-CN"/>
              </w:rPr>
              <w:instrText xml:space="preserve"> = 2 \* GB3 \* MERGEFORMAT </w:instrText>
            </w:r>
            <w:r>
              <w:rPr>
                <w:rFonts w:hint="default"/>
                <w:b w:val="0"/>
                <w:bCs w:val="0"/>
                <w:color w:val="auto"/>
                <w:highlight w:val="none"/>
                <w:u w:val="none" w:color="auto"/>
                <w:vertAlign w:val="baseline"/>
                <w:lang w:val="en-US" w:eastAsia="zh-CN"/>
              </w:rPr>
              <w:fldChar w:fldCharType="separate"/>
            </w:r>
            <w:r>
              <w:rPr>
                <w:color w:val="auto"/>
                <w:highlight w:val="none"/>
                <w:u w:val="none" w:color="auto"/>
              </w:rPr>
              <w:t>②</w:t>
            </w:r>
            <w:r>
              <w:rPr>
                <w:rFonts w:hint="default"/>
                <w:b w:val="0"/>
                <w:bCs w:val="0"/>
                <w:color w:val="auto"/>
                <w:highlight w:val="none"/>
                <w:u w:val="none" w:color="auto"/>
                <w:vertAlign w:val="baseline"/>
                <w:lang w:val="en-US" w:eastAsia="zh-CN"/>
              </w:rPr>
              <w:fldChar w:fldCharType="end"/>
            </w:r>
            <w:r>
              <w:rPr>
                <w:rFonts w:hint="eastAsia" w:ascii="Times New Roman" w:hAnsi="Times New Roman" w:eastAsia="宋体" w:cs="Times New Roman"/>
                <w:color w:val="auto"/>
                <w:sz w:val="24"/>
                <w:highlight w:val="none"/>
                <w:u w:val="none" w:color="auto"/>
                <w:lang w:val="en-US" w:eastAsia="zh-CN"/>
              </w:rPr>
              <w:t>厂界无组织排放</w:t>
            </w:r>
            <w:r>
              <w:rPr>
                <w:rFonts w:hint="default" w:ascii="Times New Roman" w:hAnsi="Times New Roman" w:eastAsia="宋体" w:cs="Times New Roman"/>
                <w:color w:val="auto"/>
                <w:sz w:val="24"/>
                <w:szCs w:val="24"/>
                <w:highlight w:val="none"/>
                <w:u w:val="none" w:color="auto"/>
                <w:lang w:eastAsia="zh-CN"/>
              </w:rPr>
              <w:t>颗粒物执行《大气污染物综合排放标准</w:t>
            </w:r>
            <w:r>
              <w:rPr>
                <w:rFonts w:hint="eastAsia"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eastAsia="zh-CN"/>
              </w:rPr>
              <w:t>（GB16297-1996）表2中无组织监控浓度限值</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厂界无组织排放</w:t>
            </w:r>
            <w:r>
              <w:rPr>
                <w:rFonts w:hint="eastAsia" w:cs="Times New Roman"/>
                <w:color w:val="auto"/>
                <w:sz w:val="24"/>
                <w:highlight w:val="none"/>
                <w:u w:val="none" w:color="auto"/>
                <w:lang w:val="en-US" w:eastAsia="zh-CN"/>
              </w:rPr>
              <w:t>氨、硫化氢、</w:t>
            </w:r>
            <w:r>
              <w:rPr>
                <w:rFonts w:hint="eastAsia" w:ascii="Times New Roman" w:hAnsi="Times New Roman" w:eastAsia="宋体" w:cs="Times New Roman"/>
                <w:b w:val="0"/>
                <w:bCs w:val="0"/>
                <w:color w:val="auto"/>
                <w:kern w:val="0"/>
                <w:sz w:val="24"/>
                <w:szCs w:val="20"/>
                <w:highlight w:val="none"/>
                <w:u w:val="none" w:color="auto"/>
                <w:lang w:val="en-US" w:eastAsia="zh-CN"/>
              </w:rPr>
              <w:t>臭气浓度</w:t>
            </w:r>
            <w:r>
              <w:rPr>
                <w:rFonts w:hint="eastAsia" w:ascii="Times New Roman" w:hAnsi="Times New Roman" w:cs="Times New Roman"/>
                <w:b w:val="0"/>
                <w:bCs w:val="0"/>
                <w:color w:val="000000"/>
                <w:kern w:val="0"/>
                <w:sz w:val="24"/>
                <w:szCs w:val="24"/>
                <w:u w:val="none" w:color="auto"/>
                <w:lang w:val="en-US" w:eastAsia="zh-CN"/>
              </w:rPr>
              <w:t>执行</w:t>
            </w:r>
            <w:r>
              <w:rPr>
                <w:rFonts w:hint="eastAsia" w:ascii="Times New Roman" w:hAnsi="Times New Roman" w:eastAsia="宋体" w:cs="Times New Roman"/>
                <w:color w:val="000000"/>
                <w:kern w:val="0"/>
                <w:sz w:val="24"/>
                <w:szCs w:val="24"/>
                <w:u w:val="none" w:color="auto"/>
                <w:lang w:val="en-US" w:eastAsia="zh-CN"/>
              </w:rPr>
              <w:t>《恶臭污染物排放标准》</w:t>
            </w:r>
            <w:r>
              <w:rPr>
                <w:rFonts w:hint="eastAsia" w:cs="Times New Roman"/>
                <w:color w:val="000000"/>
                <w:kern w:val="0"/>
                <w:sz w:val="24"/>
                <w:szCs w:val="24"/>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rPr>
              <w:t>GB14554-93</w:t>
            </w:r>
            <w:r>
              <w:rPr>
                <w:rFonts w:hint="eastAsia" w:cs="Times New Roman"/>
                <w:color w:val="000000"/>
                <w:kern w:val="0"/>
                <w:sz w:val="24"/>
                <w:szCs w:val="24"/>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rPr>
              <w:t>表1恶臭污染物厂界二级新改扩建标准值。</w:t>
            </w:r>
          </w:p>
          <w:p w14:paraId="3C92F161">
            <w:pPr>
              <w:widowControl/>
              <w:spacing w:line="240" w:lineRule="auto"/>
              <w:jc w:val="center"/>
              <w:rPr>
                <w:b/>
                <w:sz w:val="21"/>
                <w:szCs w:val="21"/>
                <w:u w:val="none" w:color="auto"/>
              </w:rPr>
            </w:pPr>
            <w:r>
              <w:rPr>
                <w:b/>
                <w:sz w:val="21"/>
                <w:szCs w:val="21"/>
                <w:u w:val="none" w:color="auto"/>
              </w:rPr>
              <w:t>表3-</w:t>
            </w:r>
            <w:r>
              <w:rPr>
                <w:rFonts w:hint="eastAsia"/>
                <w:b/>
                <w:sz w:val="21"/>
                <w:szCs w:val="21"/>
                <w:u w:val="none" w:color="auto"/>
                <w:lang w:val="en-US" w:eastAsia="zh-CN"/>
              </w:rPr>
              <w:t>5</w:t>
            </w:r>
            <w:r>
              <w:rPr>
                <w:b/>
                <w:sz w:val="21"/>
                <w:szCs w:val="21"/>
                <w:u w:val="none" w:color="auto"/>
              </w:rPr>
              <w:t xml:space="preserve">  大气污染物综合排放标准</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013"/>
              <w:gridCol w:w="1601"/>
              <w:gridCol w:w="1915"/>
            </w:tblGrid>
            <w:tr w14:paraId="4BB06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vMerge w:val="restart"/>
                  <w:noWrap w:val="0"/>
                  <w:vAlign w:val="center"/>
                </w:tcPr>
                <w:p w14:paraId="34216627">
                  <w:pPr>
                    <w:adjustRightInd w:val="0"/>
                    <w:snapToGrid w:val="0"/>
                    <w:spacing w:line="240" w:lineRule="auto"/>
                    <w:jc w:val="center"/>
                    <w:rPr>
                      <w:kern w:val="0"/>
                      <w:sz w:val="21"/>
                      <w:szCs w:val="21"/>
                      <w:u w:val="none" w:color="auto"/>
                    </w:rPr>
                  </w:pPr>
                  <w:r>
                    <w:rPr>
                      <w:kern w:val="0"/>
                      <w:sz w:val="21"/>
                      <w:szCs w:val="21"/>
                      <w:u w:val="none" w:color="auto"/>
                    </w:rPr>
                    <w:t>污染物名称</w:t>
                  </w:r>
                </w:p>
              </w:tc>
              <w:tc>
                <w:tcPr>
                  <w:tcW w:w="1332" w:type="pct"/>
                  <w:vMerge w:val="restart"/>
                  <w:noWrap w:val="0"/>
                  <w:vAlign w:val="center"/>
                </w:tcPr>
                <w:p w14:paraId="0D2DE24A">
                  <w:pPr>
                    <w:adjustRightInd w:val="0"/>
                    <w:snapToGrid w:val="0"/>
                    <w:spacing w:line="240" w:lineRule="auto"/>
                    <w:jc w:val="center"/>
                    <w:rPr>
                      <w:kern w:val="0"/>
                      <w:sz w:val="21"/>
                      <w:szCs w:val="21"/>
                      <w:u w:val="none" w:color="auto"/>
                    </w:rPr>
                  </w:pPr>
                  <w:r>
                    <w:rPr>
                      <w:kern w:val="0"/>
                      <w:sz w:val="21"/>
                      <w:szCs w:val="21"/>
                      <w:u w:val="none" w:color="auto"/>
                    </w:rPr>
                    <w:t>最高允许排放浓度</w:t>
                  </w:r>
                </w:p>
                <w:p w14:paraId="7D011989">
                  <w:pPr>
                    <w:adjustRightInd w:val="0"/>
                    <w:snapToGrid w:val="0"/>
                    <w:spacing w:line="240" w:lineRule="auto"/>
                    <w:jc w:val="center"/>
                    <w:rPr>
                      <w:kern w:val="0"/>
                      <w:sz w:val="21"/>
                      <w:szCs w:val="21"/>
                      <w:u w:val="none" w:color="auto"/>
                    </w:rPr>
                  </w:pPr>
                  <w:r>
                    <w:rPr>
                      <w:kern w:val="0"/>
                      <w:sz w:val="21"/>
                      <w:szCs w:val="21"/>
                      <w:u w:val="none" w:color="auto"/>
                    </w:rPr>
                    <w:t>（mg/m</w:t>
                  </w:r>
                  <w:r>
                    <w:rPr>
                      <w:kern w:val="0"/>
                      <w:sz w:val="21"/>
                      <w:szCs w:val="21"/>
                      <w:u w:val="none" w:color="auto"/>
                      <w:vertAlign w:val="superscript"/>
                    </w:rPr>
                    <w:t>3</w:t>
                  </w:r>
                  <w:r>
                    <w:rPr>
                      <w:kern w:val="0"/>
                      <w:sz w:val="21"/>
                      <w:szCs w:val="21"/>
                      <w:u w:val="none" w:color="auto"/>
                    </w:rPr>
                    <w:t>）</w:t>
                  </w:r>
                </w:p>
              </w:tc>
              <w:tc>
                <w:tcPr>
                  <w:tcW w:w="2326" w:type="pct"/>
                  <w:gridSpan w:val="2"/>
                  <w:noWrap w:val="0"/>
                  <w:vAlign w:val="center"/>
                </w:tcPr>
                <w:p w14:paraId="6A5BD564">
                  <w:pPr>
                    <w:adjustRightInd w:val="0"/>
                    <w:snapToGrid w:val="0"/>
                    <w:spacing w:line="240" w:lineRule="auto"/>
                    <w:jc w:val="center"/>
                    <w:rPr>
                      <w:kern w:val="0"/>
                      <w:sz w:val="21"/>
                      <w:szCs w:val="21"/>
                      <w:u w:val="none" w:color="auto"/>
                    </w:rPr>
                  </w:pPr>
                  <w:r>
                    <w:rPr>
                      <w:kern w:val="0"/>
                      <w:sz w:val="21"/>
                      <w:szCs w:val="21"/>
                      <w:u w:val="none" w:color="auto"/>
                    </w:rPr>
                    <w:t>最高允许排放速率</w:t>
                  </w:r>
                </w:p>
              </w:tc>
            </w:tr>
            <w:tr w14:paraId="7F184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vMerge w:val="continue"/>
                  <w:noWrap w:val="0"/>
                  <w:vAlign w:val="center"/>
                </w:tcPr>
                <w:p w14:paraId="5D338789">
                  <w:pPr>
                    <w:adjustRightInd w:val="0"/>
                    <w:snapToGrid w:val="0"/>
                    <w:spacing w:line="240" w:lineRule="auto"/>
                    <w:jc w:val="center"/>
                    <w:rPr>
                      <w:kern w:val="0"/>
                      <w:sz w:val="21"/>
                      <w:szCs w:val="21"/>
                      <w:u w:val="none" w:color="auto"/>
                    </w:rPr>
                  </w:pPr>
                </w:p>
              </w:tc>
              <w:tc>
                <w:tcPr>
                  <w:tcW w:w="1332" w:type="pct"/>
                  <w:vMerge w:val="continue"/>
                  <w:noWrap w:val="0"/>
                  <w:vAlign w:val="center"/>
                </w:tcPr>
                <w:p w14:paraId="1D34CB15">
                  <w:pPr>
                    <w:adjustRightInd w:val="0"/>
                    <w:snapToGrid w:val="0"/>
                    <w:spacing w:line="240" w:lineRule="auto"/>
                    <w:jc w:val="center"/>
                    <w:rPr>
                      <w:kern w:val="0"/>
                      <w:sz w:val="21"/>
                      <w:szCs w:val="21"/>
                      <w:u w:val="none" w:color="auto"/>
                    </w:rPr>
                  </w:pPr>
                </w:p>
              </w:tc>
              <w:tc>
                <w:tcPr>
                  <w:tcW w:w="1059" w:type="pct"/>
                  <w:noWrap w:val="0"/>
                  <w:vAlign w:val="center"/>
                </w:tcPr>
                <w:p w14:paraId="4497C23A">
                  <w:pPr>
                    <w:adjustRightInd w:val="0"/>
                    <w:snapToGrid w:val="0"/>
                    <w:spacing w:line="240" w:lineRule="auto"/>
                    <w:jc w:val="center"/>
                    <w:rPr>
                      <w:kern w:val="0"/>
                      <w:sz w:val="21"/>
                      <w:szCs w:val="21"/>
                      <w:u w:val="none" w:color="auto"/>
                    </w:rPr>
                  </w:pPr>
                  <w:r>
                    <w:rPr>
                      <w:rFonts w:hint="eastAsia"/>
                      <w:kern w:val="0"/>
                      <w:sz w:val="21"/>
                      <w:szCs w:val="21"/>
                      <w:u w:val="none" w:color="auto"/>
                    </w:rPr>
                    <w:t>排气筒高度（m）</w:t>
                  </w:r>
                </w:p>
              </w:tc>
              <w:tc>
                <w:tcPr>
                  <w:tcW w:w="1267" w:type="pct"/>
                  <w:noWrap w:val="0"/>
                  <w:vAlign w:val="center"/>
                </w:tcPr>
                <w:p w14:paraId="4D46DC64">
                  <w:pPr>
                    <w:adjustRightInd w:val="0"/>
                    <w:snapToGrid w:val="0"/>
                    <w:spacing w:line="240" w:lineRule="auto"/>
                    <w:jc w:val="center"/>
                    <w:rPr>
                      <w:kern w:val="0"/>
                      <w:sz w:val="21"/>
                      <w:szCs w:val="21"/>
                      <w:u w:val="none" w:color="auto"/>
                    </w:rPr>
                  </w:pPr>
                  <w:r>
                    <w:rPr>
                      <w:rFonts w:hint="eastAsia"/>
                      <w:kern w:val="0"/>
                      <w:sz w:val="21"/>
                      <w:szCs w:val="21"/>
                      <w:u w:val="none" w:color="auto"/>
                    </w:rPr>
                    <w:t>二级</w:t>
                  </w:r>
                  <w:r>
                    <w:rPr>
                      <w:kern w:val="0"/>
                      <w:sz w:val="21"/>
                      <w:szCs w:val="21"/>
                      <w:u w:val="none" w:color="auto"/>
                    </w:rPr>
                    <w:t>（kg/h）</w:t>
                  </w:r>
                </w:p>
              </w:tc>
            </w:tr>
            <w:tr w14:paraId="65B56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noWrap w:val="0"/>
                  <w:vAlign w:val="center"/>
                </w:tcPr>
                <w:p w14:paraId="13AD2534">
                  <w:pPr>
                    <w:adjustRightInd w:val="0"/>
                    <w:snapToGrid w:val="0"/>
                    <w:spacing w:line="240" w:lineRule="auto"/>
                    <w:jc w:val="center"/>
                    <w:rPr>
                      <w:kern w:val="0"/>
                      <w:sz w:val="21"/>
                      <w:szCs w:val="21"/>
                      <w:u w:val="none" w:color="auto"/>
                    </w:rPr>
                  </w:pPr>
                  <w:r>
                    <w:rPr>
                      <w:rFonts w:hint="eastAsia"/>
                      <w:kern w:val="0"/>
                      <w:sz w:val="21"/>
                      <w:szCs w:val="21"/>
                      <w:u w:val="none" w:color="auto"/>
                    </w:rPr>
                    <w:t>颗粒物</w:t>
                  </w:r>
                </w:p>
              </w:tc>
              <w:tc>
                <w:tcPr>
                  <w:tcW w:w="1332" w:type="pct"/>
                  <w:noWrap w:val="0"/>
                  <w:vAlign w:val="center"/>
                </w:tcPr>
                <w:p w14:paraId="5813D609">
                  <w:pPr>
                    <w:adjustRightInd w:val="0"/>
                    <w:snapToGrid w:val="0"/>
                    <w:spacing w:line="240" w:lineRule="auto"/>
                    <w:jc w:val="center"/>
                    <w:rPr>
                      <w:kern w:val="0"/>
                      <w:sz w:val="21"/>
                      <w:szCs w:val="21"/>
                      <w:u w:val="none" w:color="auto"/>
                    </w:rPr>
                  </w:pPr>
                  <w:r>
                    <w:rPr>
                      <w:rFonts w:hint="eastAsia"/>
                      <w:kern w:val="0"/>
                      <w:sz w:val="21"/>
                      <w:szCs w:val="21"/>
                      <w:u w:val="none" w:color="auto"/>
                    </w:rPr>
                    <w:t>120</w:t>
                  </w:r>
                </w:p>
              </w:tc>
              <w:tc>
                <w:tcPr>
                  <w:tcW w:w="1059" w:type="pct"/>
                  <w:noWrap w:val="0"/>
                  <w:vAlign w:val="center"/>
                </w:tcPr>
                <w:p w14:paraId="589A21BE">
                  <w:pPr>
                    <w:adjustRightInd w:val="0"/>
                    <w:snapToGrid w:val="0"/>
                    <w:spacing w:line="240" w:lineRule="auto"/>
                    <w:jc w:val="center"/>
                    <w:rPr>
                      <w:kern w:val="0"/>
                      <w:sz w:val="21"/>
                      <w:szCs w:val="21"/>
                      <w:u w:val="none" w:color="auto"/>
                    </w:rPr>
                  </w:pPr>
                  <w:r>
                    <w:rPr>
                      <w:rFonts w:hint="eastAsia"/>
                      <w:kern w:val="0"/>
                      <w:sz w:val="21"/>
                      <w:szCs w:val="21"/>
                      <w:u w:val="none" w:color="auto"/>
                    </w:rPr>
                    <w:t>15</w:t>
                  </w:r>
                </w:p>
              </w:tc>
              <w:tc>
                <w:tcPr>
                  <w:tcW w:w="1267" w:type="pct"/>
                  <w:noWrap w:val="0"/>
                  <w:vAlign w:val="center"/>
                </w:tcPr>
                <w:p w14:paraId="0EAA2AF3">
                  <w:pPr>
                    <w:adjustRightInd w:val="0"/>
                    <w:snapToGrid w:val="0"/>
                    <w:spacing w:line="240" w:lineRule="auto"/>
                    <w:jc w:val="center"/>
                    <w:rPr>
                      <w:rFonts w:hint="default" w:eastAsia="宋体"/>
                      <w:kern w:val="0"/>
                      <w:sz w:val="21"/>
                      <w:szCs w:val="21"/>
                      <w:u w:val="none" w:color="auto"/>
                      <w:lang w:val="en-US" w:eastAsia="zh-CN"/>
                    </w:rPr>
                  </w:pPr>
                  <w:r>
                    <w:rPr>
                      <w:rFonts w:hint="eastAsia" w:ascii="Times New Roman" w:hAnsi="Times New Roman" w:eastAsia="宋体" w:cs="Times New Roman"/>
                      <w:kern w:val="0"/>
                      <w:sz w:val="21"/>
                      <w:szCs w:val="21"/>
                      <w:u w:val="none" w:color="auto"/>
                      <w:lang w:val="en-US" w:eastAsia="zh-CN"/>
                    </w:rPr>
                    <w:t>1.75</w:t>
                  </w:r>
                </w:p>
              </w:tc>
            </w:tr>
            <w:tr w14:paraId="635B7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noWrap w:val="0"/>
                  <w:vAlign w:val="center"/>
                </w:tcPr>
                <w:p w14:paraId="7BA29E12">
                  <w:pPr>
                    <w:adjustRightInd w:val="0"/>
                    <w:snapToGrid w:val="0"/>
                    <w:spacing w:line="240" w:lineRule="auto"/>
                    <w:jc w:val="center"/>
                    <w:rPr>
                      <w:rFonts w:hint="eastAsia" w:ascii="Times New Roman" w:hAnsi="Times New Roman" w:eastAsia="宋体" w:cs="Times New Roman"/>
                      <w:kern w:val="0"/>
                      <w:sz w:val="21"/>
                      <w:szCs w:val="21"/>
                      <w:u w:val="none" w:color="auto"/>
                      <w:lang w:val="en-US" w:eastAsia="zh-CN"/>
                    </w:rPr>
                  </w:pPr>
                  <w:r>
                    <w:rPr>
                      <w:rFonts w:hint="eastAsia"/>
                      <w:color w:val="auto"/>
                      <w:szCs w:val="21"/>
                      <w:u w:val="none" w:color="auto"/>
                    </w:rPr>
                    <w:t>注：排气筒</w:t>
                  </w:r>
                  <w:r>
                    <w:rPr>
                      <w:rFonts w:hint="eastAsia"/>
                      <w:color w:val="auto"/>
                      <w:szCs w:val="21"/>
                      <w:u w:val="none" w:color="auto"/>
                      <w:lang w:val="en-US" w:eastAsia="zh-CN"/>
                    </w:rPr>
                    <w:t>15</w:t>
                  </w:r>
                  <w:r>
                    <w:rPr>
                      <w:rFonts w:hint="eastAsia"/>
                      <w:color w:val="auto"/>
                      <w:szCs w:val="21"/>
                      <w:u w:val="none" w:color="auto"/>
                    </w:rPr>
                    <w:t>m高未满足</w:t>
                  </w:r>
                  <w:r>
                    <w:rPr>
                      <w:rFonts w:hint="eastAsia"/>
                      <w:color w:val="auto"/>
                      <w:szCs w:val="21"/>
                      <w:u w:val="none" w:color="auto"/>
                      <w:lang w:eastAsia="zh-CN"/>
                    </w:rPr>
                    <w:t>“</w:t>
                  </w:r>
                  <w:r>
                    <w:rPr>
                      <w:rFonts w:hint="eastAsia"/>
                      <w:color w:val="auto"/>
                      <w:szCs w:val="21"/>
                      <w:u w:val="none" w:color="auto"/>
                    </w:rPr>
                    <w:t>高出周围200m半径范围的建筑5m以上</w:t>
                  </w:r>
                  <w:r>
                    <w:rPr>
                      <w:rFonts w:hint="eastAsia"/>
                      <w:color w:val="auto"/>
                      <w:szCs w:val="21"/>
                      <w:u w:val="none" w:color="auto"/>
                      <w:lang w:eastAsia="zh-CN"/>
                    </w:rPr>
                    <w:t>”</w:t>
                  </w:r>
                  <w:r>
                    <w:rPr>
                      <w:rFonts w:hint="eastAsia"/>
                      <w:color w:val="auto"/>
                      <w:szCs w:val="21"/>
                      <w:u w:val="none" w:color="auto"/>
                    </w:rPr>
                    <w:t>的要求，则排放速率根据</w:t>
                  </w:r>
                  <w:r>
                    <w:rPr>
                      <w:rFonts w:hint="eastAsia"/>
                      <w:color w:val="auto"/>
                      <w:szCs w:val="21"/>
                      <w:u w:val="none" w:color="auto"/>
                      <w:lang w:val="en-US" w:eastAsia="zh-CN"/>
                    </w:rPr>
                    <w:t>15</w:t>
                  </w:r>
                  <w:r>
                    <w:rPr>
                      <w:rFonts w:hint="eastAsia"/>
                      <w:color w:val="auto"/>
                      <w:szCs w:val="21"/>
                      <w:u w:val="none" w:color="auto"/>
                    </w:rPr>
                    <w:t>m高排气筒对应的排放速率标准再严格50%执行</w:t>
                  </w:r>
                  <w:r>
                    <w:rPr>
                      <w:rFonts w:hint="eastAsia"/>
                      <w:color w:val="auto"/>
                      <w:szCs w:val="21"/>
                      <w:u w:val="none" w:color="auto"/>
                      <w:lang w:eastAsia="zh-CN"/>
                    </w:rPr>
                    <w:t>。</w:t>
                  </w:r>
                </w:p>
              </w:tc>
            </w:tr>
          </w:tbl>
          <w:p w14:paraId="170325C9">
            <w:pPr>
              <w:pStyle w:val="14"/>
              <w:spacing w:line="240" w:lineRule="auto"/>
              <w:ind w:left="0" w:leftChars="0" w:firstLine="0" w:firstLineChars="0"/>
              <w:jc w:val="center"/>
              <w:rPr>
                <w:rFonts w:hint="eastAsia" w:ascii="Times New Roman" w:hAnsi="Times New Roman" w:eastAsia="宋体" w:cs="Times New Roman"/>
                <w:b/>
                <w:bCs/>
                <w:kern w:val="2"/>
                <w:sz w:val="21"/>
                <w:szCs w:val="21"/>
                <w:u w:val="none" w:color="auto"/>
                <w:lang w:val="en-US" w:eastAsia="zh-CN" w:bidi="ar-SA"/>
              </w:rPr>
            </w:pPr>
            <w:r>
              <w:rPr>
                <w:rFonts w:hint="eastAsia" w:ascii="Times New Roman" w:hAnsi="Times New Roman" w:eastAsia="宋体" w:cs="Times New Roman"/>
                <w:color w:val="000000"/>
                <w:kern w:val="0"/>
                <w:sz w:val="24"/>
                <w:szCs w:val="24"/>
                <w:u w:val="none" w:color="auto"/>
                <w:lang w:val="en-US" w:eastAsia="zh-CN"/>
              </w:rPr>
              <w:t xml:space="preserve"> </w:t>
            </w:r>
            <w:r>
              <w:rPr>
                <w:rFonts w:hint="default" w:ascii="Times New Roman" w:hAnsi="Times New Roman" w:cs="Times New Roman"/>
                <w:b/>
                <w:bCs/>
                <w:color w:val="000000"/>
                <w:sz w:val="21"/>
                <w:szCs w:val="21"/>
                <w:u w:val="none" w:color="auto"/>
              </w:rPr>
              <w:t>表3-</w:t>
            </w:r>
            <w:r>
              <w:rPr>
                <w:rFonts w:hint="eastAsia" w:cs="Times New Roman"/>
                <w:b/>
                <w:bCs/>
                <w:color w:val="000000"/>
                <w:sz w:val="21"/>
                <w:szCs w:val="21"/>
                <w:u w:val="none" w:color="auto"/>
                <w:lang w:val="en-US" w:eastAsia="zh-CN"/>
              </w:rPr>
              <w:t>6</w:t>
            </w:r>
            <w:r>
              <w:rPr>
                <w:rFonts w:hint="default" w:ascii="Times New Roman" w:hAnsi="Times New Roman" w:cs="Times New Roman"/>
                <w:b/>
                <w:bCs/>
                <w:color w:val="000000"/>
                <w:sz w:val="21"/>
                <w:szCs w:val="21"/>
                <w:u w:val="none" w:color="auto"/>
                <w:lang w:val="en-US" w:eastAsia="zh-CN"/>
              </w:rPr>
              <w:t xml:space="preserve">  </w:t>
            </w:r>
            <w:r>
              <w:rPr>
                <w:rFonts w:hint="eastAsia" w:ascii="Times New Roman" w:hAnsi="Times New Roman" w:cs="Times New Roman"/>
                <w:b/>
                <w:bCs/>
                <w:color w:val="000000"/>
                <w:sz w:val="21"/>
                <w:szCs w:val="21"/>
                <w:u w:val="none" w:color="auto"/>
                <w:lang w:val="en-US" w:eastAsia="zh-CN"/>
              </w:rPr>
              <w:t>无组织废气</w:t>
            </w:r>
            <w:r>
              <w:rPr>
                <w:rFonts w:hint="default" w:ascii="Times New Roman" w:hAnsi="Times New Roman" w:cs="Times New Roman"/>
                <w:b/>
                <w:bCs/>
                <w:color w:val="000000"/>
                <w:sz w:val="21"/>
                <w:szCs w:val="21"/>
                <w:u w:val="none" w:color="auto"/>
              </w:rPr>
              <w:t>排放标准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524"/>
              <w:gridCol w:w="1242"/>
              <w:gridCol w:w="1409"/>
              <w:gridCol w:w="3685"/>
            </w:tblGrid>
            <w:tr w14:paraId="3DFAA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pct"/>
                  <w:gridSpan w:val="3"/>
                  <w:tcBorders>
                    <w:tl2br w:val="nil"/>
                    <w:tr2bl w:val="nil"/>
                  </w:tcBorders>
                  <w:noWrap w:val="0"/>
                  <w:vAlign w:val="center"/>
                </w:tcPr>
                <w:p w14:paraId="4B22A93D">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lang w:val="en-US" w:eastAsia="zh-CN"/>
                    </w:rPr>
                    <w:t>污染物</w:t>
                  </w:r>
                </w:p>
              </w:tc>
              <w:tc>
                <w:tcPr>
                  <w:tcW w:w="932" w:type="pct"/>
                  <w:tcBorders>
                    <w:tl2br w:val="nil"/>
                    <w:tr2bl w:val="nil"/>
                  </w:tcBorders>
                  <w:noWrap w:val="0"/>
                  <w:vAlign w:val="center"/>
                </w:tcPr>
                <w:p w14:paraId="6781297F">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lang w:val="en-US" w:eastAsia="zh-CN"/>
                    </w:rPr>
                    <w:t>排放</w:t>
                  </w:r>
                  <w:r>
                    <w:rPr>
                      <w:rFonts w:hint="eastAsia" w:ascii="Times New Roman" w:hAnsi="Times New Roman" w:eastAsia="宋体" w:cs="Times New Roman"/>
                      <w:b/>
                      <w:bCs/>
                      <w:color w:val="000000"/>
                      <w:sz w:val="21"/>
                      <w:szCs w:val="21"/>
                      <w:u w:val="none" w:color="auto"/>
                      <w:lang w:val="en-US" w:eastAsia="zh-CN"/>
                    </w:rPr>
                    <w:t>限值</w:t>
                  </w:r>
                </w:p>
              </w:tc>
              <w:tc>
                <w:tcPr>
                  <w:tcW w:w="2438" w:type="pct"/>
                  <w:tcBorders>
                    <w:tl2br w:val="nil"/>
                    <w:tr2bl w:val="nil"/>
                  </w:tcBorders>
                  <w:noWrap w:val="0"/>
                  <w:vAlign w:val="center"/>
                </w:tcPr>
                <w:p w14:paraId="78A8C866">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b/>
                      <w:bCs/>
                      <w:color w:val="000000"/>
                      <w:sz w:val="21"/>
                      <w:szCs w:val="21"/>
                      <w:u w:val="none" w:color="auto"/>
                      <w:lang w:val="en-US" w:eastAsia="zh-CN"/>
                    </w:rPr>
                    <w:t>排放标准</w:t>
                  </w:r>
                </w:p>
              </w:tc>
            </w:tr>
            <w:tr w14:paraId="29E70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tcBorders>
                    <w:tl2br w:val="nil"/>
                    <w:tr2bl w:val="nil"/>
                  </w:tcBorders>
                  <w:noWrap w:val="0"/>
                  <w:vAlign w:val="center"/>
                </w:tcPr>
                <w:p w14:paraId="24843085">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无组织</w:t>
                  </w:r>
                </w:p>
              </w:tc>
              <w:tc>
                <w:tcPr>
                  <w:tcW w:w="346" w:type="pct"/>
                  <w:vMerge w:val="restart"/>
                  <w:tcBorders>
                    <w:tl2br w:val="nil"/>
                    <w:tr2bl w:val="nil"/>
                  </w:tcBorders>
                  <w:noWrap w:val="0"/>
                  <w:vAlign w:val="center"/>
                </w:tcPr>
                <w:p w14:paraId="088959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厂界</w:t>
                  </w:r>
                </w:p>
              </w:tc>
              <w:tc>
                <w:tcPr>
                  <w:tcW w:w="821" w:type="pct"/>
                  <w:tcBorders>
                    <w:tl2br w:val="nil"/>
                    <w:tr2bl w:val="nil"/>
                  </w:tcBorders>
                  <w:noWrap w:val="0"/>
                  <w:vAlign w:val="center"/>
                </w:tcPr>
                <w:p w14:paraId="22648F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颗粒物</w:t>
                  </w:r>
                </w:p>
              </w:tc>
              <w:tc>
                <w:tcPr>
                  <w:tcW w:w="932" w:type="pct"/>
                  <w:tcBorders>
                    <w:tl2br w:val="nil"/>
                    <w:tr2bl w:val="nil"/>
                  </w:tcBorders>
                  <w:shd w:val="clear" w:color="auto" w:fill="auto"/>
                  <w:noWrap w:val="0"/>
                  <w:vAlign w:val="center"/>
                </w:tcPr>
                <w:p w14:paraId="54F8F9F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u w:val="none" w:color="auto"/>
                      <w:lang w:val="en-US" w:eastAsia="zh-CN" w:bidi="ar-SA"/>
                    </w:rPr>
                  </w:pPr>
                  <w:r>
                    <w:rPr>
                      <w:rFonts w:hint="default" w:ascii="Times New Roman" w:hAnsi="Times New Roman" w:cs="Times New Roman"/>
                      <w:b w:val="0"/>
                      <w:bCs/>
                      <w:color w:val="000000" w:themeColor="text1"/>
                      <w:sz w:val="21"/>
                      <w:szCs w:val="21"/>
                      <w:highlight w:val="none"/>
                      <w:u w:val="none" w:color="auto"/>
                      <w:vertAlign w:val="baseline"/>
                      <w:lang w:val="en-US" w:eastAsia="zh-CN"/>
                      <w14:textFill>
                        <w14:solidFill>
                          <w14:schemeClr w14:val="tx1"/>
                        </w14:solidFill>
                      </w14:textFill>
                    </w:rPr>
                    <w:t>1.0</w:t>
                  </w:r>
                </w:p>
              </w:tc>
              <w:tc>
                <w:tcPr>
                  <w:tcW w:w="2438" w:type="pct"/>
                  <w:tcBorders>
                    <w:tl2br w:val="nil"/>
                    <w:tr2bl w:val="nil"/>
                  </w:tcBorders>
                  <w:shd w:val="clear" w:color="auto" w:fill="auto"/>
                  <w:noWrap w:val="0"/>
                  <w:vAlign w:val="center"/>
                </w:tcPr>
                <w:p w14:paraId="003742D2">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kern w:val="2"/>
                      <w:sz w:val="21"/>
                      <w:szCs w:val="21"/>
                      <w:u w:val="none" w:color="auto"/>
                      <w:vertAlign w:val="baseline"/>
                      <w:lang w:val="en-US" w:eastAsia="zh-CN" w:bidi="ar-SA"/>
                    </w:rPr>
                  </w:pPr>
                  <w:r>
                    <w:rPr>
                      <w:rFonts w:hint="default" w:ascii="Times New Roman" w:hAnsi="Times New Roman" w:cs="Times New Roman"/>
                      <w:b w:val="0"/>
                      <w:bCs w:val="0"/>
                      <w:color w:val="000000" w:themeColor="text1"/>
                      <w:sz w:val="21"/>
                      <w:szCs w:val="21"/>
                      <w:u w:val="none" w:color="auto"/>
                      <w:vertAlign w:val="baseline"/>
                      <w:lang w:eastAsia="zh-CN"/>
                      <w14:textFill>
                        <w14:solidFill>
                          <w14:schemeClr w14:val="tx1"/>
                        </w14:solidFill>
                      </w14:textFill>
                    </w:rPr>
                    <w:t>《大气污染物综合排放标准》（</w:t>
                  </w:r>
                  <w:r>
                    <w:rPr>
                      <w:rFonts w:hint="default" w:ascii="Times New Roman" w:hAnsi="Times New Roman" w:cs="Times New Roman"/>
                      <w:b w:val="0"/>
                      <w:bCs w:val="0"/>
                      <w:color w:val="000000" w:themeColor="text1"/>
                      <w:sz w:val="21"/>
                      <w:szCs w:val="21"/>
                      <w:u w:val="none" w:color="auto"/>
                      <w:vertAlign w:val="baseline"/>
                      <w:lang w:val="en-US" w:eastAsia="zh-CN"/>
                      <w14:textFill>
                        <w14:solidFill>
                          <w14:schemeClr w14:val="tx1"/>
                        </w14:solidFill>
                      </w14:textFill>
                    </w:rPr>
                    <w:t>GB16297-1996</w:t>
                  </w:r>
                  <w:r>
                    <w:rPr>
                      <w:rFonts w:hint="default" w:ascii="Times New Roman" w:hAnsi="Times New Roman" w:cs="Times New Roman"/>
                      <w:b w:val="0"/>
                      <w:bCs w:val="0"/>
                      <w:color w:val="000000" w:themeColor="text1"/>
                      <w:sz w:val="21"/>
                      <w:szCs w:val="21"/>
                      <w:u w:val="none" w:color="auto"/>
                      <w:vertAlign w:val="baseline"/>
                      <w:lang w:eastAsia="zh-CN"/>
                      <w14:textFill>
                        <w14:solidFill>
                          <w14:schemeClr w14:val="tx1"/>
                        </w14:solidFill>
                      </w14:textFill>
                    </w:rPr>
                    <w:t>）表</w:t>
                  </w:r>
                  <w:r>
                    <w:rPr>
                      <w:rFonts w:hint="default" w:ascii="Times New Roman" w:hAnsi="Times New Roman" w:cs="Times New Roman"/>
                      <w:b w:val="0"/>
                      <w:bCs w:val="0"/>
                      <w:color w:val="000000" w:themeColor="text1"/>
                      <w:sz w:val="21"/>
                      <w:szCs w:val="21"/>
                      <w:u w:val="none" w:color="auto"/>
                      <w:vertAlign w:val="baseline"/>
                      <w:lang w:val="en-US" w:eastAsia="zh-CN"/>
                      <w14:textFill>
                        <w14:solidFill>
                          <w14:schemeClr w14:val="tx1"/>
                        </w14:solidFill>
                      </w14:textFill>
                    </w:rPr>
                    <w:t>2中无组织监控浓度限值</w:t>
                  </w:r>
                </w:p>
              </w:tc>
            </w:tr>
            <w:tr w14:paraId="405EE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noWrap w:val="0"/>
                  <w:vAlign w:val="center"/>
                </w:tcPr>
                <w:p w14:paraId="28AC608C">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none" w:color="auto"/>
                      <w:vertAlign w:val="baseline"/>
                      <w:lang w:val="en-US" w:eastAsia="zh-CN"/>
                    </w:rPr>
                  </w:pPr>
                </w:p>
              </w:tc>
              <w:tc>
                <w:tcPr>
                  <w:tcW w:w="346" w:type="pct"/>
                  <w:vMerge w:val="continue"/>
                  <w:tcBorders>
                    <w:tl2br w:val="nil"/>
                    <w:tr2bl w:val="nil"/>
                  </w:tcBorders>
                  <w:noWrap w:val="0"/>
                  <w:vAlign w:val="center"/>
                </w:tcPr>
                <w:p w14:paraId="7BAFA9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2"/>
                      <w:sz w:val="21"/>
                      <w:szCs w:val="21"/>
                      <w:u w:val="none" w:color="auto"/>
                      <w:lang w:val="en-US" w:eastAsia="zh-CN" w:bidi="ar-SA"/>
                    </w:rPr>
                  </w:pPr>
                </w:p>
              </w:tc>
              <w:tc>
                <w:tcPr>
                  <w:tcW w:w="821" w:type="pct"/>
                  <w:tcBorders>
                    <w:tl2br w:val="nil"/>
                    <w:tr2bl w:val="nil"/>
                  </w:tcBorders>
                  <w:noWrap w:val="0"/>
                  <w:vAlign w:val="center"/>
                </w:tcPr>
                <w:p w14:paraId="2AF58F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氨</w:t>
                  </w:r>
                </w:p>
              </w:tc>
              <w:tc>
                <w:tcPr>
                  <w:tcW w:w="932" w:type="pct"/>
                  <w:tcBorders>
                    <w:tl2br w:val="nil"/>
                    <w:tr2bl w:val="nil"/>
                  </w:tcBorders>
                  <w:noWrap w:val="0"/>
                  <w:vAlign w:val="center"/>
                </w:tcPr>
                <w:p w14:paraId="4AB594E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2"/>
                      <w:sz w:val="21"/>
                      <w:szCs w:val="21"/>
                      <w:u w:val="none" w:color="auto"/>
                      <w:lang w:val="en-US" w:eastAsia="zh-CN" w:bidi="ar-SA"/>
                    </w:rPr>
                  </w:pPr>
                  <w:r>
                    <w:rPr>
                      <w:rFonts w:hint="eastAsia" w:cs="Times New Roman"/>
                      <w:color w:val="000000"/>
                      <w:kern w:val="2"/>
                      <w:sz w:val="21"/>
                      <w:szCs w:val="21"/>
                      <w:u w:val="none" w:color="auto"/>
                      <w:lang w:val="en-US" w:eastAsia="zh-CN" w:bidi="ar-SA"/>
                    </w:rPr>
                    <w:t>1.5</w:t>
                  </w:r>
                </w:p>
              </w:tc>
              <w:tc>
                <w:tcPr>
                  <w:tcW w:w="2438" w:type="pct"/>
                  <w:vMerge w:val="restart"/>
                  <w:tcBorders>
                    <w:tl2br w:val="nil"/>
                    <w:tr2bl w:val="nil"/>
                  </w:tcBorders>
                  <w:noWrap w:val="0"/>
                  <w:vAlign w:val="center"/>
                </w:tcPr>
                <w:p w14:paraId="7B854B24">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none" w:color="auto"/>
                      <w:vertAlign w:val="baseline"/>
                      <w:lang w:val="en-US" w:eastAsia="zh-CN"/>
                    </w:rPr>
                  </w:pPr>
                  <w:r>
                    <w:rPr>
                      <w:rFonts w:hint="default" w:ascii="Times New Roman" w:hAnsi="Times New Roman" w:eastAsia="宋体" w:cs="Times New Roman"/>
                      <w:color w:val="000000"/>
                      <w:sz w:val="21"/>
                      <w:szCs w:val="21"/>
                      <w:u w:val="none" w:color="auto"/>
                    </w:rPr>
                    <w:t>《恶臭污染物排放标准》</w:t>
                  </w:r>
                  <w:r>
                    <w:rPr>
                      <w:rFonts w:hint="eastAsia" w:ascii="Times New Roman" w:hAnsi="Times New Roman"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GB14554-93</w:t>
                  </w:r>
                  <w:r>
                    <w:rPr>
                      <w:rFonts w:hint="eastAsia" w:ascii="Times New Roman" w:hAnsi="Times New Roman"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表1恶臭污染物厂界二级新改扩建标准值</w:t>
                  </w:r>
                </w:p>
              </w:tc>
            </w:tr>
            <w:tr w14:paraId="70A2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noWrap w:val="0"/>
                  <w:vAlign w:val="center"/>
                </w:tcPr>
                <w:p w14:paraId="2FD08A31">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none" w:color="auto"/>
                      <w:vertAlign w:val="baseline"/>
                      <w:lang w:val="en-US" w:eastAsia="zh-CN"/>
                    </w:rPr>
                  </w:pPr>
                </w:p>
              </w:tc>
              <w:tc>
                <w:tcPr>
                  <w:tcW w:w="346" w:type="pct"/>
                  <w:vMerge w:val="continue"/>
                  <w:tcBorders>
                    <w:tl2br w:val="nil"/>
                    <w:tr2bl w:val="nil"/>
                  </w:tcBorders>
                  <w:noWrap w:val="0"/>
                  <w:vAlign w:val="center"/>
                </w:tcPr>
                <w:p w14:paraId="5A74D6B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2"/>
                      <w:sz w:val="21"/>
                      <w:szCs w:val="21"/>
                      <w:u w:val="none" w:color="auto"/>
                      <w:lang w:val="en-US" w:eastAsia="zh-CN" w:bidi="ar-SA"/>
                    </w:rPr>
                  </w:pPr>
                </w:p>
              </w:tc>
              <w:tc>
                <w:tcPr>
                  <w:tcW w:w="821" w:type="pct"/>
                  <w:tcBorders>
                    <w:tl2br w:val="nil"/>
                    <w:tr2bl w:val="nil"/>
                  </w:tcBorders>
                  <w:noWrap w:val="0"/>
                  <w:vAlign w:val="center"/>
                </w:tcPr>
                <w:p w14:paraId="2F1B90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kern w:val="0"/>
                      <w:sz w:val="21"/>
                      <w:szCs w:val="21"/>
                      <w:u w:val="none" w:color="auto"/>
                      <w:lang w:val="zh-CN"/>
                    </w:rPr>
                  </w:pPr>
                  <w:r>
                    <w:rPr>
                      <w:rFonts w:hint="default" w:ascii="Times New Roman" w:hAnsi="Times New Roman" w:cs="Times New Roman"/>
                      <w:b w:val="0"/>
                      <w:bCs w:val="0"/>
                      <w:color w:val="000000"/>
                      <w:kern w:val="0"/>
                      <w:sz w:val="21"/>
                      <w:szCs w:val="21"/>
                      <w:u w:val="none" w:color="auto"/>
                      <w:lang w:val="zh-CN"/>
                    </w:rPr>
                    <w:t>硫化氢</w:t>
                  </w:r>
                </w:p>
              </w:tc>
              <w:tc>
                <w:tcPr>
                  <w:tcW w:w="932" w:type="pct"/>
                  <w:tcBorders>
                    <w:tl2br w:val="nil"/>
                    <w:tr2bl w:val="nil"/>
                  </w:tcBorders>
                  <w:noWrap w:val="0"/>
                  <w:vAlign w:val="center"/>
                </w:tcPr>
                <w:p w14:paraId="4596AF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000000"/>
                      <w:kern w:val="0"/>
                      <w:sz w:val="21"/>
                      <w:szCs w:val="21"/>
                      <w:u w:val="none" w:color="auto"/>
                      <w:lang w:val="en-US" w:eastAsia="zh-CN"/>
                    </w:rPr>
                  </w:pPr>
                  <w:r>
                    <w:rPr>
                      <w:rFonts w:hint="eastAsia" w:cs="Times New Roman"/>
                      <w:b w:val="0"/>
                      <w:bCs w:val="0"/>
                      <w:color w:val="000000"/>
                      <w:kern w:val="0"/>
                      <w:sz w:val="21"/>
                      <w:szCs w:val="21"/>
                      <w:u w:val="none" w:color="auto"/>
                      <w:lang w:val="en-US" w:eastAsia="zh-CN"/>
                    </w:rPr>
                    <w:t>0.06</w:t>
                  </w:r>
                </w:p>
              </w:tc>
              <w:tc>
                <w:tcPr>
                  <w:tcW w:w="2438" w:type="pct"/>
                  <w:vMerge w:val="continue"/>
                  <w:tcBorders>
                    <w:tl2br w:val="nil"/>
                    <w:tr2bl w:val="nil"/>
                  </w:tcBorders>
                  <w:noWrap w:val="0"/>
                  <w:vAlign w:val="center"/>
                </w:tcPr>
                <w:p w14:paraId="6F6B4B6F">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none" w:color="auto"/>
                    </w:rPr>
                  </w:pPr>
                </w:p>
              </w:tc>
            </w:tr>
            <w:tr w14:paraId="1F893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tcBorders>
                    <w:tl2br w:val="nil"/>
                    <w:tr2bl w:val="nil"/>
                  </w:tcBorders>
                  <w:noWrap w:val="0"/>
                  <w:vAlign w:val="center"/>
                </w:tcPr>
                <w:p w14:paraId="39E6D0D6">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000000"/>
                      <w:sz w:val="21"/>
                      <w:szCs w:val="21"/>
                      <w:u w:val="single" w:color="auto"/>
                      <w:vertAlign w:val="baseline"/>
                      <w:lang w:val="en-US" w:eastAsia="zh-CN"/>
                    </w:rPr>
                  </w:pPr>
                </w:p>
              </w:tc>
              <w:tc>
                <w:tcPr>
                  <w:tcW w:w="346" w:type="pct"/>
                  <w:vMerge w:val="continue"/>
                  <w:tcBorders>
                    <w:tl2br w:val="nil"/>
                    <w:tr2bl w:val="nil"/>
                  </w:tcBorders>
                  <w:noWrap w:val="0"/>
                  <w:vAlign w:val="center"/>
                </w:tcPr>
                <w:p w14:paraId="58CC46D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2"/>
                      <w:sz w:val="21"/>
                      <w:szCs w:val="21"/>
                      <w:u w:val="single" w:color="auto"/>
                      <w:lang w:val="en-US" w:eastAsia="zh-CN" w:bidi="ar-SA"/>
                    </w:rPr>
                  </w:pPr>
                </w:p>
              </w:tc>
              <w:tc>
                <w:tcPr>
                  <w:tcW w:w="821" w:type="pct"/>
                  <w:tcBorders>
                    <w:tl2br w:val="nil"/>
                    <w:tr2bl w:val="nil"/>
                  </w:tcBorders>
                  <w:shd w:val="clear" w:color="auto" w:fill="auto"/>
                  <w:noWrap w:val="0"/>
                  <w:vAlign w:val="center"/>
                </w:tcPr>
                <w:p w14:paraId="11E5FA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2"/>
                      <w:sz w:val="21"/>
                      <w:szCs w:val="21"/>
                      <w:u w:val="none" w:color="auto"/>
                      <w:lang w:val="zh-CN" w:eastAsia="zh-CN" w:bidi="ar-SA"/>
                    </w:rPr>
                  </w:pPr>
                  <w:r>
                    <w:rPr>
                      <w:rFonts w:hint="default" w:ascii="Times New Roman" w:hAnsi="Times New Roman" w:cs="Times New Roman"/>
                      <w:b w:val="0"/>
                      <w:bCs w:val="0"/>
                      <w:color w:val="000000"/>
                      <w:kern w:val="0"/>
                      <w:sz w:val="21"/>
                      <w:szCs w:val="21"/>
                      <w:u w:val="none" w:color="auto"/>
                      <w:lang w:val="zh-CN"/>
                    </w:rPr>
                    <w:t>臭气浓度（无量纲）</w:t>
                  </w:r>
                </w:p>
              </w:tc>
              <w:tc>
                <w:tcPr>
                  <w:tcW w:w="932" w:type="pct"/>
                  <w:tcBorders>
                    <w:tl2br w:val="nil"/>
                    <w:tr2bl w:val="nil"/>
                  </w:tcBorders>
                  <w:shd w:val="clear" w:color="auto" w:fill="auto"/>
                  <w:noWrap w:val="0"/>
                  <w:vAlign w:val="center"/>
                </w:tcPr>
                <w:p w14:paraId="3AC8D1B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b w:val="0"/>
                      <w:bCs w:val="0"/>
                      <w:color w:val="000000"/>
                      <w:kern w:val="0"/>
                      <w:sz w:val="21"/>
                      <w:szCs w:val="21"/>
                      <w:u w:val="none" w:color="auto"/>
                      <w:lang w:val="en-US" w:eastAsia="zh-CN"/>
                    </w:rPr>
                    <w:t>20（无量纲）</w:t>
                  </w:r>
                </w:p>
              </w:tc>
              <w:tc>
                <w:tcPr>
                  <w:tcW w:w="2438" w:type="pct"/>
                  <w:vMerge w:val="continue"/>
                  <w:tcBorders>
                    <w:tl2br w:val="nil"/>
                    <w:tr2bl w:val="nil"/>
                  </w:tcBorders>
                  <w:noWrap w:val="0"/>
                  <w:vAlign w:val="center"/>
                </w:tcPr>
                <w:p w14:paraId="554E81D8">
                  <w:pPr>
                    <w:pStyle w:val="30"/>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sz w:val="21"/>
                      <w:szCs w:val="21"/>
                      <w:u w:val="single" w:color="auto"/>
                    </w:rPr>
                  </w:pPr>
                </w:p>
              </w:tc>
            </w:tr>
          </w:tbl>
          <w:p w14:paraId="0723AF7A">
            <w:pPr>
              <w:pStyle w:val="14"/>
              <w:keepNext w:val="0"/>
              <w:keepLines w:val="0"/>
              <w:pageBreakBefore w:val="0"/>
              <w:widowControl w:val="0"/>
              <w:numPr>
                <w:ilvl w:val="0"/>
                <w:numId w:val="0"/>
              </w:numPr>
              <w:kinsoku/>
              <w:wordWrap/>
              <w:overflowPunct/>
              <w:topLinePunct w:val="0"/>
              <w:autoSpaceDE/>
              <w:autoSpaceDN/>
              <w:bidi w:val="0"/>
              <w:adjustRightInd w:val="0"/>
              <w:snapToGrid/>
              <w:ind w:left="0" w:leftChars="0" w:firstLine="482" w:firstLineChars="200"/>
              <w:textAlignment w:val="auto"/>
              <w:rPr>
                <w:rFonts w:hint="eastAsia"/>
                <w:b/>
                <w:bCs/>
                <w:u w:val="none" w:color="auto"/>
                <w:lang w:val="en-US" w:eastAsia="zh-CN"/>
              </w:rPr>
            </w:pPr>
            <w:r>
              <w:rPr>
                <w:rFonts w:hint="eastAsia" w:ascii="Times New Roman" w:hAnsi="Times New Roman" w:eastAsia="宋体" w:cs="Times New Roman"/>
                <w:b/>
                <w:bCs/>
                <w:kern w:val="0"/>
                <w:sz w:val="24"/>
                <w:szCs w:val="20"/>
                <w:u w:color="auto"/>
                <w:lang w:val="en-US" w:eastAsia="zh-CN" w:bidi="ar-SA"/>
              </w:rPr>
              <w:t>2、</w:t>
            </w:r>
            <w:r>
              <w:rPr>
                <w:rFonts w:hint="eastAsia"/>
                <w:b/>
                <w:bCs/>
                <w:u w:val="none" w:color="auto"/>
                <w:lang w:val="en-US" w:eastAsia="zh-CN"/>
              </w:rPr>
              <w:t>废水</w:t>
            </w:r>
          </w:p>
          <w:p w14:paraId="0620A2A5">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pPr>
            <w:r>
              <w:rPr>
                <w:rFonts w:hint="eastAsia"/>
                <w:color w:val="auto"/>
                <w:kern w:val="0"/>
                <w:sz w:val="24"/>
                <w:u w:val="none" w:color="auto"/>
                <w:lang w:val="en-US" w:eastAsia="zh-CN"/>
              </w:rPr>
              <w:t>本项目喷淋用水用于无组织抑尘，随蒸发损耗或随粉尘降落，少量进入产品，不外排</w:t>
            </w:r>
            <w:r>
              <w:rPr>
                <w:rFonts w:hint="eastAsia" w:ascii="Times New Roman" w:hAnsi="Times New Roman" w:eastAsia="宋体" w:cs="Times New Roman"/>
                <w:color w:val="auto"/>
                <w:kern w:val="0"/>
                <w:sz w:val="24"/>
                <w:u w:val="none" w:color="auto"/>
                <w:lang w:val="en-US" w:eastAsia="zh-CN"/>
              </w:rPr>
              <w:t>。</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厂区</w:t>
            </w:r>
            <w:r>
              <w:rPr>
                <w:rFonts w:hint="default" w:ascii="Times New Roman" w:hAnsi="Times New Roman" w:cs="Times New Roman"/>
                <w:bCs/>
                <w:color w:val="auto"/>
                <w:sz w:val="24"/>
                <w:szCs w:val="24"/>
                <w:u w:val="none" w:color="auto"/>
                <w:lang w:val="en-US" w:eastAsia="zh-CN"/>
              </w:rPr>
              <w:t>生活污水经</w:t>
            </w:r>
            <w:r>
              <w:rPr>
                <w:rFonts w:hint="eastAsia"/>
                <w:color w:val="auto"/>
                <w:kern w:val="0"/>
                <w:sz w:val="24"/>
                <w:u w:val="none" w:color="auto"/>
                <w:lang w:val="en-US" w:eastAsia="zh-CN"/>
              </w:rPr>
              <w:t>龙昶</w:t>
            </w:r>
            <w:r>
              <w:rPr>
                <w:rFonts w:hint="default" w:ascii="Times New Roman" w:hAnsi="Times New Roman" w:cs="Times New Roman"/>
                <w:bCs/>
                <w:color w:val="auto"/>
                <w:sz w:val="24"/>
                <w:szCs w:val="24"/>
                <w:u w:val="none" w:color="auto"/>
                <w:lang w:val="en-US" w:eastAsia="zh-CN"/>
              </w:rPr>
              <w:t>厂区内现有</w:t>
            </w:r>
            <w:r>
              <w:rPr>
                <w:rFonts w:hint="eastAsia" w:cs="Times New Roman"/>
                <w:bCs/>
                <w:color w:val="auto"/>
                <w:sz w:val="24"/>
                <w:szCs w:val="24"/>
                <w:u w:val="none" w:color="auto"/>
                <w:lang w:val="en-US" w:eastAsia="zh-CN"/>
              </w:rPr>
              <w:t>“</w:t>
            </w:r>
            <w:r>
              <w:rPr>
                <w:rFonts w:hint="default" w:ascii="Times New Roman" w:hAnsi="Times New Roman" w:cs="Times New Roman"/>
                <w:bCs/>
                <w:color w:val="auto"/>
                <w:sz w:val="24"/>
                <w:szCs w:val="24"/>
                <w:u w:val="none" w:color="auto"/>
                <w:lang w:val="en-US" w:eastAsia="zh-CN"/>
              </w:rPr>
              <w:t>化粪池</w:t>
            </w:r>
            <w:r>
              <w:rPr>
                <w:rFonts w:hint="eastAsia" w:cs="Times New Roman"/>
                <w:bCs/>
                <w:color w:val="auto"/>
                <w:sz w:val="24"/>
                <w:szCs w:val="24"/>
                <w:u w:val="none" w:color="auto"/>
                <w:lang w:val="en-US" w:eastAsia="zh-CN"/>
              </w:rPr>
              <w:t>”</w:t>
            </w:r>
            <w:r>
              <w:rPr>
                <w:rFonts w:hint="default" w:ascii="Times New Roman" w:hAnsi="Times New Roman" w:cs="Times New Roman"/>
                <w:bCs/>
                <w:color w:val="auto"/>
                <w:sz w:val="24"/>
                <w:szCs w:val="24"/>
                <w:u w:val="none" w:color="auto"/>
                <w:lang w:val="en-US" w:eastAsia="zh-CN"/>
              </w:rPr>
              <w:t>处理后执行《污水综合排放标准》（GB8978- 1996）表4中三级标准</w:t>
            </w:r>
            <w:r>
              <w:rPr>
                <w:rFonts w:hint="default" w:ascii="Times New Roman" w:hAnsi="Times New Roman" w:eastAsia="宋体" w:cs="Times New Roman"/>
                <w:bCs/>
                <w:szCs w:val="24"/>
                <w:u w:val="none" w:color="auto"/>
                <w:lang w:val="en-US" w:eastAsia="zh-CN"/>
              </w:rPr>
              <w:t>及</w:t>
            </w:r>
            <w:r>
              <w:rPr>
                <w:rFonts w:hint="eastAsia"/>
                <w:color w:val="auto"/>
                <w:kern w:val="0"/>
                <w:sz w:val="24"/>
                <w:u w:val="none" w:color="auto"/>
                <w:lang w:val="en-US" w:eastAsia="zh-CN"/>
              </w:rPr>
              <w:t>新田县污水处理厂</w:t>
            </w:r>
            <w:r>
              <w:rPr>
                <w:rFonts w:hint="default" w:ascii="Times New Roman" w:hAnsi="Times New Roman" w:eastAsia="宋体" w:cs="Times New Roman"/>
                <w:bCs/>
                <w:szCs w:val="24"/>
                <w:u w:val="none" w:color="auto"/>
                <w:lang w:val="en-US" w:eastAsia="zh-CN"/>
              </w:rPr>
              <w:t>进水水质标准中较严值</w:t>
            </w:r>
            <w:r>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t>，废水排放标准详见下表。</w:t>
            </w:r>
          </w:p>
          <w:p w14:paraId="1DEEB949">
            <w:pPr>
              <w:pStyle w:val="38"/>
              <w:spacing w:line="240" w:lineRule="auto"/>
              <w:ind w:firstLine="0" w:firstLineChars="0"/>
              <w:jc w:val="center"/>
              <w:rPr>
                <w:rFonts w:hint="default" w:ascii="Times New Roman" w:hAnsi="Times New Roman" w:cs="Times New Roman"/>
                <w:b/>
                <w:bCs/>
                <w:sz w:val="21"/>
                <w:szCs w:val="21"/>
                <w:u w:val="none" w:color="auto"/>
                <w:lang w:val="en-US" w:eastAsia="zh-CN"/>
              </w:rPr>
            </w:pPr>
            <w:r>
              <w:rPr>
                <w:rFonts w:hint="default" w:ascii="Times New Roman" w:hAnsi="Times New Roman" w:cs="Times New Roman"/>
                <w:b/>
                <w:bCs/>
                <w:sz w:val="21"/>
                <w:szCs w:val="21"/>
                <w:u w:val="none" w:color="auto"/>
                <w:lang w:val="en-US" w:eastAsia="zh-CN"/>
              </w:rPr>
              <w:t>表3-</w:t>
            </w:r>
            <w:r>
              <w:rPr>
                <w:rFonts w:hint="eastAsia" w:ascii="Times New Roman" w:cs="Times New Roman"/>
                <w:b/>
                <w:bCs/>
                <w:sz w:val="21"/>
                <w:szCs w:val="21"/>
                <w:u w:val="none" w:color="auto"/>
                <w:lang w:val="en-US" w:eastAsia="zh-CN"/>
              </w:rPr>
              <w:t>7</w:t>
            </w:r>
            <w:r>
              <w:rPr>
                <w:rFonts w:hint="default" w:ascii="Times New Roman" w:hAnsi="Times New Roman" w:cs="Times New Roman"/>
                <w:b/>
                <w:bCs/>
                <w:sz w:val="21"/>
                <w:szCs w:val="21"/>
                <w:u w:val="none" w:color="auto"/>
                <w:lang w:val="en-US" w:eastAsia="zh-CN"/>
              </w:rPr>
              <w:t xml:space="preserve">  </w:t>
            </w:r>
            <w:r>
              <w:rPr>
                <w:rFonts w:hint="default" w:ascii="Times New Roman" w:hAnsi="Times New Roman" w:eastAsia="宋体" w:cs="Times New Roman"/>
                <w:b/>
                <w:bCs/>
                <w:color w:val="auto"/>
                <w:sz w:val="21"/>
                <w:szCs w:val="21"/>
                <w:u w:val="none" w:color="auto"/>
                <w:lang w:val="en-US" w:eastAsia="zh-CN"/>
              </w:rPr>
              <w:t>污水综合排放标准 单位：mg/L</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065"/>
              <w:gridCol w:w="2040"/>
              <w:gridCol w:w="2145"/>
              <w:gridCol w:w="1702"/>
            </w:tblGrid>
            <w:tr w14:paraId="021F4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3E63BE16">
                  <w:pPr>
                    <w:pStyle w:val="3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序号</w:t>
                  </w:r>
                </w:p>
              </w:tc>
              <w:tc>
                <w:tcPr>
                  <w:tcW w:w="705" w:type="pct"/>
                  <w:tcBorders>
                    <w:tl2br w:val="nil"/>
                    <w:tr2bl w:val="nil"/>
                  </w:tcBorders>
                  <w:noWrap w:val="0"/>
                  <w:vAlign w:val="center"/>
                </w:tcPr>
                <w:p w14:paraId="671A2EE9">
                  <w:pPr>
                    <w:pStyle w:val="3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项目</w:t>
                  </w:r>
                </w:p>
              </w:tc>
              <w:tc>
                <w:tcPr>
                  <w:tcW w:w="1350" w:type="pct"/>
                  <w:tcBorders>
                    <w:tl2br w:val="nil"/>
                    <w:tr2bl w:val="nil"/>
                  </w:tcBorders>
                  <w:noWrap w:val="0"/>
                  <w:vAlign w:val="center"/>
                </w:tcPr>
                <w:p w14:paraId="037B2254">
                  <w:pPr>
                    <w:pStyle w:val="3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rPr>
                    <w:t>（</w:t>
                  </w:r>
                  <w:r>
                    <w:rPr>
                      <w:rFonts w:hint="default" w:ascii="Times New Roman" w:hAnsi="Times New Roman" w:cs="Times New Roman"/>
                      <w:b/>
                      <w:sz w:val="21"/>
                      <w:szCs w:val="21"/>
                      <w:u w:val="none" w:color="auto"/>
                      <w:lang w:val="en-US" w:eastAsia="zh-CN"/>
                    </w:rPr>
                    <w:t>GB8978-19960</w:t>
                  </w:r>
                  <w:r>
                    <w:rPr>
                      <w:rFonts w:hint="default" w:ascii="Times New Roman" w:hAnsi="Times New Roman" w:cs="Times New Roman"/>
                      <w:b/>
                      <w:sz w:val="21"/>
                      <w:szCs w:val="21"/>
                      <w:u w:val="none" w:color="auto"/>
                    </w:rPr>
                    <w:t>）</w:t>
                  </w:r>
                  <w:r>
                    <w:rPr>
                      <w:rFonts w:hint="default" w:ascii="Times New Roman" w:hAnsi="Times New Roman" w:cs="Times New Roman"/>
                      <w:b/>
                      <w:sz w:val="21"/>
                      <w:szCs w:val="21"/>
                      <w:u w:val="none" w:color="auto"/>
                      <w:lang w:val="en-US" w:eastAsia="zh-CN"/>
                    </w:rPr>
                    <w:t>表4中三级标准限值</w:t>
                  </w:r>
                </w:p>
              </w:tc>
              <w:tc>
                <w:tcPr>
                  <w:tcW w:w="1420" w:type="pct"/>
                  <w:tcBorders>
                    <w:tl2br w:val="nil"/>
                    <w:tr2bl w:val="nil"/>
                  </w:tcBorders>
                  <w:noWrap w:val="0"/>
                  <w:vAlign w:val="center"/>
                </w:tcPr>
                <w:p w14:paraId="34AC0F79">
                  <w:pPr>
                    <w:pStyle w:val="3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sz w:val="21"/>
                      <w:szCs w:val="21"/>
                      <w:u w:val="none" w:color="auto"/>
                    </w:rPr>
                  </w:pPr>
                  <w:r>
                    <w:rPr>
                      <w:rFonts w:hint="default" w:ascii="Times New Roman" w:hAnsi="Times New Roman" w:cs="Times New Roman"/>
                      <w:b/>
                      <w:sz w:val="21"/>
                      <w:szCs w:val="21"/>
                      <w:u w:val="none" w:color="auto"/>
                      <w:lang w:eastAsia="zh-CN"/>
                    </w:rPr>
                    <w:t>新田县污水处理厂</w:t>
                  </w:r>
                  <w:r>
                    <w:rPr>
                      <w:rFonts w:hint="default" w:ascii="Times New Roman" w:hAnsi="Times New Roman" w:cs="Times New Roman"/>
                      <w:b/>
                      <w:sz w:val="21"/>
                      <w:szCs w:val="21"/>
                      <w:u w:val="none" w:color="auto"/>
                    </w:rPr>
                    <w:t>进水水质</w:t>
                  </w:r>
                </w:p>
              </w:tc>
              <w:tc>
                <w:tcPr>
                  <w:tcW w:w="1126" w:type="pct"/>
                  <w:tcBorders>
                    <w:tl2br w:val="nil"/>
                    <w:tr2bl w:val="nil"/>
                  </w:tcBorders>
                  <w:noWrap w:val="0"/>
                  <w:vAlign w:val="center"/>
                </w:tcPr>
                <w:p w14:paraId="7C647C15">
                  <w:pPr>
                    <w:pStyle w:val="3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sz w:val="21"/>
                      <w:szCs w:val="21"/>
                      <w:u w:val="none" w:color="auto"/>
                      <w:lang w:eastAsia="zh-CN"/>
                    </w:rPr>
                  </w:pPr>
                  <w:r>
                    <w:rPr>
                      <w:rFonts w:hint="default" w:ascii="Times New Roman" w:hAnsi="Times New Roman" w:cs="Times New Roman"/>
                      <w:b/>
                      <w:sz w:val="21"/>
                      <w:szCs w:val="21"/>
                      <w:u w:val="none" w:color="auto"/>
                      <w:lang w:val="en-US" w:eastAsia="zh-CN"/>
                    </w:rPr>
                    <w:t>本项目执行标准</w:t>
                  </w:r>
                </w:p>
              </w:tc>
            </w:tr>
            <w:tr w14:paraId="36D77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146D1B24">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1</w:t>
                  </w:r>
                </w:p>
              </w:tc>
              <w:tc>
                <w:tcPr>
                  <w:tcW w:w="705" w:type="pct"/>
                  <w:tcBorders>
                    <w:tl2br w:val="nil"/>
                    <w:tr2bl w:val="nil"/>
                  </w:tcBorders>
                  <w:noWrap w:val="0"/>
                  <w:vAlign w:val="center"/>
                </w:tcPr>
                <w:p w14:paraId="006569E6">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z w:val="21"/>
                      <w:szCs w:val="21"/>
                      <w:u w:val="none" w:color="auto"/>
                    </w:rPr>
                    <w:t>pH</w:t>
                  </w:r>
                </w:p>
              </w:tc>
              <w:tc>
                <w:tcPr>
                  <w:tcW w:w="1350" w:type="pct"/>
                  <w:tcBorders>
                    <w:tl2br w:val="nil"/>
                    <w:tr2bl w:val="nil"/>
                  </w:tcBorders>
                  <w:noWrap w:val="0"/>
                  <w:vAlign w:val="center"/>
                </w:tcPr>
                <w:p w14:paraId="4676C3BD">
                  <w:pPr>
                    <w:adjustRightInd w:val="0"/>
                    <w:snapToGrid w:val="0"/>
                    <w:spacing w:line="240" w:lineRule="auto"/>
                    <w:jc w:val="center"/>
                    <w:rPr>
                      <w:rFonts w:hint="default" w:ascii="Times New Roman" w:hAnsi="Times New Roman" w:eastAsia="宋体" w:cs="Times New Roman"/>
                      <w:snapToGrid w:val="0"/>
                      <w:kern w:val="0"/>
                      <w:sz w:val="21"/>
                      <w:szCs w:val="21"/>
                      <w:u w:val="none" w:color="auto"/>
                      <w:lang w:val="en-US" w:eastAsia="zh-CN"/>
                    </w:rPr>
                  </w:pPr>
                  <w:r>
                    <w:rPr>
                      <w:rFonts w:hint="default" w:ascii="Times New Roman" w:hAnsi="Times New Roman" w:cs="Times New Roman"/>
                      <w:sz w:val="21"/>
                      <w:szCs w:val="21"/>
                      <w:u w:val="none" w:color="auto"/>
                    </w:rPr>
                    <w:t>6~9</w:t>
                  </w:r>
                </w:p>
              </w:tc>
              <w:tc>
                <w:tcPr>
                  <w:tcW w:w="1420" w:type="pct"/>
                  <w:tcBorders>
                    <w:tl2br w:val="nil"/>
                    <w:tr2bl w:val="nil"/>
                  </w:tcBorders>
                  <w:noWrap w:val="0"/>
                  <w:vAlign w:val="center"/>
                </w:tcPr>
                <w:p w14:paraId="16673A41">
                  <w:pPr>
                    <w:adjustRightInd w:val="0"/>
                    <w:snapToGrid w:val="0"/>
                    <w:spacing w:line="240" w:lineRule="auto"/>
                    <w:jc w:val="center"/>
                    <w:rPr>
                      <w:rFonts w:hint="default" w:ascii="Times New Roman" w:hAnsi="Times New Roman" w:cs="Times New Roman"/>
                      <w:sz w:val="21"/>
                      <w:szCs w:val="21"/>
                      <w:highlight w:val="none"/>
                      <w:u w:val="none" w:color="auto"/>
                    </w:rPr>
                  </w:pPr>
                  <w:r>
                    <w:rPr>
                      <w:rFonts w:hint="default" w:ascii="Times New Roman" w:hAnsi="Times New Roman" w:cs="Times New Roman"/>
                      <w:sz w:val="21"/>
                      <w:szCs w:val="21"/>
                      <w:highlight w:val="none"/>
                      <w:u w:val="none" w:color="auto"/>
                    </w:rPr>
                    <w:t>6~9</w:t>
                  </w:r>
                </w:p>
              </w:tc>
              <w:tc>
                <w:tcPr>
                  <w:tcW w:w="1126" w:type="pct"/>
                  <w:tcBorders>
                    <w:tl2br w:val="nil"/>
                    <w:tr2bl w:val="nil"/>
                  </w:tcBorders>
                  <w:noWrap w:val="0"/>
                  <w:vAlign w:val="center"/>
                </w:tcPr>
                <w:p w14:paraId="28CF3262">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default" w:ascii="Times New Roman" w:hAnsi="Times New Roman" w:eastAsia="宋体" w:cs="Times New Roman"/>
                      <w:snapToGrid w:val="0"/>
                      <w:kern w:val="0"/>
                      <w:sz w:val="21"/>
                      <w:szCs w:val="21"/>
                      <w:highlight w:val="none"/>
                      <w:u w:val="none" w:color="auto"/>
                      <w:lang w:val="en-US" w:eastAsia="zh-CN"/>
                    </w:rPr>
                    <w:t>6~9</w:t>
                  </w:r>
                </w:p>
              </w:tc>
            </w:tr>
            <w:tr w14:paraId="234CD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7C32B976">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2</w:t>
                  </w:r>
                </w:p>
              </w:tc>
              <w:tc>
                <w:tcPr>
                  <w:tcW w:w="705" w:type="pct"/>
                  <w:tcBorders>
                    <w:tl2br w:val="nil"/>
                    <w:tr2bl w:val="nil"/>
                  </w:tcBorders>
                  <w:noWrap w:val="0"/>
                  <w:vAlign w:val="center"/>
                </w:tcPr>
                <w:p w14:paraId="049AC2A9">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BOD</w:t>
                  </w:r>
                  <w:r>
                    <w:rPr>
                      <w:rFonts w:hint="default" w:ascii="Times New Roman" w:hAnsi="Times New Roman" w:cs="Times New Roman"/>
                      <w:snapToGrid w:val="0"/>
                      <w:kern w:val="0"/>
                      <w:sz w:val="21"/>
                      <w:szCs w:val="21"/>
                      <w:u w:val="none" w:color="auto"/>
                      <w:vertAlign w:val="subscript"/>
                    </w:rPr>
                    <w:t>5</w:t>
                  </w:r>
                </w:p>
              </w:tc>
              <w:tc>
                <w:tcPr>
                  <w:tcW w:w="1350" w:type="pct"/>
                  <w:tcBorders>
                    <w:tl2br w:val="nil"/>
                    <w:tr2bl w:val="nil"/>
                  </w:tcBorders>
                  <w:noWrap w:val="0"/>
                  <w:vAlign w:val="center"/>
                </w:tcPr>
                <w:p w14:paraId="1AE6F5FC">
                  <w:pPr>
                    <w:adjustRightInd w:val="0"/>
                    <w:snapToGrid w:val="0"/>
                    <w:spacing w:line="240" w:lineRule="auto"/>
                    <w:jc w:val="center"/>
                    <w:rPr>
                      <w:rFonts w:hint="default" w:ascii="Times New Roman" w:hAnsi="Times New Roman" w:eastAsia="宋体" w:cs="Times New Roman"/>
                      <w:snapToGrid w:val="0"/>
                      <w:kern w:val="0"/>
                      <w:sz w:val="21"/>
                      <w:szCs w:val="21"/>
                      <w:u w:val="none" w:color="auto"/>
                      <w:lang w:val="en-US" w:eastAsia="zh-CN"/>
                    </w:rPr>
                  </w:pPr>
                  <w:r>
                    <w:rPr>
                      <w:rFonts w:hint="default" w:ascii="Times New Roman" w:hAnsi="Times New Roman" w:cs="Times New Roman"/>
                      <w:snapToGrid w:val="0"/>
                      <w:kern w:val="0"/>
                      <w:sz w:val="21"/>
                      <w:szCs w:val="21"/>
                      <w:u w:val="none" w:color="auto"/>
                      <w:lang w:val="en-US" w:eastAsia="zh-CN"/>
                    </w:rPr>
                    <w:t>300</w:t>
                  </w:r>
                </w:p>
              </w:tc>
              <w:tc>
                <w:tcPr>
                  <w:tcW w:w="1420" w:type="pct"/>
                  <w:tcBorders>
                    <w:tl2br w:val="nil"/>
                    <w:tr2bl w:val="nil"/>
                  </w:tcBorders>
                  <w:noWrap w:val="0"/>
                  <w:vAlign w:val="center"/>
                </w:tcPr>
                <w:p w14:paraId="75D8D612">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150</w:t>
                  </w:r>
                </w:p>
              </w:tc>
              <w:tc>
                <w:tcPr>
                  <w:tcW w:w="1126" w:type="pct"/>
                  <w:tcBorders>
                    <w:tl2br w:val="nil"/>
                    <w:tr2bl w:val="nil"/>
                  </w:tcBorders>
                  <w:noWrap w:val="0"/>
                  <w:vAlign w:val="center"/>
                </w:tcPr>
                <w:p w14:paraId="40B0C812">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150</w:t>
                  </w:r>
                </w:p>
              </w:tc>
            </w:tr>
            <w:tr w14:paraId="2E042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6F213BEA">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3</w:t>
                  </w:r>
                </w:p>
              </w:tc>
              <w:tc>
                <w:tcPr>
                  <w:tcW w:w="705" w:type="pct"/>
                  <w:tcBorders>
                    <w:tl2br w:val="nil"/>
                    <w:tr2bl w:val="nil"/>
                  </w:tcBorders>
                  <w:noWrap w:val="0"/>
                  <w:vAlign w:val="center"/>
                </w:tcPr>
                <w:p w14:paraId="14BCB97F">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COD</w:t>
                  </w:r>
                </w:p>
              </w:tc>
              <w:tc>
                <w:tcPr>
                  <w:tcW w:w="1350" w:type="pct"/>
                  <w:tcBorders>
                    <w:tl2br w:val="nil"/>
                    <w:tr2bl w:val="nil"/>
                  </w:tcBorders>
                  <w:noWrap w:val="0"/>
                  <w:vAlign w:val="center"/>
                </w:tcPr>
                <w:p w14:paraId="4587A4A6">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500</w:t>
                  </w:r>
                </w:p>
              </w:tc>
              <w:tc>
                <w:tcPr>
                  <w:tcW w:w="1420" w:type="pct"/>
                  <w:tcBorders>
                    <w:tl2br w:val="nil"/>
                    <w:tr2bl w:val="nil"/>
                  </w:tcBorders>
                  <w:noWrap w:val="0"/>
                  <w:vAlign w:val="center"/>
                </w:tcPr>
                <w:p w14:paraId="70251EF9">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250</w:t>
                  </w:r>
                </w:p>
              </w:tc>
              <w:tc>
                <w:tcPr>
                  <w:tcW w:w="1126" w:type="pct"/>
                  <w:tcBorders>
                    <w:tl2br w:val="nil"/>
                    <w:tr2bl w:val="nil"/>
                  </w:tcBorders>
                  <w:noWrap w:val="0"/>
                  <w:vAlign w:val="center"/>
                </w:tcPr>
                <w:p w14:paraId="099DE816">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250</w:t>
                  </w:r>
                </w:p>
              </w:tc>
            </w:tr>
            <w:tr w14:paraId="65392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74ED3874">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4</w:t>
                  </w:r>
                </w:p>
              </w:tc>
              <w:tc>
                <w:tcPr>
                  <w:tcW w:w="705" w:type="pct"/>
                  <w:tcBorders>
                    <w:tl2br w:val="nil"/>
                    <w:tr2bl w:val="nil"/>
                  </w:tcBorders>
                  <w:noWrap w:val="0"/>
                  <w:vAlign w:val="center"/>
                </w:tcPr>
                <w:p w14:paraId="4171EFC4">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SS</w:t>
                  </w:r>
                </w:p>
              </w:tc>
              <w:tc>
                <w:tcPr>
                  <w:tcW w:w="1350" w:type="pct"/>
                  <w:tcBorders>
                    <w:tl2br w:val="nil"/>
                    <w:tr2bl w:val="nil"/>
                  </w:tcBorders>
                  <w:noWrap w:val="0"/>
                  <w:vAlign w:val="center"/>
                </w:tcPr>
                <w:p w14:paraId="5B21D0C2">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400</w:t>
                  </w:r>
                </w:p>
              </w:tc>
              <w:tc>
                <w:tcPr>
                  <w:tcW w:w="1420" w:type="pct"/>
                  <w:tcBorders>
                    <w:tl2br w:val="nil"/>
                    <w:tr2bl w:val="nil"/>
                  </w:tcBorders>
                  <w:noWrap w:val="0"/>
                  <w:vAlign w:val="center"/>
                </w:tcPr>
                <w:p w14:paraId="36DFECCA">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200</w:t>
                  </w:r>
                </w:p>
              </w:tc>
              <w:tc>
                <w:tcPr>
                  <w:tcW w:w="1126" w:type="pct"/>
                  <w:tcBorders>
                    <w:tl2br w:val="nil"/>
                    <w:tr2bl w:val="nil"/>
                  </w:tcBorders>
                  <w:noWrap w:val="0"/>
                  <w:vAlign w:val="center"/>
                </w:tcPr>
                <w:p w14:paraId="23E04D14">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200</w:t>
                  </w:r>
                </w:p>
              </w:tc>
            </w:tr>
            <w:tr w14:paraId="26151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pct"/>
                  <w:tcBorders>
                    <w:tl2br w:val="nil"/>
                    <w:tr2bl w:val="nil"/>
                  </w:tcBorders>
                  <w:noWrap w:val="0"/>
                  <w:vAlign w:val="center"/>
                </w:tcPr>
                <w:p w14:paraId="75747C77">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5</w:t>
                  </w:r>
                </w:p>
              </w:tc>
              <w:tc>
                <w:tcPr>
                  <w:tcW w:w="705" w:type="pct"/>
                  <w:tcBorders>
                    <w:tl2br w:val="nil"/>
                    <w:tr2bl w:val="nil"/>
                  </w:tcBorders>
                  <w:noWrap w:val="0"/>
                  <w:vAlign w:val="center"/>
                </w:tcPr>
                <w:p w14:paraId="59E33085">
                  <w:pPr>
                    <w:adjustRightInd w:val="0"/>
                    <w:snapToGrid w:val="0"/>
                    <w:spacing w:line="240" w:lineRule="auto"/>
                    <w:jc w:val="center"/>
                    <w:rPr>
                      <w:rFonts w:hint="default" w:ascii="Times New Roman" w:hAnsi="Times New Roman" w:cs="Times New Roman"/>
                      <w:snapToGrid w:val="0"/>
                      <w:kern w:val="0"/>
                      <w:sz w:val="21"/>
                      <w:szCs w:val="21"/>
                      <w:u w:val="none" w:color="auto"/>
                    </w:rPr>
                  </w:pPr>
                  <w:r>
                    <w:rPr>
                      <w:rFonts w:hint="default" w:ascii="Times New Roman" w:hAnsi="Times New Roman" w:cs="Times New Roman"/>
                      <w:snapToGrid w:val="0"/>
                      <w:kern w:val="0"/>
                      <w:sz w:val="21"/>
                      <w:szCs w:val="21"/>
                      <w:u w:val="none" w:color="auto"/>
                    </w:rPr>
                    <w:t>氨氮</w:t>
                  </w:r>
                </w:p>
              </w:tc>
              <w:tc>
                <w:tcPr>
                  <w:tcW w:w="1350" w:type="pct"/>
                  <w:tcBorders>
                    <w:tl2br w:val="nil"/>
                    <w:tr2bl w:val="nil"/>
                  </w:tcBorders>
                  <w:noWrap w:val="0"/>
                  <w:vAlign w:val="center"/>
                </w:tcPr>
                <w:p w14:paraId="318AA3D4">
                  <w:pPr>
                    <w:adjustRightInd w:val="0"/>
                    <w:snapToGrid w:val="0"/>
                    <w:spacing w:line="240" w:lineRule="auto"/>
                    <w:jc w:val="center"/>
                    <w:rPr>
                      <w:rFonts w:hint="default" w:ascii="Times New Roman" w:hAnsi="Times New Roman" w:eastAsia="宋体" w:cs="Times New Roman"/>
                      <w:snapToGrid w:val="0"/>
                      <w:kern w:val="0"/>
                      <w:sz w:val="21"/>
                      <w:szCs w:val="21"/>
                      <w:u w:val="none" w:color="auto"/>
                      <w:lang w:eastAsia="zh-CN"/>
                    </w:rPr>
                  </w:pPr>
                  <w:r>
                    <w:rPr>
                      <w:rFonts w:hint="default" w:ascii="Times New Roman" w:hAnsi="Times New Roman" w:cs="Times New Roman"/>
                      <w:snapToGrid w:val="0"/>
                      <w:kern w:val="0"/>
                      <w:sz w:val="21"/>
                      <w:szCs w:val="21"/>
                      <w:u w:val="none" w:color="auto"/>
                      <w:lang w:val="en-US" w:eastAsia="zh-CN"/>
                    </w:rPr>
                    <w:t>/</w:t>
                  </w:r>
                </w:p>
              </w:tc>
              <w:tc>
                <w:tcPr>
                  <w:tcW w:w="1420" w:type="pct"/>
                  <w:tcBorders>
                    <w:tl2br w:val="nil"/>
                    <w:tr2bl w:val="nil"/>
                  </w:tcBorders>
                  <w:noWrap w:val="0"/>
                  <w:vAlign w:val="center"/>
                </w:tcPr>
                <w:p w14:paraId="0C613D39">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30</w:t>
                  </w:r>
                </w:p>
              </w:tc>
              <w:tc>
                <w:tcPr>
                  <w:tcW w:w="1126" w:type="pct"/>
                  <w:tcBorders>
                    <w:tl2br w:val="nil"/>
                    <w:tr2bl w:val="nil"/>
                  </w:tcBorders>
                  <w:noWrap w:val="0"/>
                  <w:vAlign w:val="center"/>
                </w:tcPr>
                <w:p w14:paraId="4DD82AB7">
                  <w:pPr>
                    <w:adjustRightInd w:val="0"/>
                    <w:snapToGrid w:val="0"/>
                    <w:spacing w:line="240" w:lineRule="auto"/>
                    <w:jc w:val="center"/>
                    <w:rPr>
                      <w:rFonts w:hint="default" w:ascii="Times New Roman" w:hAnsi="Times New Roman" w:eastAsia="宋体" w:cs="Times New Roman"/>
                      <w:snapToGrid w:val="0"/>
                      <w:kern w:val="0"/>
                      <w:sz w:val="21"/>
                      <w:szCs w:val="21"/>
                      <w:highlight w:val="none"/>
                      <w:u w:val="none" w:color="auto"/>
                      <w:lang w:val="en-US" w:eastAsia="zh-CN"/>
                    </w:rPr>
                  </w:pPr>
                  <w:r>
                    <w:rPr>
                      <w:rFonts w:hint="eastAsia" w:cs="Times New Roman"/>
                      <w:snapToGrid w:val="0"/>
                      <w:kern w:val="0"/>
                      <w:sz w:val="21"/>
                      <w:szCs w:val="21"/>
                      <w:highlight w:val="none"/>
                      <w:u w:val="none" w:color="auto"/>
                      <w:lang w:val="en-US" w:eastAsia="zh-CN"/>
                    </w:rPr>
                    <w:t>30</w:t>
                  </w:r>
                </w:p>
              </w:tc>
            </w:tr>
          </w:tbl>
          <w:p w14:paraId="3578CA47">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000000"/>
                <w:sz w:val="24"/>
                <w:highlight w:val="none"/>
                <w:u w:val="none" w:color="auto"/>
                <w:lang w:val="en-US" w:eastAsia="zh-CN"/>
              </w:rPr>
            </w:pP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 xml:space="preserve"> </w:t>
            </w:r>
            <w:r>
              <w:rPr>
                <w:rFonts w:hint="eastAsia" w:ascii="Times New Roman" w:hAnsi="Times New Roman" w:eastAsia="宋体" w:cs="Times New Roman"/>
                <w:b/>
                <w:bCs/>
                <w:color w:val="000000"/>
                <w:sz w:val="24"/>
                <w:szCs w:val="24"/>
                <w:highlight w:val="none"/>
                <w:u w:val="none" w:color="auto"/>
                <w:lang w:val="en-US" w:eastAsia="zh-CN"/>
              </w:rPr>
              <w:t>3、</w:t>
            </w:r>
            <w:r>
              <w:rPr>
                <w:rFonts w:hint="default" w:ascii="Times New Roman" w:hAnsi="Times New Roman" w:eastAsia="宋体" w:cs="Times New Roman"/>
                <w:b/>
                <w:bCs/>
                <w:color w:val="000000"/>
                <w:sz w:val="24"/>
                <w:highlight w:val="none"/>
                <w:u w:val="none" w:color="auto"/>
                <w:lang w:val="en-US" w:eastAsia="zh-CN"/>
              </w:rPr>
              <w:t>噪声</w:t>
            </w:r>
          </w:p>
          <w:p w14:paraId="53910D2E">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000000"/>
                <w:sz w:val="24"/>
                <w:highlight w:val="none"/>
                <w:u w:val="none" w:color="auto"/>
                <w:lang w:val="en-US" w:eastAsia="zh-CN"/>
              </w:rPr>
            </w:pPr>
            <w:r>
              <w:rPr>
                <w:rFonts w:hint="eastAsia" w:ascii="Times New Roman" w:hAnsi="Times New Roman" w:eastAsia="宋体" w:cs="Times New Roman"/>
                <w:color w:val="000000"/>
                <w:sz w:val="24"/>
                <w:highlight w:val="none"/>
                <w:u w:val="none" w:color="auto"/>
                <w:lang w:val="en-US" w:eastAsia="zh-CN"/>
              </w:rPr>
              <w:t>运营期厂界四周</w:t>
            </w:r>
            <w:r>
              <w:rPr>
                <w:rFonts w:hint="default" w:ascii="Times New Roman" w:hAnsi="Times New Roman" w:eastAsia="宋体" w:cs="Times New Roman"/>
                <w:color w:val="000000"/>
                <w:sz w:val="24"/>
                <w:highlight w:val="none"/>
                <w:u w:val="none" w:color="auto"/>
                <w:lang w:val="en-US" w:eastAsia="zh-CN"/>
              </w:rPr>
              <w:t>执行《工业企业厂界环境噪声排放标准</w:t>
            </w:r>
            <w:r>
              <w:rPr>
                <w:rFonts w:hint="eastAsia" w:ascii="Times New Roman" w:hAnsi="Times New Roman" w:eastAsia="宋体" w:cs="Times New Roman"/>
                <w:color w:val="000000"/>
                <w:sz w:val="24"/>
                <w:highlight w:val="none"/>
                <w:u w:val="none" w:color="auto"/>
                <w:lang w:val="en-US" w:eastAsia="zh-CN"/>
              </w:rPr>
              <w:t>》</w:t>
            </w:r>
            <w:r>
              <w:rPr>
                <w:rFonts w:hint="default" w:ascii="Times New Roman" w:hAnsi="Times New Roman" w:eastAsia="宋体" w:cs="Times New Roman"/>
                <w:color w:val="000000"/>
                <w:sz w:val="24"/>
                <w:highlight w:val="none"/>
                <w:u w:val="none" w:color="auto"/>
                <w:lang w:val="en-US" w:eastAsia="zh-CN"/>
              </w:rPr>
              <w:t>（GB 12348</w:t>
            </w:r>
            <w:r>
              <w:rPr>
                <w:rFonts w:hint="eastAsia" w:ascii="Times New Roman" w:hAnsi="Times New Roman" w:eastAsia="宋体" w:cs="Times New Roman"/>
                <w:color w:val="000000"/>
                <w:sz w:val="24"/>
                <w:highlight w:val="none"/>
                <w:u w:val="none" w:color="auto"/>
                <w:lang w:val="en-US" w:eastAsia="zh-CN"/>
              </w:rPr>
              <w:t>-</w:t>
            </w:r>
            <w:r>
              <w:rPr>
                <w:rFonts w:hint="default" w:ascii="Times New Roman" w:hAnsi="Times New Roman" w:eastAsia="宋体" w:cs="Times New Roman"/>
                <w:color w:val="000000"/>
                <w:sz w:val="24"/>
                <w:highlight w:val="none"/>
                <w:u w:val="none" w:color="auto"/>
                <w:lang w:val="en-US" w:eastAsia="zh-CN"/>
              </w:rPr>
              <w:t>2008）</w:t>
            </w:r>
            <w:r>
              <w:rPr>
                <w:rFonts w:hint="eastAsia" w:ascii="Times New Roman" w:hAnsi="Times New Roman" w:eastAsia="宋体" w:cs="Times New Roman"/>
                <w:color w:val="000000"/>
                <w:sz w:val="24"/>
                <w:highlight w:val="none"/>
                <w:u w:val="none" w:color="auto"/>
                <w:lang w:val="en-US" w:eastAsia="zh-CN"/>
              </w:rPr>
              <w:t>表1中3</w:t>
            </w:r>
            <w:r>
              <w:rPr>
                <w:rFonts w:hint="default" w:ascii="Times New Roman" w:hAnsi="Times New Roman" w:eastAsia="宋体" w:cs="Times New Roman"/>
                <w:color w:val="000000"/>
                <w:sz w:val="24"/>
                <w:highlight w:val="none"/>
                <w:u w:val="none" w:color="auto"/>
                <w:lang w:val="en-US" w:eastAsia="zh-CN"/>
              </w:rPr>
              <w:t>类标准</w:t>
            </w:r>
            <w:r>
              <w:rPr>
                <w:rFonts w:hint="eastAsia" w:ascii="Times New Roman" w:hAnsi="Times New Roman" w:eastAsia="宋体" w:cs="Times New Roman"/>
                <w:color w:val="000000"/>
                <w:sz w:val="24"/>
                <w:highlight w:val="none"/>
                <w:u w:val="none" w:color="auto"/>
                <w:lang w:val="en-US" w:eastAsia="zh-CN"/>
              </w:rPr>
              <w:t>。</w:t>
            </w:r>
          </w:p>
          <w:p w14:paraId="7F030314">
            <w:pPr>
              <w:adjustRightInd w:val="0"/>
              <w:snapToGrid w:val="0"/>
              <w:spacing w:line="240" w:lineRule="auto"/>
              <w:ind w:firstLine="0" w:firstLineChars="0"/>
              <w:jc w:val="center"/>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b/>
                <w:color w:val="000000"/>
                <w:sz w:val="21"/>
                <w:szCs w:val="21"/>
                <w:highlight w:val="none"/>
                <w:lang w:val="en-US" w:eastAsia="zh-CN"/>
              </w:rPr>
              <w:t>表</w:t>
            </w:r>
            <w:r>
              <w:rPr>
                <w:rFonts w:hint="eastAsia" w:ascii="Times New Roman" w:hAnsi="Times New Roman" w:eastAsia="宋体" w:cs="Times New Roman"/>
                <w:b/>
                <w:color w:val="000000"/>
                <w:sz w:val="21"/>
                <w:szCs w:val="21"/>
                <w:highlight w:val="none"/>
                <w:lang w:val="en-US" w:eastAsia="zh-CN"/>
              </w:rPr>
              <w:t>3</w:t>
            </w:r>
            <w:r>
              <w:rPr>
                <w:rFonts w:hint="default" w:ascii="Times New Roman" w:hAnsi="Times New Roman" w:eastAsia="宋体" w:cs="Times New Roman"/>
                <w:b/>
                <w:color w:val="000000"/>
                <w:sz w:val="21"/>
                <w:szCs w:val="21"/>
                <w:highlight w:val="none"/>
                <w:lang w:val="en-US" w:eastAsia="zh-CN"/>
              </w:rPr>
              <w:t>-</w:t>
            </w:r>
            <w:r>
              <w:rPr>
                <w:rFonts w:hint="eastAsia" w:cs="Times New Roman"/>
                <w:b/>
                <w:color w:val="000000"/>
                <w:sz w:val="21"/>
                <w:szCs w:val="21"/>
                <w:highlight w:val="none"/>
                <w:lang w:val="en-US" w:eastAsia="zh-CN"/>
              </w:rPr>
              <w:t>8</w:t>
            </w:r>
            <w:r>
              <w:rPr>
                <w:rFonts w:hint="eastAsia" w:ascii="Times New Roman" w:hAnsi="Times New Roman" w:eastAsia="宋体" w:cs="Times New Roman"/>
                <w:b/>
                <w:color w:val="000000"/>
                <w:sz w:val="21"/>
                <w:szCs w:val="21"/>
                <w:highlight w:val="none"/>
                <w:lang w:val="en-US" w:eastAsia="zh-CN"/>
              </w:rPr>
              <w:t xml:space="preserve">  </w:t>
            </w:r>
            <w:r>
              <w:rPr>
                <w:rFonts w:hint="default" w:ascii="Times New Roman" w:hAnsi="Times New Roman" w:eastAsia="宋体" w:cs="Times New Roman"/>
                <w:b/>
                <w:color w:val="000000"/>
                <w:sz w:val="21"/>
                <w:szCs w:val="21"/>
                <w:highlight w:val="none"/>
                <w:lang w:val="en-US" w:eastAsia="zh-CN"/>
              </w:rPr>
              <w:t>工业企业厂界环境噪声排放标准（等效声级LAeq：dB</w:t>
            </w:r>
            <w:r>
              <w:rPr>
                <w:rFonts w:hint="eastAsia" w:cs="Times New Roman"/>
                <w:b/>
                <w:color w:val="000000"/>
                <w:sz w:val="21"/>
                <w:szCs w:val="21"/>
                <w:highlight w:val="none"/>
                <w:lang w:val="en-US" w:eastAsia="zh-CN"/>
              </w:rPr>
              <w:t>（</w:t>
            </w:r>
            <w:r>
              <w:rPr>
                <w:rFonts w:hint="default" w:ascii="Times New Roman" w:hAnsi="Times New Roman" w:eastAsia="宋体" w:cs="Times New Roman"/>
                <w:b/>
                <w:color w:val="000000"/>
                <w:sz w:val="21"/>
                <w:szCs w:val="21"/>
                <w:highlight w:val="none"/>
                <w:lang w:val="en-US" w:eastAsia="zh-CN"/>
              </w:rPr>
              <w:t>A</w:t>
            </w:r>
            <w:r>
              <w:rPr>
                <w:rFonts w:hint="eastAsia" w:cs="Times New Roman"/>
                <w:b/>
                <w:color w:val="000000"/>
                <w:sz w:val="21"/>
                <w:szCs w:val="21"/>
                <w:highlight w:val="none"/>
                <w:lang w:val="en-US" w:eastAsia="zh-CN"/>
              </w:rPr>
              <w:t>）</w:t>
            </w:r>
            <w:r>
              <w:rPr>
                <w:rFonts w:hint="default" w:ascii="Times New Roman" w:hAnsi="Times New Roman" w:eastAsia="宋体" w:cs="Times New Roman"/>
                <w:b/>
                <w:color w:val="000000"/>
                <w:sz w:val="21"/>
                <w:szCs w:val="21"/>
                <w:highlight w:val="none"/>
                <w:lang w:val="en-US" w:eastAsia="zh-CN"/>
              </w:rPr>
              <w:t>）</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768"/>
              <w:gridCol w:w="2401"/>
              <w:gridCol w:w="2386"/>
            </w:tblGrid>
            <w:tr w14:paraId="66A9E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3014" w:type="dxa"/>
                  <w:vMerge w:val="restart"/>
                  <w:tcBorders>
                    <w:tl2br w:val="nil"/>
                    <w:tr2bl w:val="nil"/>
                  </w:tcBorders>
                  <w:noWrap w:val="0"/>
                  <w:vAlign w:val="center"/>
                </w:tcPr>
                <w:p w14:paraId="693B63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厂界外声环境功能区类别</w:t>
                  </w:r>
                </w:p>
              </w:tc>
              <w:tc>
                <w:tcPr>
                  <w:tcW w:w="5206" w:type="dxa"/>
                  <w:gridSpan w:val="2"/>
                  <w:tcBorders>
                    <w:tl2br w:val="nil"/>
                    <w:tr2bl w:val="nil"/>
                  </w:tcBorders>
                  <w:noWrap w:val="0"/>
                  <w:vAlign w:val="center"/>
                </w:tcPr>
                <w:p w14:paraId="21B50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时段</w:t>
                  </w:r>
                </w:p>
              </w:tc>
            </w:tr>
            <w:tr w14:paraId="4213D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6" w:hRule="atLeast"/>
                <w:jc w:val="center"/>
              </w:trPr>
              <w:tc>
                <w:tcPr>
                  <w:tcW w:w="3014" w:type="dxa"/>
                  <w:vMerge w:val="continue"/>
                  <w:tcBorders>
                    <w:tl2br w:val="nil"/>
                    <w:tr2bl w:val="nil"/>
                  </w:tcBorders>
                  <w:noWrap w:val="0"/>
                  <w:vAlign w:val="center"/>
                </w:tcPr>
                <w:p w14:paraId="48074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rPr>
                  </w:pPr>
                </w:p>
              </w:tc>
              <w:tc>
                <w:tcPr>
                  <w:tcW w:w="2611" w:type="dxa"/>
                  <w:tcBorders>
                    <w:tl2br w:val="nil"/>
                    <w:tr2bl w:val="nil"/>
                  </w:tcBorders>
                  <w:noWrap w:val="0"/>
                  <w:vAlign w:val="center"/>
                </w:tcPr>
                <w:p w14:paraId="4C397A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昼间</w:t>
                  </w:r>
                </w:p>
              </w:tc>
              <w:tc>
                <w:tcPr>
                  <w:tcW w:w="2595" w:type="dxa"/>
                  <w:tcBorders>
                    <w:tl2br w:val="nil"/>
                    <w:tr2bl w:val="nil"/>
                  </w:tcBorders>
                  <w:noWrap w:val="0"/>
                  <w:vAlign w:val="center"/>
                </w:tcPr>
                <w:p w14:paraId="21AA5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夜间</w:t>
                  </w:r>
                </w:p>
              </w:tc>
            </w:tr>
            <w:tr w14:paraId="450A8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3014" w:type="dxa"/>
                  <w:tcBorders>
                    <w:tl2br w:val="nil"/>
                    <w:tr2bl w:val="nil"/>
                  </w:tcBorders>
                  <w:noWrap w:val="0"/>
                  <w:vAlign w:val="center"/>
                </w:tcPr>
                <w:p w14:paraId="5C313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2611" w:type="dxa"/>
                  <w:tcBorders>
                    <w:tl2br w:val="nil"/>
                    <w:tr2bl w:val="nil"/>
                  </w:tcBorders>
                  <w:noWrap w:val="0"/>
                  <w:vAlign w:val="center"/>
                </w:tcPr>
                <w:p w14:paraId="0E78F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65</w:t>
                  </w:r>
                </w:p>
              </w:tc>
              <w:tc>
                <w:tcPr>
                  <w:tcW w:w="2595" w:type="dxa"/>
                  <w:tcBorders>
                    <w:tl2br w:val="nil"/>
                    <w:tr2bl w:val="nil"/>
                  </w:tcBorders>
                  <w:noWrap w:val="0"/>
                  <w:vAlign w:val="center"/>
                </w:tcPr>
                <w:p w14:paraId="063E0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55</w:t>
                  </w:r>
                </w:p>
              </w:tc>
            </w:tr>
          </w:tbl>
          <w:p w14:paraId="28BC2E11">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000000"/>
                <w:sz w:val="24"/>
                <w:highlight w:val="none"/>
                <w:u w:val="none" w:color="auto"/>
                <w:lang w:val="en-US" w:eastAsia="zh-CN"/>
              </w:rPr>
            </w:pPr>
            <w:bookmarkStart w:id="123" w:name="_Toc10521"/>
            <w:bookmarkStart w:id="124" w:name="_Toc19668"/>
            <w:bookmarkStart w:id="125" w:name="_Toc25597"/>
            <w:bookmarkStart w:id="126" w:name="_Toc32344"/>
            <w:bookmarkStart w:id="127" w:name="_Toc30778"/>
            <w:r>
              <w:rPr>
                <w:rFonts w:hint="eastAsia" w:ascii="Times New Roman" w:hAnsi="Times New Roman" w:eastAsia="宋体" w:cs="Times New Roman"/>
                <w:b/>
                <w:bCs/>
                <w:color w:val="000000"/>
                <w:sz w:val="24"/>
                <w:szCs w:val="24"/>
                <w:highlight w:val="none"/>
                <w:u w:val="none" w:color="auto"/>
                <w:lang w:val="en-US" w:eastAsia="zh-CN"/>
              </w:rPr>
              <w:t>4、</w:t>
            </w:r>
            <w:r>
              <w:rPr>
                <w:rFonts w:hint="default" w:ascii="Times New Roman" w:hAnsi="Times New Roman" w:eastAsia="宋体" w:cs="Times New Roman"/>
                <w:b/>
                <w:bCs/>
                <w:color w:val="000000"/>
                <w:sz w:val="24"/>
                <w:highlight w:val="none"/>
                <w:u w:val="none" w:color="auto"/>
                <w:lang w:val="en-US" w:eastAsia="zh-CN"/>
              </w:rPr>
              <w:t>固体废物</w:t>
            </w:r>
          </w:p>
          <w:bookmarkEnd w:id="123"/>
          <w:bookmarkEnd w:id="124"/>
          <w:bookmarkEnd w:id="125"/>
          <w:bookmarkEnd w:id="126"/>
          <w:bookmarkEnd w:id="127"/>
          <w:p w14:paraId="2E37E77C">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000000" w:themeColor="text1"/>
                <w:sz w:val="24"/>
                <w:szCs w:val="24"/>
                <w:highlight w:val="none"/>
                <w:u w:val="none" w:color="auto"/>
                <w:lang w:val="en-US" w:eastAsia="zh-CN"/>
                <w14:textFill>
                  <w14:solidFill>
                    <w14:schemeClr w14:val="tx1"/>
                  </w14:solidFill>
                </w14:textFill>
              </w:rPr>
            </w:pPr>
            <w:r>
              <w:rPr>
                <w:rFonts w:hint="default" w:ascii="Times New Roman" w:hAnsi="Times New Roman" w:cs="Times New Roman"/>
                <w:color w:val="auto"/>
                <w:sz w:val="24"/>
                <w:szCs w:val="24"/>
                <w:u w:val="none" w:color="auto"/>
                <w:lang w:eastAsia="zh-CN"/>
              </w:rPr>
              <w:t>一般固废执行</w:t>
            </w:r>
            <w:r>
              <w:rPr>
                <w:rFonts w:hint="eastAsia" w:ascii="Times New Roman" w:hAnsi="Times New Roman" w:cs="Times New Roman"/>
                <w:color w:val="auto"/>
                <w:sz w:val="24"/>
                <w:szCs w:val="24"/>
                <w:u w:val="none" w:color="auto"/>
                <w:lang w:eastAsia="zh-CN"/>
              </w:rPr>
              <w:t>《一般工业固体废物贮存和填埋污染控制标准》（GB18599-2020）</w:t>
            </w:r>
            <w:r>
              <w:rPr>
                <w:rFonts w:hint="eastAsia" w:cs="Times New Roman"/>
                <w:color w:val="auto"/>
                <w:sz w:val="24"/>
                <w:szCs w:val="24"/>
                <w:u w:val="none" w:color="auto"/>
                <w:lang w:eastAsia="zh-CN"/>
              </w:rPr>
              <w:t>；</w:t>
            </w:r>
            <w:r>
              <w:rPr>
                <w:rFonts w:hint="eastAsia" w:ascii="宋体" w:hAnsi="宋体" w:eastAsia="宋体" w:cs="宋体"/>
                <w:color w:val="000000"/>
                <w:kern w:val="0"/>
                <w:sz w:val="24"/>
                <w:szCs w:val="24"/>
                <w:lang w:val="en-US" w:eastAsia="zh-CN" w:bidi="ar"/>
              </w:rPr>
              <w:t>危险废物执行《危险废物贮存污染控制标准》 （</w:t>
            </w:r>
            <w:r>
              <w:rPr>
                <w:rFonts w:hint="default" w:ascii="Times New Roman" w:hAnsi="Times New Roman" w:eastAsia="宋体" w:cs="Times New Roman"/>
                <w:color w:val="000000"/>
                <w:kern w:val="0"/>
                <w:sz w:val="24"/>
                <w:szCs w:val="24"/>
                <w:lang w:val="en-US" w:eastAsia="zh-CN" w:bidi="ar"/>
              </w:rPr>
              <w:t>GB18597-2023</w:t>
            </w:r>
            <w:r>
              <w:rPr>
                <w:rFonts w:hint="eastAsia" w:ascii="宋体" w:hAnsi="宋体" w:eastAsia="宋体" w:cs="宋体"/>
                <w:color w:val="000000"/>
                <w:kern w:val="0"/>
                <w:sz w:val="24"/>
                <w:szCs w:val="24"/>
                <w:lang w:val="en-US" w:eastAsia="zh-CN" w:bidi="ar"/>
              </w:rPr>
              <w:t>）；</w:t>
            </w:r>
            <w:r>
              <w:rPr>
                <w:rFonts w:hint="eastAsia" w:cs="Times New Roman"/>
                <w:color w:val="auto"/>
                <w:sz w:val="24"/>
                <w:szCs w:val="24"/>
                <w:u w:val="none" w:color="auto"/>
                <w:lang w:val="en-US" w:eastAsia="zh-CN"/>
              </w:rPr>
              <w:t>生活垃圾由环卫部门统一清运处置。</w:t>
            </w:r>
          </w:p>
        </w:tc>
      </w:tr>
      <w:tr w14:paraId="3C59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00EC61A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宋体" w:hAnsi="宋体" w:eastAsia="宋体" w:cs="宋体"/>
                <w:bCs/>
                <w:color w:val="000000"/>
                <w:kern w:val="2"/>
                <w:sz w:val="24"/>
                <w:szCs w:val="24"/>
                <w:highlight w:val="none"/>
              </w:rPr>
            </w:pPr>
            <w:bookmarkStart w:id="128" w:name="_Toc27668"/>
            <w:r>
              <w:rPr>
                <w:rFonts w:hint="eastAsia" w:ascii="宋体" w:hAnsi="宋体" w:eastAsia="宋体" w:cs="宋体"/>
                <w:bCs/>
                <w:color w:val="000000"/>
                <w:kern w:val="2"/>
                <w:sz w:val="24"/>
                <w:szCs w:val="24"/>
                <w:highlight w:val="none"/>
                <w:lang w:val="en-US" w:eastAsia="zh-CN" w:bidi="ar-SA"/>
              </w:rPr>
              <w:t>总量控制指标</w:t>
            </w:r>
            <w:bookmarkEnd w:id="128"/>
          </w:p>
        </w:tc>
        <w:tc>
          <w:tcPr>
            <w:tcW w:w="7801" w:type="dxa"/>
          </w:tcPr>
          <w:p w14:paraId="3B0DF55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根据《建设项目主要污染物排放总量指标审核及管理暂行办法》（环发[2014]197号）的要求：严格落实污染物排放总量控制制度，把主要污染物排放总量指标作为建设项目环境影响评价审批的前置条件。排放主要污染物的建设项目，在环境影响评价文件审批前，须取得主要污染物排放总量指标。本项目总量污染物控制因子为</w:t>
            </w:r>
            <w:r>
              <w:rPr>
                <w:rFonts w:hint="default" w:ascii="Times New Roman" w:hAnsi="Times New Roman" w:cs="Times New Roman"/>
                <w:color w:val="auto"/>
                <w:sz w:val="24"/>
                <w:szCs w:val="24"/>
                <w:highlight w:val="none"/>
                <w:u w:val="none" w:color="auto"/>
                <w:lang w:val="en-US" w:eastAsia="zh-CN"/>
              </w:rPr>
              <w:t>COD、NH</w:t>
            </w:r>
            <w:r>
              <w:rPr>
                <w:rFonts w:hint="default" w:ascii="Times New Roman" w:hAnsi="Times New Roman" w:cs="Times New Roman"/>
                <w:color w:val="auto"/>
                <w:sz w:val="24"/>
                <w:szCs w:val="24"/>
                <w:highlight w:val="none"/>
                <w:u w:val="none" w:color="auto"/>
                <w:vertAlign w:val="subscript"/>
                <w:lang w:val="en-US" w:eastAsia="zh-CN"/>
              </w:rPr>
              <w:t>3</w:t>
            </w:r>
            <w:r>
              <w:rPr>
                <w:rFonts w:hint="default" w:ascii="Times New Roman" w:hAnsi="Times New Roman" w:cs="Times New Roman"/>
                <w:color w:val="auto"/>
                <w:sz w:val="24"/>
                <w:szCs w:val="24"/>
                <w:highlight w:val="none"/>
                <w:u w:val="none" w:color="auto"/>
                <w:lang w:val="en-US" w:eastAsia="zh-CN"/>
              </w:rPr>
              <w:t>-N</w:t>
            </w:r>
            <w:r>
              <w:rPr>
                <w:rFonts w:hint="default" w:ascii="Times New Roman" w:hAnsi="Times New Roman" w:cs="Times New Roman"/>
                <w:color w:val="auto"/>
                <w:sz w:val="24"/>
                <w:szCs w:val="24"/>
                <w:u w:val="none" w:color="auto"/>
              </w:rPr>
              <w:t>。</w:t>
            </w:r>
          </w:p>
          <w:p w14:paraId="3136C1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根据工程分析，确定本项目总量控制建议值情况见</w:t>
            </w:r>
            <w:r>
              <w:rPr>
                <w:rFonts w:hint="eastAsia" w:cs="Times New Roman"/>
                <w:color w:val="auto"/>
                <w:sz w:val="24"/>
                <w:szCs w:val="24"/>
                <w:u w:val="none" w:color="auto"/>
                <w:lang w:val="en-US" w:eastAsia="zh-CN"/>
              </w:rPr>
              <w:t>下</w:t>
            </w:r>
            <w:r>
              <w:rPr>
                <w:rFonts w:hint="default" w:ascii="Times New Roman" w:hAnsi="Times New Roman" w:cs="Times New Roman"/>
                <w:color w:val="auto"/>
                <w:sz w:val="24"/>
                <w:szCs w:val="24"/>
                <w:u w:val="none" w:color="auto"/>
              </w:rPr>
              <w:t>表。</w:t>
            </w:r>
          </w:p>
          <w:p w14:paraId="0303A115">
            <w:pPr>
              <w:pStyle w:val="2"/>
              <w:keepLines w:val="0"/>
              <w:pageBreakBefore w:val="0"/>
              <w:widowControl w:val="0"/>
              <w:kinsoku/>
              <w:wordWrap/>
              <w:topLinePunct w:val="0"/>
              <w:bidi w:val="0"/>
              <w:snapToGrid w:val="0"/>
              <w:spacing w:before="0" w:after="0" w:line="240" w:lineRule="auto"/>
              <w:ind w:left="0" w:firstLine="0" w:firstLineChars="0"/>
              <w:jc w:val="center"/>
              <w:rPr>
                <w:rFonts w:hint="default" w:ascii="Times New Roman" w:hAnsi="Times New Roman" w:cs="Times New Roman"/>
                <w:sz w:val="21"/>
                <w:szCs w:val="21"/>
                <w:u w:val="none" w:color="auto"/>
              </w:rPr>
            </w:pPr>
            <w:bookmarkStart w:id="129" w:name="_Toc16227"/>
            <w:bookmarkStart w:id="130" w:name="_Toc31275"/>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9</w:t>
            </w:r>
            <w:r>
              <w:rPr>
                <w:rFonts w:hint="default" w:ascii="Times New Roman" w:hAnsi="Times New Roman" w:cs="Times New Roman"/>
                <w:b/>
                <w:color w:val="auto"/>
                <w:sz w:val="21"/>
                <w:szCs w:val="21"/>
                <w:highlight w:val="none"/>
                <w:u w:val="none" w:color="auto"/>
                <w:lang w:val="en-US" w:eastAsia="zh-CN"/>
              </w:rPr>
              <w:t xml:space="preserve">  </w:t>
            </w:r>
            <w:r>
              <w:rPr>
                <w:rFonts w:hint="default" w:ascii="Times New Roman" w:hAnsi="Times New Roman" w:eastAsia="宋体" w:cs="Times New Roman"/>
                <w:b/>
                <w:color w:val="auto"/>
                <w:sz w:val="21"/>
                <w:szCs w:val="21"/>
                <w:highlight w:val="none"/>
                <w:u w:val="none" w:color="auto"/>
              </w:rPr>
              <w:t>总量核算一览表</w:t>
            </w:r>
            <w:bookmarkEnd w:id="129"/>
            <w:bookmarkEnd w:id="130"/>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884"/>
              <w:gridCol w:w="2885"/>
            </w:tblGrid>
            <w:tr w14:paraId="0E1CD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2" w:type="pct"/>
                  <w:noWrap w:val="0"/>
                  <w:vAlign w:val="center"/>
                </w:tcPr>
                <w:p w14:paraId="004CDD5F">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val="en-US" w:eastAsia="zh-CN"/>
                    </w:rPr>
                    <w:t>类</w:t>
                  </w:r>
                  <w:r>
                    <w:rPr>
                      <w:rFonts w:hint="default" w:ascii="Times New Roman" w:hAnsi="Times New Roman" w:eastAsia="宋体" w:cs="Times New Roman"/>
                      <w:color w:val="auto"/>
                      <w:sz w:val="21"/>
                      <w:szCs w:val="21"/>
                      <w:highlight w:val="none"/>
                      <w:u w:val="none" w:color="auto"/>
                    </w:rPr>
                    <w:t>别</w:t>
                  </w:r>
                </w:p>
              </w:tc>
              <w:tc>
                <w:tcPr>
                  <w:tcW w:w="1908" w:type="pct"/>
                  <w:noWrap w:val="0"/>
                  <w:vAlign w:val="center"/>
                </w:tcPr>
                <w:p w14:paraId="673BEC1C">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指标名称</w:t>
                  </w:r>
                </w:p>
              </w:tc>
              <w:tc>
                <w:tcPr>
                  <w:tcW w:w="1909" w:type="pct"/>
                  <w:noWrap w:val="0"/>
                  <w:vAlign w:val="center"/>
                </w:tcPr>
                <w:p w14:paraId="6D679E8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排放总量</w:t>
                  </w:r>
                </w:p>
              </w:tc>
            </w:tr>
            <w:tr w14:paraId="74D05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82" w:type="pct"/>
                  <w:vMerge w:val="restart"/>
                  <w:noWrap w:val="0"/>
                  <w:vAlign w:val="center"/>
                </w:tcPr>
                <w:p w14:paraId="09CC6962">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908" w:type="pct"/>
                  <w:noWrap w:val="0"/>
                  <w:vAlign w:val="center"/>
                </w:tcPr>
                <w:p w14:paraId="16F39729">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COD</w:t>
                  </w:r>
                </w:p>
              </w:tc>
              <w:tc>
                <w:tcPr>
                  <w:tcW w:w="1909" w:type="pct"/>
                  <w:noWrap w:val="0"/>
                  <w:vAlign w:val="center"/>
                </w:tcPr>
                <w:p w14:paraId="113B34AB">
                  <w:pPr>
                    <w:pStyle w:val="39"/>
                    <w:keepNext w:val="0"/>
                    <w:keepLines w:val="0"/>
                    <w:pageBreakBefore w:val="0"/>
                    <w:widowControl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14:textFill>
                        <w14:solidFill>
                          <w14:schemeClr w14:val="tx1"/>
                        </w14:solidFill>
                      </w14:textFill>
                    </w:rPr>
                  </w:pPr>
                  <w:r>
                    <w:rPr>
                      <w:rFonts w:hint="eastAsia" w:cs="Times New Roman"/>
                      <w:i w:val="0"/>
                      <w:iCs w:val="0"/>
                      <w:color w:val="000000" w:themeColor="text1"/>
                      <w:kern w:val="0"/>
                      <w:sz w:val="21"/>
                      <w:szCs w:val="21"/>
                      <w:u w:val="none" w:color="auto"/>
                      <w:lang w:val="en-US" w:eastAsia="zh-CN" w:bidi="ar"/>
                      <w14:textFill>
                        <w14:solidFill>
                          <w14:schemeClr w14:val="tx1"/>
                        </w14:solidFill>
                      </w14:textFill>
                    </w:rPr>
                    <w:t>0.0152t</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/a</w:t>
                  </w:r>
                </w:p>
              </w:tc>
            </w:tr>
            <w:tr w14:paraId="32609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82" w:type="pct"/>
                  <w:vMerge w:val="continue"/>
                  <w:noWrap w:val="0"/>
                  <w:vAlign w:val="center"/>
                </w:tcPr>
                <w:p w14:paraId="67E7CC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908" w:type="pct"/>
                  <w:noWrap w:val="0"/>
                  <w:vAlign w:val="center"/>
                </w:tcPr>
                <w:p w14:paraId="2BD64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14:textFill>
                        <w14:solidFill>
                          <w14:schemeClr w14:val="tx1"/>
                        </w14:solidFill>
                      </w14:textFill>
                    </w:rPr>
                    <w:t>氨氮</w:t>
                  </w:r>
                </w:p>
              </w:tc>
              <w:tc>
                <w:tcPr>
                  <w:tcW w:w="1909" w:type="pct"/>
                  <w:noWrap w:val="0"/>
                  <w:vAlign w:val="center"/>
                </w:tcPr>
                <w:p w14:paraId="3895E173">
                  <w:pPr>
                    <w:pStyle w:val="39"/>
                    <w:keepNext w:val="0"/>
                    <w:keepLines w:val="0"/>
                    <w:pageBreakBefore w:val="0"/>
                    <w:widowControl w:val="0"/>
                    <w:kinsoku/>
                    <w:wordWrap/>
                    <w:topLinePunct w:val="0"/>
                    <w:bidi w:val="0"/>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eastAsia" w:cs="Times New Roman"/>
                      <w:i w:val="0"/>
                      <w:iCs w:val="0"/>
                      <w:color w:val="000000" w:themeColor="text1"/>
                      <w:kern w:val="0"/>
                      <w:sz w:val="21"/>
                      <w:szCs w:val="21"/>
                      <w:u w:val="none" w:color="auto"/>
                      <w:lang w:val="en-US" w:eastAsia="zh-CN" w:bidi="ar"/>
                      <w14:textFill>
                        <w14:solidFill>
                          <w14:schemeClr w14:val="tx1"/>
                        </w14:solidFill>
                      </w14:textFill>
                    </w:rPr>
                    <w:t>0.00152</w:t>
                  </w:r>
                  <w:r>
                    <w:rPr>
                      <w:rFonts w:hint="default" w:ascii="Times New Roman" w:hAnsi="Times New Roman" w:eastAsia="宋体" w:cs="Times New Roman"/>
                      <w:i w:val="0"/>
                      <w:iCs w:val="0"/>
                      <w:color w:val="000000" w:themeColor="text1"/>
                      <w:kern w:val="0"/>
                      <w:sz w:val="21"/>
                      <w:szCs w:val="21"/>
                      <w:u w:val="none" w:color="auto"/>
                      <w:lang w:val="en-US" w:eastAsia="zh-CN" w:bidi="ar"/>
                      <w14:textFill>
                        <w14:solidFill>
                          <w14:schemeClr w14:val="tx1"/>
                        </w14:solidFill>
                      </w14:textFill>
                    </w:rPr>
                    <w:t>t/a</w:t>
                  </w:r>
                </w:p>
              </w:tc>
            </w:tr>
          </w:tbl>
          <w:p w14:paraId="55D9554B">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本项目</w:t>
            </w:r>
            <w:r>
              <w:rPr>
                <w:rFonts w:hint="eastAsia" w:ascii="Times New Roman" w:hAnsi="Times New Roman" w:cs="Times New Roman"/>
                <w:color w:val="auto"/>
                <w:sz w:val="24"/>
                <w:szCs w:val="24"/>
                <w:u w:val="none" w:color="auto"/>
                <w:lang w:val="en-US" w:eastAsia="zh-CN"/>
              </w:rPr>
              <w:t>外排废水仅为为生活污水，</w:t>
            </w:r>
            <w:r>
              <w:rPr>
                <w:rFonts w:hint="default" w:ascii="Times New Roman" w:hAnsi="Times New Roman" w:cs="Times New Roman"/>
                <w:color w:val="auto"/>
                <w:sz w:val="24"/>
                <w:szCs w:val="24"/>
                <w:u w:val="none" w:color="auto"/>
                <w:lang w:val="en-US" w:eastAsia="zh-CN"/>
              </w:rPr>
              <w:t>废水污染物</w:t>
            </w:r>
            <w:r>
              <w:rPr>
                <w:rFonts w:hint="default" w:ascii="Times New Roman" w:hAnsi="Times New Roman" w:cs="Times New Roman"/>
                <w:color w:val="auto"/>
                <w:sz w:val="24"/>
                <w:szCs w:val="24"/>
                <w:highlight w:val="none"/>
                <w:u w:val="none" w:color="auto"/>
                <w:lang w:val="en-US" w:eastAsia="zh-CN"/>
              </w:rPr>
              <w:t>COD、NH</w:t>
            </w:r>
            <w:r>
              <w:rPr>
                <w:rFonts w:hint="default" w:ascii="Times New Roman" w:hAnsi="Times New Roman" w:cs="Times New Roman"/>
                <w:color w:val="auto"/>
                <w:sz w:val="24"/>
                <w:szCs w:val="24"/>
                <w:highlight w:val="none"/>
                <w:u w:val="none" w:color="auto"/>
                <w:vertAlign w:val="subscript"/>
                <w:lang w:val="en-US" w:eastAsia="zh-CN"/>
              </w:rPr>
              <w:t>3</w:t>
            </w:r>
            <w:r>
              <w:rPr>
                <w:rFonts w:hint="default" w:ascii="Times New Roman" w:hAnsi="Times New Roman" w:cs="Times New Roman"/>
                <w:color w:val="auto"/>
                <w:sz w:val="24"/>
                <w:szCs w:val="24"/>
                <w:highlight w:val="none"/>
                <w:u w:val="none" w:color="auto"/>
                <w:lang w:val="en-US" w:eastAsia="zh-CN"/>
              </w:rPr>
              <w:t>-N</w:t>
            </w:r>
            <w:r>
              <w:rPr>
                <w:rFonts w:hint="default" w:ascii="Times New Roman" w:hAnsi="Times New Roman" w:cs="Times New Roman"/>
                <w:color w:val="auto"/>
                <w:sz w:val="24"/>
                <w:szCs w:val="24"/>
                <w:u w:val="none" w:color="auto"/>
              </w:rPr>
              <w:t>总量纳入</w:t>
            </w:r>
            <w:r>
              <w:rPr>
                <w:rFonts w:hint="eastAsia"/>
                <w:color w:val="auto"/>
                <w:kern w:val="0"/>
                <w:sz w:val="24"/>
                <w:u w:val="none" w:color="auto"/>
                <w:lang w:val="en-US" w:eastAsia="zh-CN"/>
              </w:rPr>
              <w:t>新田县污水处理厂</w:t>
            </w:r>
            <w:r>
              <w:rPr>
                <w:rFonts w:hint="default" w:ascii="Times New Roman" w:hAnsi="Times New Roman" w:cs="Times New Roman"/>
                <w:color w:val="auto"/>
                <w:sz w:val="24"/>
                <w:szCs w:val="24"/>
                <w:u w:val="none" w:color="auto"/>
              </w:rPr>
              <w:t>，不再单独购买总量。</w:t>
            </w:r>
          </w:p>
          <w:p w14:paraId="671A0FAA">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sz w:val="24"/>
                <w:szCs w:val="24"/>
                <w:u w:val="none" w:color="auto"/>
              </w:rPr>
            </w:pPr>
          </w:p>
          <w:p w14:paraId="75A85B80">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sz w:val="24"/>
                <w:szCs w:val="24"/>
                <w:u w:val="none" w:color="auto"/>
              </w:rPr>
            </w:pPr>
          </w:p>
          <w:p w14:paraId="65DF59C1">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sz w:val="24"/>
                <w:szCs w:val="24"/>
                <w:u w:val="none" w:color="auto"/>
              </w:rPr>
            </w:pPr>
          </w:p>
          <w:p w14:paraId="5565E6DE">
            <w:pPr>
              <w:pStyle w:val="14"/>
              <w:keepNext w:val="0"/>
              <w:keepLines w:val="0"/>
              <w:pageBreakBefore w:val="0"/>
              <w:widowControl w:val="0"/>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auto"/>
                <w:sz w:val="24"/>
                <w:szCs w:val="24"/>
                <w:u w:val="none" w:color="auto"/>
                <w:lang w:eastAsia="zh-CN"/>
              </w:rPr>
            </w:pPr>
          </w:p>
        </w:tc>
      </w:tr>
    </w:tbl>
    <w:p w14:paraId="5A6BDBC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snapToGrid w:val="0"/>
          <w:color w:val="00000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A9113F0">
      <w:pPr>
        <w:pStyle w:val="2"/>
        <w:keepNext/>
        <w:keepLines w:val="0"/>
        <w:pageBreakBefore w:val="0"/>
        <w:widowControl w:val="0"/>
        <w:numPr>
          <w:ilvl w:val="0"/>
          <w:numId w:val="0"/>
        </w:numPr>
        <w:kinsoku/>
        <w:wordWrap/>
        <w:overflowPunct w:val="0"/>
        <w:topLinePunct w:val="0"/>
        <w:autoSpaceDE/>
        <w:autoSpaceDN/>
        <w:bidi w:val="0"/>
        <w:adjustRightInd/>
        <w:snapToGrid w:val="0"/>
        <w:spacing w:before="0" w:after="0" w:line="360" w:lineRule="auto"/>
        <w:ind w:left="0" w:leftChars="0" w:firstLine="0" w:firstLineChars="0"/>
        <w:jc w:val="center"/>
        <w:textAlignment w:val="auto"/>
        <w:outlineLvl w:val="0"/>
        <w:rPr>
          <w:rFonts w:hint="eastAsia" w:ascii="黑体" w:hAnsi="黑体" w:eastAsia="黑体"/>
          <w:b w:val="0"/>
          <w:bCs w:val="0"/>
          <w:snapToGrid w:val="0"/>
          <w:color w:val="000000"/>
          <w:sz w:val="30"/>
          <w:szCs w:val="30"/>
        </w:rPr>
      </w:pPr>
      <w:bookmarkStart w:id="131" w:name="_Toc5968"/>
      <w:bookmarkStart w:id="132" w:name="_Toc11442"/>
      <w:bookmarkStart w:id="133" w:name="_Toc14974"/>
      <w:bookmarkStart w:id="134" w:name="_Toc25966"/>
      <w:bookmarkStart w:id="135" w:name="_Toc21672"/>
      <w:bookmarkStart w:id="136" w:name="_Toc3735"/>
      <w:bookmarkStart w:id="137" w:name="_Toc16754"/>
      <w:bookmarkStart w:id="138" w:name="_Toc27295"/>
      <w:bookmarkStart w:id="139" w:name="_Toc8793"/>
      <w:bookmarkStart w:id="140" w:name="_Toc31406"/>
      <w:bookmarkStart w:id="141" w:name="_Toc20535"/>
      <w:bookmarkStart w:id="142" w:name="_Toc557"/>
      <w:bookmarkStart w:id="143" w:name="_Toc4296"/>
      <w:r>
        <w:rPr>
          <w:rFonts w:hint="eastAsia" w:ascii="黑体" w:hAnsi="黑体" w:eastAsia="黑体" w:cs="Times New Roman"/>
          <w:b w:val="0"/>
          <w:bCs w:val="0"/>
          <w:snapToGrid w:val="0"/>
          <w:color w:val="000000"/>
          <w:kern w:val="44"/>
          <w:sz w:val="30"/>
          <w:szCs w:val="30"/>
          <w:lang w:val="en-US" w:eastAsia="zh-CN" w:bidi="ar-SA"/>
        </w:rPr>
        <w:t>四、</w:t>
      </w:r>
      <w:r>
        <w:rPr>
          <w:rFonts w:hint="eastAsia" w:ascii="黑体" w:hAnsi="黑体" w:eastAsia="黑体"/>
          <w:b w:val="0"/>
          <w:bCs w:val="0"/>
          <w:snapToGrid w:val="0"/>
          <w:color w:val="000000"/>
          <w:sz w:val="30"/>
          <w:szCs w:val="30"/>
        </w:rPr>
        <w:t>主要环境影响和保护措施</w:t>
      </w:r>
      <w:bookmarkEnd w:id="131"/>
      <w:bookmarkEnd w:id="132"/>
      <w:bookmarkEnd w:id="133"/>
      <w:bookmarkEnd w:id="134"/>
      <w:bookmarkEnd w:id="135"/>
      <w:bookmarkEnd w:id="136"/>
      <w:bookmarkEnd w:id="137"/>
      <w:bookmarkEnd w:id="138"/>
      <w:bookmarkEnd w:id="139"/>
      <w:bookmarkEnd w:id="140"/>
      <w:bookmarkEnd w:id="141"/>
      <w:bookmarkEnd w:id="142"/>
      <w:bookmarkEnd w:id="143"/>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771"/>
      </w:tblGrid>
      <w:tr w14:paraId="4A47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1FE03845">
            <w:pPr>
              <w:numPr>
                <w:ilvl w:val="0"/>
                <w:numId w:val="0"/>
              </w:numPr>
              <w:spacing w:line="240" w:lineRule="auto"/>
              <w:jc w:val="center"/>
              <w:rPr>
                <w:rFonts w:hint="eastAsia"/>
                <w:vertAlign w:val="baseline"/>
                <w:lang w:val="en-US" w:eastAsia="zh-CN"/>
              </w:rPr>
            </w:pPr>
            <w:r>
              <w:rPr>
                <w:rFonts w:hint="eastAsia" w:cs="宋体"/>
                <w:color w:val="000000"/>
                <w:kern w:val="2"/>
                <w:sz w:val="24"/>
                <w:szCs w:val="24"/>
              </w:rPr>
              <w:t>施工期环境保护措施</w:t>
            </w:r>
          </w:p>
        </w:tc>
        <w:tc>
          <w:tcPr>
            <w:tcW w:w="7771" w:type="dxa"/>
          </w:tcPr>
          <w:p w14:paraId="72CA51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vertAlign w:val="baseline"/>
                <w:lang w:val="en-US" w:eastAsia="zh-CN"/>
              </w:rPr>
            </w:pPr>
            <w:r>
              <w:rPr>
                <w:rFonts w:hint="default" w:ascii="Times New Roman" w:hAnsi="Times New Roman" w:eastAsia="宋体" w:cs="Times New Roman"/>
                <w:color w:val="auto"/>
                <w:sz w:val="24"/>
                <w:szCs w:val="24"/>
                <w:highlight w:val="none"/>
                <w:u w:val="none" w:color="auto"/>
                <w:lang w:val="en-US" w:eastAsia="zh-CN"/>
              </w:rPr>
              <w:t>本项目</w:t>
            </w:r>
            <w:r>
              <w:rPr>
                <w:rFonts w:hint="default" w:ascii="Times New Roman" w:hAnsi="Times New Roman" w:cs="Times New Roman"/>
                <w:color w:val="auto"/>
                <w:sz w:val="24"/>
                <w:szCs w:val="24"/>
              </w:rPr>
              <w:t>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color w:val="auto"/>
                <w:sz w:val="24"/>
                <w:szCs w:val="24"/>
              </w:rPr>
              <w:t>位于</w:t>
            </w:r>
            <w:r>
              <w:rPr>
                <w:rFonts w:hint="default" w:ascii="Times New Roman" w:hAnsi="Times New Roman" w:eastAsia="宋体" w:cs="Times New Roman"/>
                <w:color w:val="000000"/>
                <w:sz w:val="24"/>
                <w:szCs w:val="24"/>
                <w:highlight w:val="none"/>
                <w:lang w:eastAsia="zh-CN"/>
              </w:rPr>
              <w:t>永州市新田县龙泉街道工业南园支一路与支三路交叉口西南角</w:t>
            </w:r>
            <w:r>
              <w:rPr>
                <w:rFonts w:hint="default" w:ascii="Times New Roman" w:hAnsi="Times New Roman" w:cs="Times New Roman"/>
                <w:color w:val="auto"/>
                <w:sz w:val="24"/>
                <w:szCs w:val="24"/>
              </w:rPr>
              <w:t>的现有厂房</w:t>
            </w:r>
            <w:r>
              <w:rPr>
                <w:rFonts w:hint="eastAsia" w:ascii="Times New Roman" w:hAnsi="Times New Roman" w:eastAsia="宋体" w:cs="Times New Roman"/>
                <w:bCs/>
                <w:color w:val="auto"/>
                <w:sz w:val="24"/>
                <w:lang w:val="en-US" w:eastAsia="zh-CN"/>
              </w:rPr>
              <w:t>进行生产</w:t>
            </w:r>
            <w:r>
              <w:rPr>
                <w:rFonts w:hint="default" w:ascii="Times New Roman" w:hAnsi="Times New Roman" w:eastAsia="宋体" w:cs="Times New Roman"/>
                <w:bCs w:val="0"/>
                <w:color w:val="auto"/>
                <w:spacing w:val="0"/>
                <w:sz w:val="24"/>
                <w:szCs w:val="24"/>
                <w:highlight w:val="none"/>
                <w:u w:val="none" w:color="auto"/>
                <w:lang w:val="en-US" w:eastAsia="zh-CN"/>
              </w:rPr>
              <w:t>，不涉及建（构）筑改造或新建</w:t>
            </w:r>
            <w:r>
              <w:rPr>
                <w:rFonts w:hint="eastAsia" w:ascii="Times New Roman" w:hAnsi="Times New Roman" w:eastAsia="宋体" w:cs="Times New Roman"/>
                <w:bCs w:val="0"/>
                <w:color w:val="auto"/>
                <w:spacing w:val="0"/>
                <w:sz w:val="24"/>
                <w:szCs w:val="24"/>
                <w:highlight w:val="none"/>
                <w:u w:val="none" w:color="auto"/>
                <w:lang w:val="en-US" w:eastAsia="zh-CN"/>
              </w:rPr>
              <w:t>，</w:t>
            </w:r>
            <w:r>
              <w:rPr>
                <w:rFonts w:hint="default" w:ascii="Times New Roman" w:hAnsi="Times New Roman" w:cs="Times New Roman"/>
                <w:color w:val="auto"/>
                <w:sz w:val="24"/>
                <w:szCs w:val="24"/>
                <w:u w:val="none" w:color="auto"/>
              </w:rPr>
              <w:t>利用现有建构筑物和相关公用工程</w:t>
            </w:r>
            <w:r>
              <w:rPr>
                <w:rFonts w:hint="default" w:ascii="Times New Roman" w:hAnsi="Times New Roman" w:eastAsia="宋体" w:cs="Times New Roman"/>
                <w:bCs w:val="0"/>
                <w:color w:val="auto"/>
                <w:spacing w:val="0"/>
                <w:sz w:val="24"/>
                <w:szCs w:val="24"/>
                <w:highlight w:val="none"/>
                <w:u w:val="none" w:color="auto"/>
                <w:lang w:val="en-US" w:eastAsia="zh-CN"/>
              </w:rPr>
              <w:t>。因此，本项目施工期主要为各设备的安装工程，即设备安装过程中会产生施工噪声。这些施工活动均在厂房内进行、施工期短，对环境影响较小，且设备安装噪声将随工程施工的结束而消失，本环评不对施工期环境影响做详细分析。</w:t>
            </w:r>
          </w:p>
        </w:tc>
      </w:tr>
      <w:tr w14:paraId="6033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Align w:val="center"/>
          </w:tcPr>
          <w:p w14:paraId="40C57F6F">
            <w:pPr>
              <w:numPr>
                <w:ilvl w:val="0"/>
                <w:numId w:val="0"/>
              </w:numPr>
              <w:spacing w:line="240" w:lineRule="auto"/>
              <w:jc w:val="center"/>
              <w:rPr>
                <w:rFonts w:hint="eastAsia" w:cs="宋体"/>
                <w:color w:val="000000"/>
                <w:kern w:val="2"/>
                <w:sz w:val="24"/>
                <w:szCs w:val="24"/>
              </w:rPr>
            </w:pPr>
            <w:r>
              <w:rPr>
                <w:rFonts w:hint="eastAsia" w:ascii="宋体" w:hAnsi="宋体" w:cs="宋体"/>
                <w:bCs/>
                <w:color w:val="000000"/>
                <w:sz w:val="24"/>
                <w:szCs w:val="24"/>
              </w:rPr>
              <w:t>运营期环境影响和保护措施</w:t>
            </w:r>
          </w:p>
        </w:tc>
        <w:tc>
          <w:tcPr>
            <w:tcW w:w="7771" w:type="dxa"/>
          </w:tcPr>
          <w:p w14:paraId="0A8810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0" w:firstLineChars="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kern w:val="2"/>
                <w:sz w:val="24"/>
                <w:szCs w:val="24"/>
                <w:u w:val="none" w:color="auto"/>
                <w:lang w:val="en-US" w:eastAsia="zh-CN" w:bidi="ar-SA"/>
              </w:rPr>
              <w:t>一、</w:t>
            </w:r>
            <w:r>
              <w:rPr>
                <w:rFonts w:hint="default" w:ascii="Times New Roman" w:hAnsi="Times New Roman" w:eastAsia="宋体" w:cs="Times New Roman"/>
                <w:b/>
                <w:bCs/>
                <w:color w:val="auto"/>
                <w:sz w:val="24"/>
                <w:szCs w:val="24"/>
                <w:u w:val="none" w:color="auto"/>
                <w:lang w:val="en-US" w:eastAsia="zh-CN"/>
              </w:rPr>
              <w:t>运营期大气环境影响和保护措施</w:t>
            </w:r>
          </w:p>
          <w:p w14:paraId="0ADF0508">
            <w:pPr>
              <w:pStyle w:val="14"/>
              <w:bidi w:val="0"/>
              <w:rPr>
                <w:rFonts w:hint="eastAsia" w:ascii="Times New Roman" w:hAnsi="Times New Roman" w:eastAsia="宋体" w:cs="Times New Roman"/>
                <w:b/>
                <w:bCs/>
                <w:color w:val="auto"/>
                <w:sz w:val="24"/>
                <w:szCs w:val="24"/>
                <w:u w:val="single" w:color="auto"/>
                <w:lang w:val="en-US" w:eastAsia="zh-CN"/>
              </w:rPr>
            </w:pPr>
            <w:r>
              <w:rPr>
                <w:rFonts w:hint="eastAsia" w:cs="Times New Roman"/>
                <w:b/>
                <w:bCs/>
                <w:color w:val="auto"/>
                <w:sz w:val="24"/>
                <w:szCs w:val="24"/>
                <w:u w:val="single" w:color="auto"/>
                <w:lang w:val="en-US" w:eastAsia="zh-CN"/>
              </w:rPr>
              <w:t>1、</w:t>
            </w:r>
            <w:r>
              <w:rPr>
                <w:rFonts w:hint="eastAsia" w:ascii="Times New Roman" w:hAnsi="Times New Roman" w:eastAsia="宋体" w:cs="Times New Roman"/>
                <w:b/>
                <w:bCs/>
                <w:color w:val="auto"/>
                <w:sz w:val="24"/>
                <w:szCs w:val="24"/>
                <w:u w:val="single" w:color="auto"/>
                <w:lang w:val="en-US" w:eastAsia="zh-CN"/>
              </w:rPr>
              <w:t>废气</w:t>
            </w:r>
            <w:r>
              <w:rPr>
                <w:rFonts w:hint="default" w:ascii="Times New Roman" w:hAnsi="Times New Roman" w:eastAsia="宋体" w:cs="Times New Roman"/>
                <w:b/>
                <w:bCs/>
                <w:color w:val="auto"/>
                <w:sz w:val="24"/>
                <w:szCs w:val="24"/>
                <w:u w:val="single" w:color="auto"/>
              </w:rPr>
              <w:t>产生</w:t>
            </w:r>
            <w:r>
              <w:rPr>
                <w:rFonts w:hint="eastAsia" w:ascii="Times New Roman" w:hAnsi="Times New Roman" w:eastAsia="宋体" w:cs="Times New Roman"/>
                <w:b/>
                <w:bCs/>
                <w:color w:val="auto"/>
                <w:sz w:val="24"/>
                <w:szCs w:val="24"/>
                <w:u w:val="single" w:color="auto"/>
                <w:lang w:val="en-US" w:eastAsia="zh-CN"/>
              </w:rPr>
              <w:t>及排放情况</w:t>
            </w:r>
          </w:p>
          <w:p w14:paraId="2F4BD665">
            <w:pPr>
              <w:pStyle w:val="14"/>
              <w:bidi w:val="0"/>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Cs/>
                <w:color w:val="auto"/>
                <w:sz w:val="24"/>
                <w:u w:val="single" w:color="auto"/>
                <w:lang w:val="en-US" w:eastAsia="zh-CN"/>
              </w:rPr>
              <w:t>本项目运营期产生的废气主要为</w:t>
            </w:r>
            <w:r>
              <w:rPr>
                <w:rFonts w:hint="eastAsia"/>
                <w:color w:val="000000"/>
                <w:kern w:val="0"/>
                <w:sz w:val="24"/>
                <w:u w:val="single" w:color="auto"/>
                <w:lang w:val="en-US" w:eastAsia="zh-CN"/>
              </w:rPr>
              <w:t>卸货堆存废气</w:t>
            </w:r>
            <w:r>
              <w:rPr>
                <w:rFonts w:hint="eastAsia" w:ascii="Times New Roman" w:hAnsi="Times New Roman" w:eastAsia="宋体" w:cs="Times New Roman"/>
                <w:bCs/>
                <w:color w:val="auto"/>
                <w:sz w:val="24"/>
                <w:u w:val="single" w:color="auto"/>
                <w:lang w:val="en-US" w:eastAsia="zh-CN"/>
              </w:rPr>
              <w:t>、破碎废气</w:t>
            </w:r>
            <w:r>
              <w:rPr>
                <w:rFonts w:hint="eastAsia" w:eastAsia="宋体" w:cs="Times New Roman"/>
                <w:bCs/>
                <w:color w:val="auto"/>
                <w:sz w:val="24"/>
                <w:u w:val="single" w:color="auto"/>
                <w:lang w:val="en-US" w:eastAsia="zh-CN"/>
              </w:rPr>
              <w:t>、</w:t>
            </w:r>
            <w:r>
              <w:rPr>
                <w:rFonts w:hint="eastAsia" w:ascii="Times New Roman" w:hAnsi="Times New Roman" w:eastAsia="宋体" w:cs="Times New Roman"/>
                <w:bCs/>
                <w:color w:val="auto"/>
                <w:sz w:val="24"/>
                <w:u w:val="single" w:color="auto"/>
                <w:lang w:val="en-US" w:eastAsia="zh-CN"/>
              </w:rPr>
              <w:t>筛分废气和卸货</w:t>
            </w:r>
            <w:r>
              <w:rPr>
                <w:rFonts w:hint="eastAsia" w:ascii="Times New Roman" w:hAnsi="Times New Roman" w:eastAsia="宋体" w:cs="Times New Roman"/>
                <w:color w:val="000000"/>
                <w:kern w:val="0"/>
                <w:szCs w:val="21"/>
                <w:u w:val="single" w:color="auto"/>
                <w:lang w:val="en-US" w:eastAsia="zh-CN" w:bidi="ar"/>
              </w:rPr>
              <w:t>堆放产生的异味</w:t>
            </w:r>
            <w:r>
              <w:rPr>
                <w:rFonts w:hint="eastAsia" w:ascii="Times New Roman" w:hAnsi="Times New Roman" w:eastAsia="宋体" w:cs="Times New Roman"/>
                <w:bCs/>
                <w:color w:val="auto"/>
                <w:sz w:val="24"/>
                <w:u w:val="single" w:color="auto"/>
                <w:lang w:val="en-US" w:eastAsia="zh-CN"/>
              </w:rPr>
              <w:t>。</w:t>
            </w:r>
          </w:p>
          <w:p w14:paraId="3E60EF00">
            <w:pPr>
              <w:pStyle w:val="14"/>
              <w:numPr>
                <w:ilvl w:val="0"/>
                <w:numId w:val="0"/>
              </w:numPr>
              <w:bidi w:val="0"/>
              <w:ind w:firstLine="480" w:firstLineChars="200"/>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Cs/>
                <w:color w:val="auto"/>
                <w:kern w:val="0"/>
                <w:sz w:val="24"/>
                <w:szCs w:val="20"/>
                <w:u w:val="single" w:color="auto"/>
                <w:lang w:val="en-US" w:eastAsia="zh-CN" w:bidi="ar-SA"/>
              </w:rPr>
              <w:t>（1）</w:t>
            </w:r>
            <w:r>
              <w:rPr>
                <w:rFonts w:hint="eastAsia"/>
                <w:color w:val="000000"/>
                <w:kern w:val="0"/>
                <w:sz w:val="24"/>
                <w:u w:val="single" w:color="auto"/>
                <w:lang w:val="en-US" w:eastAsia="zh-CN"/>
              </w:rPr>
              <w:t>卸货堆存废气</w:t>
            </w:r>
          </w:p>
          <w:p w14:paraId="70F24C0F">
            <w:pPr>
              <w:pStyle w:val="14"/>
              <w:numPr>
                <w:ilvl w:val="0"/>
                <w:numId w:val="0"/>
              </w:numPr>
              <w:bidi w:val="0"/>
              <w:ind w:firstLine="480" w:firstLineChars="200"/>
              <w:rPr>
                <w:rFonts w:hint="default" w:ascii="Times New Roman" w:hAnsi="Times New Roman" w:eastAsia="宋体" w:cs="Times New Roman"/>
                <w:bCs/>
                <w:color w:val="auto"/>
                <w:sz w:val="24"/>
                <w:u w:val="single" w:color="auto"/>
                <w:lang w:val="en-US" w:eastAsia="zh-CN"/>
              </w:rPr>
            </w:pPr>
            <w:r>
              <w:rPr>
                <w:rFonts w:hint="default" w:ascii="Times New Roman" w:hAnsi="Times New Roman" w:eastAsia="宋体" w:cs="Times New Roman"/>
                <w:bCs/>
                <w:color w:val="auto"/>
                <w:sz w:val="24"/>
                <w:u w:val="single" w:color="auto"/>
                <w:lang w:val="en-US" w:eastAsia="zh-CN"/>
              </w:rPr>
              <w:t>项目原料均在原料</w:t>
            </w:r>
            <w:r>
              <w:rPr>
                <w:rFonts w:hint="eastAsia" w:cs="Times New Roman"/>
                <w:bCs/>
                <w:color w:val="auto"/>
                <w:sz w:val="24"/>
                <w:u w:val="single" w:color="auto"/>
                <w:lang w:val="en-US" w:eastAsia="zh-CN"/>
              </w:rPr>
              <w:t>储存区</w:t>
            </w:r>
            <w:r>
              <w:rPr>
                <w:rFonts w:hint="default" w:ascii="Times New Roman" w:hAnsi="Times New Roman" w:eastAsia="宋体" w:cs="Times New Roman"/>
                <w:bCs/>
                <w:color w:val="auto"/>
                <w:sz w:val="24"/>
                <w:u w:val="single" w:color="auto"/>
                <w:lang w:val="en-US" w:eastAsia="zh-CN"/>
              </w:rPr>
              <w:t>分区堆放，主要为废纺织布料、废鞋材料、废箱包材料、废塑胶、废塑料、废纸/纸箱、废旧整衣服等一般工业固废，</w:t>
            </w:r>
            <w:r>
              <w:rPr>
                <w:rFonts w:hint="eastAsia" w:cs="Times New Roman"/>
                <w:bCs/>
                <w:color w:val="auto"/>
                <w:sz w:val="24"/>
                <w:u w:val="single" w:color="auto"/>
                <w:lang w:val="en-US" w:eastAsia="zh-CN"/>
              </w:rPr>
              <w:t>无粉状原料</w:t>
            </w:r>
            <w:r>
              <w:rPr>
                <w:rFonts w:hint="default" w:ascii="Times New Roman" w:hAnsi="Times New Roman" w:eastAsia="宋体" w:cs="Times New Roman"/>
                <w:bCs/>
                <w:color w:val="auto"/>
                <w:sz w:val="24"/>
                <w:u w:val="single" w:color="auto"/>
                <w:lang w:val="en-US" w:eastAsia="zh-CN"/>
              </w:rPr>
              <w:t>，</w:t>
            </w:r>
            <w:r>
              <w:rPr>
                <w:rFonts w:hint="eastAsia" w:cs="Times New Roman"/>
                <w:bCs/>
                <w:color w:val="auto"/>
                <w:sz w:val="24"/>
                <w:u w:val="single" w:color="auto"/>
                <w:lang w:val="en-US" w:eastAsia="zh-CN"/>
              </w:rPr>
              <w:t>原料在</w:t>
            </w:r>
            <w:r>
              <w:rPr>
                <w:rFonts w:hint="default" w:ascii="Times New Roman" w:hAnsi="Times New Roman" w:eastAsia="宋体" w:cs="Times New Roman"/>
                <w:bCs/>
                <w:color w:val="auto"/>
                <w:sz w:val="24"/>
                <w:u w:val="single" w:color="auto"/>
                <w:lang w:val="en-US" w:eastAsia="zh-CN"/>
              </w:rPr>
              <w:t>堆场暂存及装卸时产生粉尘，主要为表面浮灰掉落等引起。根据建设单位</w:t>
            </w:r>
            <w:r>
              <w:rPr>
                <w:rFonts w:hint="eastAsia" w:cs="Times New Roman"/>
                <w:bCs/>
                <w:color w:val="auto"/>
                <w:sz w:val="24"/>
                <w:u w:val="single" w:color="auto"/>
                <w:lang w:val="en-US" w:eastAsia="zh-CN"/>
              </w:rPr>
              <w:t>提供的资料</w:t>
            </w:r>
            <w:r>
              <w:rPr>
                <w:rFonts w:hint="default" w:ascii="Times New Roman" w:hAnsi="Times New Roman" w:eastAsia="宋体" w:cs="Times New Roman"/>
                <w:bCs/>
                <w:color w:val="auto"/>
                <w:sz w:val="24"/>
                <w:u w:val="single" w:color="auto"/>
                <w:lang w:val="en-US" w:eastAsia="zh-CN"/>
              </w:rPr>
              <w:t>，堆场暂存及装卸时产生粉尘预计产生系数为原料用量的十万分之一，项目原料</w:t>
            </w:r>
            <w:r>
              <w:rPr>
                <w:rFonts w:hint="eastAsia" w:cs="Times New Roman"/>
                <w:bCs/>
                <w:color w:val="auto"/>
                <w:sz w:val="24"/>
                <w:u w:val="single" w:color="auto"/>
                <w:lang w:val="en-US" w:eastAsia="zh-CN"/>
              </w:rPr>
              <w:t>用量</w:t>
            </w:r>
            <w:r>
              <w:rPr>
                <w:rFonts w:hint="default" w:ascii="Times New Roman" w:hAnsi="Times New Roman" w:eastAsia="宋体" w:cs="Times New Roman"/>
                <w:bCs/>
                <w:color w:val="auto"/>
                <w:sz w:val="24"/>
                <w:u w:val="single" w:color="auto"/>
                <w:lang w:val="en-US" w:eastAsia="zh-CN"/>
              </w:rPr>
              <w:t>合计</w:t>
            </w:r>
            <w:r>
              <w:rPr>
                <w:rFonts w:hint="eastAsia" w:cs="Times New Roman"/>
                <w:bCs/>
                <w:color w:val="auto"/>
                <w:sz w:val="24"/>
                <w:u w:val="single" w:color="auto"/>
                <w:lang w:val="en-US" w:eastAsia="zh-CN"/>
              </w:rPr>
              <w:t>为80000t/</w:t>
            </w:r>
            <w:r>
              <w:rPr>
                <w:rFonts w:hint="default" w:ascii="Times New Roman" w:hAnsi="Times New Roman" w:eastAsia="宋体" w:cs="Times New Roman"/>
                <w:bCs/>
                <w:color w:val="auto"/>
                <w:sz w:val="24"/>
                <w:u w:val="single" w:color="auto"/>
                <w:lang w:val="en-US" w:eastAsia="zh-CN"/>
              </w:rPr>
              <w:t>a，</w:t>
            </w:r>
            <w:r>
              <w:rPr>
                <w:rFonts w:hint="eastAsia" w:cs="Times New Roman"/>
                <w:bCs/>
                <w:color w:val="auto"/>
                <w:sz w:val="24"/>
                <w:u w:val="single" w:color="auto"/>
                <w:lang w:val="en-US" w:eastAsia="zh-CN"/>
              </w:rPr>
              <w:t>则</w:t>
            </w:r>
            <w:r>
              <w:rPr>
                <w:rFonts w:hint="eastAsia" w:ascii="Times New Roman" w:hAnsi="Times New Roman" w:eastAsia="宋体" w:cs="Times New Roman"/>
                <w:color w:val="auto"/>
                <w:sz w:val="24"/>
                <w:szCs w:val="24"/>
                <w:u w:val="single" w:color="auto"/>
                <w:lang w:val="en-US" w:eastAsia="zh-CN"/>
              </w:rPr>
              <w:t>颗粒物的产生量为</w:t>
            </w:r>
            <w:r>
              <w:rPr>
                <w:rFonts w:hint="default" w:ascii="Times New Roman" w:hAnsi="Times New Roman" w:eastAsia="宋体" w:cs="Times New Roman"/>
                <w:bCs/>
                <w:color w:val="auto"/>
                <w:sz w:val="24"/>
                <w:u w:val="single" w:color="auto"/>
                <w:lang w:val="en-US" w:eastAsia="zh-CN"/>
              </w:rPr>
              <w:t>0.</w:t>
            </w:r>
            <w:r>
              <w:rPr>
                <w:rFonts w:hint="eastAsia" w:cs="Times New Roman"/>
                <w:bCs/>
                <w:color w:val="auto"/>
                <w:sz w:val="24"/>
                <w:u w:val="single" w:color="auto"/>
                <w:lang w:val="en-US" w:eastAsia="zh-CN"/>
              </w:rPr>
              <w:t>8</w:t>
            </w:r>
            <w:r>
              <w:rPr>
                <w:rFonts w:hint="default" w:ascii="Times New Roman" w:hAnsi="Times New Roman" w:eastAsia="宋体" w:cs="Times New Roman"/>
                <w:bCs/>
                <w:color w:val="auto"/>
                <w:sz w:val="24"/>
                <w:u w:val="single" w:color="auto"/>
                <w:lang w:val="en-US" w:eastAsia="zh-CN"/>
              </w:rPr>
              <w:t>t</w:t>
            </w:r>
            <w:r>
              <w:rPr>
                <w:rFonts w:hint="eastAsia" w:cs="Times New Roman"/>
                <w:bCs/>
                <w:color w:val="auto"/>
                <w:sz w:val="24"/>
                <w:u w:val="single" w:color="auto"/>
                <w:lang w:val="en-US" w:eastAsia="zh-CN"/>
              </w:rPr>
              <w:t>/</w:t>
            </w:r>
            <w:r>
              <w:rPr>
                <w:rFonts w:hint="default" w:ascii="Times New Roman" w:hAnsi="Times New Roman" w:eastAsia="宋体" w:cs="Times New Roman"/>
                <w:bCs/>
                <w:color w:val="auto"/>
                <w:sz w:val="24"/>
                <w:u w:val="single" w:color="auto"/>
                <w:lang w:val="en-US" w:eastAsia="zh-CN"/>
              </w:rPr>
              <w:t>a</w:t>
            </w:r>
            <w:r>
              <w:rPr>
                <w:rFonts w:hint="eastAsia" w:cs="Times New Roman"/>
                <w:bCs/>
                <w:color w:val="auto"/>
                <w:sz w:val="24"/>
                <w:u w:val="single" w:color="auto"/>
                <w:lang w:val="en-US" w:eastAsia="zh-CN"/>
              </w:rPr>
              <w:t>（0.167</w:t>
            </w:r>
            <w:r>
              <w:rPr>
                <w:rFonts w:hint="eastAsia" w:ascii="Times New Roman" w:hAnsi="Times New Roman" w:eastAsia="宋体" w:cs="Times New Roman"/>
                <w:color w:val="auto"/>
                <w:sz w:val="24"/>
                <w:szCs w:val="24"/>
                <w:u w:val="single" w:color="auto"/>
                <w:lang w:val="en-US" w:eastAsia="zh-CN"/>
              </w:rPr>
              <w:t>kg/h</w:t>
            </w:r>
            <w:r>
              <w:rPr>
                <w:rFonts w:hint="eastAsia" w:cs="Times New Roman"/>
                <w:bCs/>
                <w:color w:val="auto"/>
                <w:sz w:val="24"/>
                <w:u w:val="single" w:color="auto"/>
                <w:lang w:val="en-US" w:eastAsia="zh-CN"/>
              </w:rPr>
              <w:t>）</w:t>
            </w:r>
            <w:r>
              <w:rPr>
                <w:rFonts w:hint="default" w:ascii="Times New Roman" w:hAnsi="Times New Roman" w:eastAsia="宋体" w:cs="Times New Roman"/>
                <w:bCs/>
                <w:color w:val="auto"/>
                <w:sz w:val="24"/>
                <w:u w:val="single" w:color="auto"/>
                <w:lang w:val="en-US" w:eastAsia="zh-CN"/>
              </w:rPr>
              <w:t>。</w:t>
            </w:r>
          </w:p>
          <w:p w14:paraId="1AFC3070">
            <w:pPr>
              <w:pStyle w:val="14"/>
              <w:numPr>
                <w:ilvl w:val="0"/>
                <w:numId w:val="0"/>
              </w:numPr>
              <w:bidi w:val="0"/>
              <w:ind w:firstLine="480" w:firstLineChars="200"/>
              <w:rPr>
                <w:rFonts w:hint="default" w:ascii="Times New Roman" w:hAnsi="Times New Roman" w:eastAsia="宋体" w:cs="Times New Roman"/>
                <w:bCs/>
                <w:color w:val="auto"/>
                <w:sz w:val="24"/>
                <w:u w:val="single" w:color="auto"/>
                <w:lang w:val="en-US" w:eastAsia="zh-CN"/>
              </w:rPr>
            </w:pPr>
            <w:r>
              <w:rPr>
                <w:rFonts w:hint="eastAsia" w:cs="Times New Roman"/>
                <w:bCs/>
                <w:color w:val="auto"/>
                <w:sz w:val="24"/>
                <w:u w:val="single" w:color="auto"/>
                <w:lang w:val="en-US" w:eastAsia="zh-CN"/>
              </w:rPr>
              <w:t>本项目拟在卸货处设置1</w:t>
            </w:r>
            <w:r>
              <w:rPr>
                <w:rFonts w:hint="eastAsia" w:cs="Times New Roman"/>
                <w:color w:val="000000"/>
                <w:kern w:val="0"/>
                <w:sz w:val="24"/>
                <w:szCs w:val="24"/>
                <w:u w:val="single" w:color="auto"/>
                <w:lang w:val="en-US" w:eastAsia="zh-CN"/>
              </w:rPr>
              <w:t>套</w:t>
            </w:r>
            <w:r>
              <w:rPr>
                <w:rFonts w:hint="default" w:ascii="Times New Roman" w:hAnsi="Times New Roman" w:eastAsia="宋体" w:cs="Times New Roman"/>
                <w:bCs/>
                <w:color w:val="auto"/>
                <w:sz w:val="24"/>
                <w:u w:val="single" w:color="auto"/>
                <w:lang w:val="en-US" w:eastAsia="zh-CN"/>
              </w:rPr>
              <w:t>高压</w:t>
            </w:r>
            <w:r>
              <w:rPr>
                <w:rFonts w:hint="eastAsia" w:cs="Times New Roman"/>
                <w:color w:val="000000"/>
                <w:kern w:val="0"/>
                <w:sz w:val="24"/>
                <w:szCs w:val="24"/>
                <w:u w:val="single" w:color="auto"/>
                <w:lang w:val="en-US" w:eastAsia="zh-CN"/>
              </w:rPr>
              <w:t>喷淋装置、</w:t>
            </w:r>
            <w:r>
              <w:rPr>
                <w:rFonts w:hint="default" w:eastAsia="宋体" w:cs="Times New Roman"/>
                <w:color w:val="000000"/>
                <w:kern w:val="0"/>
                <w:sz w:val="24"/>
                <w:szCs w:val="24"/>
                <w:u w:val="single" w:color="auto"/>
                <w:lang w:val="en-US" w:eastAsia="zh-CN"/>
              </w:rPr>
              <w:t>原料</w:t>
            </w:r>
            <w:r>
              <w:rPr>
                <w:rFonts w:hint="eastAsia" w:eastAsia="宋体" w:cs="Times New Roman"/>
                <w:color w:val="000000"/>
                <w:kern w:val="0"/>
                <w:sz w:val="24"/>
                <w:szCs w:val="24"/>
                <w:u w:val="single" w:color="auto"/>
                <w:lang w:val="en-US" w:eastAsia="zh-CN"/>
              </w:rPr>
              <w:t>储存</w:t>
            </w:r>
            <w:r>
              <w:rPr>
                <w:rFonts w:hint="default" w:eastAsia="宋体" w:cs="Times New Roman"/>
                <w:color w:val="000000"/>
                <w:kern w:val="0"/>
                <w:sz w:val="24"/>
                <w:szCs w:val="24"/>
                <w:u w:val="single" w:color="auto"/>
                <w:lang w:val="en-US" w:eastAsia="zh-CN"/>
              </w:rPr>
              <w:t>区</w:t>
            </w:r>
            <w:r>
              <w:rPr>
                <w:rFonts w:hint="eastAsia" w:cs="Times New Roman"/>
                <w:color w:val="000000"/>
                <w:kern w:val="0"/>
                <w:sz w:val="24"/>
                <w:szCs w:val="24"/>
                <w:u w:val="single" w:color="auto"/>
                <w:lang w:val="en-US" w:eastAsia="zh-CN"/>
              </w:rPr>
              <w:t>设置</w:t>
            </w:r>
            <w:r>
              <w:rPr>
                <w:rFonts w:hint="eastAsia" w:cs="Times New Roman"/>
                <w:bCs/>
                <w:color w:val="auto"/>
                <w:sz w:val="24"/>
                <w:u w:val="single" w:color="auto"/>
                <w:lang w:val="en-US" w:eastAsia="zh-CN"/>
              </w:rPr>
              <w:t>1</w:t>
            </w:r>
            <w:r>
              <w:rPr>
                <w:rFonts w:hint="eastAsia" w:cs="Times New Roman"/>
                <w:color w:val="000000"/>
                <w:kern w:val="0"/>
                <w:sz w:val="24"/>
                <w:szCs w:val="24"/>
                <w:u w:val="single" w:color="auto"/>
                <w:lang w:val="en-US" w:eastAsia="zh-CN"/>
              </w:rPr>
              <w:t>套</w:t>
            </w:r>
            <w:r>
              <w:rPr>
                <w:rFonts w:hint="default" w:ascii="Times New Roman" w:hAnsi="Times New Roman" w:eastAsia="宋体" w:cs="Times New Roman"/>
                <w:bCs/>
                <w:color w:val="auto"/>
                <w:sz w:val="24"/>
                <w:u w:val="single" w:color="auto"/>
                <w:lang w:val="en-US" w:eastAsia="zh-CN"/>
              </w:rPr>
              <w:t>高压</w:t>
            </w:r>
            <w:r>
              <w:rPr>
                <w:rFonts w:hint="eastAsia" w:cs="Times New Roman"/>
                <w:color w:val="000000"/>
                <w:kern w:val="0"/>
                <w:sz w:val="24"/>
                <w:szCs w:val="24"/>
                <w:u w:val="single" w:color="auto"/>
                <w:lang w:val="en-US" w:eastAsia="zh-CN"/>
              </w:rPr>
              <w:t>喷淋装置，项目</w:t>
            </w:r>
            <w:r>
              <w:rPr>
                <w:rFonts w:hint="eastAsia"/>
                <w:color w:val="000000"/>
                <w:kern w:val="0"/>
                <w:sz w:val="24"/>
                <w:u w:val="single" w:color="auto"/>
                <w:lang w:val="en-US" w:eastAsia="zh-CN"/>
              </w:rPr>
              <w:t>卸货堆存时产生的颗粒物经高压喷淋装置喷水雾抑尘后，采取无组织排放。</w:t>
            </w:r>
            <w:r>
              <w:rPr>
                <w:rFonts w:hint="default" w:ascii="Times New Roman" w:hAnsi="Times New Roman" w:eastAsia="宋体" w:cs="Times New Roman"/>
                <w:bCs/>
                <w:color w:val="auto"/>
                <w:sz w:val="24"/>
                <w:u w:val="single" w:color="auto"/>
                <w:lang w:val="en-US" w:eastAsia="zh-CN"/>
              </w:rPr>
              <w:t>参考《</w:t>
            </w:r>
            <w:r>
              <w:rPr>
                <w:rFonts w:hint="eastAsia"/>
                <w:color w:val="auto"/>
                <w:sz w:val="24"/>
                <w:szCs w:val="24"/>
                <w:u w:val="single" w:color="auto"/>
                <w:lang w:val="en-US" w:eastAsia="zh-CN"/>
              </w:rPr>
              <w:t>排放源统计调查产排污核算方法和系数手册-固体物料堆存颗粒物产排污核算系数手册</w:t>
            </w:r>
            <w:r>
              <w:rPr>
                <w:rFonts w:hint="eastAsia" w:cs="Times New Roman"/>
                <w:color w:val="auto"/>
                <w:sz w:val="24"/>
                <w:szCs w:val="24"/>
                <w:u w:val="single" w:color="auto"/>
                <w:lang w:val="en-US" w:eastAsia="zh-CN"/>
              </w:rPr>
              <w:t>》</w:t>
            </w:r>
            <w:r>
              <w:rPr>
                <w:rFonts w:hint="default" w:ascii="Times New Roman" w:hAnsi="Times New Roman" w:eastAsia="宋体" w:cs="Times New Roman"/>
                <w:bCs/>
                <w:color w:val="auto"/>
                <w:sz w:val="24"/>
                <w:u w:val="single" w:color="auto"/>
                <w:lang w:val="en-US" w:eastAsia="zh-CN"/>
              </w:rPr>
              <w:t>中酒水粉尘控制控制效率取74%，</w:t>
            </w:r>
            <w:r>
              <w:rPr>
                <w:rFonts w:hint="eastAsia" w:cs="Times New Roman"/>
                <w:bCs/>
                <w:color w:val="auto"/>
                <w:sz w:val="24"/>
                <w:u w:val="single" w:color="auto"/>
                <w:lang w:val="en-US" w:eastAsia="zh-CN"/>
              </w:rPr>
              <w:t>则本项目采取的</w:t>
            </w:r>
            <w:r>
              <w:rPr>
                <w:rFonts w:hint="default" w:ascii="Times New Roman" w:hAnsi="Times New Roman" w:eastAsia="宋体" w:cs="Times New Roman"/>
                <w:bCs/>
                <w:color w:val="auto"/>
                <w:sz w:val="24"/>
                <w:u w:val="single" w:color="auto"/>
                <w:lang w:val="en-US" w:eastAsia="zh-CN"/>
              </w:rPr>
              <w:t>高压</w:t>
            </w:r>
            <w:r>
              <w:rPr>
                <w:rFonts w:hint="eastAsia" w:cs="Times New Roman"/>
                <w:bCs/>
                <w:color w:val="auto"/>
                <w:sz w:val="24"/>
                <w:u w:val="single" w:color="auto"/>
                <w:lang w:val="en-US" w:eastAsia="zh-CN"/>
              </w:rPr>
              <w:t>喷淋</w:t>
            </w:r>
            <w:r>
              <w:rPr>
                <w:rFonts w:hint="default" w:ascii="Times New Roman" w:hAnsi="Times New Roman" w:eastAsia="宋体" w:cs="Times New Roman"/>
                <w:bCs/>
                <w:color w:val="auto"/>
                <w:sz w:val="24"/>
                <w:u w:val="single" w:color="auto"/>
                <w:lang w:val="en-US" w:eastAsia="zh-CN"/>
              </w:rPr>
              <w:t>装置抑尘效率</w:t>
            </w:r>
            <w:r>
              <w:rPr>
                <w:rFonts w:hint="eastAsia" w:cs="Times New Roman"/>
                <w:bCs/>
                <w:color w:val="auto"/>
                <w:sz w:val="24"/>
                <w:u w:val="single" w:color="auto"/>
                <w:lang w:val="en-US" w:eastAsia="zh-CN"/>
              </w:rPr>
              <w:t>取</w:t>
            </w:r>
            <w:r>
              <w:rPr>
                <w:rFonts w:hint="default" w:ascii="Times New Roman" w:hAnsi="Times New Roman" w:eastAsia="宋体" w:cs="Times New Roman"/>
                <w:bCs/>
                <w:color w:val="auto"/>
                <w:sz w:val="24"/>
                <w:u w:val="single" w:color="auto"/>
                <w:lang w:val="en-US" w:eastAsia="zh-CN"/>
              </w:rPr>
              <w:t>74%，项目年工作</w:t>
            </w:r>
            <w:r>
              <w:rPr>
                <w:rFonts w:hint="eastAsia" w:cs="Times New Roman"/>
                <w:bCs/>
                <w:color w:val="auto"/>
                <w:sz w:val="24"/>
                <w:u w:val="single" w:color="auto"/>
                <w:lang w:val="en-US" w:eastAsia="zh-CN"/>
              </w:rPr>
              <w:t>4800h</w:t>
            </w:r>
            <w:r>
              <w:rPr>
                <w:rFonts w:hint="default" w:ascii="Times New Roman" w:hAnsi="Times New Roman" w:eastAsia="宋体" w:cs="Times New Roman"/>
                <w:bCs/>
                <w:color w:val="auto"/>
                <w:sz w:val="24"/>
                <w:u w:val="single" w:color="auto"/>
                <w:lang w:val="en-US" w:eastAsia="zh-CN"/>
              </w:rPr>
              <w:t>，</w:t>
            </w:r>
            <w:r>
              <w:rPr>
                <w:rFonts w:hint="eastAsia"/>
                <w:color w:val="000000"/>
                <w:kern w:val="0"/>
                <w:sz w:val="24"/>
                <w:u w:val="single" w:color="auto"/>
                <w:lang w:val="en-US" w:eastAsia="zh-CN"/>
              </w:rPr>
              <w:t>则卸货堆存时颗粒物无组织排放量为</w:t>
            </w:r>
            <w:r>
              <w:rPr>
                <w:rFonts w:hint="eastAsia" w:eastAsia="宋体" w:cs="Times New Roman"/>
                <w:color w:val="auto"/>
                <w:sz w:val="24"/>
                <w:szCs w:val="24"/>
                <w:u w:val="single" w:color="auto"/>
                <w:lang w:val="en-US" w:eastAsia="zh-CN"/>
              </w:rPr>
              <w:t>0.208</w:t>
            </w:r>
            <w:r>
              <w:rPr>
                <w:rFonts w:hint="eastAsia" w:ascii="Times New Roman" w:hAnsi="Times New Roman" w:eastAsia="宋体" w:cs="Times New Roman"/>
                <w:color w:val="auto"/>
                <w:sz w:val="24"/>
                <w:szCs w:val="24"/>
                <w:u w:val="single" w:color="auto"/>
                <w:lang w:val="en-US" w:eastAsia="zh-CN"/>
              </w:rPr>
              <w:t>t/a（0.</w:t>
            </w:r>
            <w:r>
              <w:rPr>
                <w:rFonts w:hint="eastAsia" w:cs="Times New Roman"/>
                <w:color w:val="auto"/>
                <w:sz w:val="24"/>
                <w:szCs w:val="24"/>
                <w:u w:val="single" w:color="auto"/>
                <w:lang w:val="en-US" w:eastAsia="zh-CN"/>
              </w:rPr>
              <w:t>0433</w:t>
            </w:r>
            <w:r>
              <w:rPr>
                <w:rFonts w:hint="eastAsia" w:ascii="Times New Roman" w:hAnsi="Times New Roman" w:eastAsia="宋体" w:cs="Times New Roman"/>
                <w:color w:val="auto"/>
                <w:sz w:val="24"/>
                <w:szCs w:val="24"/>
                <w:u w:val="single" w:color="auto"/>
                <w:lang w:val="en-US" w:eastAsia="zh-CN"/>
              </w:rPr>
              <w:t>kg/h）</w:t>
            </w:r>
            <w:r>
              <w:rPr>
                <w:rFonts w:hint="default" w:ascii="Times New Roman" w:hAnsi="Times New Roman" w:eastAsia="宋体" w:cs="Times New Roman"/>
                <w:bCs/>
                <w:color w:val="auto"/>
                <w:sz w:val="24"/>
                <w:u w:val="single" w:color="auto"/>
                <w:lang w:val="en-US" w:eastAsia="zh-CN"/>
              </w:rPr>
              <w:t>。</w:t>
            </w:r>
          </w:p>
          <w:p w14:paraId="2B15D246">
            <w:pPr>
              <w:pStyle w:val="14"/>
              <w:numPr>
                <w:ilvl w:val="0"/>
                <w:numId w:val="0"/>
              </w:numPr>
              <w:bidi w:val="0"/>
              <w:ind w:firstLine="480" w:firstLineChars="200"/>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Cs/>
                <w:color w:val="auto"/>
                <w:kern w:val="0"/>
                <w:sz w:val="24"/>
                <w:szCs w:val="20"/>
                <w:u w:val="single" w:color="auto"/>
                <w:lang w:val="en-US" w:eastAsia="zh-CN" w:bidi="ar-SA"/>
              </w:rPr>
              <w:t>（2）</w:t>
            </w:r>
            <w:r>
              <w:rPr>
                <w:rFonts w:hint="eastAsia" w:eastAsia="宋体" w:cs="Times New Roman"/>
                <w:bCs/>
                <w:color w:val="auto"/>
                <w:sz w:val="24"/>
                <w:u w:val="single" w:color="auto"/>
                <w:lang w:val="en-US" w:eastAsia="zh-CN"/>
              </w:rPr>
              <w:t>破碎</w:t>
            </w:r>
            <w:r>
              <w:rPr>
                <w:rFonts w:hint="eastAsia" w:ascii="Times New Roman" w:hAnsi="Times New Roman" w:eastAsia="宋体" w:cs="Times New Roman"/>
                <w:bCs/>
                <w:color w:val="auto"/>
                <w:sz w:val="24"/>
                <w:u w:val="single" w:color="auto"/>
                <w:lang w:val="en-US" w:eastAsia="zh-CN"/>
              </w:rPr>
              <w:t>废气</w:t>
            </w:r>
          </w:p>
          <w:p w14:paraId="47E5FC95">
            <w:pPr>
              <w:pStyle w:val="14"/>
              <w:numPr>
                <w:ilvl w:val="0"/>
                <w:numId w:val="0"/>
              </w:numPr>
              <w:bidi w:val="0"/>
              <w:ind w:firstLine="480" w:firstLineChars="200"/>
              <w:rPr>
                <w:rFonts w:hint="eastAsia" w:ascii="Times New Roman" w:hAnsi="Times New Roman" w:eastAsia="宋体" w:cs="Times New Roman"/>
                <w:color w:val="auto"/>
                <w:sz w:val="24"/>
                <w:szCs w:val="24"/>
                <w:u w:val="single" w:color="auto"/>
                <w:lang w:val="en-US" w:eastAsia="zh-CN"/>
              </w:rPr>
            </w:pPr>
            <w:r>
              <w:rPr>
                <w:rFonts w:hint="eastAsia" w:eastAsia="宋体" w:cs="Times New Roman"/>
                <w:bCs/>
                <w:color w:val="auto"/>
                <w:sz w:val="24"/>
                <w:u w:val="single" w:color="auto"/>
                <w:lang w:val="en-US" w:eastAsia="zh-CN"/>
              </w:rPr>
              <w:t>本项目产品</w:t>
            </w:r>
            <w:r>
              <w:rPr>
                <w:rFonts w:hint="default" w:ascii="Times New Roman" w:hAnsi="Times New Roman" w:cs="Times New Roman"/>
                <w:color w:val="auto"/>
                <w:sz w:val="24"/>
                <w:szCs w:val="24"/>
                <w:u w:val="single" w:color="auto"/>
              </w:rPr>
              <w:t>RDF替代燃料</w:t>
            </w:r>
            <w:r>
              <w:rPr>
                <w:rFonts w:hint="eastAsia" w:eastAsia="宋体" w:cs="Times New Roman"/>
                <w:bCs/>
                <w:color w:val="auto"/>
                <w:sz w:val="24"/>
                <w:u w:val="single" w:color="auto"/>
                <w:lang w:val="en-US" w:eastAsia="zh-CN"/>
              </w:rPr>
              <w:t>在生产过程中，原料</w:t>
            </w:r>
            <w:r>
              <w:rPr>
                <w:rFonts w:hint="eastAsia" w:ascii="Times New Roman" w:hAnsi="Times New Roman" w:eastAsia="宋体" w:cs="Times New Roman"/>
                <w:color w:val="auto"/>
                <w:sz w:val="24"/>
                <w:szCs w:val="24"/>
                <w:u w:val="single" w:color="auto"/>
                <w:lang w:val="en-US" w:eastAsia="zh-CN"/>
              </w:rPr>
              <w:t>废纺织布料、废鞋材料、废箱包材料</w:t>
            </w:r>
            <w:r>
              <w:rPr>
                <w:rFonts w:hint="eastAsia" w:eastAsia="宋体" w:cs="Times New Roman"/>
                <w:color w:val="auto"/>
                <w:sz w:val="24"/>
                <w:szCs w:val="24"/>
                <w:u w:val="single" w:color="auto"/>
                <w:lang w:val="en-US" w:eastAsia="zh-CN"/>
              </w:rPr>
              <w:t>需采用双轴破碎机三级破碎，</w:t>
            </w:r>
            <w:r>
              <w:rPr>
                <w:rFonts w:hint="eastAsia" w:ascii="Times New Roman" w:hAnsi="Times New Roman" w:eastAsia="宋体" w:cs="Times New Roman"/>
                <w:color w:val="auto"/>
                <w:sz w:val="24"/>
                <w:szCs w:val="24"/>
                <w:u w:val="single" w:color="auto"/>
                <w:lang w:val="en-US" w:eastAsia="zh-CN"/>
              </w:rPr>
              <w:t>废塑胶</w:t>
            </w:r>
            <w:r>
              <w:rPr>
                <w:rFonts w:hint="eastAsia" w:eastAsia="宋体" w:cs="Times New Roman"/>
                <w:color w:val="auto"/>
                <w:sz w:val="24"/>
                <w:szCs w:val="24"/>
                <w:u w:val="single" w:color="auto"/>
                <w:lang w:val="en-US" w:eastAsia="zh-CN"/>
              </w:rPr>
              <w:t>直接与破碎后原料通过推机</w:t>
            </w:r>
            <w:r>
              <w:rPr>
                <w:rFonts w:hint="default" w:ascii="Times New Roman" w:hAnsi="Times New Roman" w:eastAsia="宋体" w:cs="Times New Roman"/>
                <w:color w:val="000000"/>
                <w:kern w:val="0"/>
                <w:sz w:val="24"/>
                <w:szCs w:val="24"/>
                <w:u w:val="single" w:color="auto"/>
                <w:lang w:val="en-US" w:eastAsia="zh-CN" w:bidi="ar-SA"/>
              </w:rPr>
              <w:t>挤压成方块</w:t>
            </w:r>
            <w:r>
              <w:rPr>
                <w:rFonts w:hint="eastAsia" w:ascii="Times New Roman" w:hAnsi="Times New Roman" w:eastAsia="宋体" w:cs="Times New Roman"/>
                <w:color w:val="000000"/>
                <w:kern w:val="0"/>
                <w:sz w:val="24"/>
                <w:szCs w:val="24"/>
                <w:u w:val="single" w:color="auto"/>
                <w:lang w:val="en-US" w:eastAsia="zh-CN" w:bidi="ar-SA"/>
              </w:rPr>
              <w:t>成品</w:t>
            </w:r>
            <w:r>
              <w:rPr>
                <w:rFonts w:hint="eastAsia" w:eastAsia="宋体" w:cs="Times New Roman"/>
                <w:color w:val="000000"/>
                <w:kern w:val="0"/>
                <w:sz w:val="24"/>
                <w:szCs w:val="24"/>
                <w:u w:val="single" w:color="auto"/>
                <w:lang w:val="en-US" w:eastAsia="zh-CN" w:bidi="ar-SA"/>
              </w:rPr>
              <w:t>；</w:t>
            </w:r>
            <w:r>
              <w:rPr>
                <w:rFonts w:hint="eastAsia" w:eastAsia="宋体" w:cs="Times New Roman"/>
                <w:bCs/>
                <w:color w:val="auto"/>
                <w:sz w:val="24"/>
                <w:u w:val="single" w:color="auto"/>
                <w:lang w:val="en-US" w:eastAsia="zh-CN"/>
              </w:rPr>
              <w:t>原料</w:t>
            </w:r>
            <w:r>
              <w:rPr>
                <w:rFonts w:hint="eastAsia" w:ascii="Times New Roman" w:hAnsi="Times New Roman" w:eastAsia="宋体" w:cs="Times New Roman"/>
                <w:color w:val="auto"/>
                <w:sz w:val="24"/>
                <w:szCs w:val="24"/>
                <w:u w:val="single" w:color="auto"/>
                <w:lang w:val="en-US" w:eastAsia="zh-CN"/>
              </w:rPr>
              <w:t>废纺织布料、废鞋材料、废箱包材料</w:t>
            </w:r>
            <w:r>
              <w:rPr>
                <w:rFonts w:hint="eastAsia" w:eastAsia="宋体" w:cs="Times New Roman"/>
                <w:color w:val="auto"/>
                <w:sz w:val="24"/>
                <w:szCs w:val="24"/>
                <w:u w:val="single" w:color="auto"/>
                <w:lang w:val="en-US" w:eastAsia="zh-CN"/>
              </w:rPr>
              <w:t>在破碎过程中会产生</w:t>
            </w:r>
            <w:r>
              <w:rPr>
                <w:rFonts w:hint="eastAsia" w:ascii="Times New Roman" w:hAnsi="Times New Roman" w:eastAsia="宋体" w:cs="Times New Roman"/>
                <w:bCs/>
                <w:color w:val="auto"/>
                <w:sz w:val="24"/>
                <w:u w:val="single" w:color="auto"/>
                <w:lang w:val="en-US" w:eastAsia="zh-CN"/>
              </w:rPr>
              <w:t>破碎废气</w:t>
            </w:r>
            <w:r>
              <w:rPr>
                <w:rFonts w:hint="eastAsia" w:eastAsia="宋体" w:cs="Times New Roman"/>
                <w:bCs/>
                <w:color w:val="auto"/>
                <w:sz w:val="24"/>
                <w:u w:val="single" w:color="auto"/>
                <w:lang w:val="en-US" w:eastAsia="zh-CN"/>
              </w:rPr>
              <w:t>，</w:t>
            </w:r>
            <w:r>
              <w:rPr>
                <w:rFonts w:hint="eastAsia" w:ascii="Times New Roman" w:hAnsi="Times New Roman" w:eastAsia="宋体" w:cs="Times New Roman"/>
                <w:color w:val="auto"/>
                <w:sz w:val="24"/>
                <w:szCs w:val="24"/>
                <w:u w:val="single" w:color="auto"/>
                <w:lang w:eastAsia="zh-CN"/>
              </w:rPr>
              <w:t>主要污染物</w:t>
            </w:r>
            <w:r>
              <w:rPr>
                <w:rFonts w:hint="eastAsia" w:eastAsia="宋体" w:cs="Times New Roman"/>
                <w:bCs/>
                <w:color w:val="auto"/>
                <w:sz w:val="24"/>
                <w:u w:val="single" w:color="auto"/>
                <w:lang w:val="en-US" w:eastAsia="zh-CN"/>
              </w:rPr>
              <w:t>为颗粒物，</w:t>
            </w:r>
            <w:r>
              <w:rPr>
                <w:rFonts w:hint="eastAsia" w:ascii="Times New Roman" w:hAnsi="Times New Roman" w:eastAsia="宋体" w:cs="Times New Roman"/>
                <w:color w:val="auto"/>
                <w:sz w:val="24"/>
                <w:szCs w:val="24"/>
                <w:u w:val="single" w:color="auto"/>
                <w:lang w:val="en-US" w:eastAsia="zh-CN"/>
              </w:rPr>
              <w:t>根据</w:t>
            </w:r>
            <w:r>
              <w:rPr>
                <w:rFonts w:hint="eastAsia" w:ascii="Times New Roman" w:hAnsi="Times New Roman" w:eastAsia="宋体" w:cs="Times New Roman"/>
                <w:color w:val="auto"/>
                <w:sz w:val="24"/>
                <w:szCs w:val="24"/>
                <w:u w:val="single" w:color="auto"/>
                <w:lang w:eastAsia="zh-CN"/>
              </w:rPr>
              <w:t>《</w:t>
            </w:r>
            <w:r>
              <w:rPr>
                <w:rFonts w:hint="eastAsia"/>
                <w:color w:val="auto"/>
                <w:sz w:val="24"/>
                <w:szCs w:val="24"/>
                <w:u w:val="single" w:color="auto"/>
                <w:lang w:val="en-US" w:eastAsia="zh-CN"/>
              </w:rPr>
              <w:t>排放源统计调查产排污核算方法和系数手册-废弃资源综合利用行业系数手册</w:t>
            </w:r>
            <w:r>
              <w:rPr>
                <w:rFonts w:hint="eastAsia" w:ascii="Times New Roman" w:hAnsi="Times New Roman" w:eastAsia="宋体" w:cs="Times New Roman"/>
                <w:color w:val="auto"/>
                <w:sz w:val="24"/>
                <w:szCs w:val="24"/>
                <w:u w:val="single" w:color="auto"/>
                <w:lang w:eastAsia="zh-CN"/>
              </w:rPr>
              <w:t>》中非金属废料和碎屑加工处理行业系数表可知：</w:t>
            </w:r>
            <w:r>
              <w:rPr>
                <w:rFonts w:hint="eastAsia" w:ascii="Times New Roman" w:hAnsi="Times New Roman" w:eastAsia="宋体" w:cs="Times New Roman"/>
                <w:color w:val="auto"/>
                <w:sz w:val="24"/>
                <w:szCs w:val="24"/>
                <w:u w:val="single" w:color="auto"/>
                <w:lang w:val="en-US" w:eastAsia="zh-CN"/>
              </w:rPr>
              <w:t>破碎</w:t>
            </w:r>
            <w:r>
              <w:rPr>
                <w:rFonts w:hint="eastAsia" w:ascii="Times New Roman" w:hAnsi="Times New Roman" w:eastAsia="宋体" w:cs="Times New Roman"/>
                <w:color w:val="auto"/>
                <w:sz w:val="24"/>
                <w:szCs w:val="24"/>
                <w:u w:val="single" w:color="auto"/>
                <w:lang w:eastAsia="zh-CN"/>
              </w:rPr>
              <w:t>工序的污染物产生量与</w:t>
            </w:r>
            <w:r>
              <w:rPr>
                <w:rFonts w:hint="eastAsia" w:ascii="Times New Roman" w:hAnsi="Times New Roman" w:eastAsia="宋体" w:cs="Times New Roman"/>
                <w:color w:val="auto"/>
                <w:sz w:val="24"/>
                <w:szCs w:val="24"/>
                <w:u w:val="single" w:color="auto"/>
                <w:lang w:val="en-US" w:eastAsia="zh-CN"/>
              </w:rPr>
              <w:t>原料用</w:t>
            </w:r>
            <w:r>
              <w:rPr>
                <w:rFonts w:hint="eastAsia" w:ascii="Times New Roman" w:hAnsi="Times New Roman" w:eastAsia="宋体" w:cs="Times New Roman"/>
                <w:color w:val="auto"/>
                <w:sz w:val="24"/>
                <w:szCs w:val="24"/>
                <w:u w:val="single" w:color="auto"/>
                <w:lang w:eastAsia="zh-CN"/>
              </w:rPr>
              <w:t>量有关，</w:t>
            </w:r>
            <w:r>
              <w:rPr>
                <w:rFonts w:hint="eastAsia" w:ascii="Times New Roman" w:hAnsi="Times New Roman" w:eastAsia="宋体" w:cs="Times New Roman"/>
                <w:color w:val="auto"/>
                <w:sz w:val="24"/>
                <w:szCs w:val="24"/>
                <w:u w:val="single" w:color="auto"/>
                <w:lang w:val="en-US" w:eastAsia="zh-CN"/>
              </w:rPr>
              <w:t>因废鞋材料、废箱包材料无相关产污系数，本项目参照废布/废纺织品破碎工序颗粒物</w:t>
            </w:r>
            <w:r>
              <w:rPr>
                <w:rFonts w:hint="eastAsia" w:ascii="Times New Roman" w:hAnsi="Times New Roman" w:eastAsia="宋体" w:cs="Times New Roman"/>
                <w:color w:val="auto"/>
                <w:sz w:val="24"/>
                <w:szCs w:val="24"/>
                <w:u w:val="single" w:color="auto"/>
                <w:lang w:eastAsia="zh-CN"/>
              </w:rPr>
              <w:t>的产污系数</w:t>
            </w:r>
            <w:r>
              <w:rPr>
                <w:rFonts w:hint="eastAsia" w:ascii="Times New Roman" w:hAnsi="Times New Roman" w:eastAsia="宋体" w:cs="Times New Roman"/>
                <w:color w:val="auto"/>
                <w:sz w:val="24"/>
                <w:szCs w:val="24"/>
                <w:u w:val="single" w:color="auto"/>
                <w:lang w:val="en-US" w:eastAsia="zh-CN"/>
              </w:rPr>
              <w:t>375g/t-原料进行核算。</w:t>
            </w:r>
          </w:p>
          <w:p w14:paraId="0773A9B2">
            <w:pPr>
              <w:pStyle w:val="14"/>
              <w:numPr>
                <w:ilvl w:val="0"/>
                <w:numId w:val="0"/>
              </w:numPr>
              <w:bidi w:val="0"/>
              <w:ind w:firstLine="480" w:firstLineChars="200"/>
              <w:rPr>
                <w:rFonts w:hint="default"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本项目使用的</w:t>
            </w:r>
            <w:r>
              <w:rPr>
                <w:rFonts w:hint="eastAsia" w:eastAsia="宋体" w:cs="Times New Roman"/>
                <w:bCs/>
                <w:color w:val="auto"/>
                <w:sz w:val="24"/>
                <w:u w:val="single" w:color="auto"/>
                <w:lang w:val="en-US" w:eastAsia="zh-CN"/>
              </w:rPr>
              <w:t>原料</w:t>
            </w:r>
            <w:r>
              <w:rPr>
                <w:rFonts w:hint="eastAsia" w:ascii="Times New Roman" w:hAnsi="Times New Roman" w:eastAsia="宋体" w:cs="Times New Roman"/>
                <w:color w:val="auto"/>
                <w:sz w:val="24"/>
                <w:szCs w:val="24"/>
                <w:u w:val="single" w:color="auto"/>
                <w:lang w:val="en-US" w:eastAsia="zh-CN"/>
              </w:rPr>
              <w:t>废纺织布料、废鞋材料、废箱包材料</w:t>
            </w:r>
            <w:r>
              <w:rPr>
                <w:rFonts w:hint="eastAsia" w:cs="Times New Roman"/>
                <w:bCs/>
                <w:color w:val="auto"/>
                <w:sz w:val="24"/>
                <w:u w:val="single" w:color="auto"/>
                <w:lang w:val="en-US" w:eastAsia="zh-CN"/>
              </w:rPr>
              <w:t>用量</w:t>
            </w:r>
            <w:r>
              <w:rPr>
                <w:rFonts w:hint="default" w:ascii="Times New Roman" w:hAnsi="Times New Roman" w:eastAsia="宋体" w:cs="Times New Roman"/>
                <w:bCs/>
                <w:color w:val="auto"/>
                <w:sz w:val="24"/>
                <w:u w:val="single" w:color="auto"/>
                <w:lang w:val="en-US" w:eastAsia="zh-CN"/>
              </w:rPr>
              <w:t>合计</w:t>
            </w:r>
            <w:r>
              <w:rPr>
                <w:rFonts w:hint="eastAsia" w:cs="Times New Roman"/>
                <w:bCs/>
                <w:color w:val="auto"/>
                <w:sz w:val="24"/>
                <w:u w:val="single" w:color="auto"/>
                <w:lang w:val="en-US" w:eastAsia="zh-CN"/>
              </w:rPr>
              <w:t>为45000t/</w:t>
            </w:r>
            <w:r>
              <w:rPr>
                <w:rFonts w:hint="default" w:ascii="Times New Roman" w:hAnsi="Times New Roman" w:eastAsia="宋体" w:cs="Times New Roman"/>
                <w:bCs/>
                <w:color w:val="auto"/>
                <w:sz w:val="24"/>
                <w:u w:val="single" w:color="auto"/>
                <w:lang w:val="en-US" w:eastAsia="zh-CN"/>
              </w:rPr>
              <w:t>a，</w:t>
            </w:r>
            <w:r>
              <w:rPr>
                <w:rFonts w:hint="eastAsia" w:cs="Times New Roman"/>
                <w:bCs/>
                <w:color w:val="auto"/>
                <w:sz w:val="24"/>
                <w:u w:val="single" w:color="auto"/>
                <w:lang w:val="en-US" w:eastAsia="zh-CN"/>
              </w:rPr>
              <w:t>则</w:t>
            </w:r>
            <w:r>
              <w:rPr>
                <w:rFonts w:hint="eastAsia" w:ascii="Times New Roman" w:hAnsi="Times New Roman" w:eastAsia="宋体" w:cs="Times New Roman"/>
                <w:color w:val="auto"/>
                <w:sz w:val="24"/>
                <w:szCs w:val="24"/>
                <w:u w:val="single" w:color="auto"/>
                <w:lang w:val="en-US" w:eastAsia="zh-CN"/>
              </w:rPr>
              <w:t>颗粒物的产生量为</w:t>
            </w:r>
            <w:r>
              <w:rPr>
                <w:rFonts w:hint="eastAsia" w:ascii="Times New Roman" w:hAnsi="Times New Roman" w:eastAsia="宋体" w:cs="Times New Roman"/>
                <w:bCs/>
                <w:color w:val="auto"/>
                <w:sz w:val="24"/>
                <w:u w:val="single" w:color="auto"/>
                <w:lang w:val="en-US" w:eastAsia="zh-CN"/>
              </w:rPr>
              <w:t>16.875</w:t>
            </w:r>
            <w:r>
              <w:rPr>
                <w:rFonts w:hint="default" w:ascii="Times New Roman" w:hAnsi="Times New Roman" w:eastAsia="宋体" w:cs="Times New Roman"/>
                <w:bCs/>
                <w:color w:val="auto"/>
                <w:sz w:val="24"/>
                <w:u w:val="single" w:color="auto"/>
                <w:lang w:val="en-US" w:eastAsia="zh-CN"/>
              </w:rPr>
              <w:t>t</w:t>
            </w:r>
            <w:r>
              <w:rPr>
                <w:rFonts w:hint="eastAsia" w:cs="Times New Roman"/>
                <w:bCs/>
                <w:color w:val="auto"/>
                <w:sz w:val="24"/>
                <w:u w:val="single" w:color="auto"/>
                <w:lang w:val="en-US" w:eastAsia="zh-CN"/>
              </w:rPr>
              <w:t>/</w:t>
            </w:r>
            <w:r>
              <w:rPr>
                <w:rFonts w:hint="default" w:ascii="Times New Roman" w:hAnsi="Times New Roman" w:eastAsia="宋体" w:cs="Times New Roman"/>
                <w:bCs/>
                <w:color w:val="auto"/>
                <w:sz w:val="24"/>
                <w:u w:val="single" w:color="auto"/>
                <w:lang w:val="en-US" w:eastAsia="zh-CN"/>
              </w:rPr>
              <w:t>a</w:t>
            </w:r>
            <w:r>
              <w:rPr>
                <w:rFonts w:hint="eastAsia" w:cs="Times New Roman"/>
                <w:bCs/>
                <w:color w:val="auto"/>
                <w:sz w:val="24"/>
                <w:u w:val="single" w:color="auto"/>
                <w:lang w:val="en-US" w:eastAsia="zh-CN"/>
              </w:rPr>
              <w:t>（3.516</w:t>
            </w:r>
            <w:r>
              <w:rPr>
                <w:rFonts w:hint="eastAsia" w:ascii="Times New Roman" w:hAnsi="Times New Roman" w:eastAsia="宋体" w:cs="Times New Roman"/>
                <w:color w:val="auto"/>
                <w:sz w:val="24"/>
                <w:szCs w:val="24"/>
                <w:u w:val="single" w:color="auto"/>
                <w:lang w:val="en-US" w:eastAsia="zh-CN"/>
              </w:rPr>
              <w:t>kg/h</w:t>
            </w:r>
            <w:r>
              <w:rPr>
                <w:rFonts w:hint="eastAsia" w:cs="Times New Roman"/>
                <w:bCs/>
                <w:color w:val="auto"/>
                <w:sz w:val="24"/>
                <w:u w:val="single" w:color="auto"/>
                <w:lang w:val="en-US" w:eastAsia="zh-CN"/>
              </w:rPr>
              <w:t>）</w:t>
            </w:r>
            <w:r>
              <w:rPr>
                <w:rFonts w:hint="default" w:ascii="Times New Roman" w:hAnsi="Times New Roman" w:eastAsia="宋体" w:cs="Times New Roman"/>
                <w:bCs/>
                <w:color w:val="auto"/>
                <w:sz w:val="24"/>
                <w:u w:val="single" w:color="auto"/>
                <w:lang w:val="en-US" w:eastAsia="zh-CN"/>
              </w:rPr>
              <w:t>。</w:t>
            </w:r>
          </w:p>
          <w:p w14:paraId="2E371762">
            <w:pPr>
              <w:pStyle w:val="14"/>
              <w:numPr>
                <w:ilvl w:val="0"/>
                <w:numId w:val="0"/>
              </w:numPr>
              <w:bidi w:val="0"/>
              <w:ind w:firstLine="482" w:firstLineChars="200"/>
              <w:rPr>
                <w:rFonts w:hint="eastAsia" w:ascii="Times New Roman" w:hAnsi="Times New Roman" w:eastAsia="宋体" w:cs="Times New Roman"/>
                <w:b/>
                <w:bCs/>
                <w:color w:val="auto"/>
                <w:sz w:val="24"/>
                <w:szCs w:val="24"/>
                <w:u w:val="single" w:color="auto"/>
                <w:lang w:eastAsia="zh-CN"/>
              </w:rPr>
            </w:pPr>
            <w:r>
              <w:rPr>
                <w:rFonts w:hint="eastAsia" w:ascii="Times New Roman" w:hAnsi="Times New Roman" w:eastAsia="宋体" w:cs="Times New Roman"/>
                <w:b/>
                <w:bCs w:val="0"/>
                <w:color w:val="auto"/>
                <w:sz w:val="24"/>
                <w:u w:val="single" w:color="auto"/>
                <w:lang w:val="en-US" w:eastAsia="zh-CN"/>
              </w:rPr>
              <w:t>破碎废气</w:t>
            </w:r>
            <w:r>
              <w:rPr>
                <w:rFonts w:hint="eastAsia" w:ascii="Times New Roman" w:hAnsi="Times New Roman" w:eastAsia="宋体" w:cs="Times New Roman"/>
                <w:b/>
                <w:bCs/>
                <w:color w:val="auto"/>
                <w:sz w:val="24"/>
                <w:szCs w:val="24"/>
                <w:u w:val="single" w:color="auto"/>
                <w:lang w:eastAsia="zh-CN"/>
              </w:rPr>
              <w:t>处理措施：</w:t>
            </w:r>
          </w:p>
          <w:p w14:paraId="4E3853F9">
            <w:pPr>
              <w:pStyle w:val="14"/>
              <w:numPr>
                <w:ilvl w:val="0"/>
                <w:numId w:val="0"/>
              </w:numPr>
              <w:bidi w:val="0"/>
              <w:ind w:firstLine="480" w:firstLineChars="200"/>
              <w:rPr>
                <w:rFonts w:hint="eastAsia"/>
                <w:u w:val="single" w:color="auto"/>
              </w:rPr>
            </w:pPr>
            <w:r>
              <w:rPr>
                <w:rFonts w:hint="default" w:ascii="Times New Roman" w:hAnsi="Times New Roman" w:eastAsia="宋体" w:cs="Times New Roman"/>
                <w:bCs/>
                <w:color w:val="000000"/>
                <w:sz w:val="24"/>
                <w:u w:val="single" w:color="auto"/>
                <w:lang w:val="en-US" w:eastAsia="zh-CN"/>
              </w:rPr>
              <w:t>本项目</w:t>
            </w:r>
            <w:r>
              <w:rPr>
                <w:rFonts w:hint="eastAsia" w:cs="Times New Roman"/>
                <w:bCs/>
                <w:color w:val="000000"/>
                <w:sz w:val="24"/>
                <w:u w:val="single" w:color="auto"/>
                <w:lang w:val="en-US" w:eastAsia="zh-CN"/>
              </w:rPr>
              <w:t>设置3</w:t>
            </w:r>
            <w:r>
              <w:rPr>
                <w:rFonts w:hint="eastAsia" w:ascii="Times New Roman" w:hAnsi="Times New Roman" w:eastAsia="宋体" w:cs="Times New Roman"/>
                <w:bCs/>
                <w:color w:val="000000"/>
                <w:sz w:val="24"/>
                <w:u w:val="single" w:color="auto"/>
                <w:lang w:val="en-US" w:eastAsia="zh-CN"/>
              </w:rPr>
              <w:t>台</w:t>
            </w:r>
            <w:r>
              <w:rPr>
                <w:rFonts w:hint="eastAsia" w:cs="Times New Roman"/>
                <w:bCs/>
                <w:color w:val="000000"/>
                <w:sz w:val="24"/>
                <w:u w:val="single" w:color="auto"/>
                <w:lang w:val="en-US" w:eastAsia="zh-CN"/>
              </w:rPr>
              <w:t>双轴破碎机</w:t>
            </w:r>
            <w:r>
              <w:rPr>
                <w:rFonts w:hint="eastAsia" w:ascii="Times New Roman" w:hAnsi="Times New Roman" w:eastAsia="宋体" w:cs="Times New Roman"/>
                <w:bCs/>
                <w:color w:val="000000"/>
                <w:sz w:val="24"/>
                <w:u w:val="single" w:color="auto"/>
                <w:lang w:val="en-US" w:eastAsia="zh-CN"/>
              </w:rPr>
              <w:t>，</w:t>
            </w:r>
            <w:r>
              <w:rPr>
                <w:rFonts w:hint="default" w:ascii="Times New Roman" w:hAnsi="Times New Roman" w:eastAsia="宋体" w:cs="Times New Roman"/>
                <w:bCs/>
                <w:color w:val="000000"/>
                <w:sz w:val="24"/>
                <w:u w:val="single" w:color="auto"/>
                <w:lang w:val="en-US" w:eastAsia="zh-CN"/>
              </w:rPr>
              <w:t>拟在</w:t>
            </w:r>
            <w:r>
              <w:rPr>
                <w:rFonts w:hint="eastAsia" w:eastAsia="宋体" w:cs="Times New Roman"/>
                <w:bCs/>
                <w:color w:val="000000"/>
                <w:sz w:val="24"/>
                <w:u w:val="single" w:color="auto"/>
                <w:lang w:val="en-US" w:eastAsia="zh-CN"/>
              </w:rPr>
              <w:t>每台</w:t>
            </w:r>
            <w:r>
              <w:rPr>
                <w:rFonts w:hint="eastAsia" w:cs="Times New Roman"/>
                <w:bCs/>
                <w:color w:val="000000"/>
                <w:sz w:val="24"/>
                <w:u w:val="single" w:color="auto"/>
                <w:lang w:val="en-US" w:eastAsia="zh-CN"/>
              </w:rPr>
              <w:t>破碎机</w:t>
            </w:r>
            <w:r>
              <w:rPr>
                <w:rFonts w:hint="default" w:ascii="Times New Roman" w:hAnsi="Times New Roman" w:eastAsia="宋体" w:cs="Times New Roman"/>
                <w:bCs/>
                <w:color w:val="000000"/>
                <w:sz w:val="24"/>
                <w:u w:val="single" w:color="auto"/>
                <w:lang w:val="en-US" w:eastAsia="zh-CN"/>
              </w:rPr>
              <w:t>上方安装集气罩</w:t>
            </w:r>
            <w:r>
              <w:rPr>
                <w:rFonts w:hint="eastAsia" w:ascii="Times New Roman" w:eastAsia="宋体" w:cs="Times New Roman"/>
                <w:bCs/>
                <w:color w:val="000000"/>
                <w:sz w:val="24"/>
                <w:highlight w:val="none"/>
                <w:u w:val="single" w:color="auto"/>
                <w:lang w:val="en-US" w:eastAsia="zh-CN"/>
              </w:rPr>
              <w:t>（往吸入口方向的控制风速不小于0.5m/s）</w:t>
            </w:r>
            <w:r>
              <w:rPr>
                <w:rFonts w:hint="default" w:ascii="Times New Roman" w:hAnsi="Times New Roman" w:eastAsia="宋体" w:cs="Times New Roman"/>
                <w:bCs/>
                <w:color w:val="000000"/>
                <w:sz w:val="24"/>
                <w:u w:val="single" w:color="auto"/>
                <w:lang w:val="en-US" w:eastAsia="zh-CN"/>
              </w:rPr>
              <w:t>，</w:t>
            </w:r>
            <w:r>
              <w:rPr>
                <w:rFonts w:hint="eastAsia" w:cs="Times New Roman"/>
                <w:bCs/>
                <w:color w:val="000000"/>
                <w:sz w:val="24"/>
                <w:u w:val="single" w:color="auto"/>
                <w:lang w:val="en-US" w:eastAsia="zh-CN"/>
              </w:rPr>
              <w:t>破碎</w:t>
            </w:r>
            <w:r>
              <w:rPr>
                <w:rFonts w:hint="eastAsia" w:ascii="Times New Roman" w:hAnsi="Times New Roman" w:eastAsia="宋体" w:cs="Times New Roman"/>
                <w:bCs/>
                <w:color w:val="000000"/>
                <w:sz w:val="24"/>
                <w:u w:val="single" w:color="auto"/>
                <w:lang w:val="en-US" w:eastAsia="zh-CN"/>
              </w:rPr>
              <w:t>废气</w:t>
            </w:r>
            <w:r>
              <w:rPr>
                <w:rFonts w:hint="default" w:ascii="Times New Roman" w:hAnsi="Times New Roman" w:eastAsia="宋体" w:cs="Times New Roman"/>
                <w:bCs/>
                <w:color w:val="000000"/>
                <w:sz w:val="24"/>
                <w:u w:val="single" w:color="auto"/>
                <w:lang w:val="en-US" w:eastAsia="zh-CN"/>
              </w:rPr>
              <w:t>经集气罩</w:t>
            </w:r>
            <w:r>
              <w:rPr>
                <w:rFonts w:hint="eastAsia" w:ascii="Times New Roman" w:hAnsi="Times New Roman" w:eastAsia="宋体" w:cs="Times New Roman"/>
                <w:bCs/>
                <w:color w:val="000000"/>
                <w:sz w:val="24"/>
                <w:u w:val="single" w:color="auto"/>
                <w:lang w:val="en-US" w:eastAsia="zh-CN"/>
              </w:rPr>
              <w:t>收集后，经1</w:t>
            </w:r>
            <w:r>
              <w:rPr>
                <w:rFonts w:hint="default" w:ascii="Times New Roman" w:hAnsi="Times New Roman" w:eastAsia="宋体" w:cs="Times New Roman"/>
                <w:bCs/>
                <w:color w:val="000000"/>
                <w:sz w:val="24"/>
                <w:u w:val="single" w:color="auto"/>
                <w:lang w:val="en-US" w:eastAsia="zh-CN"/>
              </w:rPr>
              <w:t>套</w:t>
            </w:r>
            <w:r>
              <w:rPr>
                <w:rFonts w:hint="eastAsia" w:cs="Times New Roman"/>
                <w:bCs/>
                <w:color w:val="000000"/>
                <w:sz w:val="24"/>
                <w:u w:val="single" w:color="auto"/>
                <w:lang w:val="en-US" w:eastAsia="zh-CN"/>
              </w:rPr>
              <w:t>“袋式除尘器</w:t>
            </w:r>
            <w:r>
              <w:rPr>
                <w:rFonts w:hint="default" w:ascii="Times New Roman" w:hAnsi="Times New Roman" w:eastAsia="宋体" w:cs="Times New Roman"/>
                <w:bCs/>
                <w:color w:val="000000"/>
                <w:sz w:val="24"/>
                <w:u w:val="single" w:color="auto"/>
                <w:lang w:val="en-US" w:eastAsia="zh-CN"/>
              </w:rPr>
              <w:t>装置</w:t>
            </w:r>
            <w:r>
              <w:rPr>
                <w:rFonts w:hint="eastAsia" w:cs="Times New Roman"/>
                <w:bCs/>
                <w:color w:val="000000"/>
                <w:sz w:val="24"/>
                <w:u w:val="single" w:color="auto"/>
                <w:lang w:val="en-US" w:eastAsia="zh-CN"/>
              </w:rPr>
              <w:t>”</w:t>
            </w:r>
            <w:r>
              <w:rPr>
                <w:rFonts w:hint="default" w:ascii="Times New Roman" w:hAnsi="Times New Roman" w:eastAsia="宋体" w:cs="Times New Roman"/>
                <w:bCs/>
                <w:color w:val="000000"/>
                <w:sz w:val="24"/>
                <w:u w:val="single" w:color="auto"/>
                <w:lang w:val="en-US" w:eastAsia="zh-CN"/>
              </w:rPr>
              <w:t>处理</w:t>
            </w:r>
            <w:r>
              <w:rPr>
                <w:rFonts w:hint="eastAsia" w:ascii="Times New Roman" w:hAnsi="Times New Roman" w:eastAsia="宋体" w:cs="Times New Roman"/>
                <w:bCs/>
                <w:color w:val="000000"/>
                <w:sz w:val="24"/>
                <w:u w:val="single" w:color="auto"/>
                <w:lang w:val="en-US" w:eastAsia="zh-CN"/>
              </w:rPr>
              <w:t>，然后</w:t>
            </w:r>
            <w:r>
              <w:rPr>
                <w:rFonts w:hint="default" w:ascii="Times New Roman" w:hAnsi="Times New Roman" w:eastAsia="宋体" w:cs="Times New Roman"/>
                <w:bCs/>
                <w:color w:val="000000"/>
                <w:sz w:val="24"/>
                <w:u w:val="single" w:color="auto"/>
                <w:lang w:val="en-US" w:eastAsia="zh-CN"/>
              </w:rPr>
              <w:t>通过1根</w:t>
            </w:r>
            <w:r>
              <w:rPr>
                <w:rFonts w:hint="eastAsia" w:ascii="Times New Roman" w:hAnsi="Times New Roman" w:eastAsia="宋体" w:cs="Times New Roman"/>
                <w:bCs/>
                <w:color w:val="000000"/>
                <w:sz w:val="24"/>
                <w:u w:val="single" w:color="auto"/>
                <w:lang w:val="en-US" w:eastAsia="zh-CN"/>
              </w:rPr>
              <w:t>15m</w:t>
            </w:r>
            <w:r>
              <w:rPr>
                <w:rFonts w:hint="default" w:ascii="Times New Roman" w:hAnsi="Times New Roman" w:eastAsia="宋体" w:cs="Times New Roman"/>
                <w:bCs/>
                <w:color w:val="000000"/>
                <w:sz w:val="24"/>
                <w:u w:val="single" w:color="auto"/>
                <w:lang w:val="en-US" w:eastAsia="zh-CN"/>
              </w:rPr>
              <w:t>高的排气筒（DA001）排放</w:t>
            </w:r>
            <w:r>
              <w:rPr>
                <w:rFonts w:hint="eastAsia" w:cs="Times New Roman"/>
                <w:bCs/>
                <w:color w:val="000000"/>
                <w:sz w:val="24"/>
                <w:u w:val="single" w:color="auto"/>
                <w:lang w:val="en-US" w:eastAsia="zh-CN"/>
              </w:rPr>
              <w:t>，破碎机单个集尘罩设计排风量不低于6000m</w:t>
            </w:r>
            <w:r>
              <w:rPr>
                <w:rFonts w:hint="eastAsia" w:cs="Times New Roman"/>
                <w:bCs/>
                <w:color w:val="000000"/>
                <w:sz w:val="24"/>
                <w:u w:val="single" w:color="auto"/>
                <w:vertAlign w:val="superscript"/>
                <w:lang w:val="en-US" w:eastAsia="zh-CN"/>
              </w:rPr>
              <w:t>3</w:t>
            </w:r>
            <w:r>
              <w:rPr>
                <w:rFonts w:hint="eastAsia" w:cs="Times New Roman"/>
                <w:bCs/>
                <w:color w:val="000000"/>
                <w:sz w:val="24"/>
                <w:u w:val="single" w:color="auto"/>
                <w:lang w:val="en-US" w:eastAsia="zh-CN"/>
              </w:rPr>
              <w:t>/h，故本次评价合计风量以</w:t>
            </w:r>
            <w:r>
              <w:rPr>
                <w:rFonts w:hint="eastAsia" w:eastAsia="宋体" w:cs="Times New Roman"/>
                <w:bCs/>
                <w:color w:val="000000"/>
                <w:sz w:val="24"/>
                <w:u w:val="single" w:color="auto"/>
                <w:lang w:val="en-US" w:eastAsia="zh-CN"/>
              </w:rPr>
              <w:t>18</w:t>
            </w:r>
            <w:r>
              <w:rPr>
                <w:rFonts w:hint="eastAsia" w:ascii="Times New Roman" w:hAnsi="Times New Roman" w:eastAsia="宋体" w:cs="Times New Roman"/>
                <w:bCs/>
                <w:color w:val="000000"/>
                <w:sz w:val="24"/>
                <w:u w:val="single" w:color="auto"/>
                <w:lang w:val="en-US" w:eastAsia="zh-CN"/>
              </w:rPr>
              <w:t>0</w:t>
            </w:r>
            <w:r>
              <w:rPr>
                <w:rFonts w:hint="default" w:ascii="Times New Roman" w:hAnsi="Times New Roman" w:eastAsia="宋体" w:cs="Times New Roman"/>
                <w:bCs/>
                <w:color w:val="000000"/>
                <w:sz w:val="24"/>
                <w:u w:val="single" w:color="auto"/>
                <w:lang w:val="en-US" w:eastAsia="zh-CN"/>
              </w:rPr>
              <w:t>00m</w:t>
            </w:r>
            <w:r>
              <w:rPr>
                <w:rFonts w:hint="default" w:ascii="Times New Roman" w:hAnsi="Times New Roman" w:eastAsia="宋体" w:cs="Times New Roman"/>
                <w:bCs/>
                <w:color w:val="000000"/>
                <w:sz w:val="24"/>
                <w:u w:val="single" w:color="auto"/>
                <w:vertAlign w:val="superscript"/>
                <w:lang w:val="en-US" w:eastAsia="zh-CN"/>
              </w:rPr>
              <w:t>3</w:t>
            </w:r>
            <w:r>
              <w:rPr>
                <w:rFonts w:hint="default" w:ascii="Times New Roman" w:hAnsi="Times New Roman" w:eastAsia="宋体" w:cs="Times New Roman"/>
                <w:bCs/>
                <w:color w:val="000000"/>
                <w:sz w:val="24"/>
                <w:u w:val="single" w:color="auto"/>
                <w:lang w:val="en-US" w:eastAsia="zh-CN"/>
              </w:rPr>
              <w:t>/h</w:t>
            </w:r>
            <w:r>
              <w:rPr>
                <w:rFonts w:hint="eastAsia" w:cs="Times New Roman"/>
                <w:bCs/>
                <w:color w:val="000000"/>
                <w:sz w:val="24"/>
                <w:u w:val="single" w:color="auto"/>
                <w:lang w:val="en-US" w:eastAsia="zh-CN"/>
              </w:rPr>
              <w:t>计</w:t>
            </w:r>
            <w:r>
              <w:rPr>
                <w:rFonts w:hint="eastAsia"/>
                <w:u w:val="single" w:color="auto"/>
              </w:rPr>
              <w:t>。</w:t>
            </w:r>
          </w:p>
          <w:p w14:paraId="2CD76FC9">
            <w:pPr>
              <w:pStyle w:val="14"/>
              <w:numPr>
                <w:ilvl w:val="0"/>
                <w:numId w:val="0"/>
              </w:numPr>
              <w:bidi w:val="0"/>
              <w:ind w:firstLine="480" w:firstLineChars="200"/>
              <w:rPr>
                <w:rFonts w:hint="eastAsia"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bCs/>
                <w:color w:val="auto"/>
                <w:sz w:val="24"/>
                <w:u w:val="single" w:color="auto"/>
                <w:lang w:val="en-US" w:eastAsia="zh-CN"/>
              </w:rPr>
              <w:t>本项目</w:t>
            </w:r>
            <w:r>
              <w:rPr>
                <w:rFonts w:hint="eastAsia" w:ascii="Times New Roman" w:hAnsi="Times New Roman" w:eastAsia="宋体" w:cs="Times New Roman"/>
                <w:bCs/>
                <w:color w:val="auto"/>
                <w:u w:val="single" w:color="auto"/>
              </w:rPr>
              <w:t>破碎废气</w:t>
            </w:r>
            <w:r>
              <w:rPr>
                <w:rFonts w:hint="eastAsia" w:ascii="Times New Roman" w:hAnsi="Times New Roman" w:eastAsia="宋体" w:cs="Times New Roman"/>
                <w:bCs/>
                <w:color w:val="auto"/>
                <w:sz w:val="24"/>
                <w:u w:val="single" w:color="auto"/>
                <w:lang w:val="en-US" w:eastAsia="zh-CN"/>
              </w:rPr>
              <w:t>产生工序为密闭作业；该工序所产生废气均经密闭负压收集，则本次评价废气集气罩收集效率取90%。</w:t>
            </w:r>
            <w:r>
              <w:rPr>
                <w:rFonts w:hint="eastAsia" w:ascii="Times New Roman" w:hAnsi="Times New Roman" w:eastAsia="宋体" w:cs="Times New Roman"/>
                <w:color w:val="auto"/>
                <w:sz w:val="24"/>
                <w:szCs w:val="24"/>
                <w:u w:val="single" w:color="auto"/>
                <w:lang w:val="en-US" w:eastAsia="zh-CN"/>
              </w:rPr>
              <w:t>同时，《排放源统计调查产排污核算方法和系数手册》（2021 年版）中4220 非金属废料和碎屑加工处理行业系数表明确：</w:t>
            </w:r>
            <w:r>
              <w:rPr>
                <w:rFonts w:hint="eastAsia" w:cs="Times New Roman"/>
                <w:color w:val="auto"/>
                <w:sz w:val="24"/>
                <w:szCs w:val="24"/>
                <w:highlight w:val="none"/>
                <w:u w:val="single" w:color="auto"/>
                <w:lang w:val="en-US" w:eastAsia="zh-CN"/>
              </w:rPr>
              <w:t>“</w:t>
            </w:r>
            <w:r>
              <w:rPr>
                <w:rFonts w:hint="eastAsia" w:ascii="Times New Roman" w:hAnsi="Times New Roman" w:eastAsia="宋体" w:cs="Times New Roman"/>
                <w:color w:val="auto"/>
                <w:sz w:val="24"/>
                <w:szCs w:val="24"/>
                <w:highlight w:val="none"/>
                <w:u w:val="single" w:color="auto"/>
                <w:lang w:val="en-US" w:eastAsia="zh-CN"/>
              </w:rPr>
              <w:t>袋式除尘</w:t>
            </w:r>
            <w:r>
              <w:rPr>
                <w:rFonts w:hint="eastAsia" w:cs="Times New Roman"/>
                <w:color w:val="auto"/>
                <w:sz w:val="24"/>
                <w:szCs w:val="24"/>
                <w:highlight w:val="none"/>
                <w:u w:val="single" w:color="auto"/>
                <w:lang w:val="en-US" w:eastAsia="zh-CN"/>
              </w:rPr>
              <w:t>”</w:t>
            </w:r>
            <w:r>
              <w:rPr>
                <w:rFonts w:hint="default" w:ascii="Times New Roman" w:hAnsi="Times New Roman" w:eastAsia="宋体" w:cs="Times New Roman"/>
                <w:color w:val="auto"/>
                <w:sz w:val="24"/>
                <w:szCs w:val="24"/>
                <w:highlight w:val="none"/>
                <w:u w:val="single" w:color="auto"/>
                <w:lang w:val="en-US" w:eastAsia="zh-CN"/>
              </w:rPr>
              <w:t>处理措施对</w:t>
            </w:r>
            <w:r>
              <w:rPr>
                <w:rFonts w:hint="eastAsia" w:ascii="Times New Roman" w:hAnsi="Times New Roman" w:eastAsia="宋体" w:cs="Times New Roman"/>
                <w:color w:val="auto"/>
                <w:sz w:val="24"/>
                <w:szCs w:val="24"/>
                <w:u w:val="single" w:color="auto"/>
                <w:lang w:val="en-US" w:eastAsia="zh-CN"/>
              </w:rPr>
              <w:t>颗粒物</w:t>
            </w:r>
            <w:r>
              <w:rPr>
                <w:rFonts w:hint="eastAsia" w:ascii="Times New Roman" w:hAnsi="Times New Roman" w:eastAsia="宋体" w:cs="Times New Roman"/>
                <w:sz w:val="24"/>
                <w:szCs w:val="24"/>
                <w:u w:val="single" w:color="auto"/>
                <w:lang w:val="en-US" w:eastAsia="zh-CN"/>
              </w:rPr>
              <w:t>的</w:t>
            </w:r>
            <w:r>
              <w:rPr>
                <w:rFonts w:hint="eastAsia" w:ascii="Times New Roman" w:hAnsi="Times New Roman" w:eastAsia="宋体" w:cs="Times New Roman"/>
                <w:color w:val="auto"/>
                <w:sz w:val="24"/>
                <w:szCs w:val="24"/>
                <w:u w:val="single" w:color="auto"/>
                <w:lang w:val="en-US" w:eastAsia="zh-CN"/>
              </w:rPr>
              <w:t>去除效率为95%。为此，本项目废气处理措施</w:t>
            </w:r>
            <w:r>
              <w:rPr>
                <w:rFonts w:hint="eastAsia" w:cs="Times New Roman"/>
                <w:color w:val="auto"/>
                <w:sz w:val="24"/>
                <w:szCs w:val="24"/>
                <w:u w:val="single" w:color="auto"/>
                <w:lang w:val="en-US" w:eastAsia="zh-CN"/>
              </w:rPr>
              <w:t>“</w:t>
            </w:r>
            <w:r>
              <w:rPr>
                <w:rFonts w:hint="eastAsia" w:cs="Times New Roman"/>
                <w:bCs/>
                <w:color w:val="000000"/>
                <w:sz w:val="24"/>
                <w:u w:val="single" w:color="auto"/>
                <w:lang w:val="en-US" w:eastAsia="zh-CN"/>
              </w:rPr>
              <w:t>袋式除尘器</w:t>
            </w:r>
            <w:r>
              <w:rPr>
                <w:rFonts w:hint="default" w:ascii="Times New Roman" w:hAnsi="Times New Roman" w:eastAsia="宋体" w:cs="Times New Roman"/>
                <w:bCs/>
                <w:color w:val="000000"/>
                <w:sz w:val="24"/>
                <w:u w:val="single" w:color="auto"/>
                <w:lang w:val="en-US" w:eastAsia="zh-CN"/>
              </w:rPr>
              <w:t>装置</w:t>
            </w:r>
            <w:r>
              <w:rPr>
                <w:rFonts w:hint="eastAsia" w:cs="Times New Roman"/>
                <w:color w:val="auto"/>
                <w:sz w:val="24"/>
                <w:szCs w:val="24"/>
                <w:u w:val="single" w:color="auto"/>
                <w:lang w:val="en-US" w:eastAsia="zh-CN"/>
              </w:rPr>
              <w:t>”</w:t>
            </w:r>
            <w:r>
              <w:rPr>
                <w:rFonts w:hint="eastAsia" w:ascii="Times New Roman" w:hAnsi="Times New Roman" w:eastAsia="宋体" w:cs="Times New Roman"/>
                <w:color w:val="auto"/>
                <w:sz w:val="24"/>
                <w:szCs w:val="24"/>
                <w:u w:val="single" w:color="auto"/>
                <w:lang w:val="en-US" w:eastAsia="zh-CN"/>
              </w:rPr>
              <w:t>对颗粒物的去除效率取95%。</w:t>
            </w:r>
          </w:p>
          <w:p w14:paraId="6173D131">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single" w:color="auto"/>
                <w:lang w:val="en-US" w:eastAsia="zh-CN"/>
              </w:rPr>
            </w:pPr>
            <w:r>
              <w:rPr>
                <w:rFonts w:hint="default" w:ascii="Times New Roman" w:hAnsi="Times New Roman" w:eastAsia="宋体" w:cs="Times New Roman"/>
                <w:b/>
                <w:color w:val="auto"/>
                <w:sz w:val="21"/>
                <w:szCs w:val="21"/>
                <w:highlight w:val="none"/>
                <w:u w:val="single" w:color="auto"/>
                <w:lang w:val="en-US" w:eastAsia="zh-CN"/>
              </w:rPr>
              <w:t>表</w:t>
            </w:r>
            <w:r>
              <w:rPr>
                <w:rFonts w:hint="eastAsia" w:ascii="Times New Roman" w:hAnsi="Times New Roman" w:eastAsia="宋体" w:cs="Times New Roman"/>
                <w:b/>
                <w:color w:val="auto"/>
                <w:sz w:val="21"/>
                <w:szCs w:val="21"/>
                <w:highlight w:val="none"/>
                <w:u w:val="single" w:color="auto"/>
                <w:lang w:val="en-US" w:eastAsia="zh-CN"/>
              </w:rPr>
              <w:t>4</w:t>
            </w:r>
            <w:r>
              <w:rPr>
                <w:rFonts w:hint="default" w:ascii="Times New Roman" w:hAnsi="Times New Roman" w:eastAsia="宋体" w:cs="Times New Roman"/>
                <w:b/>
                <w:color w:val="auto"/>
                <w:sz w:val="21"/>
                <w:szCs w:val="21"/>
                <w:highlight w:val="none"/>
                <w:u w:val="single" w:color="auto"/>
                <w:lang w:val="en-US" w:eastAsia="zh-CN"/>
              </w:rPr>
              <w:t>-</w:t>
            </w:r>
            <w:r>
              <w:rPr>
                <w:rFonts w:hint="eastAsia" w:ascii="Times New Roman" w:hAnsi="Times New Roman" w:eastAsia="宋体" w:cs="Times New Roman"/>
                <w:b/>
                <w:color w:val="auto"/>
                <w:sz w:val="21"/>
                <w:szCs w:val="21"/>
                <w:highlight w:val="none"/>
                <w:u w:val="single" w:color="auto"/>
                <w:lang w:val="en-US" w:eastAsia="zh-CN"/>
              </w:rPr>
              <w:t xml:space="preserve">1  </w:t>
            </w:r>
            <w:r>
              <w:rPr>
                <w:rFonts w:hint="eastAsia" w:ascii="Times New Roman" w:hAnsi="Times New Roman" w:eastAsia="宋体" w:cs="Times New Roman"/>
                <w:b/>
                <w:color w:val="auto"/>
                <w:sz w:val="21"/>
                <w:szCs w:val="21"/>
                <w:highlight w:val="none"/>
                <w:u w:val="single" w:color="auto"/>
              </w:rPr>
              <w:t>破碎废气</w:t>
            </w:r>
            <w:r>
              <w:rPr>
                <w:rFonts w:hint="eastAsia" w:ascii="Times New Roman" w:hAnsi="Times New Roman" w:eastAsia="宋体" w:cs="Times New Roman"/>
                <w:b/>
                <w:color w:val="auto"/>
                <w:sz w:val="21"/>
                <w:szCs w:val="21"/>
                <w:highlight w:val="none"/>
                <w:u w:val="single" w:color="auto"/>
                <w:lang w:val="en-US" w:eastAsia="zh-CN"/>
              </w:rPr>
              <w:t>产排</w:t>
            </w:r>
            <w:r>
              <w:rPr>
                <w:rFonts w:hint="default" w:ascii="Times New Roman" w:hAnsi="Times New Roman" w:eastAsia="宋体" w:cs="Times New Roman"/>
                <w:b/>
                <w:color w:val="auto"/>
                <w:sz w:val="21"/>
                <w:szCs w:val="21"/>
                <w:highlight w:val="none"/>
                <w:u w:val="single" w:color="auto"/>
                <w:lang w:val="en-US" w:eastAsia="zh-CN"/>
              </w:rPr>
              <w:t>情况一览表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7"/>
              <w:gridCol w:w="405"/>
              <w:gridCol w:w="648"/>
              <w:gridCol w:w="620"/>
              <w:gridCol w:w="589"/>
              <w:gridCol w:w="578"/>
              <w:gridCol w:w="418"/>
              <w:gridCol w:w="818"/>
              <w:gridCol w:w="768"/>
              <w:gridCol w:w="396"/>
              <w:gridCol w:w="736"/>
              <w:gridCol w:w="731"/>
              <w:gridCol w:w="407"/>
            </w:tblGrid>
            <w:tr w14:paraId="038EC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07" w:type="dxa"/>
                  <w:tcBorders>
                    <w:tl2br w:val="nil"/>
                    <w:tr2bl w:val="nil"/>
                  </w:tcBorders>
                  <w:noWrap w:val="0"/>
                  <w:vAlign w:val="center"/>
                </w:tcPr>
                <w:p w14:paraId="7C85B2EE">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污染源</w:t>
                  </w:r>
                </w:p>
              </w:tc>
              <w:tc>
                <w:tcPr>
                  <w:tcW w:w="405" w:type="dxa"/>
                  <w:tcBorders>
                    <w:tl2br w:val="nil"/>
                    <w:tr2bl w:val="nil"/>
                  </w:tcBorders>
                  <w:noWrap w:val="0"/>
                  <w:vAlign w:val="center"/>
                </w:tcPr>
                <w:p w14:paraId="356D03A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污染物</w:t>
                  </w:r>
                </w:p>
              </w:tc>
              <w:tc>
                <w:tcPr>
                  <w:tcW w:w="648" w:type="dxa"/>
                  <w:tcBorders>
                    <w:tl2br w:val="nil"/>
                    <w:tr2bl w:val="nil"/>
                  </w:tcBorders>
                  <w:noWrap w:val="0"/>
                  <w:vAlign w:val="center"/>
                </w:tcPr>
                <w:p w14:paraId="73FCB73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产生量t/a</w:t>
                  </w:r>
                </w:p>
              </w:tc>
              <w:tc>
                <w:tcPr>
                  <w:tcW w:w="620" w:type="dxa"/>
                  <w:tcBorders>
                    <w:tl2br w:val="nil"/>
                    <w:tr2bl w:val="nil"/>
                  </w:tcBorders>
                  <w:noWrap w:val="0"/>
                  <w:vAlign w:val="center"/>
                </w:tcPr>
                <w:p w14:paraId="15371BD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产生速率kg/h</w:t>
                  </w:r>
                </w:p>
              </w:tc>
              <w:tc>
                <w:tcPr>
                  <w:tcW w:w="589" w:type="dxa"/>
                  <w:tcBorders>
                    <w:tl2br w:val="nil"/>
                    <w:tr2bl w:val="nil"/>
                  </w:tcBorders>
                  <w:noWrap w:val="0"/>
                  <w:vAlign w:val="center"/>
                </w:tcPr>
                <w:p w14:paraId="20E51A7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收集效率%</w:t>
                  </w:r>
                </w:p>
              </w:tc>
              <w:tc>
                <w:tcPr>
                  <w:tcW w:w="578" w:type="dxa"/>
                  <w:tcBorders>
                    <w:tl2br w:val="nil"/>
                    <w:tr2bl w:val="nil"/>
                  </w:tcBorders>
                  <w:noWrap w:val="0"/>
                  <w:vAlign w:val="center"/>
                </w:tcPr>
                <w:p w14:paraId="20865F3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处理措施</w:t>
                  </w:r>
                </w:p>
              </w:tc>
              <w:tc>
                <w:tcPr>
                  <w:tcW w:w="418" w:type="dxa"/>
                  <w:tcBorders>
                    <w:tl2br w:val="nil"/>
                    <w:tr2bl w:val="nil"/>
                  </w:tcBorders>
                  <w:noWrap w:val="0"/>
                  <w:vAlign w:val="center"/>
                </w:tcPr>
                <w:p w14:paraId="0398B0E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去除效率%</w:t>
                  </w:r>
                </w:p>
              </w:tc>
              <w:tc>
                <w:tcPr>
                  <w:tcW w:w="818" w:type="dxa"/>
                  <w:tcBorders>
                    <w:tl2br w:val="nil"/>
                    <w:tr2bl w:val="nil"/>
                  </w:tcBorders>
                  <w:noWrap w:val="0"/>
                  <w:vAlign w:val="center"/>
                </w:tcPr>
                <w:p w14:paraId="2B5BBAD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排放量t/a</w:t>
                  </w:r>
                </w:p>
              </w:tc>
              <w:tc>
                <w:tcPr>
                  <w:tcW w:w="768" w:type="dxa"/>
                  <w:tcBorders>
                    <w:tl2br w:val="nil"/>
                    <w:tr2bl w:val="nil"/>
                  </w:tcBorders>
                  <w:noWrap w:val="0"/>
                  <w:vAlign w:val="center"/>
                </w:tcPr>
                <w:p w14:paraId="76221F2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排放速率kg/h</w:t>
                  </w:r>
                </w:p>
              </w:tc>
              <w:tc>
                <w:tcPr>
                  <w:tcW w:w="396" w:type="dxa"/>
                  <w:tcBorders>
                    <w:tl2br w:val="nil"/>
                    <w:tr2bl w:val="nil"/>
                  </w:tcBorders>
                  <w:noWrap w:val="0"/>
                  <w:vAlign w:val="center"/>
                </w:tcPr>
                <w:p w14:paraId="6032AFB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排气筒m</w:t>
                  </w:r>
                </w:p>
              </w:tc>
              <w:tc>
                <w:tcPr>
                  <w:tcW w:w="736" w:type="dxa"/>
                  <w:tcBorders>
                    <w:tl2br w:val="nil"/>
                    <w:tr2bl w:val="nil"/>
                  </w:tcBorders>
                  <w:noWrap w:val="0"/>
                  <w:vAlign w:val="center"/>
                </w:tcPr>
                <w:p w14:paraId="7139D2A1">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风量m</w:t>
                  </w:r>
                  <w:r>
                    <w:rPr>
                      <w:rFonts w:hint="eastAsia" w:ascii="Times New Roman" w:hAnsi="Times New Roman" w:eastAsia="宋体" w:cs="Times New Roman"/>
                      <w:b/>
                      <w:bCs/>
                      <w:color w:val="auto"/>
                      <w:sz w:val="18"/>
                      <w:szCs w:val="18"/>
                      <w:u w:val="single" w:color="auto"/>
                      <w:vertAlign w:val="superscript"/>
                      <w:lang w:val="en-US" w:eastAsia="zh-CN"/>
                    </w:rPr>
                    <w:t>3</w:t>
                  </w:r>
                  <w:r>
                    <w:rPr>
                      <w:rFonts w:hint="eastAsia" w:ascii="Times New Roman" w:hAnsi="Times New Roman" w:eastAsia="宋体" w:cs="Times New Roman"/>
                      <w:b/>
                      <w:bCs/>
                      <w:color w:val="auto"/>
                      <w:sz w:val="18"/>
                      <w:szCs w:val="18"/>
                      <w:u w:val="single" w:color="auto"/>
                      <w:lang w:val="en-US" w:eastAsia="zh-CN"/>
                    </w:rPr>
                    <w:t>/h</w:t>
                  </w:r>
                </w:p>
              </w:tc>
              <w:tc>
                <w:tcPr>
                  <w:tcW w:w="731" w:type="dxa"/>
                  <w:tcBorders>
                    <w:tl2br w:val="nil"/>
                    <w:tr2bl w:val="nil"/>
                  </w:tcBorders>
                  <w:noWrap w:val="0"/>
                  <w:vAlign w:val="center"/>
                </w:tcPr>
                <w:p w14:paraId="46AEDED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排放</w:t>
                  </w:r>
                </w:p>
                <w:p w14:paraId="4CD7CF4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浓度mg/m</w:t>
                  </w:r>
                  <w:r>
                    <w:rPr>
                      <w:rFonts w:hint="eastAsia" w:ascii="Times New Roman" w:hAnsi="Times New Roman" w:eastAsia="宋体" w:cs="Times New Roman"/>
                      <w:b/>
                      <w:bCs/>
                      <w:color w:val="auto"/>
                      <w:sz w:val="18"/>
                      <w:szCs w:val="18"/>
                      <w:u w:val="single" w:color="auto"/>
                      <w:vertAlign w:val="superscript"/>
                      <w:lang w:val="en-US" w:eastAsia="zh-CN"/>
                    </w:rPr>
                    <w:t>3</w:t>
                  </w:r>
                </w:p>
              </w:tc>
              <w:tc>
                <w:tcPr>
                  <w:tcW w:w="407" w:type="dxa"/>
                  <w:tcBorders>
                    <w:tl2br w:val="nil"/>
                    <w:tr2bl w:val="nil"/>
                  </w:tcBorders>
                  <w:noWrap w:val="0"/>
                  <w:vAlign w:val="center"/>
                </w:tcPr>
                <w:p w14:paraId="554D4D5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bCs/>
                      <w:color w:val="auto"/>
                      <w:sz w:val="18"/>
                      <w:szCs w:val="18"/>
                      <w:u w:val="single" w:color="auto"/>
                      <w:lang w:val="en-US" w:eastAsia="zh-CN"/>
                    </w:rPr>
                  </w:pPr>
                  <w:r>
                    <w:rPr>
                      <w:rFonts w:hint="eastAsia" w:ascii="Times New Roman" w:hAnsi="Times New Roman" w:eastAsia="宋体" w:cs="Times New Roman"/>
                      <w:b/>
                      <w:bCs/>
                      <w:color w:val="auto"/>
                      <w:sz w:val="18"/>
                      <w:szCs w:val="18"/>
                      <w:u w:val="single" w:color="auto"/>
                      <w:lang w:val="en-US" w:eastAsia="zh-CN"/>
                    </w:rPr>
                    <w:t>排放方式</w:t>
                  </w:r>
                </w:p>
              </w:tc>
            </w:tr>
            <w:tr w14:paraId="0A866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07" w:type="dxa"/>
                  <w:vMerge w:val="restart"/>
                  <w:tcBorders>
                    <w:tl2br w:val="nil"/>
                    <w:tr2bl w:val="nil"/>
                  </w:tcBorders>
                  <w:noWrap w:val="0"/>
                  <w:vAlign w:val="center"/>
                </w:tcPr>
                <w:p w14:paraId="2A836A5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eastAsia="宋体" w:cs="Times New Roman"/>
                      <w:color w:val="auto"/>
                      <w:sz w:val="18"/>
                      <w:szCs w:val="18"/>
                      <w:u w:val="single" w:color="auto"/>
                      <w:lang w:val="en-US" w:eastAsia="zh-CN"/>
                    </w:rPr>
                    <w:t>破碎</w:t>
                  </w:r>
                  <w:r>
                    <w:rPr>
                      <w:rFonts w:hint="default" w:ascii="Times New Roman" w:hAnsi="Times New Roman" w:eastAsia="宋体" w:cs="Times New Roman"/>
                      <w:color w:val="auto"/>
                      <w:sz w:val="18"/>
                      <w:szCs w:val="18"/>
                      <w:u w:val="single" w:color="auto"/>
                    </w:rPr>
                    <w:t>废气</w:t>
                  </w:r>
                </w:p>
              </w:tc>
              <w:tc>
                <w:tcPr>
                  <w:tcW w:w="405" w:type="dxa"/>
                  <w:vMerge w:val="restart"/>
                  <w:tcBorders>
                    <w:tl2br w:val="nil"/>
                    <w:tr2bl w:val="nil"/>
                  </w:tcBorders>
                  <w:noWrap w:val="0"/>
                  <w:vAlign w:val="center"/>
                </w:tcPr>
                <w:p w14:paraId="4F6940A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ascii="Times New Roman" w:hAnsi="Times New Roman" w:eastAsia="宋体" w:cs="Times New Roman"/>
                      <w:color w:val="auto"/>
                      <w:sz w:val="18"/>
                      <w:szCs w:val="18"/>
                      <w:u w:val="single" w:color="auto"/>
                      <w:lang w:val="en-US" w:eastAsia="zh-CN"/>
                    </w:rPr>
                    <w:t>颗粒物</w:t>
                  </w:r>
                </w:p>
              </w:tc>
              <w:tc>
                <w:tcPr>
                  <w:tcW w:w="648" w:type="dxa"/>
                  <w:vMerge w:val="restart"/>
                  <w:tcBorders>
                    <w:tl2br w:val="nil"/>
                    <w:tr2bl w:val="nil"/>
                  </w:tcBorders>
                  <w:noWrap w:val="0"/>
                  <w:vAlign w:val="center"/>
                </w:tcPr>
                <w:p w14:paraId="11D16B8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eastAsia="宋体" w:cs="Times New Roman"/>
                      <w:color w:val="auto"/>
                      <w:sz w:val="18"/>
                      <w:szCs w:val="18"/>
                      <w:u w:val="single" w:color="auto"/>
                      <w:lang w:val="en-US" w:eastAsia="zh-CN"/>
                    </w:rPr>
                    <w:t>16.875</w:t>
                  </w:r>
                </w:p>
              </w:tc>
              <w:tc>
                <w:tcPr>
                  <w:tcW w:w="620" w:type="dxa"/>
                  <w:vMerge w:val="restart"/>
                  <w:tcBorders>
                    <w:tl2br w:val="nil"/>
                    <w:tr2bl w:val="nil"/>
                  </w:tcBorders>
                  <w:noWrap w:val="0"/>
                  <w:vAlign w:val="center"/>
                </w:tcPr>
                <w:p w14:paraId="527C43C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18"/>
                      <w:szCs w:val="18"/>
                      <w:u w:val="single" w:color="auto"/>
                      <w:lang w:val="en-US" w:eastAsia="zh-CN"/>
                    </w:rPr>
                  </w:pPr>
                  <w:r>
                    <w:rPr>
                      <w:rFonts w:hint="eastAsia" w:eastAsia="宋体" w:cs="Times New Roman"/>
                      <w:color w:val="auto"/>
                      <w:sz w:val="18"/>
                      <w:szCs w:val="18"/>
                      <w:u w:val="single" w:color="auto"/>
                      <w:lang w:val="en-US" w:eastAsia="zh-CN"/>
                    </w:rPr>
                    <w:t>3.516</w:t>
                  </w:r>
                </w:p>
              </w:tc>
              <w:tc>
                <w:tcPr>
                  <w:tcW w:w="589" w:type="dxa"/>
                  <w:vMerge w:val="restart"/>
                  <w:tcBorders>
                    <w:tl2br w:val="nil"/>
                    <w:tr2bl w:val="nil"/>
                  </w:tcBorders>
                  <w:noWrap w:val="0"/>
                  <w:vAlign w:val="center"/>
                </w:tcPr>
                <w:p w14:paraId="107CF2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cs="Times New Roman"/>
                      <w:color w:val="auto"/>
                      <w:sz w:val="18"/>
                      <w:szCs w:val="18"/>
                      <w:u w:val="single" w:color="auto"/>
                      <w:lang w:val="en-US" w:eastAsia="zh-CN"/>
                    </w:rPr>
                    <w:t>90</w:t>
                  </w:r>
                </w:p>
              </w:tc>
              <w:tc>
                <w:tcPr>
                  <w:tcW w:w="578" w:type="dxa"/>
                  <w:vMerge w:val="restart"/>
                  <w:tcBorders>
                    <w:tl2br w:val="nil"/>
                    <w:tr2bl w:val="nil"/>
                  </w:tcBorders>
                  <w:noWrap w:val="0"/>
                  <w:vAlign w:val="center"/>
                </w:tcPr>
                <w:p w14:paraId="09A565A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18"/>
                      <w:szCs w:val="18"/>
                      <w:u w:val="single" w:color="auto"/>
                      <w:lang w:val="en-US" w:eastAsia="zh-CN"/>
                    </w:rPr>
                  </w:pPr>
                  <w:r>
                    <w:rPr>
                      <w:rFonts w:hint="default" w:ascii="Times New Roman" w:hAnsi="Times New Roman" w:eastAsia="宋体"/>
                      <w:color w:val="auto"/>
                      <w:sz w:val="18"/>
                      <w:szCs w:val="18"/>
                      <w:u w:val="single" w:color="auto"/>
                    </w:rPr>
                    <w:t>袋式除尘器装置</w:t>
                  </w:r>
                </w:p>
              </w:tc>
              <w:tc>
                <w:tcPr>
                  <w:tcW w:w="418" w:type="dxa"/>
                  <w:vMerge w:val="restart"/>
                  <w:tcBorders>
                    <w:tl2br w:val="nil"/>
                    <w:tr2bl w:val="nil"/>
                  </w:tcBorders>
                  <w:noWrap w:val="0"/>
                  <w:vAlign w:val="center"/>
                </w:tcPr>
                <w:p w14:paraId="0C2F1C3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eastAsia="宋体" w:cs="Times New Roman"/>
                      <w:color w:val="auto"/>
                      <w:sz w:val="18"/>
                      <w:szCs w:val="18"/>
                      <w:u w:val="single" w:color="auto"/>
                      <w:lang w:val="en-US" w:eastAsia="zh-CN"/>
                    </w:rPr>
                    <w:t>95</w:t>
                  </w:r>
                </w:p>
              </w:tc>
              <w:tc>
                <w:tcPr>
                  <w:tcW w:w="818" w:type="dxa"/>
                  <w:tcBorders>
                    <w:tl2br w:val="nil"/>
                    <w:tr2bl w:val="nil"/>
                  </w:tcBorders>
                  <w:shd w:val="clear" w:color="auto" w:fill="auto"/>
                  <w:noWrap w:val="0"/>
                  <w:vAlign w:val="center"/>
                </w:tcPr>
                <w:p w14:paraId="135E8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eastAsia" w:eastAsia="宋体" w:cs="Times New Roman"/>
                      <w:i w:val="0"/>
                      <w:iCs w:val="0"/>
                      <w:color w:val="000000"/>
                      <w:kern w:val="2"/>
                      <w:sz w:val="18"/>
                      <w:szCs w:val="18"/>
                      <w:u w:val="single" w:color="auto"/>
                      <w:lang w:val="en-US" w:eastAsia="zh-CN" w:bidi="ar-SA"/>
                    </w:rPr>
                    <w:t>0.759</w:t>
                  </w:r>
                </w:p>
              </w:tc>
              <w:tc>
                <w:tcPr>
                  <w:tcW w:w="768" w:type="dxa"/>
                  <w:tcBorders>
                    <w:tl2br w:val="nil"/>
                    <w:tr2bl w:val="nil"/>
                  </w:tcBorders>
                  <w:shd w:val="clear" w:color="auto" w:fill="auto"/>
                  <w:noWrap w:val="0"/>
                  <w:vAlign w:val="center"/>
                </w:tcPr>
                <w:p w14:paraId="19C6C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eastAsia" w:eastAsia="宋体" w:cs="Times New Roman"/>
                      <w:i w:val="0"/>
                      <w:iCs w:val="0"/>
                      <w:color w:val="000000"/>
                      <w:kern w:val="2"/>
                      <w:sz w:val="18"/>
                      <w:szCs w:val="18"/>
                      <w:u w:val="single" w:color="auto"/>
                      <w:lang w:val="en-US" w:eastAsia="zh-CN" w:bidi="ar-SA"/>
                    </w:rPr>
                    <w:t>0.158</w:t>
                  </w:r>
                </w:p>
              </w:tc>
              <w:tc>
                <w:tcPr>
                  <w:tcW w:w="396" w:type="dxa"/>
                  <w:tcBorders>
                    <w:tl2br w:val="nil"/>
                    <w:tr2bl w:val="nil"/>
                  </w:tcBorders>
                  <w:noWrap w:val="0"/>
                  <w:vAlign w:val="center"/>
                </w:tcPr>
                <w:p w14:paraId="3314FE3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2"/>
                      <w:sz w:val="18"/>
                      <w:szCs w:val="18"/>
                      <w:u w:val="single" w:color="auto"/>
                      <w:lang w:val="en-US" w:eastAsia="zh-CN" w:bidi="ar-SA"/>
                    </w:rPr>
                  </w:pPr>
                  <w:r>
                    <w:rPr>
                      <w:rFonts w:hint="eastAsia" w:cs="Times New Roman"/>
                      <w:i w:val="0"/>
                      <w:iCs w:val="0"/>
                      <w:color w:val="auto"/>
                      <w:kern w:val="2"/>
                      <w:sz w:val="18"/>
                      <w:szCs w:val="18"/>
                      <w:u w:val="single" w:color="auto"/>
                      <w:lang w:val="en-US" w:eastAsia="zh-CN" w:bidi="ar-SA"/>
                    </w:rPr>
                    <w:t>15</w:t>
                  </w:r>
                </w:p>
              </w:tc>
              <w:tc>
                <w:tcPr>
                  <w:tcW w:w="736" w:type="dxa"/>
                  <w:tcBorders>
                    <w:tl2br w:val="nil"/>
                    <w:tr2bl w:val="nil"/>
                  </w:tcBorders>
                  <w:noWrap w:val="0"/>
                  <w:vAlign w:val="center"/>
                </w:tcPr>
                <w:p w14:paraId="3C9F34C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cs="Times New Roman"/>
                      <w:color w:val="auto"/>
                      <w:sz w:val="18"/>
                      <w:szCs w:val="18"/>
                      <w:u w:val="single" w:color="auto"/>
                      <w:lang w:val="en-US" w:eastAsia="zh-CN"/>
                    </w:rPr>
                    <w:t>18000</w:t>
                  </w:r>
                </w:p>
              </w:tc>
              <w:tc>
                <w:tcPr>
                  <w:tcW w:w="731" w:type="dxa"/>
                  <w:tcBorders>
                    <w:tl2br w:val="nil"/>
                    <w:tr2bl w:val="nil"/>
                  </w:tcBorders>
                  <w:shd w:val="clear" w:color="auto" w:fill="auto"/>
                  <w:noWrap w:val="0"/>
                  <w:vAlign w:val="center"/>
                </w:tcPr>
                <w:p w14:paraId="0C4165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eastAsia" w:eastAsia="宋体" w:cs="Times New Roman"/>
                      <w:i w:val="0"/>
                      <w:iCs w:val="0"/>
                      <w:color w:val="000000"/>
                      <w:kern w:val="2"/>
                      <w:sz w:val="18"/>
                      <w:szCs w:val="18"/>
                      <w:u w:val="single" w:color="auto"/>
                      <w:lang w:val="en-US" w:eastAsia="zh-CN" w:bidi="ar-SA"/>
                    </w:rPr>
                    <w:t>8.789</w:t>
                  </w:r>
                </w:p>
              </w:tc>
              <w:tc>
                <w:tcPr>
                  <w:tcW w:w="407" w:type="dxa"/>
                  <w:tcBorders>
                    <w:tl2br w:val="nil"/>
                    <w:tr2bl w:val="nil"/>
                  </w:tcBorders>
                  <w:noWrap w:val="0"/>
                  <w:vAlign w:val="center"/>
                </w:tcPr>
                <w:p w14:paraId="332925D0">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18"/>
                      <w:szCs w:val="18"/>
                      <w:u w:val="single" w:color="auto"/>
                      <w:lang w:val="en-US" w:eastAsia="zh-CN"/>
                    </w:rPr>
                  </w:pPr>
                  <w:r>
                    <w:rPr>
                      <w:rFonts w:hint="eastAsia" w:ascii="Times New Roman" w:hAnsi="Times New Roman" w:eastAsia="宋体" w:cs="Times New Roman"/>
                      <w:color w:val="auto"/>
                      <w:sz w:val="18"/>
                      <w:szCs w:val="18"/>
                      <w:u w:val="single" w:color="auto"/>
                      <w:lang w:val="en-US" w:eastAsia="zh-CN"/>
                    </w:rPr>
                    <w:t>有组织</w:t>
                  </w:r>
                </w:p>
              </w:tc>
            </w:tr>
            <w:tr w14:paraId="23843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7" w:type="dxa"/>
                  <w:vMerge w:val="continue"/>
                  <w:tcBorders>
                    <w:tl2br w:val="nil"/>
                    <w:tr2bl w:val="nil"/>
                  </w:tcBorders>
                  <w:noWrap w:val="0"/>
                  <w:vAlign w:val="center"/>
                </w:tcPr>
                <w:p w14:paraId="1B0BC6A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18"/>
                      <w:szCs w:val="18"/>
                      <w:u w:val="single" w:color="auto"/>
                      <w:lang w:val="en-US" w:eastAsia="zh-CN"/>
                    </w:rPr>
                  </w:pPr>
                </w:p>
              </w:tc>
              <w:tc>
                <w:tcPr>
                  <w:tcW w:w="405" w:type="dxa"/>
                  <w:vMerge w:val="continue"/>
                  <w:tcBorders>
                    <w:tl2br w:val="nil"/>
                    <w:tr2bl w:val="nil"/>
                  </w:tcBorders>
                  <w:noWrap w:val="0"/>
                  <w:vAlign w:val="center"/>
                </w:tcPr>
                <w:p w14:paraId="3F713C96">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18"/>
                      <w:szCs w:val="18"/>
                      <w:u w:val="single" w:color="auto"/>
                      <w:lang w:val="en-US" w:eastAsia="zh-CN"/>
                    </w:rPr>
                  </w:pPr>
                </w:p>
              </w:tc>
              <w:tc>
                <w:tcPr>
                  <w:tcW w:w="648" w:type="dxa"/>
                  <w:vMerge w:val="continue"/>
                  <w:tcBorders>
                    <w:tl2br w:val="nil"/>
                    <w:tr2bl w:val="nil"/>
                  </w:tcBorders>
                  <w:noWrap w:val="0"/>
                  <w:vAlign w:val="center"/>
                </w:tcPr>
                <w:p w14:paraId="221B021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p>
              </w:tc>
              <w:tc>
                <w:tcPr>
                  <w:tcW w:w="620" w:type="dxa"/>
                  <w:vMerge w:val="continue"/>
                  <w:tcBorders>
                    <w:tl2br w:val="nil"/>
                    <w:tr2bl w:val="nil"/>
                  </w:tcBorders>
                  <w:noWrap w:val="0"/>
                  <w:vAlign w:val="center"/>
                </w:tcPr>
                <w:p w14:paraId="7F7C15F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p>
              </w:tc>
              <w:tc>
                <w:tcPr>
                  <w:tcW w:w="589" w:type="dxa"/>
                  <w:vMerge w:val="continue"/>
                  <w:tcBorders>
                    <w:tl2br w:val="nil"/>
                    <w:tr2bl w:val="nil"/>
                  </w:tcBorders>
                  <w:noWrap w:val="0"/>
                  <w:vAlign w:val="center"/>
                </w:tcPr>
                <w:p w14:paraId="4287B5D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p>
              </w:tc>
              <w:tc>
                <w:tcPr>
                  <w:tcW w:w="578" w:type="dxa"/>
                  <w:vMerge w:val="continue"/>
                  <w:tcBorders>
                    <w:tl2br w:val="nil"/>
                    <w:tr2bl w:val="nil"/>
                  </w:tcBorders>
                  <w:noWrap w:val="0"/>
                  <w:vAlign w:val="center"/>
                </w:tcPr>
                <w:p w14:paraId="35CE00F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p>
              </w:tc>
              <w:tc>
                <w:tcPr>
                  <w:tcW w:w="418" w:type="dxa"/>
                  <w:vMerge w:val="continue"/>
                  <w:tcBorders>
                    <w:tl2br w:val="nil"/>
                    <w:tr2bl w:val="nil"/>
                  </w:tcBorders>
                  <w:noWrap w:val="0"/>
                  <w:vAlign w:val="center"/>
                </w:tcPr>
                <w:p w14:paraId="6A4CE23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p>
              </w:tc>
              <w:tc>
                <w:tcPr>
                  <w:tcW w:w="818" w:type="dxa"/>
                  <w:tcBorders>
                    <w:tl2br w:val="nil"/>
                    <w:tr2bl w:val="nil"/>
                  </w:tcBorders>
                  <w:shd w:val="clear" w:color="auto" w:fill="auto"/>
                  <w:noWrap w:val="0"/>
                  <w:vAlign w:val="center"/>
                </w:tcPr>
                <w:p w14:paraId="38F31A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18"/>
                      <w:szCs w:val="18"/>
                      <w:u w:val="single" w:color="auto"/>
                      <w:lang w:val="en-US" w:eastAsia="zh-CN" w:bidi="ar"/>
                    </w:rPr>
                  </w:pPr>
                  <w:r>
                    <w:rPr>
                      <w:rFonts w:hint="eastAsia" w:eastAsia="宋体" w:cs="Times New Roman"/>
                      <w:i w:val="0"/>
                      <w:iCs w:val="0"/>
                      <w:color w:val="000000"/>
                      <w:kern w:val="0"/>
                      <w:sz w:val="18"/>
                      <w:szCs w:val="18"/>
                      <w:u w:val="single" w:color="auto"/>
                      <w:lang w:val="en-US" w:eastAsia="zh-CN" w:bidi="ar"/>
                    </w:rPr>
                    <w:t>1.688</w:t>
                  </w:r>
                </w:p>
              </w:tc>
              <w:tc>
                <w:tcPr>
                  <w:tcW w:w="768" w:type="dxa"/>
                  <w:tcBorders>
                    <w:tl2br w:val="nil"/>
                    <w:tr2bl w:val="nil"/>
                  </w:tcBorders>
                  <w:shd w:val="clear" w:color="auto" w:fill="auto"/>
                  <w:noWrap w:val="0"/>
                  <w:vAlign w:val="center"/>
                </w:tcPr>
                <w:p w14:paraId="232463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0"/>
                      <w:sz w:val="18"/>
                      <w:szCs w:val="18"/>
                      <w:u w:val="single" w:color="auto"/>
                      <w:lang w:val="en-US" w:eastAsia="zh-CN" w:bidi="ar"/>
                    </w:rPr>
                  </w:pPr>
                  <w:r>
                    <w:rPr>
                      <w:rFonts w:hint="eastAsia" w:eastAsia="宋体" w:cs="Times New Roman"/>
                      <w:i w:val="0"/>
                      <w:iCs w:val="0"/>
                      <w:color w:val="000000"/>
                      <w:kern w:val="0"/>
                      <w:sz w:val="18"/>
                      <w:szCs w:val="18"/>
                      <w:u w:val="single" w:color="auto"/>
                      <w:lang w:val="en-US" w:eastAsia="zh-CN" w:bidi="ar"/>
                    </w:rPr>
                    <w:t>0.352</w:t>
                  </w:r>
                </w:p>
              </w:tc>
              <w:tc>
                <w:tcPr>
                  <w:tcW w:w="396" w:type="dxa"/>
                  <w:tcBorders>
                    <w:tl2br w:val="nil"/>
                    <w:tr2bl w:val="nil"/>
                  </w:tcBorders>
                  <w:noWrap w:val="0"/>
                  <w:vAlign w:val="center"/>
                </w:tcPr>
                <w:p w14:paraId="70591A5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18"/>
                      <w:szCs w:val="18"/>
                      <w:u w:val="single" w:color="auto"/>
                      <w:lang w:val="en-US" w:eastAsia="zh-CN" w:bidi="ar-SA"/>
                    </w:rPr>
                  </w:pPr>
                  <w:r>
                    <w:rPr>
                      <w:rFonts w:hint="eastAsia" w:ascii="Times New Roman" w:hAnsi="Times New Roman" w:eastAsia="宋体" w:cs="Times New Roman"/>
                      <w:color w:val="auto"/>
                      <w:kern w:val="2"/>
                      <w:sz w:val="18"/>
                      <w:szCs w:val="18"/>
                      <w:u w:val="single" w:color="auto"/>
                      <w:lang w:val="en-US" w:eastAsia="zh-CN" w:bidi="ar-SA"/>
                    </w:rPr>
                    <w:t>/</w:t>
                  </w:r>
                </w:p>
              </w:tc>
              <w:tc>
                <w:tcPr>
                  <w:tcW w:w="736" w:type="dxa"/>
                  <w:tcBorders>
                    <w:tl2br w:val="nil"/>
                    <w:tr2bl w:val="nil"/>
                  </w:tcBorders>
                  <w:noWrap w:val="0"/>
                  <w:vAlign w:val="center"/>
                </w:tcPr>
                <w:p w14:paraId="55399AC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18"/>
                      <w:szCs w:val="18"/>
                      <w:u w:val="single" w:color="auto"/>
                      <w:lang w:val="en-US" w:eastAsia="zh-CN"/>
                    </w:rPr>
                  </w:pPr>
                  <w:r>
                    <w:rPr>
                      <w:rFonts w:hint="eastAsia" w:ascii="Times New Roman" w:hAnsi="Times New Roman" w:eastAsia="宋体" w:cs="Times New Roman"/>
                      <w:color w:val="auto"/>
                      <w:sz w:val="18"/>
                      <w:szCs w:val="18"/>
                      <w:u w:val="single" w:color="auto"/>
                      <w:lang w:val="en-US" w:eastAsia="zh-CN"/>
                    </w:rPr>
                    <w:t>/</w:t>
                  </w:r>
                </w:p>
              </w:tc>
              <w:tc>
                <w:tcPr>
                  <w:tcW w:w="731" w:type="dxa"/>
                  <w:tcBorders>
                    <w:tl2br w:val="nil"/>
                    <w:tr2bl w:val="nil"/>
                  </w:tcBorders>
                  <w:shd w:val="clear" w:color="auto" w:fill="auto"/>
                  <w:noWrap w:val="0"/>
                  <w:vAlign w:val="center"/>
                </w:tcPr>
                <w:p w14:paraId="194D6B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eastAsia" w:ascii="Times New Roman" w:hAnsi="Times New Roman" w:eastAsia="宋体" w:cs="Times New Roman"/>
                      <w:color w:val="auto"/>
                      <w:sz w:val="18"/>
                      <w:szCs w:val="18"/>
                      <w:u w:val="single" w:color="auto"/>
                      <w:lang w:val="en-US" w:eastAsia="zh-CN"/>
                    </w:rPr>
                    <w:t>/</w:t>
                  </w:r>
                </w:p>
              </w:tc>
              <w:tc>
                <w:tcPr>
                  <w:tcW w:w="407" w:type="dxa"/>
                  <w:tcBorders>
                    <w:tl2br w:val="nil"/>
                    <w:tr2bl w:val="nil"/>
                  </w:tcBorders>
                  <w:noWrap w:val="0"/>
                  <w:vAlign w:val="center"/>
                </w:tcPr>
                <w:p w14:paraId="371A41D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sz w:val="18"/>
                      <w:szCs w:val="18"/>
                      <w:u w:val="single" w:color="auto"/>
                      <w:lang w:val="en-US" w:eastAsia="zh-CN"/>
                    </w:rPr>
                  </w:pPr>
                  <w:r>
                    <w:rPr>
                      <w:rFonts w:hint="eastAsia" w:ascii="Times New Roman" w:hAnsi="Times New Roman" w:eastAsia="宋体" w:cs="Times New Roman"/>
                      <w:color w:val="auto"/>
                      <w:sz w:val="18"/>
                      <w:szCs w:val="18"/>
                      <w:u w:val="single" w:color="auto"/>
                      <w:lang w:val="en-US" w:eastAsia="zh-CN"/>
                    </w:rPr>
                    <w:t>无组织</w:t>
                  </w:r>
                </w:p>
              </w:tc>
            </w:tr>
          </w:tbl>
          <w:p w14:paraId="7CBF9A0B">
            <w:pPr>
              <w:pStyle w:val="14"/>
              <w:numPr>
                <w:ilvl w:val="0"/>
                <w:numId w:val="0"/>
              </w:numPr>
              <w:bidi w:val="0"/>
              <w:ind w:firstLine="480" w:firstLineChars="200"/>
              <w:rPr>
                <w:rFonts w:hint="eastAsia" w:ascii="Times New Roman" w:hAnsi="Times New Roman" w:eastAsia="宋体"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u w:val="single" w:color="auto"/>
                <w:lang w:val="en-US" w:eastAsia="zh-CN"/>
              </w:rPr>
              <w:t>综上所述，本项目营运期有组织排放的</w:t>
            </w:r>
            <w:r>
              <w:rPr>
                <w:rFonts w:hint="default" w:ascii="Times New Roman" w:hAnsi="Times New Roman" w:eastAsia="宋体" w:cs="Times New Roman"/>
                <w:b w:val="0"/>
                <w:bCs w:val="0"/>
                <w:color w:val="auto"/>
                <w:sz w:val="24"/>
                <w:szCs w:val="24"/>
                <w:highlight w:val="none"/>
                <w:u w:val="single" w:color="auto"/>
                <w:lang w:eastAsia="zh-CN"/>
              </w:rPr>
              <w:t>破碎废气</w:t>
            </w:r>
            <w:r>
              <w:rPr>
                <w:rFonts w:hint="eastAsia" w:ascii="Times New Roman" w:hAnsi="Times New Roman" w:eastAsia="宋体" w:cs="Times New Roman"/>
                <w:color w:val="auto"/>
                <w:sz w:val="24"/>
                <w:szCs w:val="24"/>
                <w:u w:val="single" w:color="auto"/>
                <w:lang w:val="en-US" w:eastAsia="zh-CN"/>
              </w:rPr>
              <w:t>中颗粒物的</w:t>
            </w:r>
            <w:r>
              <w:rPr>
                <w:rFonts w:hint="eastAsia" w:ascii="Times New Roman" w:hAnsi="Times New Roman" w:cs="Times New Roman"/>
                <w:color w:val="auto"/>
                <w:sz w:val="24"/>
                <w:szCs w:val="24"/>
                <w:u w:val="single" w:color="auto"/>
                <w:lang w:val="en-US" w:eastAsia="zh-CN"/>
              </w:rPr>
              <w:t>排放速率、</w:t>
            </w:r>
            <w:r>
              <w:rPr>
                <w:rFonts w:hint="eastAsia" w:ascii="Times New Roman" w:hAnsi="Times New Roman" w:eastAsia="宋体" w:cs="Times New Roman"/>
                <w:color w:val="auto"/>
                <w:sz w:val="24"/>
                <w:szCs w:val="24"/>
                <w:u w:val="single" w:color="auto"/>
                <w:lang w:val="en-US" w:eastAsia="zh-CN"/>
              </w:rPr>
              <w:t>排放浓度</w:t>
            </w: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为</w:t>
            </w:r>
            <w:r>
              <w:rPr>
                <w:rFonts w:hint="default"/>
                <w:color w:val="000000" w:themeColor="text1"/>
                <w:szCs w:val="24"/>
                <w:u w:val="single" w:color="auto"/>
                <w:lang w:bidi="ar"/>
                <w14:textFill>
                  <w14:solidFill>
                    <w14:schemeClr w14:val="tx1"/>
                  </w14:solidFill>
                </w14:textFill>
              </w:rPr>
              <w:t>0.158</w:t>
            </w:r>
            <w:r>
              <w:rPr>
                <w:rFonts w:hint="eastAsia" w:ascii="Times New Roman" w:hAnsi="Times New Roman" w:cs="Times New Roman"/>
                <w:color w:val="000000" w:themeColor="text1"/>
                <w:sz w:val="24"/>
                <w:szCs w:val="24"/>
                <w:u w:val="single" w:color="auto"/>
                <w:lang w:val="en-US" w:eastAsia="zh-CN"/>
                <w14:textFill>
                  <w14:solidFill>
                    <w14:schemeClr w14:val="tx1"/>
                  </w14:solidFill>
                </w14:textFill>
              </w:rPr>
              <w:t>kg/h、</w:t>
            </w:r>
            <w:r>
              <w:rPr>
                <w:rFonts w:hint="default"/>
                <w:color w:val="000000" w:themeColor="text1"/>
                <w:szCs w:val="24"/>
                <w:u w:val="single" w:color="auto"/>
                <w:lang w:bidi="ar"/>
                <w14:textFill>
                  <w14:solidFill>
                    <w14:schemeClr w14:val="tx1"/>
                  </w14:solidFill>
                </w14:textFill>
              </w:rPr>
              <w:t>8.789</w:t>
            </w:r>
            <w:r>
              <w:rPr>
                <w:rFonts w:hint="eastAsia" w:ascii="Times New Roman" w:hAnsi="Times New Roman" w:cs="Times New Roman"/>
                <w:color w:val="000000" w:themeColor="text1"/>
                <w:sz w:val="24"/>
                <w:szCs w:val="24"/>
                <w:u w:val="single" w:color="auto"/>
                <w:lang w:val="en-US" w:eastAsia="zh-CN"/>
                <w14:textFill>
                  <w14:solidFill>
                    <w14:schemeClr w14:val="tx1"/>
                  </w14:solidFill>
                </w14:textFill>
              </w:rPr>
              <w:t>mg/m</w:t>
            </w:r>
            <w:r>
              <w:rPr>
                <w:rFonts w:hint="eastAsia" w:ascii="Times New Roman" w:hAnsi="Times New Roman" w:cs="Times New Roman"/>
                <w:color w:val="000000" w:themeColor="text1"/>
                <w:sz w:val="24"/>
                <w:szCs w:val="24"/>
                <w:u w:val="single" w:color="auto"/>
                <w:vertAlign w:val="superscript"/>
                <w:lang w:val="en-US" w:eastAsia="zh-CN"/>
                <w14:textFill>
                  <w14:solidFill>
                    <w14:schemeClr w14:val="tx1"/>
                  </w14:solidFill>
                </w14:textFill>
              </w:rPr>
              <w:t>3</w:t>
            </w:r>
            <w:r>
              <w:rPr>
                <w:rFonts w:hint="eastAsia" w:cs="Times New Roman"/>
                <w:color w:val="000000" w:themeColor="text1"/>
                <w:sz w:val="24"/>
                <w:szCs w:val="24"/>
                <w:u w:val="single" w:color="auto"/>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szCs w:val="24"/>
                <w:u w:val="single" w:color="auto"/>
                <w:vertAlign w:val="baseline"/>
                <w:lang w:val="en-US" w:eastAsia="zh-CN"/>
                <w14:textFill>
                  <w14:solidFill>
                    <w14:schemeClr w14:val="tx1"/>
                  </w14:solidFill>
                </w14:textFill>
              </w:rPr>
              <w:t>满足</w:t>
            </w:r>
            <w:r>
              <w:rPr>
                <w:rFonts w:hint="default" w:ascii="Times New Roman" w:hAnsi="Times New Roman" w:eastAsia="宋体" w:cs="Times New Roman"/>
                <w:color w:val="auto"/>
                <w:sz w:val="24"/>
                <w:szCs w:val="24"/>
                <w:highlight w:val="none"/>
                <w:u w:val="single" w:color="auto"/>
                <w:lang w:eastAsia="zh-CN"/>
              </w:rPr>
              <w:t>《大气污染物综合排放标准（GB16297-1996）</w:t>
            </w:r>
            <w:r>
              <w:rPr>
                <w:rFonts w:hint="default"/>
                <w:u w:val="single" w:color="auto"/>
                <w:lang w:val="en-US" w:eastAsia="zh-CN"/>
              </w:rPr>
              <w:t>中的</w:t>
            </w:r>
            <w:r>
              <w:rPr>
                <w:rFonts w:hint="eastAsia" w:ascii="Times New Roman" w:hAnsi="Times New Roman" w:eastAsia="宋体" w:cs="Times New Roman"/>
                <w:color w:val="auto"/>
                <w:sz w:val="24"/>
                <w:szCs w:val="24"/>
                <w:highlight w:val="none"/>
                <w:u w:val="single" w:color="auto"/>
                <w:lang w:val="en-US" w:eastAsia="zh-CN"/>
              </w:rPr>
              <w:t>《大气污染物综合排放标准》（GB16297-1996）表2排放限值要求。</w:t>
            </w:r>
          </w:p>
          <w:p w14:paraId="530A5850">
            <w:pPr>
              <w:pStyle w:val="14"/>
              <w:keepNext w:val="0"/>
              <w:keepLines w:val="0"/>
              <w:pageBreakBefore w:val="0"/>
              <w:numPr>
                <w:ilvl w:val="0"/>
                <w:numId w:val="0"/>
              </w:numPr>
              <w:kinsoku/>
              <w:wordWrap/>
              <w:overflowPunct/>
              <w:topLinePunct w:val="0"/>
              <w:autoSpaceDE/>
              <w:autoSpaceDN/>
              <w:bidi w:val="0"/>
              <w:snapToGrid/>
              <w:ind w:firstLine="482" w:firstLineChars="200"/>
              <w:textAlignment w:val="auto"/>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
                <w:bCs w:val="0"/>
                <w:color w:val="auto"/>
                <w:sz w:val="24"/>
                <w:u w:val="single" w:color="auto"/>
                <w:lang w:val="en-US" w:eastAsia="zh-CN"/>
              </w:rPr>
              <w:t>破碎废气</w:t>
            </w:r>
            <w:r>
              <w:rPr>
                <w:rFonts w:hint="default" w:ascii="Times New Roman" w:hAnsi="Times New Roman" w:eastAsia="宋体" w:cs="Times New Roman"/>
                <w:b/>
                <w:bCs/>
                <w:color w:val="auto"/>
                <w:sz w:val="24"/>
                <w:highlight w:val="none"/>
                <w:u w:val="single" w:color="auto"/>
                <w:lang w:eastAsia="zh-CN"/>
              </w:rPr>
              <w:t>治理措施可行性分析：</w:t>
            </w:r>
          </w:p>
          <w:p w14:paraId="1C47BB8A">
            <w:pPr>
              <w:pStyle w:val="13"/>
              <w:keepNext w:val="0"/>
              <w:keepLines w:val="0"/>
              <w:pageBreakBefore w:val="0"/>
              <w:kinsoku/>
              <w:wordWrap/>
              <w:overflowPunct/>
              <w:topLinePunct w:val="0"/>
              <w:autoSpaceDE/>
              <w:autoSpaceDN/>
              <w:bidi w:val="0"/>
              <w:snapToGrid/>
              <w:spacing w:before="0" w:after="0" w:line="360" w:lineRule="auto"/>
              <w:ind w:right="0" w:firstLine="480" w:firstLineChars="200"/>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根据《排污许可证申请与核发技术规范</w:t>
            </w:r>
            <w:r>
              <w:rPr>
                <w:rFonts w:hint="eastAsia" w:cs="Times New Roman"/>
                <w:color w:val="auto"/>
                <w:sz w:val="24"/>
                <w:szCs w:val="24"/>
                <w:u w:val="single" w:color="auto"/>
                <w:lang w:val="en-US" w:eastAsia="zh-CN"/>
              </w:rPr>
              <w:t xml:space="preserve"> </w:t>
            </w:r>
            <w:r>
              <w:rPr>
                <w:rFonts w:hint="eastAsia" w:ascii="Times New Roman" w:hAnsi="Times New Roman" w:cs="Times New Roman"/>
                <w:color w:val="auto"/>
                <w:sz w:val="24"/>
                <w:szCs w:val="24"/>
                <w:u w:val="single" w:color="auto"/>
                <w:lang w:val="en-US" w:eastAsia="zh-CN"/>
              </w:rPr>
              <w:t>废弃资源加工工业》（HJ 1034-2019）中表 A.1 废弃资源加工工业排污单位废气污染防治可行技术参考表可知：其他废弃资源</w:t>
            </w:r>
            <w:r>
              <w:rPr>
                <w:rFonts w:hint="eastAsia" w:cs="Times New Roman"/>
                <w:color w:val="auto"/>
                <w:sz w:val="24"/>
                <w:szCs w:val="24"/>
                <w:u w:val="single" w:color="auto"/>
                <w:lang w:val="en-US" w:eastAsia="zh-CN"/>
              </w:rPr>
              <w:t>加工</w:t>
            </w:r>
            <w:r>
              <w:rPr>
                <w:rFonts w:hint="eastAsia" w:ascii="Times New Roman" w:hAnsi="Times New Roman" w:cs="Times New Roman"/>
                <w:color w:val="auto"/>
                <w:sz w:val="24"/>
                <w:szCs w:val="24"/>
                <w:u w:val="single" w:color="auto"/>
                <w:lang w:val="en-US" w:eastAsia="zh-CN"/>
              </w:rPr>
              <w:t>废气中颗粒物的污染防治可行技术包括布袋除尘。</w:t>
            </w:r>
          </w:p>
          <w:p w14:paraId="38A67195">
            <w:pPr>
              <w:pStyle w:val="13"/>
              <w:keepNext w:val="0"/>
              <w:keepLines w:val="0"/>
              <w:pageBreakBefore w:val="0"/>
              <w:kinsoku/>
              <w:wordWrap/>
              <w:overflowPunct/>
              <w:topLinePunct w:val="0"/>
              <w:autoSpaceDE/>
              <w:autoSpaceDN/>
              <w:bidi w:val="0"/>
              <w:snapToGrid/>
              <w:spacing w:before="0" w:after="0" w:line="360" w:lineRule="auto"/>
              <w:ind w:right="0"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由此表明，本项目</w:t>
            </w:r>
            <w:r>
              <w:rPr>
                <w:rFonts w:hint="eastAsia" w:ascii="Times New Roman" w:hAnsi="Times New Roman" w:cs="Times New Roman"/>
                <w:color w:val="auto"/>
                <w:sz w:val="24"/>
                <w:szCs w:val="24"/>
                <w:u w:val="single" w:color="auto"/>
                <w:lang w:val="en-US" w:eastAsia="zh-CN"/>
              </w:rPr>
              <w:t>破碎废气</w:t>
            </w:r>
            <w:r>
              <w:rPr>
                <w:rFonts w:hint="eastAsia" w:ascii="Times New Roman" w:hAnsi="Times New Roman" w:eastAsia="宋体" w:cs="Times New Roman"/>
                <w:color w:val="auto"/>
                <w:sz w:val="24"/>
                <w:szCs w:val="24"/>
                <w:u w:val="single" w:color="auto"/>
                <w:lang w:val="en-US" w:eastAsia="zh-CN"/>
              </w:rPr>
              <w:t>所采取的废气处理设施（</w:t>
            </w:r>
            <w:r>
              <w:rPr>
                <w:rFonts w:hint="eastAsia" w:cs="Times New Roman"/>
                <w:bCs/>
                <w:color w:val="000000"/>
                <w:sz w:val="24"/>
                <w:u w:val="single" w:color="auto"/>
                <w:lang w:val="en-US" w:eastAsia="zh-CN"/>
              </w:rPr>
              <w:t>袋式除尘器</w:t>
            </w:r>
            <w:r>
              <w:rPr>
                <w:rFonts w:hint="default" w:ascii="Times New Roman" w:hAnsi="Times New Roman" w:eastAsia="宋体" w:cs="Times New Roman"/>
                <w:bCs/>
                <w:color w:val="000000"/>
                <w:sz w:val="24"/>
                <w:u w:val="single" w:color="auto"/>
                <w:lang w:val="en-US" w:eastAsia="zh-CN"/>
              </w:rPr>
              <w:t>装置</w:t>
            </w:r>
            <w:r>
              <w:rPr>
                <w:rFonts w:hint="eastAsia" w:ascii="Times New Roman" w:hAnsi="Times New Roman" w:eastAsia="宋体" w:cs="Times New Roman"/>
                <w:color w:val="auto"/>
                <w:sz w:val="24"/>
                <w:szCs w:val="24"/>
                <w:u w:val="single" w:color="auto"/>
                <w:lang w:val="en-US" w:eastAsia="zh-CN"/>
              </w:rPr>
              <w:t>）属于</w:t>
            </w:r>
            <w:r>
              <w:rPr>
                <w:rFonts w:hint="eastAsia" w:ascii="Times New Roman" w:hAnsi="Times New Roman" w:cs="Times New Roman"/>
                <w:color w:val="auto"/>
                <w:sz w:val="24"/>
                <w:szCs w:val="24"/>
                <w:u w:val="single" w:color="auto"/>
                <w:lang w:val="en-US" w:eastAsia="zh-CN"/>
              </w:rPr>
              <w:t>《排污许可证申请与核发技术规范</w:t>
            </w:r>
            <w:r>
              <w:rPr>
                <w:rFonts w:hint="eastAsia" w:cs="Times New Roman"/>
                <w:color w:val="auto"/>
                <w:sz w:val="24"/>
                <w:szCs w:val="24"/>
                <w:u w:val="single" w:color="auto"/>
                <w:lang w:val="en-US" w:eastAsia="zh-CN"/>
              </w:rPr>
              <w:t xml:space="preserve"> </w:t>
            </w:r>
            <w:r>
              <w:rPr>
                <w:rFonts w:hint="eastAsia" w:ascii="Times New Roman" w:hAnsi="Times New Roman" w:cs="Times New Roman"/>
                <w:color w:val="auto"/>
                <w:sz w:val="24"/>
                <w:szCs w:val="24"/>
                <w:u w:val="single" w:color="auto"/>
                <w:lang w:val="en-US" w:eastAsia="zh-CN"/>
              </w:rPr>
              <w:t>废弃资源加工工业》（HJ 1034-2019）中表 A.1 废弃资源加工工业排污单位废气污染防治可行技术参考表中污染防治可行技术之一。</w:t>
            </w:r>
          </w:p>
          <w:p w14:paraId="7264B1A1">
            <w:pPr>
              <w:pStyle w:val="14"/>
              <w:keepNext w:val="0"/>
              <w:keepLines w:val="0"/>
              <w:pageBreakBefore w:val="0"/>
              <w:numPr>
                <w:ilvl w:val="0"/>
                <w:numId w:val="0"/>
              </w:numPr>
              <w:kinsoku/>
              <w:wordWrap/>
              <w:overflowPunct/>
              <w:topLinePunct w:val="0"/>
              <w:autoSpaceDE/>
              <w:autoSpaceDN/>
              <w:bidi w:val="0"/>
              <w:snapToGrid/>
              <w:ind w:firstLine="480" w:firstLineChars="200"/>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cs="Times New Roman"/>
                <w:color w:val="auto"/>
                <w:sz w:val="24"/>
                <w:szCs w:val="24"/>
                <w:u w:val="single" w:color="auto"/>
                <w:lang w:val="en-US" w:eastAsia="zh-CN"/>
              </w:rPr>
              <w:t>因此，本项目营运期</w:t>
            </w:r>
            <w:r>
              <w:rPr>
                <w:rFonts w:hint="eastAsia" w:ascii="Times New Roman" w:hAnsi="Times New Roman" w:cs="Times New Roman"/>
                <w:color w:val="auto"/>
                <w:sz w:val="24"/>
                <w:szCs w:val="24"/>
                <w:u w:val="single" w:color="auto"/>
                <w:lang w:val="en-US" w:eastAsia="zh-CN"/>
              </w:rPr>
              <w:t>破碎废气</w:t>
            </w:r>
            <w:r>
              <w:rPr>
                <w:rFonts w:hint="default" w:ascii="Times New Roman" w:hAnsi="Times New Roman" w:cs="Times New Roman"/>
                <w:color w:val="auto"/>
                <w:sz w:val="24"/>
                <w:szCs w:val="24"/>
                <w:u w:val="single" w:color="auto"/>
                <w:lang w:val="en-US" w:eastAsia="zh-CN"/>
              </w:rPr>
              <w:t>所采取的</w:t>
            </w:r>
            <w:r>
              <w:rPr>
                <w:rFonts w:hint="eastAsia" w:cs="Times New Roman"/>
                <w:color w:val="auto"/>
                <w:sz w:val="24"/>
                <w:szCs w:val="24"/>
                <w:u w:val="single" w:color="auto"/>
                <w:lang w:val="en-US" w:eastAsia="zh-CN"/>
              </w:rPr>
              <w:t>“</w:t>
            </w:r>
            <w:r>
              <w:rPr>
                <w:rFonts w:hint="eastAsia" w:cs="Times New Roman"/>
                <w:bCs/>
                <w:color w:val="000000"/>
                <w:sz w:val="24"/>
                <w:u w:val="single" w:color="auto"/>
                <w:lang w:val="en-US" w:eastAsia="zh-CN"/>
              </w:rPr>
              <w:t>袋式除尘器</w:t>
            </w:r>
            <w:r>
              <w:rPr>
                <w:rFonts w:hint="default" w:ascii="Times New Roman" w:hAnsi="Times New Roman" w:eastAsia="宋体" w:cs="Times New Roman"/>
                <w:bCs/>
                <w:color w:val="000000"/>
                <w:sz w:val="24"/>
                <w:u w:val="single" w:color="auto"/>
                <w:lang w:val="en-US" w:eastAsia="zh-CN"/>
              </w:rPr>
              <w:t>装置</w:t>
            </w:r>
            <w:r>
              <w:rPr>
                <w:rFonts w:hint="eastAsia" w:cs="Times New Roman"/>
                <w:color w:val="auto"/>
                <w:sz w:val="24"/>
                <w:szCs w:val="24"/>
                <w:u w:val="single" w:color="auto"/>
                <w:lang w:val="en-US" w:eastAsia="zh-CN"/>
              </w:rPr>
              <w:t>”</w:t>
            </w:r>
            <w:r>
              <w:rPr>
                <w:rFonts w:hint="eastAsia" w:ascii="Times New Roman" w:hAnsi="Times New Roman" w:eastAsia="宋体" w:cs="Times New Roman"/>
                <w:color w:val="auto"/>
                <w:sz w:val="24"/>
                <w:szCs w:val="24"/>
                <w:u w:val="single" w:color="auto"/>
                <w:lang w:val="en-US" w:eastAsia="zh-CN"/>
              </w:rPr>
              <w:t>处理</w:t>
            </w:r>
            <w:r>
              <w:rPr>
                <w:rFonts w:hint="default" w:ascii="Times New Roman" w:hAnsi="Times New Roman" w:eastAsia="宋体" w:cs="Times New Roman"/>
                <w:color w:val="auto"/>
                <w:sz w:val="24"/>
                <w:szCs w:val="24"/>
                <w:u w:val="single" w:color="auto"/>
                <w:lang w:val="en-US" w:eastAsia="zh-CN"/>
              </w:rPr>
              <w:t>措施可行。</w:t>
            </w:r>
          </w:p>
          <w:p w14:paraId="1CE5E59D">
            <w:pPr>
              <w:pStyle w:val="14"/>
              <w:keepNext w:val="0"/>
              <w:keepLines w:val="0"/>
              <w:pageBreakBefore w:val="0"/>
              <w:numPr>
                <w:ilvl w:val="0"/>
                <w:numId w:val="0"/>
              </w:numPr>
              <w:kinsoku/>
              <w:wordWrap/>
              <w:overflowPunct/>
              <w:topLinePunct w:val="0"/>
              <w:autoSpaceDE/>
              <w:autoSpaceDN/>
              <w:bidi w:val="0"/>
              <w:snapToGrid/>
              <w:ind w:firstLine="480" w:firstLineChars="200"/>
              <w:textAlignment w:val="auto"/>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Cs/>
                <w:color w:val="auto"/>
                <w:kern w:val="0"/>
                <w:sz w:val="24"/>
                <w:szCs w:val="20"/>
                <w:u w:val="single" w:color="auto"/>
                <w:lang w:val="en-US" w:eastAsia="zh-CN" w:bidi="ar-SA"/>
              </w:rPr>
              <w:t>（3）</w:t>
            </w:r>
            <w:r>
              <w:rPr>
                <w:rFonts w:hint="eastAsia" w:ascii="Times New Roman" w:hAnsi="Times New Roman" w:eastAsia="宋体" w:cs="Times New Roman"/>
                <w:bCs/>
                <w:color w:val="auto"/>
                <w:sz w:val="24"/>
                <w:u w:val="single" w:color="auto"/>
                <w:lang w:val="en-US" w:eastAsia="zh-CN"/>
              </w:rPr>
              <w:t>筛分废气</w:t>
            </w:r>
          </w:p>
          <w:p w14:paraId="71900FA5">
            <w:pPr>
              <w:pStyle w:val="14"/>
              <w:keepNext w:val="0"/>
              <w:keepLines w:val="0"/>
              <w:pageBreakBefore w:val="0"/>
              <w:numPr>
                <w:ilvl w:val="0"/>
                <w:numId w:val="0"/>
              </w:numPr>
              <w:kinsoku/>
              <w:wordWrap/>
              <w:overflowPunct/>
              <w:topLinePunct w:val="0"/>
              <w:autoSpaceDE/>
              <w:autoSpaceDN/>
              <w:bidi w:val="0"/>
              <w:snapToGrid/>
              <w:ind w:firstLine="480" w:firstLineChars="200"/>
              <w:textAlignment w:val="auto"/>
              <w:rPr>
                <w:rFonts w:hint="eastAsia" w:ascii="Times New Roman" w:hAnsi="Times New Roman" w:eastAsia="宋体" w:cs="Times New Roman"/>
                <w:bCs/>
                <w:color w:val="auto"/>
                <w:sz w:val="24"/>
                <w:u w:val="single" w:color="auto"/>
                <w:lang w:val="en-US" w:eastAsia="zh-CN"/>
              </w:rPr>
            </w:pPr>
            <w:r>
              <w:rPr>
                <w:rFonts w:hint="eastAsia" w:ascii="Times New Roman" w:hAnsi="Times New Roman" w:eastAsia="宋体" w:cs="Times New Roman"/>
                <w:bCs/>
                <w:color w:val="auto"/>
                <w:sz w:val="24"/>
                <w:u w:val="single" w:color="auto"/>
                <w:lang w:val="en-US" w:eastAsia="zh-CN"/>
              </w:rPr>
              <w:t>项目一破、二破后的原料需一次进行一次、二次</w:t>
            </w:r>
            <w:r>
              <w:rPr>
                <w:rFonts w:hint="default" w:ascii="Times New Roman" w:hAnsi="Times New Roman" w:eastAsia="宋体" w:cs="Times New Roman"/>
                <w:color w:val="000000"/>
                <w:kern w:val="0"/>
                <w:sz w:val="24"/>
                <w:szCs w:val="24"/>
                <w:u w:val="single" w:color="auto"/>
                <w:lang w:val="en-US" w:eastAsia="zh-CN" w:bidi="ar-SA"/>
              </w:rPr>
              <w:t>筛分</w:t>
            </w:r>
            <w:r>
              <w:rPr>
                <w:rFonts w:hint="eastAsia" w:ascii="Times New Roman" w:hAnsi="Times New Roman" w:eastAsia="宋体" w:cs="Times New Roman"/>
                <w:color w:val="000000"/>
                <w:kern w:val="0"/>
                <w:sz w:val="24"/>
                <w:szCs w:val="24"/>
                <w:u w:val="single" w:color="auto"/>
                <w:lang w:val="en-US" w:eastAsia="zh-CN" w:bidi="ar-SA"/>
              </w:rPr>
              <w:t>，</w:t>
            </w:r>
            <w:r>
              <w:rPr>
                <w:rFonts w:hint="default" w:ascii="Times New Roman" w:hAnsi="Times New Roman" w:eastAsia="宋体" w:cs="Times New Roman"/>
                <w:color w:val="000000"/>
                <w:kern w:val="0"/>
                <w:sz w:val="24"/>
                <w:szCs w:val="24"/>
                <w:u w:val="single" w:color="auto"/>
                <w:lang w:val="en-US" w:eastAsia="zh-CN" w:bidi="ar-SA"/>
              </w:rPr>
              <w:t>目的主要是为了去除一破</w:t>
            </w:r>
            <w:r>
              <w:rPr>
                <w:rFonts w:hint="eastAsia" w:ascii="Times New Roman" w:hAnsi="Times New Roman" w:eastAsia="宋体" w:cs="Times New Roman"/>
                <w:bCs/>
                <w:color w:val="auto"/>
                <w:sz w:val="24"/>
                <w:u w:val="single" w:color="auto"/>
                <w:lang w:val="en-US" w:eastAsia="zh-CN"/>
              </w:rPr>
              <w:t>、二破</w:t>
            </w:r>
            <w:r>
              <w:rPr>
                <w:rFonts w:hint="default" w:ascii="Times New Roman" w:hAnsi="Times New Roman" w:eastAsia="宋体" w:cs="Times New Roman"/>
                <w:color w:val="000000"/>
                <w:kern w:val="0"/>
                <w:sz w:val="24"/>
                <w:szCs w:val="24"/>
                <w:u w:val="single" w:color="auto"/>
                <w:lang w:val="en-US" w:eastAsia="zh-CN" w:bidi="ar-SA"/>
              </w:rPr>
              <w:t>后</w:t>
            </w:r>
            <w:r>
              <w:rPr>
                <w:rFonts w:hint="eastAsia" w:ascii="Times New Roman" w:hAnsi="Times New Roman" w:eastAsia="宋体" w:cs="Times New Roman"/>
                <w:bCs/>
                <w:color w:val="000000"/>
                <w:kern w:val="2"/>
                <w:sz w:val="24"/>
                <w:szCs w:val="24"/>
                <w:u w:val="single" w:color="auto"/>
                <w:lang w:val="en-US" w:eastAsia="zh-CN" w:bidi="ar-SA"/>
              </w:rPr>
              <w:t>未破碎完全的原</w:t>
            </w:r>
            <w:r>
              <w:rPr>
                <w:rFonts w:hint="eastAsia" w:ascii="Times New Roman" w:hAnsi="Times New Roman" w:eastAsia="宋体" w:cs="Times New Roman"/>
                <w:color w:val="000000"/>
                <w:kern w:val="0"/>
                <w:sz w:val="24"/>
                <w:szCs w:val="24"/>
                <w:u w:val="single" w:color="auto"/>
                <w:lang w:val="en-US" w:eastAsia="zh-CN" w:bidi="ar-SA"/>
              </w:rPr>
              <w:t>料残渣</w:t>
            </w:r>
            <w:r>
              <w:rPr>
                <w:rFonts w:hint="default" w:ascii="Times New Roman" w:hAnsi="Times New Roman" w:eastAsia="宋体" w:cs="Times New Roman"/>
                <w:color w:val="000000"/>
                <w:kern w:val="0"/>
                <w:sz w:val="24"/>
                <w:szCs w:val="24"/>
                <w:u w:val="single" w:color="auto"/>
                <w:lang w:val="en-US" w:eastAsia="zh-CN" w:bidi="ar-SA"/>
              </w:rPr>
              <w:t>，</w:t>
            </w:r>
            <w:r>
              <w:rPr>
                <w:rFonts w:hint="eastAsia" w:ascii="Times New Roman" w:hAnsi="Times New Roman" w:eastAsia="宋体" w:cs="Times New Roman"/>
                <w:color w:val="000000"/>
                <w:kern w:val="0"/>
                <w:sz w:val="24"/>
                <w:szCs w:val="24"/>
                <w:u w:val="single" w:color="auto"/>
                <w:lang w:val="en-US" w:eastAsia="zh-CN" w:bidi="ar-SA"/>
              </w:rPr>
              <w:t>项目一破、二破后的原料尺寸为</w:t>
            </w:r>
            <w:r>
              <w:rPr>
                <w:rFonts w:hint="eastAsia" w:ascii="Times New Roman" w:hAnsi="Times New Roman" w:eastAsia="宋体" w:cs="Times New Roman"/>
                <w:bCs/>
                <w:color w:val="000000"/>
                <w:kern w:val="2"/>
                <w:sz w:val="24"/>
                <w:szCs w:val="24"/>
                <w:u w:val="single" w:color="auto"/>
                <w:lang w:val="en-US" w:eastAsia="zh-CN" w:bidi="ar-SA"/>
              </w:rPr>
              <w:t>20-30</w:t>
            </w:r>
            <w:r>
              <w:rPr>
                <w:rFonts w:hint="eastAsia" w:ascii="Times New Roman" w:hAnsi="Times New Roman" w:eastAsia="宋体" w:cs="Times New Roman"/>
                <w:color w:val="000000"/>
                <w:kern w:val="0"/>
                <w:sz w:val="24"/>
                <w:szCs w:val="24"/>
                <w:u w:val="single" w:color="auto"/>
                <w:lang w:val="en-US" w:eastAsia="zh-CN" w:bidi="ar-SA"/>
              </w:rPr>
              <w:t>cm和8cm-10cm。</w:t>
            </w:r>
            <w:r>
              <w:rPr>
                <w:rFonts w:hint="default" w:ascii="Times New Roman" w:hAnsi="Times New Roman" w:eastAsia="宋体" w:cs="Times New Roman"/>
                <w:color w:val="000000"/>
                <w:kern w:val="0"/>
                <w:sz w:val="24"/>
                <w:szCs w:val="24"/>
                <w:u w:val="single" w:color="auto"/>
                <w:lang w:val="en-US" w:eastAsia="zh-CN" w:bidi="ar-SA"/>
              </w:rPr>
              <w:t>筛分</w:t>
            </w:r>
            <w:r>
              <w:rPr>
                <w:rFonts w:hint="eastAsia" w:ascii="Times New Roman" w:hAnsi="Times New Roman" w:eastAsia="宋体" w:cs="Times New Roman"/>
                <w:color w:val="000000"/>
                <w:kern w:val="0"/>
                <w:sz w:val="24"/>
                <w:szCs w:val="24"/>
                <w:u w:val="single" w:color="auto"/>
                <w:lang w:val="en-US" w:eastAsia="zh-CN" w:bidi="ar-SA"/>
              </w:rPr>
              <w:t>过程中会产生少量的</w:t>
            </w:r>
            <w:r>
              <w:rPr>
                <w:rFonts w:hint="eastAsia" w:ascii="Times New Roman" w:hAnsi="Times New Roman" w:eastAsia="宋体" w:cs="Times New Roman"/>
                <w:bCs/>
                <w:color w:val="auto"/>
                <w:sz w:val="24"/>
                <w:u w:val="single" w:color="auto"/>
                <w:lang w:val="en-US" w:eastAsia="zh-CN"/>
              </w:rPr>
              <w:t>筛分废气，</w:t>
            </w:r>
            <w:r>
              <w:rPr>
                <w:rFonts w:hint="eastAsia" w:ascii="Times New Roman" w:hAnsi="Times New Roman" w:eastAsia="宋体" w:cs="Times New Roman"/>
                <w:color w:val="auto"/>
                <w:sz w:val="24"/>
                <w:szCs w:val="24"/>
                <w:u w:val="single" w:color="auto"/>
                <w:lang w:eastAsia="zh-CN"/>
              </w:rPr>
              <w:t>主要污染物</w:t>
            </w:r>
            <w:r>
              <w:rPr>
                <w:rFonts w:hint="eastAsia" w:eastAsia="宋体" w:cs="Times New Roman"/>
                <w:bCs/>
                <w:color w:val="auto"/>
                <w:sz w:val="24"/>
                <w:u w:val="single" w:color="auto"/>
                <w:lang w:val="en-US" w:eastAsia="zh-CN"/>
              </w:rPr>
              <w:t>为颗粒物，因筛分的原料尺寸较大，且破碎过程中所产生的废气经收集后采取有组织排放，已去除了大部分产生的颗粒物。因此，</w:t>
            </w:r>
            <w:r>
              <w:rPr>
                <w:rFonts w:hint="eastAsia" w:ascii="Times New Roman" w:hAnsi="Times New Roman" w:eastAsia="宋体" w:cs="Times New Roman"/>
                <w:bCs/>
                <w:color w:val="auto"/>
                <w:sz w:val="24"/>
                <w:u w:val="single" w:color="auto"/>
                <w:lang w:val="en-US" w:eastAsia="zh-CN"/>
              </w:rPr>
              <w:t>本评价对筛分废气仅做定性分析；根据建设单位提供的资料，项目生产车间通过保持车间整洁、定期清扫后，以无组织形式排放。</w:t>
            </w:r>
          </w:p>
          <w:p w14:paraId="7173148D">
            <w:pPr>
              <w:pStyle w:val="14"/>
              <w:keepNext w:val="0"/>
              <w:keepLines w:val="0"/>
              <w:pageBreakBefore w:val="0"/>
              <w:numPr>
                <w:ilvl w:val="0"/>
                <w:numId w:val="0"/>
              </w:numPr>
              <w:kinsoku/>
              <w:wordWrap/>
              <w:overflowPunct/>
              <w:topLinePunct w:val="0"/>
              <w:autoSpaceDE/>
              <w:autoSpaceDN/>
              <w:bidi w:val="0"/>
              <w:snapToGrid/>
              <w:ind w:firstLine="480" w:firstLineChars="200"/>
              <w:textAlignment w:val="auto"/>
              <w:rPr>
                <w:rFonts w:hint="eastAsia" w:ascii="Times New Roman" w:hAnsi="Times New Roman" w:eastAsia="宋体" w:cs="Times New Roman"/>
                <w:color w:val="000000"/>
                <w:kern w:val="0"/>
                <w:szCs w:val="21"/>
                <w:u w:val="single" w:color="auto"/>
                <w:lang w:val="en-US" w:eastAsia="zh-CN" w:bidi="ar"/>
              </w:rPr>
            </w:pPr>
            <w:r>
              <w:rPr>
                <w:rFonts w:hint="eastAsia" w:ascii="Times New Roman" w:hAnsi="Times New Roman" w:eastAsia="宋体" w:cs="Times New Roman"/>
                <w:color w:val="000000"/>
                <w:kern w:val="0"/>
                <w:sz w:val="24"/>
                <w:szCs w:val="21"/>
                <w:u w:val="single" w:color="auto"/>
                <w:lang w:val="en-US" w:eastAsia="zh-CN" w:bidi="ar"/>
              </w:rPr>
              <w:t>（4）</w:t>
            </w:r>
            <w:r>
              <w:rPr>
                <w:rFonts w:hint="eastAsia" w:ascii="Times New Roman" w:hAnsi="Times New Roman" w:eastAsia="宋体" w:cs="Times New Roman"/>
                <w:bCs/>
                <w:color w:val="auto"/>
                <w:sz w:val="24"/>
                <w:u w:val="single" w:color="auto"/>
                <w:lang w:val="en-US" w:eastAsia="zh-CN"/>
              </w:rPr>
              <w:t>卸货</w:t>
            </w:r>
            <w:r>
              <w:rPr>
                <w:rFonts w:hint="eastAsia" w:ascii="Times New Roman" w:hAnsi="Times New Roman" w:eastAsia="宋体" w:cs="Times New Roman"/>
                <w:color w:val="000000"/>
                <w:kern w:val="0"/>
                <w:szCs w:val="21"/>
                <w:u w:val="single" w:color="auto"/>
                <w:lang w:val="en-US" w:eastAsia="zh-CN" w:bidi="ar"/>
              </w:rPr>
              <w:t>堆放产生的异味</w:t>
            </w:r>
          </w:p>
          <w:p w14:paraId="5EDD246F">
            <w:pPr>
              <w:pStyle w:val="14"/>
              <w:keepNext w:val="0"/>
              <w:keepLines w:val="0"/>
              <w:pageBreakBefore w:val="0"/>
              <w:numPr>
                <w:ilvl w:val="0"/>
                <w:numId w:val="0"/>
              </w:numPr>
              <w:kinsoku/>
              <w:wordWrap/>
              <w:overflowPunct/>
              <w:topLinePunct w:val="0"/>
              <w:autoSpaceDE/>
              <w:autoSpaceDN/>
              <w:bidi w:val="0"/>
              <w:snapToGrid/>
              <w:ind w:firstLine="480" w:firstLineChars="200"/>
              <w:textAlignment w:val="auto"/>
              <w:rPr>
                <w:rFonts w:hint="default" w:ascii="Times New Roman" w:hAnsi="Times New Roman" w:eastAsia="宋体" w:cs="Times New Roman"/>
                <w:color w:val="000000"/>
                <w:kern w:val="0"/>
                <w:szCs w:val="21"/>
                <w:u w:val="single" w:color="auto"/>
                <w:lang w:val="en-US" w:eastAsia="zh-CN" w:bidi="ar"/>
              </w:rPr>
            </w:pPr>
            <w:r>
              <w:rPr>
                <w:rFonts w:hint="default" w:ascii="Times New Roman" w:hAnsi="Times New Roman" w:eastAsia="宋体" w:cs="Times New Roman"/>
                <w:color w:val="000000"/>
                <w:kern w:val="0"/>
                <w:szCs w:val="21"/>
                <w:u w:val="single" w:color="auto"/>
                <w:lang w:val="en-US" w:eastAsia="zh-CN" w:bidi="ar"/>
              </w:rPr>
              <w:t>本项目原料在堆放过程中可能产生</w:t>
            </w:r>
            <w:r>
              <w:rPr>
                <w:rFonts w:hint="eastAsia" w:ascii="Times New Roman" w:hAnsi="Times New Roman" w:eastAsia="宋体" w:cs="Times New Roman"/>
                <w:color w:val="000000"/>
                <w:kern w:val="0"/>
                <w:szCs w:val="21"/>
                <w:u w:val="single" w:color="auto"/>
                <w:lang w:val="en-US" w:eastAsia="zh-CN" w:bidi="ar"/>
              </w:rPr>
              <w:t>异味</w:t>
            </w:r>
            <w:r>
              <w:rPr>
                <w:rFonts w:hint="default" w:ascii="Times New Roman" w:hAnsi="Times New Roman" w:eastAsia="宋体" w:cs="Times New Roman"/>
                <w:color w:val="000000"/>
                <w:kern w:val="0"/>
                <w:szCs w:val="21"/>
                <w:u w:val="single" w:color="auto"/>
                <w:lang w:val="en-US" w:eastAsia="zh-CN" w:bidi="ar"/>
              </w:rPr>
              <w:t>，</w:t>
            </w:r>
            <w:r>
              <w:rPr>
                <w:rFonts w:hint="eastAsia" w:ascii="Times New Roman" w:hAnsi="Times New Roman" w:eastAsia="宋体" w:cs="Times New Roman"/>
                <w:color w:val="auto"/>
                <w:sz w:val="24"/>
                <w:szCs w:val="24"/>
                <w:u w:val="single" w:color="auto"/>
                <w:lang w:val="en-US" w:eastAsia="zh-CN"/>
              </w:rPr>
              <w:t>对环境的影响主要表现为恶臭，恶臭气体主要为多组分、低浓度化学物质形成的混合物，其主要成分为NH</w:t>
            </w:r>
            <w:r>
              <w:rPr>
                <w:rFonts w:hint="eastAsia" w:ascii="Times New Roman" w:hAnsi="Times New Roman" w:eastAsia="宋体" w:cs="Times New Roman"/>
                <w:color w:val="auto"/>
                <w:sz w:val="24"/>
                <w:szCs w:val="24"/>
                <w:u w:val="single" w:color="auto"/>
                <w:vertAlign w:val="subscript"/>
                <w:lang w:val="en-US" w:eastAsia="zh-CN"/>
              </w:rPr>
              <w:t>3</w:t>
            </w:r>
            <w:r>
              <w:rPr>
                <w:rFonts w:hint="eastAsia" w:ascii="Times New Roman" w:hAnsi="Times New Roman" w:eastAsia="宋体" w:cs="Times New Roman"/>
                <w:color w:val="auto"/>
                <w:sz w:val="24"/>
                <w:szCs w:val="24"/>
                <w:u w:val="single" w:color="auto"/>
                <w:lang w:val="en-US" w:eastAsia="zh-CN"/>
              </w:rPr>
              <w:t>和H</w:t>
            </w:r>
            <w:r>
              <w:rPr>
                <w:rFonts w:hint="eastAsia" w:ascii="Times New Roman" w:hAnsi="Times New Roman" w:eastAsia="宋体" w:cs="Times New Roman"/>
                <w:color w:val="auto"/>
                <w:sz w:val="24"/>
                <w:szCs w:val="24"/>
                <w:u w:val="single" w:color="auto"/>
                <w:vertAlign w:val="subscript"/>
                <w:lang w:val="en-US" w:eastAsia="zh-CN"/>
              </w:rPr>
              <w:t>2</w:t>
            </w:r>
            <w:r>
              <w:rPr>
                <w:rFonts w:hint="eastAsia" w:ascii="Times New Roman" w:hAnsi="Times New Roman" w:eastAsia="宋体" w:cs="Times New Roman"/>
                <w:color w:val="auto"/>
                <w:sz w:val="24"/>
                <w:szCs w:val="24"/>
                <w:u w:val="single" w:color="auto"/>
                <w:lang w:val="en-US" w:eastAsia="zh-CN"/>
              </w:rPr>
              <w:t>S。根据类比同类项目调查，异味产生量较少，通过采取</w:t>
            </w:r>
            <w:r>
              <w:rPr>
                <w:rFonts w:hint="eastAsia" w:ascii="Times New Roman" w:hAnsi="Times New Roman" w:eastAsia="宋体" w:cs="Times New Roman"/>
                <w:bCs/>
                <w:color w:val="auto"/>
                <w:sz w:val="24"/>
                <w:u w:val="single" w:color="auto"/>
                <w:lang w:val="en-US" w:eastAsia="zh-CN"/>
              </w:rPr>
              <w:t>加强车间通排风、定期喷洒除臭剂后</w:t>
            </w:r>
            <w:r>
              <w:rPr>
                <w:rFonts w:hint="eastAsia" w:ascii="Times New Roman" w:hAnsi="Times New Roman" w:eastAsia="宋体" w:cs="Times New Roman"/>
                <w:color w:val="auto"/>
                <w:sz w:val="24"/>
                <w:szCs w:val="24"/>
                <w:u w:val="single" w:color="auto"/>
                <w:lang w:val="en-US" w:eastAsia="zh-CN"/>
              </w:rPr>
              <w:t>以无组织形式排放，本环评仅作定性分析。同时，要求项目</w:t>
            </w:r>
            <w:r>
              <w:rPr>
                <w:rFonts w:hint="default" w:ascii="Times New Roman" w:hAnsi="Times New Roman" w:eastAsia="宋体" w:cs="Times New Roman"/>
                <w:color w:val="000000"/>
                <w:kern w:val="0"/>
                <w:szCs w:val="21"/>
                <w:u w:val="single" w:color="auto"/>
                <w:lang w:val="en-US" w:eastAsia="zh-CN" w:bidi="ar"/>
              </w:rPr>
              <w:t>拒绝采购存在异味的一般工业固废，从源头杜绝带有恶臭的原料。</w:t>
            </w:r>
          </w:p>
          <w:p w14:paraId="41552E5D">
            <w:pPr>
              <w:keepNext w:val="0"/>
              <w:keepLines w:val="0"/>
              <w:pageBreakBefore w:val="0"/>
              <w:widowControl w:val="0"/>
              <w:kinsoku/>
              <w:wordWrap/>
              <w:overflowPunct/>
              <w:topLinePunct w:val="0"/>
              <w:autoSpaceDE/>
              <w:autoSpaceDN/>
              <w:bidi w:val="0"/>
              <w:adjustRightInd w:val="0"/>
              <w:snapToGrid/>
              <w:spacing w:before="0" w:beforeLines="0" w:line="360" w:lineRule="auto"/>
              <w:ind w:right="0" w:firstLine="482"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b/>
                <w:bCs/>
                <w:color w:val="auto"/>
                <w:sz w:val="24"/>
                <w:szCs w:val="24"/>
                <w:highlight w:val="none"/>
                <w:u w:val="none" w:color="auto"/>
                <w:lang w:val="en-US" w:eastAsia="zh-CN"/>
              </w:rPr>
              <w:t>2</w:t>
            </w:r>
            <w:r>
              <w:rPr>
                <w:rFonts w:hint="eastAsia" w:ascii="Times New Roman" w:hAnsi="Times New Roman" w:eastAsia="宋体" w:cs="Times New Roman"/>
                <w:b/>
                <w:bCs/>
                <w:color w:val="auto"/>
                <w:sz w:val="24"/>
                <w:szCs w:val="24"/>
                <w:highlight w:val="none"/>
                <w:u w:val="none" w:color="auto"/>
                <w:lang w:val="en-US" w:eastAsia="zh-CN"/>
              </w:rPr>
              <w:t>、污染源核算</w:t>
            </w:r>
          </w:p>
          <w:p w14:paraId="1630FCB7">
            <w:pPr>
              <w:keepNext w:val="0"/>
              <w:keepLines w:val="0"/>
              <w:pageBreakBefore w:val="0"/>
              <w:widowControl/>
              <w:suppressLineNumbers w:val="0"/>
              <w:kinsoku/>
              <w:wordWrap/>
              <w:overflowPunct/>
              <w:topLinePunct w:val="0"/>
              <w:autoSpaceDE/>
              <w:autoSpaceDN/>
              <w:bidi w:val="0"/>
              <w:snapToGrid/>
              <w:spacing w:beforeLines="0" w:line="360" w:lineRule="auto"/>
              <w:ind w:firstLine="480" w:firstLineChars="200"/>
              <w:jc w:val="left"/>
              <w:textAlignment w:val="auto"/>
              <w:rPr>
                <w:rFonts w:hint="eastAsia"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本项目运营期有组织排放废气污染源核算详见下表：</w:t>
            </w:r>
          </w:p>
          <w:p w14:paraId="7F4DE0B7">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en-US" w:eastAsia="zh-CN"/>
              </w:rPr>
            </w:pPr>
          </w:p>
          <w:p w14:paraId="3C156DB8">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en-US" w:eastAsia="zh-CN"/>
              </w:rPr>
            </w:pPr>
          </w:p>
          <w:p w14:paraId="61E762ED">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w:t>
            </w:r>
            <w:r>
              <w:rPr>
                <w:rFonts w:hint="eastAsia" w:ascii="Times New Roman" w:hAnsi="Times New Roman" w:eastAsia="宋体" w:cs="Times New Roman"/>
                <w:b/>
                <w:color w:val="auto"/>
                <w:sz w:val="21"/>
                <w:szCs w:val="21"/>
                <w:highlight w:val="none"/>
                <w:u w:val="none" w:color="auto"/>
                <w:lang w:val="en-US" w:eastAsia="zh-CN"/>
              </w:rPr>
              <w:t>4</w:t>
            </w:r>
            <w:r>
              <w:rPr>
                <w:rFonts w:hint="default" w:ascii="Times New Roman" w:hAnsi="Times New Roman" w:eastAsia="宋体" w:cs="Times New Roman"/>
                <w:b/>
                <w:color w:val="auto"/>
                <w:sz w:val="21"/>
                <w:szCs w:val="21"/>
                <w:highlight w:val="none"/>
                <w:u w:val="none" w:color="auto"/>
                <w:lang w:val="en-US" w:eastAsia="zh-CN"/>
              </w:rPr>
              <w:t>-</w:t>
            </w:r>
            <w:r>
              <w:rPr>
                <w:rFonts w:hint="eastAsia"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lang w:val="en-US" w:eastAsia="zh-CN"/>
              </w:rPr>
              <w:t xml:space="preserve"> </w:t>
            </w:r>
            <w:r>
              <w:rPr>
                <w:rFonts w:hint="eastAsia" w:ascii="Times New Roman" w:hAnsi="Times New Roman" w:eastAsia="宋体" w:cs="Times New Roman"/>
                <w:b/>
                <w:color w:val="auto"/>
                <w:sz w:val="21"/>
                <w:szCs w:val="21"/>
                <w:highlight w:val="none"/>
                <w:u w:val="none" w:color="auto"/>
                <w:lang w:val="en-US" w:eastAsia="zh-CN"/>
              </w:rPr>
              <w:t xml:space="preserve"> 本项目</w:t>
            </w:r>
            <w:r>
              <w:rPr>
                <w:rFonts w:hint="default" w:ascii="Times New Roman" w:hAnsi="Times New Roman" w:eastAsia="宋体" w:cs="Times New Roman"/>
                <w:b/>
                <w:color w:val="auto"/>
                <w:sz w:val="21"/>
                <w:szCs w:val="21"/>
                <w:highlight w:val="none"/>
                <w:u w:val="none" w:color="auto"/>
                <w:lang w:val="en-US" w:eastAsia="zh-CN"/>
              </w:rPr>
              <w:t>有组织排放</w:t>
            </w:r>
            <w:r>
              <w:rPr>
                <w:rFonts w:hint="eastAsia" w:ascii="Times New Roman" w:hAnsi="Times New Roman" w:eastAsia="宋体" w:cs="Times New Roman"/>
                <w:b/>
                <w:color w:val="auto"/>
                <w:sz w:val="21"/>
                <w:szCs w:val="21"/>
                <w:highlight w:val="none"/>
                <w:u w:val="none" w:color="auto"/>
                <w:lang w:val="en-US" w:eastAsia="zh-CN"/>
              </w:rPr>
              <w:t>废气污染源</w:t>
            </w:r>
            <w:r>
              <w:rPr>
                <w:rFonts w:hint="default" w:ascii="Times New Roman" w:hAnsi="Times New Roman" w:eastAsia="宋体" w:cs="Times New Roman"/>
                <w:b/>
                <w:color w:val="auto"/>
                <w:sz w:val="21"/>
                <w:szCs w:val="21"/>
                <w:highlight w:val="none"/>
                <w:u w:val="none" w:color="auto"/>
                <w:lang w:val="en-US" w:eastAsia="zh-CN"/>
              </w:rPr>
              <w:t>核算表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298"/>
              <w:gridCol w:w="1421"/>
              <w:gridCol w:w="1598"/>
              <w:gridCol w:w="1680"/>
            </w:tblGrid>
            <w:tr w14:paraId="552E5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528" w:type="dxa"/>
                  <w:tcBorders>
                    <w:tl2br w:val="nil"/>
                    <w:tr2bl w:val="nil"/>
                  </w:tcBorders>
                  <w:noWrap w:val="0"/>
                  <w:vAlign w:val="center"/>
                </w:tcPr>
                <w:p w14:paraId="662EFFAC">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产污环节</w:t>
                  </w:r>
                </w:p>
              </w:tc>
              <w:tc>
                <w:tcPr>
                  <w:tcW w:w="1297" w:type="dxa"/>
                  <w:tcBorders>
                    <w:tl2br w:val="nil"/>
                    <w:tr2bl w:val="nil"/>
                  </w:tcBorders>
                  <w:noWrap w:val="0"/>
                  <w:vAlign w:val="center"/>
                </w:tcPr>
                <w:p w14:paraId="6A18D651">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排放口编号</w:t>
                  </w:r>
                </w:p>
              </w:tc>
              <w:tc>
                <w:tcPr>
                  <w:tcW w:w="1420" w:type="dxa"/>
                  <w:tcBorders>
                    <w:tl2br w:val="nil"/>
                    <w:tr2bl w:val="nil"/>
                  </w:tcBorders>
                  <w:noWrap w:val="0"/>
                  <w:vAlign w:val="center"/>
                </w:tcPr>
                <w:p w14:paraId="4B6B9F8F">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污染物名称</w:t>
                  </w:r>
                </w:p>
              </w:tc>
              <w:tc>
                <w:tcPr>
                  <w:tcW w:w="1597" w:type="dxa"/>
                  <w:tcBorders>
                    <w:tl2br w:val="nil"/>
                    <w:tr2bl w:val="nil"/>
                  </w:tcBorders>
                  <w:noWrap w:val="0"/>
                  <w:vAlign w:val="center"/>
                </w:tcPr>
                <w:p w14:paraId="47BBF3B8">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核算排放速率（kg/h）</w:t>
                  </w:r>
                </w:p>
              </w:tc>
              <w:tc>
                <w:tcPr>
                  <w:tcW w:w="1679" w:type="dxa"/>
                  <w:tcBorders>
                    <w:tl2br w:val="nil"/>
                    <w:tr2bl w:val="nil"/>
                  </w:tcBorders>
                  <w:noWrap w:val="0"/>
                  <w:vAlign w:val="center"/>
                </w:tcPr>
                <w:p w14:paraId="7AA84053">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核算年排放量（t/a）</w:t>
                  </w:r>
                </w:p>
              </w:tc>
            </w:tr>
            <w:tr w14:paraId="610A6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528" w:type="dxa"/>
                  <w:tcBorders>
                    <w:tl2br w:val="nil"/>
                    <w:tr2bl w:val="nil"/>
                  </w:tcBorders>
                  <w:noWrap w:val="0"/>
                  <w:vAlign w:val="center"/>
                </w:tcPr>
                <w:p w14:paraId="60B214AC">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破碎</w:t>
                  </w:r>
                  <w:r>
                    <w:rPr>
                      <w:rFonts w:hint="eastAsia" w:ascii="Times New Roman" w:hAnsi="Times New Roman" w:eastAsia="宋体" w:cs="Times New Roman"/>
                      <w:color w:val="auto"/>
                      <w:sz w:val="21"/>
                      <w:szCs w:val="21"/>
                      <w:u w:val="none" w:color="auto"/>
                      <w:lang w:val="en-US" w:eastAsia="zh-CN"/>
                    </w:rPr>
                    <w:t>废气</w:t>
                  </w:r>
                </w:p>
              </w:tc>
              <w:tc>
                <w:tcPr>
                  <w:tcW w:w="1297" w:type="dxa"/>
                  <w:tcBorders>
                    <w:tl2br w:val="nil"/>
                    <w:tr2bl w:val="nil"/>
                  </w:tcBorders>
                  <w:noWrap w:val="0"/>
                  <w:vAlign w:val="center"/>
                </w:tcPr>
                <w:p w14:paraId="5A255FBB">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一般排气口</w:t>
                  </w:r>
                  <w:r>
                    <w:rPr>
                      <w:rFonts w:hint="eastAsia" w:ascii="Times New Roman" w:hAnsi="Times New Roman" w:eastAsia="宋体" w:cs="Times New Roman"/>
                      <w:color w:val="auto"/>
                      <w:sz w:val="21"/>
                      <w:szCs w:val="21"/>
                      <w:u w:val="none" w:color="auto"/>
                      <w:lang w:val="en-US" w:eastAsia="zh-CN"/>
                    </w:rPr>
                    <w:t>（DA001）</w:t>
                  </w:r>
                </w:p>
              </w:tc>
              <w:tc>
                <w:tcPr>
                  <w:tcW w:w="1420" w:type="dxa"/>
                  <w:tcBorders>
                    <w:tl2br w:val="nil"/>
                    <w:tr2bl w:val="nil"/>
                  </w:tcBorders>
                  <w:noWrap w:val="0"/>
                  <w:vAlign w:val="center"/>
                </w:tcPr>
                <w:p w14:paraId="1BD63781">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1597" w:type="dxa"/>
                  <w:tcBorders>
                    <w:tl2br w:val="nil"/>
                    <w:tr2bl w:val="nil"/>
                  </w:tcBorders>
                  <w:shd w:val="clear" w:color="auto" w:fill="auto"/>
                  <w:noWrap w:val="0"/>
                  <w:vAlign w:val="center"/>
                </w:tcPr>
                <w:p w14:paraId="1CDF38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eastAsia="宋体" w:cs="Times New Roman"/>
                      <w:i w:val="0"/>
                      <w:iCs w:val="0"/>
                      <w:color w:val="000000"/>
                      <w:kern w:val="2"/>
                      <w:sz w:val="21"/>
                      <w:szCs w:val="21"/>
                      <w:u w:val="none" w:color="auto"/>
                      <w:lang w:val="en-US" w:eastAsia="zh-CN" w:bidi="ar-SA"/>
                    </w:rPr>
                    <w:t>0.158</w:t>
                  </w:r>
                </w:p>
              </w:tc>
              <w:tc>
                <w:tcPr>
                  <w:tcW w:w="1679" w:type="dxa"/>
                  <w:tcBorders>
                    <w:tl2br w:val="nil"/>
                    <w:tr2bl w:val="nil"/>
                  </w:tcBorders>
                  <w:shd w:val="clear" w:color="auto" w:fill="auto"/>
                  <w:noWrap w:val="0"/>
                  <w:vAlign w:val="center"/>
                </w:tcPr>
                <w:p w14:paraId="1381F5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eastAsia="宋体" w:cs="Times New Roman"/>
                      <w:i w:val="0"/>
                      <w:iCs w:val="0"/>
                      <w:color w:val="000000"/>
                      <w:kern w:val="2"/>
                      <w:sz w:val="21"/>
                      <w:szCs w:val="21"/>
                      <w:u w:val="none" w:color="auto"/>
                      <w:lang w:val="en-US" w:eastAsia="zh-CN" w:bidi="ar-SA"/>
                    </w:rPr>
                    <w:t>0.759</w:t>
                  </w:r>
                </w:p>
              </w:tc>
            </w:tr>
            <w:tr w14:paraId="2C9A6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825" w:type="dxa"/>
                  <w:gridSpan w:val="2"/>
                  <w:tcBorders>
                    <w:tl2br w:val="nil"/>
                    <w:tr2bl w:val="nil"/>
                  </w:tcBorders>
                  <w:noWrap w:val="0"/>
                  <w:vAlign w:val="center"/>
                </w:tcPr>
                <w:p w14:paraId="7E06150F">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有组织排放量合计</w:t>
                  </w:r>
                </w:p>
              </w:tc>
              <w:tc>
                <w:tcPr>
                  <w:tcW w:w="1420" w:type="dxa"/>
                  <w:tcBorders>
                    <w:tl2br w:val="nil"/>
                    <w:tr2bl w:val="nil"/>
                  </w:tcBorders>
                  <w:shd w:val="clear" w:color="auto" w:fill="auto"/>
                  <w:noWrap w:val="0"/>
                  <w:vAlign w:val="center"/>
                </w:tcPr>
                <w:p w14:paraId="53AEA9ED">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颗粒物</w:t>
                  </w:r>
                </w:p>
              </w:tc>
              <w:tc>
                <w:tcPr>
                  <w:tcW w:w="1597" w:type="dxa"/>
                  <w:tcBorders>
                    <w:tl2br w:val="nil"/>
                    <w:tr2bl w:val="nil"/>
                  </w:tcBorders>
                  <w:shd w:val="clear" w:color="auto" w:fill="auto"/>
                  <w:noWrap w:val="0"/>
                  <w:vAlign w:val="center"/>
                </w:tcPr>
                <w:p w14:paraId="632BEF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eastAsia="宋体" w:cs="Times New Roman"/>
                      <w:i w:val="0"/>
                      <w:iCs w:val="0"/>
                      <w:color w:val="000000"/>
                      <w:kern w:val="2"/>
                      <w:sz w:val="21"/>
                      <w:szCs w:val="21"/>
                      <w:u w:val="none" w:color="auto"/>
                      <w:lang w:val="en-US" w:eastAsia="zh-CN" w:bidi="ar-SA"/>
                    </w:rPr>
                    <w:t>0.158</w:t>
                  </w:r>
                </w:p>
              </w:tc>
              <w:tc>
                <w:tcPr>
                  <w:tcW w:w="1679" w:type="dxa"/>
                  <w:tcBorders>
                    <w:tl2br w:val="nil"/>
                    <w:tr2bl w:val="nil"/>
                  </w:tcBorders>
                  <w:shd w:val="clear" w:color="auto" w:fill="auto"/>
                  <w:noWrap w:val="0"/>
                  <w:vAlign w:val="center"/>
                </w:tcPr>
                <w:p w14:paraId="32886A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color="auto"/>
                      <w:lang w:val="en-US" w:eastAsia="zh-CN" w:bidi="ar-SA"/>
                    </w:rPr>
                  </w:pPr>
                  <w:r>
                    <w:rPr>
                      <w:rFonts w:hint="eastAsia" w:eastAsia="宋体" w:cs="Times New Roman"/>
                      <w:i w:val="0"/>
                      <w:iCs w:val="0"/>
                      <w:color w:val="000000"/>
                      <w:kern w:val="2"/>
                      <w:sz w:val="21"/>
                      <w:szCs w:val="21"/>
                      <w:u w:val="none" w:color="auto"/>
                      <w:lang w:val="en-US" w:eastAsia="zh-CN" w:bidi="ar-SA"/>
                    </w:rPr>
                    <w:t>0.759</w:t>
                  </w:r>
                </w:p>
              </w:tc>
            </w:tr>
          </w:tbl>
          <w:p w14:paraId="0054C13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 xml:space="preserve"> </w:t>
            </w:r>
            <w:r>
              <w:rPr>
                <w:rFonts w:hint="eastAsia" w:ascii="Times New Roman" w:hAnsi="Times New Roman" w:eastAsia="宋体" w:cs="Times New Roman"/>
                <w:color w:val="auto"/>
                <w:sz w:val="24"/>
                <w:szCs w:val="24"/>
                <w:highlight w:val="none"/>
                <w:u w:val="none" w:color="auto"/>
                <w:lang w:val="en-US" w:eastAsia="zh-CN"/>
              </w:rPr>
              <w:t>本项目运营期无组织排放废气污染源核算详见下表：</w:t>
            </w:r>
          </w:p>
          <w:p w14:paraId="50B0F9D0">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w:t>
            </w:r>
            <w:r>
              <w:rPr>
                <w:rFonts w:hint="eastAsia" w:ascii="Times New Roman" w:hAnsi="Times New Roman" w:eastAsia="宋体" w:cs="Times New Roman"/>
                <w:b/>
                <w:color w:val="auto"/>
                <w:sz w:val="21"/>
                <w:szCs w:val="21"/>
                <w:highlight w:val="none"/>
                <w:u w:val="none" w:color="auto"/>
                <w:lang w:val="en-US" w:eastAsia="zh-CN"/>
              </w:rPr>
              <w:t>4-3  本项目</w:t>
            </w:r>
            <w:r>
              <w:rPr>
                <w:rFonts w:hint="default" w:ascii="Times New Roman" w:hAnsi="Times New Roman" w:eastAsia="宋体" w:cs="Times New Roman"/>
                <w:b/>
                <w:color w:val="auto"/>
                <w:sz w:val="21"/>
                <w:szCs w:val="21"/>
                <w:highlight w:val="none"/>
                <w:u w:val="none" w:color="auto"/>
                <w:lang w:val="en-US" w:eastAsia="zh-CN"/>
              </w:rPr>
              <w:t>无组织</w:t>
            </w:r>
            <w:r>
              <w:rPr>
                <w:rFonts w:hint="eastAsia" w:ascii="Times New Roman" w:hAnsi="Times New Roman" w:eastAsia="宋体" w:cs="Times New Roman"/>
                <w:b/>
                <w:color w:val="auto"/>
                <w:sz w:val="21"/>
                <w:szCs w:val="21"/>
                <w:highlight w:val="none"/>
                <w:u w:val="none" w:color="auto"/>
                <w:lang w:val="en-US" w:eastAsia="zh-CN"/>
              </w:rPr>
              <w:t>废气污染物污染源</w:t>
            </w:r>
            <w:r>
              <w:rPr>
                <w:rFonts w:hint="default" w:ascii="Times New Roman" w:hAnsi="Times New Roman" w:eastAsia="宋体" w:cs="Times New Roman"/>
                <w:b/>
                <w:color w:val="auto"/>
                <w:sz w:val="21"/>
                <w:szCs w:val="21"/>
                <w:highlight w:val="none"/>
                <w:u w:val="none" w:color="auto"/>
                <w:lang w:val="en-US" w:eastAsia="zh-CN"/>
              </w:rPr>
              <w:t>核算表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833"/>
              <w:gridCol w:w="2155"/>
              <w:gridCol w:w="1511"/>
              <w:gridCol w:w="2331"/>
            </w:tblGrid>
            <w:tr w14:paraId="010D8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l2br w:val="nil"/>
                    <w:tr2bl w:val="nil"/>
                  </w:tcBorders>
                  <w:noWrap w:val="0"/>
                  <w:vAlign w:val="center"/>
                </w:tcPr>
                <w:p w14:paraId="1C364E6E">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833" w:type="dxa"/>
                  <w:tcBorders>
                    <w:tl2br w:val="nil"/>
                    <w:tr2bl w:val="nil"/>
                  </w:tcBorders>
                  <w:noWrap w:val="0"/>
                  <w:vAlign w:val="center"/>
                </w:tcPr>
                <w:p w14:paraId="0F3E0CF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排放口</w:t>
                  </w:r>
                </w:p>
              </w:tc>
              <w:tc>
                <w:tcPr>
                  <w:tcW w:w="2154" w:type="dxa"/>
                  <w:tcBorders>
                    <w:tl2br w:val="nil"/>
                    <w:tr2bl w:val="nil"/>
                  </w:tcBorders>
                  <w:noWrap w:val="0"/>
                  <w:vAlign w:val="center"/>
                </w:tcPr>
                <w:p w14:paraId="4EDE547F">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产污环节</w:t>
                  </w:r>
                </w:p>
              </w:tc>
              <w:tc>
                <w:tcPr>
                  <w:tcW w:w="1510" w:type="dxa"/>
                  <w:tcBorders>
                    <w:tl2br w:val="nil"/>
                    <w:tr2bl w:val="nil"/>
                  </w:tcBorders>
                  <w:noWrap w:val="0"/>
                  <w:vAlign w:val="center"/>
                </w:tcPr>
                <w:p w14:paraId="7E5F6A7B">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污染物名称</w:t>
                  </w:r>
                </w:p>
              </w:tc>
              <w:tc>
                <w:tcPr>
                  <w:tcW w:w="2330" w:type="dxa"/>
                  <w:tcBorders>
                    <w:tl2br w:val="nil"/>
                    <w:tr2bl w:val="nil"/>
                  </w:tcBorders>
                  <w:noWrap w:val="0"/>
                  <w:vAlign w:val="center"/>
                </w:tcPr>
                <w:p w14:paraId="002451F8">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年排放量（t/a）</w:t>
                  </w:r>
                </w:p>
              </w:tc>
            </w:tr>
            <w:tr w14:paraId="09B2A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l2br w:val="nil"/>
                    <w:tr2bl w:val="nil"/>
                  </w:tcBorders>
                  <w:noWrap w:val="0"/>
                  <w:vAlign w:val="center"/>
                </w:tcPr>
                <w:p w14:paraId="098CF0B1">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833" w:type="dxa"/>
                  <w:vMerge w:val="restart"/>
                  <w:tcBorders>
                    <w:tl2br w:val="nil"/>
                    <w:tr2bl w:val="nil"/>
                  </w:tcBorders>
                  <w:noWrap w:val="0"/>
                  <w:vAlign w:val="center"/>
                </w:tcPr>
                <w:p w14:paraId="0E9D658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厂界</w:t>
                  </w:r>
                </w:p>
              </w:tc>
              <w:tc>
                <w:tcPr>
                  <w:tcW w:w="2154" w:type="dxa"/>
                  <w:tcBorders>
                    <w:tl2br w:val="nil"/>
                    <w:tr2bl w:val="nil"/>
                  </w:tcBorders>
                  <w:noWrap w:val="0"/>
                  <w:vAlign w:val="center"/>
                </w:tcPr>
                <w:p w14:paraId="74A4C86F">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卸货堆存</w:t>
                  </w:r>
                  <w:r>
                    <w:rPr>
                      <w:rFonts w:hint="eastAsia" w:cs="Times New Roman"/>
                      <w:color w:val="auto"/>
                      <w:sz w:val="21"/>
                      <w:szCs w:val="21"/>
                      <w:u w:val="none" w:color="auto"/>
                      <w:lang w:val="en-US" w:eastAsia="zh-CN"/>
                    </w:rPr>
                    <w:t>工序</w:t>
                  </w:r>
                </w:p>
              </w:tc>
              <w:tc>
                <w:tcPr>
                  <w:tcW w:w="1510" w:type="dxa"/>
                  <w:tcBorders>
                    <w:tl2br w:val="nil"/>
                    <w:tr2bl w:val="nil"/>
                  </w:tcBorders>
                  <w:noWrap w:val="0"/>
                  <w:vAlign w:val="center"/>
                </w:tcPr>
                <w:p w14:paraId="13FA6C81">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2330" w:type="dxa"/>
                  <w:tcBorders>
                    <w:tl2br w:val="nil"/>
                    <w:tr2bl w:val="nil"/>
                  </w:tcBorders>
                  <w:noWrap w:val="0"/>
                  <w:vAlign w:val="center"/>
                </w:tcPr>
                <w:p w14:paraId="48A62D59">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0.208</w:t>
                  </w:r>
                </w:p>
              </w:tc>
            </w:tr>
            <w:tr w14:paraId="726EF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l2br w:val="nil"/>
                    <w:tr2bl w:val="nil"/>
                  </w:tcBorders>
                  <w:noWrap w:val="0"/>
                  <w:vAlign w:val="center"/>
                </w:tcPr>
                <w:p w14:paraId="0A554292">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833" w:type="dxa"/>
                  <w:vMerge w:val="continue"/>
                  <w:tcBorders>
                    <w:tl2br w:val="nil"/>
                    <w:tr2bl w:val="nil"/>
                  </w:tcBorders>
                  <w:noWrap w:val="0"/>
                  <w:vAlign w:val="center"/>
                </w:tcPr>
                <w:p w14:paraId="0F5B9A0C">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2154" w:type="dxa"/>
                  <w:tcBorders>
                    <w:tl2br w:val="nil"/>
                    <w:tr2bl w:val="nil"/>
                  </w:tcBorders>
                  <w:noWrap w:val="0"/>
                  <w:vAlign w:val="center"/>
                </w:tcPr>
                <w:p w14:paraId="799BDAB2">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破碎</w:t>
                  </w:r>
                  <w:r>
                    <w:rPr>
                      <w:rFonts w:hint="eastAsia" w:cs="Times New Roman"/>
                      <w:color w:val="auto"/>
                      <w:sz w:val="21"/>
                      <w:szCs w:val="21"/>
                      <w:u w:val="none" w:color="auto"/>
                      <w:lang w:val="en-US" w:eastAsia="zh-CN"/>
                    </w:rPr>
                    <w:t>工序</w:t>
                  </w:r>
                </w:p>
              </w:tc>
              <w:tc>
                <w:tcPr>
                  <w:tcW w:w="1510" w:type="dxa"/>
                  <w:tcBorders>
                    <w:tl2br w:val="nil"/>
                    <w:tr2bl w:val="nil"/>
                  </w:tcBorders>
                  <w:noWrap w:val="0"/>
                  <w:vAlign w:val="center"/>
                </w:tcPr>
                <w:p w14:paraId="44E6E483">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2330" w:type="dxa"/>
                  <w:tcBorders>
                    <w:tl2br w:val="nil"/>
                    <w:tr2bl w:val="nil"/>
                  </w:tcBorders>
                  <w:noWrap w:val="0"/>
                  <w:vAlign w:val="center"/>
                </w:tcPr>
                <w:p w14:paraId="2A32DB95">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1.688</w:t>
                  </w:r>
                </w:p>
              </w:tc>
            </w:tr>
            <w:tr w14:paraId="49EB5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81" w:type="dxa"/>
                  <w:gridSpan w:val="3"/>
                  <w:tcBorders>
                    <w:tl2br w:val="nil"/>
                    <w:tr2bl w:val="nil"/>
                  </w:tcBorders>
                  <w:noWrap w:val="0"/>
                  <w:vAlign w:val="center"/>
                </w:tcPr>
                <w:p w14:paraId="223B5E59">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无组织排放</w:t>
                  </w:r>
                  <w:r>
                    <w:rPr>
                      <w:rFonts w:hint="eastAsia" w:ascii="Times New Roman" w:hAnsi="Times New Roman" w:eastAsia="宋体" w:cs="Times New Roman"/>
                      <w:color w:val="auto"/>
                      <w:sz w:val="21"/>
                      <w:szCs w:val="21"/>
                      <w:u w:val="none" w:color="auto"/>
                      <w:lang w:val="en-US" w:eastAsia="zh-CN"/>
                    </w:rPr>
                    <w:t>量</w:t>
                  </w:r>
                  <w:r>
                    <w:rPr>
                      <w:rFonts w:hint="default" w:ascii="Times New Roman" w:hAnsi="Times New Roman" w:eastAsia="宋体" w:cs="Times New Roman"/>
                      <w:color w:val="auto"/>
                      <w:sz w:val="21"/>
                      <w:szCs w:val="21"/>
                      <w:u w:val="none" w:color="auto"/>
                      <w:lang w:val="en-US" w:eastAsia="zh-CN"/>
                    </w:rPr>
                    <w:t>总计</w:t>
                  </w:r>
                </w:p>
              </w:tc>
              <w:tc>
                <w:tcPr>
                  <w:tcW w:w="1510" w:type="dxa"/>
                  <w:tcBorders>
                    <w:tl2br w:val="nil"/>
                    <w:tr2bl w:val="nil"/>
                  </w:tcBorders>
                  <w:noWrap w:val="0"/>
                  <w:vAlign w:val="center"/>
                </w:tcPr>
                <w:p w14:paraId="6CF4B545">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2330" w:type="dxa"/>
                  <w:tcBorders>
                    <w:tl2br w:val="nil"/>
                    <w:tr2bl w:val="nil"/>
                  </w:tcBorders>
                  <w:noWrap w:val="0"/>
                  <w:vAlign w:val="center"/>
                </w:tcPr>
                <w:p w14:paraId="0709973E">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1.896</w:t>
                  </w:r>
                </w:p>
              </w:tc>
            </w:tr>
          </w:tbl>
          <w:p w14:paraId="6211F379">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本项目运营期废气污染源核算详见下表：</w:t>
            </w:r>
          </w:p>
          <w:p w14:paraId="4199129F">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表</w:t>
            </w:r>
            <w:r>
              <w:rPr>
                <w:rFonts w:hint="eastAsia" w:ascii="Times New Roman" w:hAnsi="Times New Roman" w:eastAsia="宋体" w:cs="Times New Roman"/>
                <w:b/>
                <w:color w:val="auto"/>
                <w:sz w:val="21"/>
                <w:szCs w:val="21"/>
                <w:highlight w:val="none"/>
                <w:u w:val="none" w:color="auto"/>
                <w:lang w:val="en-US" w:eastAsia="zh-CN"/>
              </w:rPr>
              <w:t>4</w:t>
            </w:r>
            <w:r>
              <w:rPr>
                <w:rFonts w:hint="default" w:ascii="Times New Roman" w:hAnsi="Times New Roman" w:eastAsia="宋体" w:cs="Times New Roman"/>
                <w:b/>
                <w:color w:val="auto"/>
                <w:sz w:val="21"/>
                <w:szCs w:val="21"/>
                <w:highlight w:val="none"/>
                <w:u w:val="none" w:color="auto"/>
                <w:lang w:val="en-US" w:eastAsia="zh-CN"/>
              </w:rPr>
              <w:t>-</w:t>
            </w:r>
            <w:r>
              <w:rPr>
                <w:rFonts w:hint="eastAsia" w:ascii="Times New Roman" w:hAnsi="Times New Roman" w:eastAsia="宋体" w:cs="Times New Roman"/>
                <w:b/>
                <w:color w:val="auto"/>
                <w:sz w:val="21"/>
                <w:szCs w:val="21"/>
                <w:highlight w:val="none"/>
                <w:u w:val="none" w:color="auto"/>
                <w:lang w:val="en-US" w:eastAsia="zh-CN"/>
              </w:rPr>
              <w:t>4  本项目</w:t>
            </w:r>
            <w:r>
              <w:rPr>
                <w:rFonts w:hint="default" w:ascii="Times New Roman" w:hAnsi="Times New Roman" w:eastAsia="宋体" w:cs="Times New Roman"/>
                <w:b/>
                <w:color w:val="auto"/>
                <w:sz w:val="21"/>
                <w:szCs w:val="21"/>
                <w:highlight w:val="none"/>
                <w:u w:val="none" w:color="auto"/>
                <w:lang w:val="en-US" w:eastAsia="zh-CN"/>
              </w:rPr>
              <w:t>大气污染物年排放量核算表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057"/>
              <w:gridCol w:w="4086"/>
            </w:tblGrid>
            <w:tr w14:paraId="4D6A7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81" w:type="dxa"/>
                  <w:tcBorders>
                    <w:tl2br w:val="nil"/>
                    <w:tr2bl w:val="nil"/>
                  </w:tcBorders>
                  <w:noWrap w:val="0"/>
                  <w:vAlign w:val="center"/>
                </w:tcPr>
                <w:p w14:paraId="59164269">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序号</w:t>
                  </w:r>
                </w:p>
              </w:tc>
              <w:tc>
                <w:tcPr>
                  <w:tcW w:w="2056" w:type="dxa"/>
                  <w:tcBorders>
                    <w:tl2br w:val="nil"/>
                    <w:tr2bl w:val="nil"/>
                  </w:tcBorders>
                  <w:noWrap w:val="0"/>
                  <w:vAlign w:val="center"/>
                </w:tcPr>
                <w:p w14:paraId="06309C29">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污染物名称</w:t>
                  </w:r>
                </w:p>
              </w:tc>
              <w:tc>
                <w:tcPr>
                  <w:tcW w:w="4084" w:type="dxa"/>
                  <w:tcBorders>
                    <w:tl2br w:val="nil"/>
                    <w:tr2bl w:val="nil"/>
                  </w:tcBorders>
                  <w:noWrap w:val="0"/>
                  <w:vAlign w:val="center"/>
                </w:tcPr>
                <w:p w14:paraId="4EA4170D">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年排放量</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t/a</w:t>
                  </w:r>
                  <w:r>
                    <w:rPr>
                      <w:rFonts w:hint="eastAsia" w:ascii="Times New Roman" w:hAnsi="Times New Roman" w:eastAsia="宋体" w:cs="Times New Roman"/>
                      <w:color w:val="auto"/>
                      <w:sz w:val="21"/>
                      <w:szCs w:val="21"/>
                      <w:u w:val="none" w:color="auto"/>
                      <w:lang w:val="en-US" w:eastAsia="zh-CN"/>
                    </w:rPr>
                    <w:t>）</w:t>
                  </w:r>
                </w:p>
              </w:tc>
            </w:tr>
            <w:tr w14:paraId="323B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381" w:type="dxa"/>
                  <w:tcBorders>
                    <w:tl2br w:val="nil"/>
                    <w:tr2bl w:val="nil"/>
                  </w:tcBorders>
                  <w:noWrap w:val="0"/>
                  <w:vAlign w:val="center"/>
                </w:tcPr>
                <w:p w14:paraId="6A9B476E">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2056" w:type="dxa"/>
                  <w:tcBorders>
                    <w:tl2br w:val="nil"/>
                    <w:tr2bl w:val="nil"/>
                  </w:tcBorders>
                  <w:noWrap w:val="0"/>
                  <w:vAlign w:val="center"/>
                </w:tcPr>
                <w:p w14:paraId="0BABB1DB">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4084" w:type="dxa"/>
                  <w:tcBorders>
                    <w:tl2br w:val="nil"/>
                    <w:tr2bl w:val="nil"/>
                  </w:tcBorders>
                  <w:noWrap w:val="0"/>
                  <w:vAlign w:val="center"/>
                </w:tcPr>
                <w:p w14:paraId="2E762583">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2.655</w:t>
                  </w:r>
                </w:p>
              </w:tc>
            </w:tr>
          </w:tbl>
          <w:p w14:paraId="252CBFF5">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eastAsia="宋体"/>
                <w:color w:val="auto"/>
                <w:u w:val="none" w:color="auto"/>
                <w:lang w:val="en-US" w:eastAsia="zh-CN"/>
              </w:rPr>
            </w:pPr>
            <w:r>
              <w:rPr>
                <w:rFonts w:hint="eastAsia"/>
                <w:b/>
                <w:bCs/>
                <w:color w:val="auto"/>
                <w:u w:val="none" w:color="auto"/>
                <w:lang w:val="en-US" w:eastAsia="zh-CN"/>
              </w:rPr>
              <w:t>3</w:t>
            </w:r>
            <w:r>
              <w:rPr>
                <w:rFonts w:hint="eastAsia"/>
                <w:b/>
                <w:bCs/>
                <w:color w:val="auto"/>
                <w:u w:val="none" w:color="auto"/>
              </w:rPr>
              <w:t>、排气筒</w:t>
            </w:r>
            <w:r>
              <w:rPr>
                <w:rFonts w:hint="eastAsia"/>
                <w:b/>
                <w:bCs/>
                <w:color w:val="auto"/>
                <w:u w:val="none" w:color="auto"/>
                <w:lang w:val="en-US" w:eastAsia="zh-CN"/>
              </w:rPr>
              <w:t>基本情况</w:t>
            </w:r>
          </w:p>
          <w:p w14:paraId="5230F4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u w:val="none" w:color="auto"/>
                <w:lang w:val="en-US" w:eastAsia="zh-CN"/>
              </w:rPr>
            </w:pPr>
            <w:r>
              <w:rPr>
                <w:rFonts w:hint="eastAsia" w:ascii="Times New Roman" w:hAnsi="Times New Roman" w:eastAsia="宋体" w:cs="Times New Roman"/>
                <w:bCs/>
                <w:color w:val="auto"/>
                <w:sz w:val="24"/>
                <w:u w:val="none" w:color="auto"/>
                <w:lang w:val="en-US" w:eastAsia="zh-CN"/>
              </w:rPr>
              <w:t>本项目排气筒基本情况详见下表：</w:t>
            </w:r>
          </w:p>
          <w:p w14:paraId="495B7D72">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zh-CN" w:eastAsia="zh-CN"/>
              </w:rPr>
              <w:t>表</w:t>
            </w:r>
            <w:r>
              <w:rPr>
                <w:rFonts w:hint="default" w:ascii="Times New Roman" w:hAnsi="Times New Roman" w:eastAsia="宋体" w:cs="Times New Roman"/>
                <w:b/>
                <w:color w:val="auto"/>
                <w:sz w:val="21"/>
                <w:szCs w:val="21"/>
                <w:highlight w:val="none"/>
                <w:u w:val="none" w:color="auto"/>
                <w:lang w:val="en-US" w:eastAsia="zh-CN"/>
              </w:rPr>
              <w:t>4-</w:t>
            </w:r>
            <w:r>
              <w:rPr>
                <w:rFonts w:hint="eastAsia" w:ascii="Times New Roman" w:hAnsi="Times New Roman" w:eastAsia="宋体" w:cs="Times New Roman"/>
                <w:b/>
                <w:color w:val="auto"/>
                <w:sz w:val="21"/>
                <w:szCs w:val="21"/>
                <w:highlight w:val="none"/>
                <w:u w:val="none" w:color="auto"/>
                <w:lang w:val="en-US" w:eastAsia="zh-CN"/>
              </w:rPr>
              <w:t>5  本项目</w:t>
            </w:r>
            <w:r>
              <w:rPr>
                <w:rFonts w:hint="default" w:ascii="Times New Roman" w:hAnsi="Times New Roman" w:eastAsia="宋体" w:cs="Times New Roman"/>
                <w:b/>
                <w:color w:val="auto"/>
                <w:sz w:val="21"/>
                <w:szCs w:val="21"/>
                <w:highlight w:val="none"/>
                <w:u w:val="none" w:color="auto"/>
                <w:lang w:val="en-US" w:eastAsia="zh-CN"/>
              </w:rPr>
              <w:t>废气排放口基本情况</w:t>
            </w:r>
            <w:r>
              <w:rPr>
                <w:rFonts w:hint="eastAsia" w:ascii="Times New Roman" w:hAnsi="Times New Roman" w:eastAsia="宋体" w:cs="Times New Roman"/>
                <w:b/>
                <w:color w:val="auto"/>
                <w:sz w:val="21"/>
                <w:szCs w:val="21"/>
                <w:highlight w:val="none"/>
                <w:u w:val="none" w:color="auto"/>
                <w:lang w:val="en-US" w:eastAsia="zh-CN"/>
              </w:rPr>
              <w:t>一览表</w:t>
            </w:r>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13"/>
              <w:gridCol w:w="710"/>
              <w:gridCol w:w="1431"/>
              <w:gridCol w:w="1453"/>
              <w:gridCol w:w="416"/>
              <w:gridCol w:w="517"/>
              <w:gridCol w:w="782"/>
              <w:gridCol w:w="800"/>
            </w:tblGrid>
            <w:tr w14:paraId="09AA3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938" w:type="pct"/>
                  <w:vMerge w:val="restart"/>
                  <w:tcBorders>
                    <w:tl2br w:val="nil"/>
                    <w:tr2bl w:val="nil"/>
                  </w:tcBorders>
                  <w:noWrap w:val="0"/>
                  <w:vAlign w:val="center"/>
                </w:tcPr>
                <w:p w14:paraId="04B7A3EC">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污染源名称</w:t>
                  </w:r>
                </w:p>
              </w:tc>
              <w:tc>
                <w:tcPr>
                  <w:tcW w:w="472" w:type="pct"/>
                  <w:vMerge w:val="restart"/>
                  <w:tcBorders>
                    <w:tl2br w:val="nil"/>
                    <w:tr2bl w:val="nil"/>
                  </w:tcBorders>
                  <w:noWrap w:val="0"/>
                  <w:vAlign w:val="center"/>
                </w:tcPr>
                <w:p w14:paraId="101D23A6">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编号</w:t>
                  </w:r>
                </w:p>
              </w:tc>
              <w:tc>
                <w:tcPr>
                  <w:tcW w:w="1916" w:type="pct"/>
                  <w:gridSpan w:val="2"/>
                  <w:tcBorders>
                    <w:tl2br w:val="nil"/>
                    <w:tr2bl w:val="nil"/>
                  </w:tcBorders>
                  <w:noWrap w:val="0"/>
                  <w:vAlign w:val="center"/>
                </w:tcPr>
                <w:p w14:paraId="459FF35A">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地理坐标</w:t>
                  </w:r>
                  <w:r>
                    <w:rPr>
                      <w:rFonts w:hint="eastAsia" w:ascii="Times New Roman" w:hAnsi="Times New Roman" w:eastAsia="宋体"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vertAlign w:val="superscript"/>
                      <w:lang w:val="en-US" w:eastAsia="zh-CN"/>
                    </w:rPr>
                    <w:t>o</w:t>
                  </w:r>
                  <w:r>
                    <w:rPr>
                      <w:rFonts w:hint="eastAsia" w:ascii="Times New Roman" w:hAnsi="Times New Roman" w:eastAsia="宋体" w:cs="Times New Roman"/>
                      <w:b/>
                      <w:bCs/>
                      <w:color w:val="auto"/>
                      <w:sz w:val="21"/>
                      <w:szCs w:val="21"/>
                      <w:u w:val="none" w:color="auto"/>
                      <w:lang w:val="en-US" w:eastAsia="zh-CN"/>
                    </w:rPr>
                    <w:t>）</w:t>
                  </w:r>
                </w:p>
              </w:tc>
              <w:tc>
                <w:tcPr>
                  <w:tcW w:w="1140" w:type="pct"/>
                  <w:gridSpan w:val="3"/>
                  <w:tcBorders>
                    <w:tl2br w:val="nil"/>
                    <w:tr2bl w:val="nil"/>
                  </w:tcBorders>
                  <w:noWrap w:val="0"/>
                  <w:vAlign w:val="center"/>
                </w:tcPr>
                <w:p w14:paraId="61F484DC">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排气筒参数</w:t>
                  </w:r>
                </w:p>
              </w:tc>
              <w:tc>
                <w:tcPr>
                  <w:tcW w:w="532" w:type="pct"/>
                  <w:vMerge w:val="restart"/>
                  <w:tcBorders>
                    <w:tl2br w:val="nil"/>
                    <w:tr2bl w:val="nil"/>
                  </w:tcBorders>
                  <w:noWrap w:val="0"/>
                  <w:vAlign w:val="center"/>
                </w:tcPr>
                <w:p w14:paraId="76611DBA">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类型</w:t>
                  </w:r>
                </w:p>
              </w:tc>
            </w:tr>
            <w:tr w14:paraId="27168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938" w:type="pct"/>
                  <w:vMerge w:val="continue"/>
                  <w:tcBorders>
                    <w:tl2br w:val="nil"/>
                    <w:tr2bl w:val="nil"/>
                  </w:tcBorders>
                  <w:noWrap w:val="0"/>
                  <w:vAlign w:val="center"/>
                </w:tcPr>
                <w:p w14:paraId="7DD2272D">
                  <w:pPr>
                    <w:adjustRightInd w:val="0"/>
                    <w:snapToGrid w:val="0"/>
                    <w:jc w:val="center"/>
                    <w:rPr>
                      <w:rFonts w:hint="default" w:ascii="Times New Roman" w:hAnsi="Times New Roman" w:eastAsia="宋体" w:cs="Times New Roman"/>
                      <w:b/>
                      <w:bCs/>
                      <w:color w:val="auto"/>
                      <w:sz w:val="21"/>
                      <w:szCs w:val="21"/>
                      <w:u w:val="none" w:color="auto"/>
                      <w:lang w:val="en-US" w:eastAsia="zh-CN"/>
                    </w:rPr>
                  </w:pPr>
                </w:p>
              </w:tc>
              <w:tc>
                <w:tcPr>
                  <w:tcW w:w="472" w:type="pct"/>
                  <w:vMerge w:val="continue"/>
                  <w:tcBorders>
                    <w:tl2br w:val="nil"/>
                    <w:tr2bl w:val="nil"/>
                  </w:tcBorders>
                  <w:noWrap w:val="0"/>
                  <w:vAlign w:val="center"/>
                </w:tcPr>
                <w:p w14:paraId="4479575A">
                  <w:pPr>
                    <w:adjustRightInd w:val="0"/>
                    <w:snapToGrid w:val="0"/>
                    <w:jc w:val="center"/>
                    <w:rPr>
                      <w:rFonts w:hint="default" w:ascii="Times New Roman" w:hAnsi="Times New Roman" w:eastAsia="宋体" w:cs="Times New Roman"/>
                      <w:b/>
                      <w:bCs/>
                      <w:color w:val="auto"/>
                      <w:sz w:val="21"/>
                      <w:szCs w:val="21"/>
                      <w:u w:val="none" w:color="auto"/>
                      <w:lang w:val="en-US" w:eastAsia="zh-CN"/>
                    </w:rPr>
                  </w:pPr>
                </w:p>
              </w:tc>
              <w:tc>
                <w:tcPr>
                  <w:tcW w:w="999" w:type="pct"/>
                  <w:tcBorders>
                    <w:tl2br w:val="nil"/>
                    <w:tr2bl w:val="nil"/>
                  </w:tcBorders>
                  <w:noWrap w:val="0"/>
                  <w:vAlign w:val="center"/>
                </w:tcPr>
                <w:p w14:paraId="6500026F">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经度</w:t>
                  </w:r>
                </w:p>
              </w:tc>
              <w:tc>
                <w:tcPr>
                  <w:tcW w:w="916" w:type="pct"/>
                  <w:tcBorders>
                    <w:tl2br w:val="nil"/>
                    <w:tr2bl w:val="nil"/>
                  </w:tcBorders>
                  <w:noWrap w:val="0"/>
                  <w:vAlign w:val="center"/>
                </w:tcPr>
                <w:p w14:paraId="69F94C9A">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纬度</w:t>
                  </w:r>
                </w:p>
              </w:tc>
              <w:tc>
                <w:tcPr>
                  <w:tcW w:w="351" w:type="pct"/>
                  <w:tcBorders>
                    <w:tl2br w:val="nil"/>
                    <w:tr2bl w:val="nil"/>
                  </w:tcBorders>
                  <w:noWrap w:val="0"/>
                  <w:vAlign w:val="center"/>
                </w:tcPr>
                <w:p w14:paraId="2CA3C278">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高度</w:t>
                  </w:r>
                </w:p>
                <w:p w14:paraId="1DEAB27A">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lang w:val="en-US" w:eastAsia="zh-CN"/>
                    </w:rPr>
                    <w:t>m</w:t>
                  </w:r>
                  <w:r>
                    <w:rPr>
                      <w:rFonts w:hint="eastAsia" w:cs="Times New Roman"/>
                      <w:b/>
                      <w:bCs/>
                      <w:color w:val="auto"/>
                      <w:sz w:val="21"/>
                      <w:szCs w:val="21"/>
                      <w:u w:val="none" w:color="auto"/>
                      <w:lang w:val="en-US" w:eastAsia="zh-CN"/>
                    </w:rPr>
                    <w:t>）</w:t>
                  </w:r>
                </w:p>
              </w:tc>
              <w:tc>
                <w:tcPr>
                  <w:tcW w:w="350" w:type="pct"/>
                  <w:tcBorders>
                    <w:tl2br w:val="nil"/>
                    <w:tr2bl w:val="nil"/>
                  </w:tcBorders>
                  <w:noWrap w:val="0"/>
                  <w:vAlign w:val="center"/>
                </w:tcPr>
                <w:p w14:paraId="2F7807EC">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内径</w:t>
                  </w:r>
                </w:p>
                <w:p w14:paraId="1FBAB5D9">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eastAsia"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lang w:val="en-US" w:eastAsia="zh-CN"/>
                    </w:rPr>
                    <w:t>m</w:t>
                  </w:r>
                  <w:r>
                    <w:rPr>
                      <w:rFonts w:hint="eastAsia" w:cs="Times New Roman"/>
                      <w:b/>
                      <w:bCs/>
                      <w:color w:val="auto"/>
                      <w:sz w:val="21"/>
                      <w:szCs w:val="21"/>
                      <w:u w:val="none" w:color="auto"/>
                      <w:lang w:val="en-US" w:eastAsia="zh-CN"/>
                    </w:rPr>
                    <w:t>）</w:t>
                  </w:r>
                </w:p>
              </w:tc>
              <w:tc>
                <w:tcPr>
                  <w:tcW w:w="437" w:type="pct"/>
                  <w:tcBorders>
                    <w:tl2br w:val="nil"/>
                    <w:tr2bl w:val="nil"/>
                  </w:tcBorders>
                  <w:noWrap w:val="0"/>
                  <w:vAlign w:val="center"/>
                </w:tcPr>
                <w:p w14:paraId="0B1EC0CB">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温度</w:t>
                  </w:r>
                  <w:r>
                    <w:rPr>
                      <w:rFonts w:hint="eastAsia" w:ascii="Times New Roman" w:hAnsi="Times New Roman" w:eastAsia="宋体" w:cs="Times New Roman"/>
                      <w:b/>
                      <w:bCs/>
                      <w:color w:val="auto"/>
                      <w:sz w:val="21"/>
                      <w:szCs w:val="21"/>
                      <w:u w:val="none" w:color="auto"/>
                      <w:lang w:val="en-US" w:eastAsia="zh-CN"/>
                    </w:rPr>
                    <w:t>（</w:t>
                  </w:r>
                  <w:r>
                    <w:rPr>
                      <w:rFonts w:hint="default" w:ascii="Times New Roman" w:hAnsi="Times New Roman" w:eastAsia="宋体" w:cs="Times New Roman"/>
                      <w:b/>
                      <w:bCs/>
                      <w:color w:val="auto"/>
                      <w:sz w:val="21"/>
                      <w:szCs w:val="21"/>
                      <w:u w:val="none" w:color="auto"/>
                      <w:lang w:val="en-US" w:eastAsia="zh-CN"/>
                    </w:rPr>
                    <w:t>℃</w:t>
                  </w:r>
                  <w:r>
                    <w:rPr>
                      <w:rFonts w:hint="eastAsia" w:ascii="Times New Roman" w:hAnsi="Times New Roman" w:eastAsia="宋体" w:cs="Times New Roman"/>
                      <w:b/>
                      <w:bCs/>
                      <w:color w:val="auto"/>
                      <w:sz w:val="21"/>
                      <w:szCs w:val="21"/>
                      <w:u w:val="none" w:color="auto"/>
                      <w:lang w:val="en-US" w:eastAsia="zh-CN"/>
                    </w:rPr>
                    <w:t>）</w:t>
                  </w:r>
                </w:p>
              </w:tc>
              <w:tc>
                <w:tcPr>
                  <w:tcW w:w="532" w:type="pct"/>
                  <w:vMerge w:val="continue"/>
                  <w:tcBorders>
                    <w:tl2br w:val="nil"/>
                    <w:tr2bl w:val="nil"/>
                  </w:tcBorders>
                  <w:noWrap w:val="0"/>
                  <w:vAlign w:val="center"/>
                </w:tcPr>
                <w:p w14:paraId="324E9098">
                  <w:pPr>
                    <w:adjustRightInd w:val="0"/>
                    <w:snapToGrid w:val="0"/>
                    <w:jc w:val="center"/>
                    <w:rPr>
                      <w:rFonts w:hint="default" w:ascii="Times New Roman" w:hAnsi="Times New Roman" w:eastAsia="宋体" w:cs="Times New Roman"/>
                      <w:b/>
                      <w:bCs/>
                      <w:color w:val="auto"/>
                      <w:sz w:val="21"/>
                      <w:szCs w:val="21"/>
                      <w:u w:val="none" w:color="auto"/>
                      <w:lang w:val="en-US" w:eastAsia="zh-CN"/>
                    </w:rPr>
                  </w:pPr>
                </w:p>
              </w:tc>
            </w:tr>
            <w:tr w14:paraId="6876A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938" w:type="pct"/>
                  <w:tcBorders>
                    <w:tl2br w:val="nil"/>
                    <w:tr2bl w:val="nil"/>
                  </w:tcBorders>
                  <w:shd w:val="clear" w:color="auto" w:fill="auto"/>
                  <w:noWrap w:val="0"/>
                  <w:vAlign w:val="center"/>
                </w:tcPr>
                <w:p w14:paraId="47FC8BB7">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lang w:val="en-US" w:eastAsia="zh-CN"/>
                    </w:rPr>
                    <w:t>破碎</w:t>
                  </w:r>
                  <w:r>
                    <w:rPr>
                      <w:rFonts w:hint="eastAsia" w:ascii="Times New Roman" w:hAnsi="Times New Roman" w:eastAsia="宋体" w:cs="Times New Roman"/>
                      <w:color w:val="auto"/>
                      <w:sz w:val="21"/>
                      <w:szCs w:val="21"/>
                      <w:u w:val="none" w:color="auto"/>
                      <w:lang w:val="en-US" w:eastAsia="zh-CN"/>
                    </w:rPr>
                    <w:t>废气</w:t>
                  </w:r>
                </w:p>
              </w:tc>
              <w:tc>
                <w:tcPr>
                  <w:tcW w:w="472" w:type="pct"/>
                  <w:tcBorders>
                    <w:tl2br w:val="nil"/>
                    <w:tr2bl w:val="nil"/>
                  </w:tcBorders>
                  <w:noWrap w:val="0"/>
                  <w:vAlign w:val="center"/>
                </w:tcPr>
                <w:p w14:paraId="1FA0DDF2">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DA001</w:t>
                  </w:r>
                </w:p>
              </w:tc>
              <w:tc>
                <w:tcPr>
                  <w:tcW w:w="999" w:type="pct"/>
                  <w:tcBorders>
                    <w:tl2br w:val="nil"/>
                    <w:tr2bl w:val="nil"/>
                  </w:tcBorders>
                  <w:noWrap w:val="0"/>
                  <w:vAlign w:val="center"/>
                </w:tcPr>
                <w:p w14:paraId="0418E1B3">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112°11′19.660″</w:t>
                  </w:r>
                </w:p>
              </w:tc>
              <w:tc>
                <w:tcPr>
                  <w:tcW w:w="916" w:type="pct"/>
                  <w:tcBorders>
                    <w:tl2br w:val="nil"/>
                    <w:tr2bl w:val="nil"/>
                  </w:tcBorders>
                  <w:noWrap w:val="0"/>
                  <w:vAlign w:val="center"/>
                </w:tcPr>
                <w:p w14:paraId="02BB0416">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25°53′53.890″</w:t>
                  </w:r>
                </w:p>
              </w:tc>
              <w:tc>
                <w:tcPr>
                  <w:tcW w:w="351" w:type="pct"/>
                  <w:tcBorders>
                    <w:tl2br w:val="nil"/>
                    <w:tr2bl w:val="nil"/>
                  </w:tcBorders>
                  <w:noWrap w:val="0"/>
                  <w:vAlign w:val="center"/>
                </w:tcPr>
                <w:p w14:paraId="39B35224">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350" w:type="pct"/>
                  <w:tcBorders>
                    <w:tl2br w:val="nil"/>
                    <w:tr2bl w:val="nil"/>
                  </w:tcBorders>
                  <w:shd w:val="clear" w:color="auto" w:fill="auto"/>
                  <w:noWrap w:val="0"/>
                  <w:vAlign w:val="center"/>
                </w:tcPr>
                <w:p w14:paraId="6F1795B7">
                  <w:pPr>
                    <w:adjustRightInd w:val="0"/>
                    <w:snapToGrid w:val="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w:t>
                  </w:r>
                  <w:r>
                    <w:rPr>
                      <w:rFonts w:hint="eastAsia" w:eastAsia="宋体" w:cs="Times New Roman"/>
                      <w:color w:val="auto"/>
                      <w:sz w:val="21"/>
                      <w:szCs w:val="21"/>
                      <w:u w:val="none" w:color="auto"/>
                      <w:lang w:val="en-US" w:eastAsia="zh-CN"/>
                    </w:rPr>
                    <w:t>7</w:t>
                  </w:r>
                </w:p>
              </w:tc>
              <w:tc>
                <w:tcPr>
                  <w:tcW w:w="437" w:type="pct"/>
                  <w:tcBorders>
                    <w:tl2br w:val="nil"/>
                    <w:tr2bl w:val="nil"/>
                  </w:tcBorders>
                  <w:shd w:val="clear" w:color="auto" w:fill="auto"/>
                  <w:noWrap w:val="0"/>
                  <w:vAlign w:val="center"/>
                </w:tcPr>
                <w:p w14:paraId="75857EEE">
                  <w:pPr>
                    <w:adjustRightInd w:val="0"/>
                    <w:snapToGrid w:val="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25</w:t>
                  </w:r>
                </w:p>
              </w:tc>
              <w:tc>
                <w:tcPr>
                  <w:tcW w:w="532" w:type="pct"/>
                  <w:tcBorders>
                    <w:tl2br w:val="nil"/>
                    <w:tr2bl w:val="nil"/>
                  </w:tcBorders>
                  <w:noWrap w:val="0"/>
                  <w:vAlign w:val="center"/>
                </w:tcPr>
                <w:p w14:paraId="3AA74B66">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一般排放口</w:t>
                  </w:r>
                </w:p>
              </w:tc>
            </w:tr>
          </w:tbl>
          <w:p w14:paraId="1B541C01">
            <w:pPr>
              <w:keepNext w:val="0"/>
              <w:keepLines w:val="0"/>
              <w:pageBreakBefore w:val="0"/>
              <w:widowControl/>
              <w:suppressLineNumbers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b/>
                <w:bCs/>
                <w:color w:val="auto"/>
                <w:sz w:val="24"/>
                <w:u w:val="none" w:color="auto"/>
                <w:lang w:eastAsia="zh-CN"/>
              </w:rPr>
            </w:pPr>
            <w:r>
              <w:rPr>
                <w:rFonts w:hint="eastAsia" w:ascii="Times New Roman" w:hAnsi="Times New Roman" w:eastAsia="宋体" w:cs="Times New Roman"/>
                <w:color w:val="000000"/>
                <w:kern w:val="0"/>
                <w:szCs w:val="21"/>
                <w:lang w:val="en-US" w:eastAsia="zh-CN" w:bidi="ar"/>
              </w:rPr>
              <w:t xml:space="preserve"> </w:t>
            </w:r>
            <w:r>
              <w:rPr>
                <w:rFonts w:hint="eastAsia" w:ascii="Times New Roman" w:hAnsi="Times New Roman" w:eastAsia="宋体" w:cs="Times New Roman"/>
                <w:b w:val="0"/>
                <w:bCs w:val="0"/>
                <w:color w:val="auto"/>
                <w:sz w:val="24"/>
                <w:u w:val="none" w:color="auto"/>
                <w:lang w:eastAsia="zh-CN"/>
              </w:rPr>
              <w:t>（</w:t>
            </w:r>
            <w:r>
              <w:rPr>
                <w:rFonts w:hint="eastAsia" w:ascii="Times New Roman" w:hAnsi="Times New Roman" w:eastAsia="宋体" w:cs="Times New Roman"/>
                <w:b w:val="0"/>
                <w:bCs w:val="0"/>
                <w:color w:val="auto"/>
                <w:sz w:val="24"/>
                <w:u w:val="none" w:color="auto"/>
                <w:lang w:val="en-US" w:eastAsia="zh-CN"/>
              </w:rPr>
              <w:t>1</w:t>
            </w:r>
            <w:r>
              <w:rPr>
                <w:rFonts w:hint="eastAsia" w:ascii="Times New Roman" w:hAnsi="Times New Roman" w:eastAsia="宋体" w:cs="Times New Roman"/>
                <w:b w:val="0"/>
                <w:bCs w:val="0"/>
                <w:color w:val="auto"/>
                <w:sz w:val="24"/>
                <w:u w:val="none" w:color="auto"/>
                <w:lang w:eastAsia="zh-CN"/>
              </w:rPr>
              <w:t>）</w:t>
            </w:r>
            <w:r>
              <w:rPr>
                <w:rFonts w:hint="default" w:ascii="Times New Roman" w:hAnsi="Times New Roman" w:eastAsia="宋体" w:cs="Times New Roman"/>
                <w:b w:val="0"/>
                <w:bCs w:val="0"/>
                <w:color w:val="auto"/>
                <w:sz w:val="24"/>
                <w:u w:val="none" w:color="auto"/>
                <w:lang w:eastAsia="zh-CN"/>
              </w:rPr>
              <w:t>排气筒高度可行性分析：</w:t>
            </w:r>
          </w:p>
          <w:p w14:paraId="4D4B7B5D">
            <w:pPr>
              <w:keepNext w:val="0"/>
              <w:keepLines w:val="0"/>
              <w:pageBreakBefore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pacing w:val="0"/>
                <w:sz w:val="24"/>
                <w:szCs w:val="24"/>
                <w:u w:val="none" w:color="auto"/>
                <w:lang w:val="en-US" w:eastAsia="zh-CN"/>
              </w:rPr>
            </w:pPr>
            <w:r>
              <w:rPr>
                <w:rFonts w:hint="default" w:ascii="Times New Roman" w:hAnsi="Times New Roman" w:cs="Times New Roman"/>
                <w:color w:val="auto"/>
                <w:spacing w:val="0"/>
                <w:sz w:val="24"/>
                <w:szCs w:val="24"/>
                <w:highlight w:val="none"/>
                <w:u w:val="none" w:color="auto"/>
                <w:lang w:eastAsia="zh-CN"/>
              </w:rPr>
              <w:t>《大气污染物综合排放标准》（GB16297-1996）中排气筒高度相关要求明确：排气筒一般不应低于</w:t>
            </w:r>
            <w:r>
              <w:rPr>
                <w:rFonts w:hint="default" w:ascii="Times New Roman" w:hAnsi="Times New Roman" w:cs="Times New Roman"/>
                <w:color w:val="auto"/>
                <w:spacing w:val="0"/>
                <w:sz w:val="24"/>
                <w:szCs w:val="24"/>
                <w:highlight w:val="none"/>
                <w:u w:val="none" w:color="auto"/>
                <w:lang w:val="en-US" w:eastAsia="zh-CN"/>
              </w:rPr>
              <w:t>15m，并且还应高出周围200m半径范围的建筑5m以上，不能达到该要求的排气筒，应按其高度对应的表列排放速率标准值严格50%执行。</w:t>
            </w:r>
          </w:p>
          <w:p w14:paraId="6AA395C6">
            <w:pPr>
              <w:pStyle w:val="13"/>
              <w:keepNext w:val="0"/>
              <w:keepLines w:val="0"/>
              <w:pageBreakBefore w:val="0"/>
              <w:kinsoku/>
              <w:wordWrap/>
              <w:overflowPunct/>
              <w:topLinePunct w:val="0"/>
              <w:autoSpaceDE/>
              <w:autoSpaceDN/>
              <w:bidi w:val="0"/>
              <w:adjustRightInd/>
              <w:snapToGrid/>
              <w:spacing w:before="0" w:after="0" w:line="360" w:lineRule="auto"/>
              <w:ind w:left="0" w:leftChars="0" w:right="0" w:firstLine="480" w:firstLineChars="200"/>
              <w:textAlignment w:val="auto"/>
              <w:rPr>
                <w:rFonts w:hint="default" w:ascii="Times New Roman" w:hAnsi="Times New Roman" w:eastAsia="宋体" w:cs="Times New Roman"/>
                <w:color w:val="auto"/>
                <w:spacing w:val="0"/>
                <w:sz w:val="24"/>
                <w:szCs w:val="24"/>
                <w:highlight w:val="none"/>
                <w:u w:val="none" w:color="auto"/>
                <w:lang w:val="en-US" w:eastAsia="zh-CN"/>
              </w:rPr>
            </w:pPr>
            <w:r>
              <w:rPr>
                <w:rFonts w:hint="eastAsia" w:ascii="Times New Roman" w:hAnsi="Times New Roman" w:eastAsia="宋体" w:cs="Times New Roman"/>
                <w:color w:val="auto"/>
                <w:spacing w:val="0"/>
                <w:sz w:val="24"/>
                <w:szCs w:val="24"/>
                <w:highlight w:val="none"/>
                <w:u w:val="none" w:color="auto"/>
                <w:lang w:val="en-US" w:eastAsia="zh-CN"/>
              </w:rPr>
              <w:t>根据现场调查，本项目排气筒周围200m半径范围内最高建筑为金羊路保障房小区二区，高度为16m。由此可知，本项目各废气排气筒（DA001）高度（15m）未满足</w:t>
            </w:r>
            <w:r>
              <w:rPr>
                <w:rFonts w:hint="eastAsia" w:cs="Times New Roman"/>
                <w:color w:val="auto"/>
                <w:spacing w:val="0"/>
                <w:sz w:val="24"/>
                <w:szCs w:val="24"/>
                <w:highlight w:val="none"/>
                <w:u w:val="none" w:color="auto"/>
                <w:lang w:val="en-US" w:eastAsia="zh-CN"/>
              </w:rPr>
              <w:t>“</w:t>
            </w:r>
            <w:r>
              <w:rPr>
                <w:rFonts w:hint="default" w:ascii="Times New Roman" w:hAnsi="Times New Roman" w:cs="Times New Roman"/>
                <w:color w:val="auto"/>
                <w:spacing w:val="0"/>
                <w:sz w:val="24"/>
                <w:szCs w:val="24"/>
                <w:highlight w:val="none"/>
                <w:u w:val="none" w:color="auto"/>
                <w:lang w:val="en-US" w:eastAsia="zh-CN"/>
              </w:rPr>
              <w:t>高出周围200m半径范围的建筑5m以上</w:t>
            </w:r>
            <w:r>
              <w:rPr>
                <w:rFonts w:hint="eastAsia" w:ascii="Times New Roman" w:hAnsi="Times New Roman" w:cs="Times New Roman"/>
                <w:color w:val="auto"/>
                <w:spacing w:val="0"/>
                <w:sz w:val="24"/>
                <w:szCs w:val="24"/>
                <w:highlight w:val="none"/>
                <w:u w:val="none" w:color="auto"/>
                <w:lang w:val="en-US" w:eastAsia="zh-CN"/>
              </w:rPr>
              <w:t>（21m）</w:t>
            </w:r>
            <w:r>
              <w:rPr>
                <w:rFonts w:hint="eastAsia" w:cs="Times New Roman"/>
                <w:color w:val="auto"/>
                <w:spacing w:val="0"/>
                <w:sz w:val="24"/>
                <w:szCs w:val="24"/>
                <w:highlight w:val="none"/>
                <w:u w:val="none" w:color="auto"/>
                <w:lang w:val="en-US" w:eastAsia="zh-CN"/>
              </w:rPr>
              <w:t>”</w:t>
            </w:r>
            <w:r>
              <w:rPr>
                <w:rFonts w:hint="eastAsia" w:ascii="Times New Roman" w:hAnsi="Times New Roman" w:cs="Times New Roman"/>
                <w:color w:val="auto"/>
                <w:spacing w:val="0"/>
                <w:sz w:val="24"/>
                <w:szCs w:val="24"/>
                <w:highlight w:val="none"/>
                <w:u w:val="none" w:color="auto"/>
                <w:lang w:val="en-US" w:eastAsia="zh-CN"/>
              </w:rPr>
              <w:t>的要求。因此，本项目</w:t>
            </w:r>
            <w:r>
              <w:rPr>
                <w:rFonts w:hint="eastAsia" w:ascii="Times New Roman" w:hAnsi="Times New Roman" w:eastAsia="宋体" w:cs="Times New Roman"/>
                <w:color w:val="auto"/>
                <w:spacing w:val="0"/>
                <w:sz w:val="24"/>
                <w:szCs w:val="24"/>
                <w:highlight w:val="none"/>
                <w:u w:val="none" w:color="auto"/>
                <w:lang w:val="en-US" w:eastAsia="zh-CN"/>
              </w:rPr>
              <w:t>排气筒（DA001）外排废气中颗粒物</w:t>
            </w:r>
            <w:r>
              <w:rPr>
                <w:rFonts w:hint="eastAsia" w:ascii="Times New Roman" w:hAnsi="Times New Roman" w:cs="Times New Roman"/>
                <w:color w:val="auto"/>
                <w:spacing w:val="0"/>
                <w:sz w:val="24"/>
                <w:szCs w:val="24"/>
                <w:highlight w:val="none"/>
                <w:u w:val="none" w:color="auto"/>
                <w:lang w:val="en-US" w:eastAsia="zh-CN"/>
              </w:rPr>
              <w:t>的排放速率应按15m高排气筒对应的表列排放速率标准限值严格50%执行，即为</w:t>
            </w:r>
            <w:r>
              <w:rPr>
                <w:rFonts w:hint="eastAsia" w:ascii="Times New Roman" w:hAnsi="Times New Roman" w:eastAsia="宋体" w:cs="Times New Roman"/>
                <w:color w:val="auto"/>
                <w:spacing w:val="0"/>
                <w:sz w:val="24"/>
                <w:szCs w:val="24"/>
                <w:highlight w:val="none"/>
                <w:u w:val="none" w:color="auto"/>
                <w:lang w:val="en-US" w:eastAsia="zh-CN"/>
              </w:rPr>
              <w:t>颗粒物</w:t>
            </w:r>
            <w:r>
              <w:rPr>
                <w:rFonts w:hint="eastAsia" w:ascii="Times New Roman" w:hAnsi="Times New Roman" w:cs="Times New Roman"/>
                <w:color w:val="auto"/>
                <w:spacing w:val="0"/>
                <w:sz w:val="24"/>
                <w:szCs w:val="24"/>
                <w:highlight w:val="none"/>
                <w:u w:val="none" w:color="auto"/>
                <w:lang w:val="en-US" w:eastAsia="zh-CN"/>
              </w:rPr>
              <w:t>1.75kg/h</w:t>
            </w:r>
            <w:r>
              <w:rPr>
                <w:rFonts w:hint="eastAsia" w:cs="Times New Roman"/>
                <w:color w:val="auto"/>
                <w:spacing w:val="0"/>
                <w:sz w:val="24"/>
                <w:szCs w:val="24"/>
                <w:highlight w:val="none"/>
                <w:u w:val="none" w:color="auto"/>
                <w:lang w:val="en-US" w:eastAsia="zh-CN"/>
              </w:rPr>
              <w:t>。</w:t>
            </w:r>
          </w:p>
          <w:p w14:paraId="7C6C8E16">
            <w:pPr>
              <w:pStyle w:val="14"/>
              <w:keepNext w:val="0"/>
              <w:keepLines w:val="0"/>
              <w:pageBreakBefore w:val="0"/>
              <w:widowControl w:val="0"/>
              <w:numPr>
                <w:ilvl w:val="0"/>
                <w:numId w:val="0"/>
              </w:numPr>
              <w:kinsoku/>
              <w:wordWrap/>
              <w:overflowPunct/>
              <w:topLinePunct w:val="0"/>
              <w:autoSpaceDE/>
              <w:autoSpaceDN/>
              <w:bidi w:val="0"/>
              <w:snapToGrid/>
              <w:ind w:firstLine="480" w:firstLineChars="200"/>
              <w:textAlignment w:val="auto"/>
              <w:rPr>
                <w:rFonts w:hint="eastAsia" w:cs="Times New Roman"/>
                <w:color w:val="auto"/>
                <w:spacing w:val="0"/>
                <w:sz w:val="24"/>
                <w:szCs w:val="24"/>
                <w:highlight w:val="none"/>
                <w:u w:val="none" w:color="auto"/>
                <w:lang w:val="en-US" w:eastAsia="zh-CN"/>
              </w:rPr>
            </w:pPr>
            <w:r>
              <w:rPr>
                <w:rFonts w:hint="eastAsia" w:ascii="Times New Roman" w:hAnsi="Times New Roman" w:eastAsia="宋体" w:cs="Times New Roman"/>
                <w:color w:val="auto"/>
                <w:spacing w:val="0"/>
                <w:sz w:val="24"/>
                <w:szCs w:val="24"/>
                <w:highlight w:val="none"/>
                <w:u w:val="none" w:color="auto"/>
                <w:lang w:val="en-US" w:eastAsia="zh-CN"/>
              </w:rPr>
              <w:t>综上所述，根据污染源产排情况可知，本项目排气筒（DA001）外排废气中颗粒物的排放浓度、排放速率能</w:t>
            </w:r>
            <w:r>
              <w:rPr>
                <w:rFonts w:hint="eastAsia"/>
                <w:color w:val="auto"/>
                <w:spacing w:val="0"/>
                <w:sz w:val="24"/>
                <w:szCs w:val="24"/>
                <w:highlight w:val="none"/>
                <w:u w:val="none" w:color="auto"/>
                <w:lang w:val="en-US" w:eastAsia="zh-CN"/>
              </w:rPr>
              <w:t>满足</w:t>
            </w:r>
            <w:r>
              <w:rPr>
                <w:rFonts w:hint="default" w:ascii="Times New Roman" w:hAnsi="Times New Roman" w:cs="Times New Roman"/>
                <w:color w:val="auto"/>
                <w:spacing w:val="0"/>
                <w:sz w:val="24"/>
                <w:szCs w:val="24"/>
                <w:highlight w:val="none"/>
                <w:u w:val="none" w:color="auto"/>
                <w:lang w:eastAsia="zh-CN"/>
              </w:rPr>
              <w:t>《大气污染物综合排放标准》（GB16297-1996）表</w:t>
            </w:r>
            <w:r>
              <w:rPr>
                <w:rFonts w:hint="default" w:ascii="Times New Roman" w:hAnsi="Times New Roman" w:cs="Times New Roman"/>
                <w:color w:val="auto"/>
                <w:spacing w:val="0"/>
                <w:sz w:val="24"/>
                <w:szCs w:val="24"/>
                <w:highlight w:val="none"/>
                <w:u w:val="none" w:color="auto"/>
                <w:lang w:val="en-US" w:eastAsia="zh-CN"/>
              </w:rPr>
              <w:t>2中</w:t>
            </w:r>
            <w:r>
              <w:rPr>
                <w:rFonts w:hint="eastAsia"/>
                <w:b w:val="0"/>
                <w:bCs w:val="0"/>
                <w:color w:val="auto"/>
                <w:spacing w:val="0"/>
                <w:kern w:val="2"/>
                <w:sz w:val="24"/>
                <w:szCs w:val="24"/>
                <w:highlight w:val="none"/>
                <w:u w:val="none" w:color="auto"/>
                <w:lang w:val="en-US" w:eastAsia="zh-CN" w:bidi="ar-SA"/>
              </w:rPr>
              <w:t>有组织</w:t>
            </w:r>
            <w:r>
              <w:rPr>
                <w:rFonts w:hint="eastAsia" w:ascii="Times New Roman" w:hAnsi="Times New Roman" w:cs="Times New Roman"/>
                <w:color w:val="auto"/>
                <w:spacing w:val="0"/>
                <w:sz w:val="24"/>
                <w:szCs w:val="24"/>
                <w:highlight w:val="none"/>
                <w:u w:val="none" w:color="auto"/>
                <w:lang w:val="en-US" w:eastAsia="zh-CN"/>
              </w:rPr>
              <w:t>二级标准限值（</w:t>
            </w:r>
            <w:r>
              <w:rPr>
                <w:rFonts w:hint="eastAsia" w:cs="Times New Roman"/>
                <w:color w:val="auto"/>
                <w:spacing w:val="0"/>
                <w:sz w:val="24"/>
                <w:szCs w:val="24"/>
                <w:highlight w:val="none"/>
                <w:u w:val="none" w:color="auto"/>
                <w:lang w:val="en-US" w:eastAsia="zh-CN"/>
              </w:rPr>
              <w:t>颗粒物</w:t>
            </w:r>
            <w:r>
              <w:rPr>
                <w:rFonts w:hint="eastAsia" w:ascii="Times New Roman" w:hAnsi="Times New Roman" w:cs="Times New Roman"/>
                <w:color w:val="auto"/>
                <w:spacing w:val="0"/>
                <w:sz w:val="24"/>
                <w:szCs w:val="24"/>
                <w:highlight w:val="none"/>
                <w:u w:val="none" w:color="auto"/>
                <w:lang w:val="en-US" w:eastAsia="zh-CN"/>
              </w:rPr>
              <w:t>120mg/m</w:t>
            </w:r>
            <w:r>
              <w:rPr>
                <w:rFonts w:hint="eastAsia" w:ascii="Times New Roman" w:hAnsi="Times New Roman" w:cs="Times New Roman"/>
                <w:color w:val="auto"/>
                <w:spacing w:val="0"/>
                <w:sz w:val="24"/>
                <w:szCs w:val="24"/>
                <w:highlight w:val="none"/>
                <w:u w:val="none" w:color="auto"/>
                <w:vertAlign w:val="superscript"/>
                <w:lang w:val="en-US" w:eastAsia="zh-CN"/>
              </w:rPr>
              <w:t>3</w:t>
            </w:r>
            <w:r>
              <w:rPr>
                <w:rFonts w:hint="eastAsia" w:ascii="Times New Roman" w:hAnsi="Times New Roman" w:cs="Times New Roman"/>
                <w:color w:val="auto"/>
                <w:spacing w:val="0"/>
                <w:sz w:val="24"/>
                <w:szCs w:val="24"/>
                <w:highlight w:val="none"/>
                <w:u w:val="none" w:color="auto"/>
                <w:lang w:val="en-US" w:eastAsia="zh-CN"/>
              </w:rPr>
              <w:t>、1.75kg/h）要求</w:t>
            </w:r>
            <w:r>
              <w:rPr>
                <w:rFonts w:hint="eastAsia" w:cs="Times New Roman"/>
                <w:color w:val="auto"/>
                <w:spacing w:val="0"/>
                <w:sz w:val="24"/>
                <w:szCs w:val="24"/>
                <w:highlight w:val="none"/>
                <w:u w:val="none" w:color="auto"/>
                <w:lang w:val="en-US" w:eastAsia="zh-CN"/>
              </w:rPr>
              <w:t>。</w:t>
            </w:r>
          </w:p>
          <w:p w14:paraId="1B8582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u w:val="none" w:color="auto"/>
                <w:lang w:eastAsia="zh-CN"/>
              </w:rPr>
            </w:pPr>
            <w:r>
              <w:rPr>
                <w:rFonts w:hint="eastAsia"/>
                <w:color w:val="auto"/>
                <w:sz w:val="24"/>
                <w:u w:val="none" w:color="auto"/>
                <w:lang w:eastAsia="zh-CN"/>
              </w:rPr>
              <w:t>（</w:t>
            </w:r>
            <w:r>
              <w:rPr>
                <w:rFonts w:hint="eastAsia"/>
                <w:color w:val="auto"/>
                <w:sz w:val="24"/>
                <w:u w:val="none" w:color="auto"/>
                <w:lang w:val="en-US" w:eastAsia="zh-CN"/>
              </w:rPr>
              <w:t>2</w:t>
            </w:r>
            <w:r>
              <w:rPr>
                <w:rFonts w:hint="eastAsia"/>
                <w:color w:val="auto"/>
                <w:sz w:val="24"/>
                <w:u w:val="none" w:color="auto"/>
                <w:lang w:eastAsia="zh-CN"/>
              </w:rPr>
              <w:t>）排气筒排气量参数可行性分析</w:t>
            </w:r>
          </w:p>
          <w:p w14:paraId="177F7F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u w:val="none" w:color="auto"/>
              </w:rPr>
            </w:pPr>
            <w:r>
              <w:rPr>
                <w:rFonts w:hint="eastAsia"/>
                <w:color w:val="auto"/>
                <w:sz w:val="24"/>
                <w:u w:val="none" w:color="auto"/>
              </w:rPr>
              <w:t>根据《大气污染治理工程技术导则》（HJ2000-2010），</w:t>
            </w:r>
            <w:r>
              <w:rPr>
                <w:rFonts w:hint="eastAsia"/>
                <w:color w:val="auto"/>
                <w:sz w:val="24"/>
                <w:u w:val="none" w:color="auto"/>
                <w:lang w:eastAsia="zh-CN"/>
              </w:rPr>
              <w:t>排气筒</w:t>
            </w:r>
            <w:r>
              <w:rPr>
                <w:rFonts w:hint="eastAsia"/>
                <w:color w:val="auto"/>
                <w:sz w:val="24"/>
                <w:u w:val="none" w:color="auto"/>
              </w:rPr>
              <w:t>的出口直径应根据出口流速确定，流速宜取15m/s左右。</w:t>
            </w:r>
          </w:p>
          <w:p w14:paraId="50ACD447">
            <w:pPr>
              <w:pStyle w:val="14"/>
              <w:keepNext w:val="0"/>
              <w:keepLines w:val="0"/>
              <w:pageBreakBefore w:val="0"/>
              <w:widowControl w:val="0"/>
              <w:numPr>
                <w:ilvl w:val="0"/>
                <w:numId w:val="0"/>
              </w:numPr>
              <w:kinsoku/>
              <w:wordWrap/>
              <w:overflowPunct/>
              <w:topLinePunct w:val="0"/>
              <w:autoSpaceDE/>
              <w:autoSpaceDN/>
              <w:bidi w:val="0"/>
              <w:snapToGrid/>
              <w:ind w:firstLine="480" w:firstLineChars="200"/>
              <w:textAlignment w:val="auto"/>
              <w:rPr>
                <w:rFonts w:hint="eastAsia"/>
                <w:color w:val="auto"/>
                <w:sz w:val="24"/>
                <w:u w:val="none" w:color="auto"/>
              </w:rPr>
            </w:pPr>
            <w:r>
              <w:rPr>
                <w:rFonts w:hint="eastAsia"/>
                <w:color w:val="auto"/>
                <w:sz w:val="24"/>
                <w:u w:val="none" w:color="auto"/>
              </w:rPr>
              <w:t>本项目</w:t>
            </w:r>
            <w:r>
              <w:rPr>
                <w:rFonts w:hint="eastAsia"/>
                <w:color w:val="auto"/>
                <w:sz w:val="24"/>
                <w:u w:val="none" w:color="auto"/>
                <w:lang w:val="en-US" w:eastAsia="zh-CN"/>
              </w:rPr>
              <w:t>破碎</w:t>
            </w:r>
            <w:r>
              <w:rPr>
                <w:rFonts w:hint="eastAsia"/>
                <w:color w:val="auto"/>
                <w:sz w:val="24"/>
                <w:u w:val="none" w:color="auto"/>
                <w:lang w:eastAsia="zh-CN"/>
              </w:rPr>
              <w:t>工序废气</w:t>
            </w:r>
            <w:r>
              <w:rPr>
                <w:rFonts w:hint="eastAsia"/>
                <w:color w:val="auto"/>
                <w:sz w:val="24"/>
                <w:u w:val="none" w:color="auto"/>
                <w:lang w:val="en-US" w:eastAsia="zh-CN"/>
              </w:rPr>
              <w:t>排气筒的设计排气量为：DA001排气量18000</w:t>
            </w:r>
            <w:r>
              <w:rPr>
                <w:rFonts w:hint="eastAsia"/>
                <w:color w:val="auto"/>
                <w:sz w:val="24"/>
                <w:u w:val="none" w:color="auto"/>
              </w:rPr>
              <w:t>m</w:t>
            </w:r>
            <w:r>
              <w:rPr>
                <w:rFonts w:hint="eastAsia"/>
                <w:color w:val="auto"/>
                <w:sz w:val="24"/>
                <w:u w:val="none" w:color="auto"/>
                <w:vertAlign w:val="superscript"/>
              </w:rPr>
              <w:t>3</w:t>
            </w:r>
            <w:r>
              <w:rPr>
                <w:rFonts w:hint="eastAsia"/>
                <w:color w:val="auto"/>
                <w:sz w:val="24"/>
                <w:u w:val="none" w:color="auto"/>
              </w:rPr>
              <w:t>/h</w:t>
            </w:r>
            <w:r>
              <w:rPr>
                <w:rFonts w:hint="eastAsia"/>
                <w:color w:val="auto"/>
                <w:sz w:val="24"/>
                <w:u w:val="none" w:color="auto"/>
                <w:lang w:val="en-US" w:eastAsia="zh-CN"/>
              </w:rPr>
              <w:t>、</w:t>
            </w:r>
            <w:r>
              <w:rPr>
                <w:rFonts w:hint="eastAsia"/>
                <w:color w:val="auto"/>
                <w:sz w:val="24"/>
                <w:u w:val="none" w:color="auto"/>
              </w:rPr>
              <w:t>设计内径为</w:t>
            </w:r>
            <w:r>
              <w:rPr>
                <w:rFonts w:hint="eastAsia"/>
                <w:color w:val="auto"/>
                <w:sz w:val="24"/>
                <w:u w:val="none" w:color="auto"/>
                <w:lang w:val="en-US" w:eastAsia="zh-CN"/>
              </w:rPr>
              <w:t>0.7m、</w:t>
            </w:r>
            <w:r>
              <w:rPr>
                <w:rFonts w:hint="eastAsia" w:ascii="Times New Roman" w:hAnsi="Times New Roman" w:eastAsia="宋体" w:cs="Times New Roman"/>
                <w:color w:val="auto"/>
                <w:sz w:val="24"/>
                <w:u w:val="none" w:color="auto"/>
                <w:lang w:val="en-US" w:eastAsia="zh-CN"/>
              </w:rPr>
              <w:t>排气筒设计高度为15m，则</w:t>
            </w:r>
            <w:r>
              <w:rPr>
                <w:rFonts w:hint="eastAsia"/>
                <w:color w:val="auto"/>
                <w:sz w:val="24"/>
                <w:u w:val="none" w:color="auto"/>
              </w:rPr>
              <w:t>设计废气口排放速度为</w:t>
            </w:r>
            <w:r>
              <w:rPr>
                <w:rFonts w:hint="eastAsia"/>
                <w:color w:val="auto"/>
                <w:sz w:val="24"/>
                <w:u w:val="none" w:color="auto"/>
                <w:lang w:val="en-US" w:eastAsia="zh-CN"/>
              </w:rPr>
              <w:t>14.18</w:t>
            </w:r>
            <w:r>
              <w:rPr>
                <w:rFonts w:hint="eastAsia"/>
                <w:color w:val="auto"/>
                <w:sz w:val="24"/>
                <w:u w:val="none" w:color="auto"/>
              </w:rPr>
              <w:t>m/s</w:t>
            </w:r>
            <w:r>
              <w:rPr>
                <w:rFonts w:hint="eastAsia"/>
                <w:color w:val="auto"/>
                <w:sz w:val="24"/>
                <w:u w:val="none" w:color="auto"/>
                <w:lang w:eastAsia="zh-CN"/>
              </w:rPr>
              <w:t>（</w:t>
            </w:r>
            <w:r>
              <w:rPr>
                <w:rFonts w:hint="eastAsia"/>
                <w:color w:val="auto"/>
                <w:sz w:val="24"/>
                <w:u w:val="none" w:color="auto"/>
                <w:lang w:val="en-US" w:eastAsia="zh-CN"/>
              </w:rPr>
              <w:t>DA001</w:t>
            </w:r>
            <w:r>
              <w:rPr>
                <w:rFonts w:hint="eastAsia"/>
                <w:color w:val="auto"/>
                <w:sz w:val="24"/>
                <w:u w:val="none" w:color="auto"/>
                <w:lang w:eastAsia="zh-CN"/>
              </w:rPr>
              <w:t>），</w:t>
            </w:r>
            <w:r>
              <w:rPr>
                <w:rFonts w:hint="eastAsia"/>
                <w:color w:val="auto"/>
                <w:sz w:val="24"/>
                <w:u w:val="none" w:color="auto"/>
              </w:rPr>
              <w:t>设计符合《大气污染治理工程技术导则》（HJ2000-2010）要求。</w:t>
            </w:r>
          </w:p>
          <w:p w14:paraId="3E92F33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4、非正常情况</w:t>
            </w:r>
          </w:p>
          <w:p w14:paraId="1141DF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通过分析，废气非正常工况主要是废气处理设施出现故障或检修时，废气不能及时处理而排放的废气污染物等。非正常工况下，处理效率为</w:t>
            </w:r>
            <w:r>
              <w:rPr>
                <w:rFonts w:hint="default" w:ascii="Times New Roman" w:hAnsi="Times New Roman" w:eastAsia="宋体" w:cs="Times New Roman"/>
                <w:color w:val="auto"/>
                <w:sz w:val="24"/>
                <w:szCs w:val="24"/>
                <w:highlight w:val="none"/>
                <w:u w:val="none" w:color="auto"/>
                <w:lang w:val="en-US" w:eastAsia="zh-CN"/>
              </w:rPr>
              <w:t>0</w:t>
            </w:r>
            <w:r>
              <w:rPr>
                <w:rFonts w:hint="eastAsia" w:ascii="Times New Roman" w:hAnsi="Times New Roman" w:eastAsia="宋体" w:cs="Times New Roman"/>
                <w:color w:val="auto"/>
                <w:sz w:val="24"/>
                <w:szCs w:val="24"/>
                <w:highlight w:val="none"/>
                <w:u w:val="none" w:color="auto"/>
                <w:lang w:val="en-US" w:eastAsia="zh-CN"/>
              </w:rPr>
              <w:t>（完全失效），发生频次按每年一次，废气排放情况见下表。</w:t>
            </w:r>
          </w:p>
          <w:p w14:paraId="44746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u w:val="none" w:color="auto"/>
                <w:lang w:eastAsia="zh-CN"/>
              </w:rPr>
            </w:pPr>
            <w:r>
              <w:rPr>
                <w:rFonts w:hint="default" w:ascii="Times New Roman" w:hAnsi="Times New Roman" w:eastAsia="宋体" w:cs="Times New Roman"/>
                <w:b/>
                <w:bCs/>
                <w:color w:val="auto"/>
                <w:kern w:val="0"/>
                <w:sz w:val="21"/>
                <w:szCs w:val="21"/>
                <w:highlight w:val="none"/>
                <w:u w:val="none" w:color="auto"/>
                <w:lang w:val="en-US" w:eastAsia="zh-CN" w:bidi="ar-SA"/>
              </w:rPr>
              <w:t>表4-</w:t>
            </w:r>
            <w:r>
              <w:rPr>
                <w:rFonts w:hint="eastAsia" w:cs="Times New Roman"/>
                <w:b/>
                <w:bCs/>
                <w:color w:val="auto"/>
                <w:kern w:val="0"/>
                <w:sz w:val="21"/>
                <w:szCs w:val="21"/>
                <w:highlight w:val="none"/>
                <w:u w:val="none" w:color="auto"/>
                <w:lang w:val="en-US" w:eastAsia="zh-CN" w:bidi="ar-SA"/>
              </w:rPr>
              <w:t>6</w:t>
            </w:r>
            <w:r>
              <w:rPr>
                <w:rFonts w:hint="default" w:ascii="Times New Roman" w:hAnsi="Times New Roman" w:eastAsia="宋体" w:cs="Times New Roman"/>
                <w:b/>
                <w:bCs/>
                <w:color w:val="auto"/>
                <w:kern w:val="0"/>
                <w:sz w:val="21"/>
                <w:szCs w:val="21"/>
                <w:highlight w:val="none"/>
                <w:u w:val="none" w:color="auto"/>
                <w:lang w:val="en-US" w:eastAsia="zh-CN" w:bidi="ar-SA"/>
              </w:rPr>
              <w:t xml:space="preserve">  </w:t>
            </w:r>
            <w:r>
              <w:rPr>
                <w:rFonts w:hint="eastAsia" w:ascii="Times New Roman" w:hAnsi="Times New Roman" w:eastAsia="宋体" w:cs="Times New Roman"/>
                <w:b/>
                <w:bCs/>
                <w:color w:val="auto"/>
                <w:kern w:val="0"/>
                <w:sz w:val="21"/>
                <w:szCs w:val="21"/>
                <w:highlight w:val="none"/>
                <w:u w:val="none" w:color="auto"/>
                <w:lang w:val="en-US" w:eastAsia="zh-CN" w:bidi="ar-SA"/>
              </w:rPr>
              <w:t>非正常工况下废气污染物情况</w:t>
            </w:r>
            <w:r>
              <w:rPr>
                <w:rFonts w:hint="default" w:ascii="Times New Roman" w:hAnsi="Times New Roman" w:eastAsia="宋体" w:cs="Times New Roman"/>
                <w:b/>
                <w:bCs/>
                <w:color w:val="auto"/>
                <w:kern w:val="0"/>
                <w:sz w:val="21"/>
                <w:szCs w:val="21"/>
                <w:highlight w:val="none"/>
                <w:u w:val="none" w:color="auto"/>
                <w:lang w:val="en-US" w:eastAsia="zh-CN" w:bidi="ar-SA"/>
              </w:rPr>
              <w:t>一览表</w:t>
            </w:r>
          </w:p>
          <w:tbl>
            <w:tblPr>
              <w:tblStyle w:val="2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04"/>
              <w:gridCol w:w="1504"/>
              <w:gridCol w:w="1504"/>
              <w:gridCol w:w="1506"/>
            </w:tblGrid>
            <w:tr w14:paraId="5E5A8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9" w:type="dxa"/>
                  <w:tcBorders>
                    <w:tl2br w:val="nil"/>
                    <w:tr2bl w:val="nil"/>
                  </w:tcBorders>
                  <w:noWrap w:val="0"/>
                  <w:vAlign w:val="center"/>
                </w:tcPr>
                <w:p w14:paraId="43F91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排气筒名称</w:t>
                  </w:r>
                </w:p>
              </w:tc>
              <w:tc>
                <w:tcPr>
                  <w:tcW w:w="1779" w:type="dxa"/>
                  <w:tcBorders>
                    <w:tl2br w:val="nil"/>
                    <w:tr2bl w:val="nil"/>
                  </w:tcBorders>
                  <w:noWrap w:val="0"/>
                  <w:vAlign w:val="center"/>
                </w:tcPr>
                <w:p w14:paraId="5DD58E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污染物</w:t>
                  </w:r>
                </w:p>
              </w:tc>
              <w:tc>
                <w:tcPr>
                  <w:tcW w:w="1779" w:type="dxa"/>
                  <w:tcBorders>
                    <w:tl2br w:val="nil"/>
                    <w:tr2bl w:val="nil"/>
                  </w:tcBorders>
                  <w:noWrap w:val="0"/>
                  <w:vAlign w:val="center"/>
                </w:tcPr>
                <w:p w14:paraId="2B20CE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排放浓度</w:t>
                  </w:r>
                </w:p>
              </w:tc>
              <w:tc>
                <w:tcPr>
                  <w:tcW w:w="1779" w:type="dxa"/>
                  <w:tcBorders>
                    <w:tl2br w:val="nil"/>
                    <w:tr2bl w:val="nil"/>
                  </w:tcBorders>
                  <w:noWrap w:val="0"/>
                  <w:vAlign w:val="center"/>
                </w:tcPr>
                <w:p w14:paraId="026C2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持续时间</w:t>
                  </w:r>
                </w:p>
              </w:tc>
              <w:tc>
                <w:tcPr>
                  <w:tcW w:w="1781" w:type="dxa"/>
                  <w:tcBorders>
                    <w:tl2br w:val="nil"/>
                    <w:tr2bl w:val="nil"/>
                  </w:tcBorders>
                  <w:noWrap w:val="0"/>
                  <w:vAlign w:val="center"/>
                </w:tcPr>
                <w:p w14:paraId="4F957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排放量</w:t>
                  </w:r>
                </w:p>
              </w:tc>
            </w:tr>
            <w:tr w14:paraId="3D7C4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9" w:type="dxa"/>
                  <w:tcBorders>
                    <w:tl2br w:val="nil"/>
                    <w:tr2bl w:val="nil"/>
                  </w:tcBorders>
                  <w:noWrap w:val="0"/>
                  <w:vAlign w:val="center"/>
                </w:tcPr>
                <w:p w14:paraId="63770C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DA001</w:t>
                  </w:r>
                </w:p>
              </w:tc>
              <w:tc>
                <w:tcPr>
                  <w:tcW w:w="1779" w:type="dxa"/>
                  <w:tcBorders>
                    <w:tl2br w:val="nil"/>
                    <w:tr2bl w:val="nil"/>
                  </w:tcBorders>
                  <w:noWrap w:val="0"/>
                  <w:vAlign w:val="center"/>
                </w:tcPr>
                <w:p w14:paraId="19F0D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lang w:val="en-US" w:eastAsia="zh-CN"/>
                    </w:rPr>
                    <w:t>颗粒物</w:t>
                  </w:r>
                </w:p>
              </w:tc>
              <w:tc>
                <w:tcPr>
                  <w:tcW w:w="1779" w:type="dxa"/>
                  <w:tcBorders>
                    <w:tl2br w:val="nil"/>
                    <w:tr2bl w:val="nil"/>
                  </w:tcBorders>
                  <w:noWrap w:val="0"/>
                  <w:vAlign w:val="center"/>
                </w:tcPr>
                <w:p w14:paraId="1E86A3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cs="Times New Roman"/>
                      <w:b w:val="0"/>
                      <w:bCs/>
                      <w:color w:val="auto"/>
                      <w:sz w:val="21"/>
                      <w:szCs w:val="21"/>
                      <w:highlight w:val="none"/>
                      <w:u w:val="none" w:color="auto"/>
                      <w:vertAlign w:val="baseline"/>
                      <w:lang w:val="en-US" w:eastAsia="zh-CN"/>
                    </w:rPr>
                    <w:t>175.781m</w:t>
                  </w:r>
                  <w:r>
                    <w:rPr>
                      <w:rFonts w:hint="eastAsia" w:ascii="Times New Roman" w:hAnsi="Times New Roman" w:cs="Times New Roman"/>
                      <w:b w:val="0"/>
                      <w:bCs/>
                      <w:color w:val="auto"/>
                      <w:sz w:val="21"/>
                      <w:szCs w:val="21"/>
                      <w:highlight w:val="none"/>
                      <w:u w:val="none" w:color="auto"/>
                      <w:vertAlign w:val="baseline"/>
                      <w:lang w:val="en-US" w:eastAsia="zh-CN"/>
                    </w:rPr>
                    <w:t>g/m</w:t>
                  </w:r>
                  <w:r>
                    <w:rPr>
                      <w:rFonts w:hint="eastAsia" w:ascii="Times New Roman" w:hAnsi="Times New Roman" w:cs="Times New Roman"/>
                      <w:b w:val="0"/>
                      <w:bCs/>
                      <w:color w:val="auto"/>
                      <w:sz w:val="21"/>
                      <w:szCs w:val="21"/>
                      <w:highlight w:val="none"/>
                      <w:u w:val="none" w:color="auto"/>
                      <w:vertAlign w:val="superscript"/>
                      <w:lang w:val="en-US" w:eastAsia="zh-CN"/>
                    </w:rPr>
                    <w:t>3</w:t>
                  </w:r>
                </w:p>
              </w:tc>
              <w:tc>
                <w:tcPr>
                  <w:tcW w:w="1779" w:type="dxa"/>
                  <w:tcBorders>
                    <w:tl2br w:val="nil"/>
                    <w:tr2bl w:val="nil"/>
                  </w:tcBorders>
                  <w:noWrap w:val="0"/>
                  <w:vAlign w:val="center"/>
                </w:tcPr>
                <w:p w14:paraId="74E6B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color w:val="auto"/>
                      <w:sz w:val="21"/>
                      <w:szCs w:val="21"/>
                      <w:highlight w:val="none"/>
                      <w:u w:val="none" w:color="auto"/>
                      <w:vertAlign w:val="baseline"/>
                      <w:lang w:val="en-US" w:eastAsia="zh-CN"/>
                    </w:rPr>
                  </w:pPr>
                  <w:r>
                    <w:rPr>
                      <w:rFonts w:hint="eastAsia" w:ascii="Times New Roman" w:hAnsi="Times New Roman" w:cs="Times New Roman"/>
                      <w:b w:val="0"/>
                      <w:bCs/>
                      <w:color w:val="auto"/>
                      <w:sz w:val="21"/>
                      <w:szCs w:val="21"/>
                      <w:highlight w:val="none"/>
                      <w:u w:val="none" w:color="auto"/>
                      <w:vertAlign w:val="baseline"/>
                      <w:lang w:val="en-US" w:eastAsia="zh-CN"/>
                    </w:rPr>
                    <w:t>1h</w:t>
                  </w:r>
                </w:p>
              </w:tc>
              <w:tc>
                <w:tcPr>
                  <w:tcW w:w="1781" w:type="dxa"/>
                  <w:tcBorders>
                    <w:tl2br w:val="nil"/>
                    <w:tr2bl w:val="nil"/>
                  </w:tcBorders>
                  <w:noWrap w:val="0"/>
                  <w:vAlign w:val="center"/>
                </w:tcPr>
                <w:p w14:paraId="67A856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3.164</w:t>
                  </w:r>
                  <w:r>
                    <w:rPr>
                      <w:rFonts w:hint="eastAsia" w:ascii="Times New Roman" w:hAnsi="Times New Roman" w:eastAsia="宋体" w:cs="Times New Roman"/>
                      <w:i w:val="0"/>
                      <w:iCs w:val="0"/>
                      <w:color w:val="auto"/>
                      <w:kern w:val="0"/>
                      <w:sz w:val="21"/>
                      <w:szCs w:val="21"/>
                      <w:u w:val="none" w:color="auto"/>
                      <w:lang w:val="en-US" w:eastAsia="zh-CN" w:bidi="ar"/>
                    </w:rPr>
                    <w:t>kg</w:t>
                  </w:r>
                </w:p>
              </w:tc>
            </w:tr>
          </w:tbl>
          <w:p w14:paraId="34E9C48D">
            <w:pPr>
              <w:pStyle w:val="14"/>
              <w:numPr>
                <w:ilvl w:val="0"/>
                <w:numId w:val="0"/>
              </w:numPr>
              <w:bidi w:val="0"/>
              <w:ind w:firstLine="480" w:firstLineChars="200"/>
              <w:rPr>
                <w:rFonts w:hint="eastAsia" w:cs="Times New Roman"/>
                <w:color w:val="auto"/>
                <w:sz w:val="24"/>
                <w:highlight w:val="none"/>
                <w:u w:val="none" w:color="auto"/>
                <w:lang w:val="en-US" w:eastAsia="zh-CN"/>
              </w:rPr>
            </w:pPr>
            <w:r>
              <w:rPr>
                <w:rFonts w:hint="eastAsia"/>
                <w:color w:val="auto"/>
                <w:sz w:val="24"/>
                <w:u w:val="none" w:color="auto"/>
                <w:lang w:val="en-US" w:eastAsia="zh-CN"/>
              </w:rPr>
              <w:t xml:space="preserve"> </w:t>
            </w:r>
            <w:r>
              <w:rPr>
                <w:rFonts w:hint="eastAsia" w:ascii="Times New Roman" w:hAnsi="Times New Roman" w:eastAsia="宋体" w:cs="Times New Roman"/>
                <w:color w:val="auto"/>
                <w:sz w:val="24"/>
                <w:szCs w:val="24"/>
                <w:highlight w:val="none"/>
                <w:u w:val="none" w:color="auto"/>
                <w:lang w:val="en-US" w:eastAsia="zh-CN"/>
              </w:rPr>
              <w:t>由上表可以看出，非正常工况下排气筒DA001的所排放的颗粒物排放浓度及排放速率均</w:t>
            </w:r>
            <w:r>
              <w:rPr>
                <w:rFonts w:hint="eastAsia" w:cs="Times New Roman"/>
                <w:color w:val="auto"/>
                <w:sz w:val="24"/>
                <w:szCs w:val="24"/>
                <w:highlight w:val="none"/>
                <w:u w:val="none" w:color="auto"/>
                <w:lang w:val="en-US" w:eastAsia="zh-CN"/>
              </w:rPr>
              <w:t>加大</w:t>
            </w:r>
            <w:r>
              <w:rPr>
                <w:rFonts w:hint="eastAsia" w:ascii="Times New Roman" w:hAnsi="Times New Roman" w:eastAsia="宋体" w:cs="Times New Roman"/>
                <w:color w:val="auto"/>
                <w:sz w:val="24"/>
                <w:szCs w:val="24"/>
                <w:highlight w:val="none"/>
                <w:u w:val="none" w:color="auto"/>
                <w:lang w:val="en-US" w:eastAsia="zh-CN"/>
              </w:rPr>
              <w:t>，对环境的危害和影响增大，因此需设置污染治理措施以减少非正常工况下污染物对环境的影响程度。除采用先进成熟的工艺技术和设备外，生产中还应加强管理，严格控制规程，提高工人素质，精心操作，防患于未然，将非正常排放控制到最小。一旦发生非正常生产排放，应及时进行检修，并采取相应措施进行污染物集中处理，确保事故状态后，污染物对环境的影响程度降到最低。</w:t>
            </w:r>
            <w:r>
              <w:rPr>
                <w:rFonts w:hint="eastAsia" w:cs="Times New Roman"/>
                <w:color w:val="auto"/>
                <w:sz w:val="24"/>
                <w:highlight w:val="none"/>
                <w:u w:val="none" w:color="auto"/>
                <w:lang w:val="en-US" w:eastAsia="zh-CN"/>
              </w:rPr>
              <w:t xml:space="preserve"> </w:t>
            </w:r>
          </w:p>
          <w:p w14:paraId="6842EC06">
            <w:pPr>
              <w:spacing w:line="360" w:lineRule="auto"/>
              <w:ind w:firstLine="482" w:firstLineChars="200"/>
              <w:jc w:val="left"/>
              <w:rPr>
                <w:rFonts w:hint="default" w:ascii="Times New Roman" w:hAnsi="Times New Roman" w:eastAsia="宋体" w:cs="Times New Roman"/>
                <w:bCs/>
                <w:color w:val="auto"/>
                <w:sz w:val="24"/>
                <w:u w:val="none" w:color="auto"/>
                <w:lang w:val="en-US" w:eastAsia="zh-CN"/>
              </w:rPr>
            </w:pPr>
            <w:r>
              <w:rPr>
                <w:rFonts w:hint="eastAsia" w:cs="Times New Roman"/>
                <w:b/>
                <w:bCs w:val="0"/>
                <w:color w:val="auto"/>
                <w:sz w:val="24"/>
                <w:u w:val="none" w:color="auto"/>
                <w:lang w:val="en-US" w:eastAsia="zh-CN"/>
              </w:rPr>
              <w:t>5</w:t>
            </w:r>
            <w:r>
              <w:rPr>
                <w:rFonts w:hint="eastAsia" w:ascii="Times New Roman" w:hAnsi="Times New Roman" w:eastAsia="宋体" w:cs="Times New Roman"/>
                <w:b/>
                <w:bCs w:val="0"/>
                <w:color w:val="auto"/>
                <w:sz w:val="24"/>
                <w:u w:val="none" w:color="auto"/>
                <w:lang w:val="en-US" w:eastAsia="zh-CN"/>
              </w:rPr>
              <w:t>、废气监测计划</w:t>
            </w:r>
          </w:p>
          <w:p w14:paraId="0EED5BCD">
            <w:pPr>
              <w:spacing w:line="360" w:lineRule="auto"/>
              <w:ind w:firstLine="480" w:firstLineChars="200"/>
              <w:rPr>
                <w:rFonts w:hint="eastAsia" w:ascii="Times New Roman" w:hAnsi="Times New Roman" w:eastAsia="宋体" w:cs="Times New Roman"/>
                <w:bCs/>
                <w:color w:val="auto"/>
                <w:sz w:val="24"/>
                <w:u w:val="none" w:color="auto"/>
                <w:lang w:val="en-US" w:eastAsia="zh-CN"/>
              </w:rPr>
            </w:pPr>
            <w:r>
              <w:rPr>
                <w:rFonts w:hint="default" w:ascii="Times New Roman" w:hAnsi="Times New Roman" w:eastAsia="宋体" w:cs="Times New Roman"/>
                <w:bCs/>
                <w:color w:val="auto"/>
                <w:sz w:val="24"/>
                <w:u w:val="none" w:color="auto"/>
                <w:lang w:val="en-US" w:eastAsia="zh-CN"/>
              </w:rPr>
              <w:t>根据《排污单位自行监测技术指南 总则》（HJ819-2017）</w:t>
            </w:r>
            <w:r>
              <w:rPr>
                <w:rFonts w:hint="eastAsia" w:eastAsia="宋体" w:cs="Times New Roman"/>
                <w:bCs/>
                <w:color w:val="auto"/>
                <w:sz w:val="24"/>
                <w:u w:val="none" w:color="auto"/>
                <w:lang w:val="en-US" w:eastAsia="zh-CN"/>
              </w:rPr>
              <w:t>及</w:t>
            </w:r>
            <w:r>
              <w:rPr>
                <w:rFonts w:hint="eastAsia" w:ascii="Times New Roman" w:hAnsi="Times New Roman" w:cs="Times New Roman"/>
                <w:color w:val="auto"/>
                <w:sz w:val="24"/>
                <w:szCs w:val="24"/>
                <w:u w:val="none" w:color="auto"/>
                <w:lang w:val="en-US" w:eastAsia="zh-CN"/>
              </w:rPr>
              <w:t>《排污许可证申请与核发技术规范</w:t>
            </w:r>
            <w:r>
              <w:rPr>
                <w:rFonts w:hint="eastAsia" w:cs="Times New Roman"/>
                <w:color w:val="auto"/>
                <w:sz w:val="24"/>
                <w:szCs w:val="24"/>
                <w:u w:val="none" w:color="auto"/>
                <w:lang w:val="en-US" w:eastAsia="zh-CN"/>
              </w:rPr>
              <w:t xml:space="preserve"> </w:t>
            </w:r>
            <w:r>
              <w:rPr>
                <w:rFonts w:hint="eastAsia" w:ascii="Times New Roman" w:hAnsi="Times New Roman" w:cs="Times New Roman"/>
                <w:color w:val="auto"/>
                <w:sz w:val="24"/>
                <w:szCs w:val="24"/>
                <w:u w:val="none" w:color="auto"/>
                <w:lang w:val="en-US" w:eastAsia="zh-CN"/>
              </w:rPr>
              <w:t>废弃资源加工工业》（HJ 1034-2019）</w:t>
            </w:r>
            <w:r>
              <w:rPr>
                <w:rFonts w:hint="default" w:ascii="Times New Roman" w:hAnsi="Times New Roman" w:eastAsia="宋体" w:cs="Times New Roman"/>
                <w:bCs/>
                <w:color w:val="auto"/>
                <w:sz w:val="24"/>
                <w:u w:val="none" w:color="auto"/>
                <w:lang w:val="en-US" w:eastAsia="zh-CN"/>
              </w:rPr>
              <w:t>中相关规定，本</w:t>
            </w:r>
            <w:r>
              <w:rPr>
                <w:rFonts w:hint="eastAsia" w:ascii="Times New Roman" w:hAnsi="Times New Roman" w:eastAsia="宋体" w:cs="Times New Roman"/>
                <w:bCs/>
                <w:color w:val="auto"/>
                <w:sz w:val="24"/>
                <w:u w:val="none" w:color="auto"/>
                <w:lang w:val="en-US" w:eastAsia="zh-CN"/>
              </w:rPr>
              <w:t>项目</w:t>
            </w:r>
            <w:r>
              <w:rPr>
                <w:rFonts w:hint="default" w:ascii="Times New Roman" w:hAnsi="Times New Roman" w:eastAsia="宋体" w:cs="Times New Roman"/>
                <w:bCs/>
                <w:color w:val="auto"/>
                <w:sz w:val="24"/>
                <w:u w:val="none" w:color="auto"/>
                <w:lang w:val="en-US" w:eastAsia="zh-CN"/>
              </w:rPr>
              <w:t>废气监测</w:t>
            </w:r>
            <w:r>
              <w:rPr>
                <w:rFonts w:hint="eastAsia" w:ascii="Times New Roman" w:hAnsi="Times New Roman" w:eastAsia="宋体" w:cs="Times New Roman"/>
                <w:bCs/>
                <w:color w:val="auto"/>
                <w:sz w:val="24"/>
                <w:u w:val="none" w:color="auto"/>
                <w:lang w:val="en-US" w:eastAsia="zh-CN"/>
              </w:rPr>
              <w:t>计划</w:t>
            </w:r>
            <w:r>
              <w:rPr>
                <w:rFonts w:hint="default" w:ascii="Times New Roman" w:hAnsi="Times New Roman" w:eastAsia="宋体" w:cs="Times New Roman"/>
                <w:bCs/>
                <w:color w:val="auto"/>
                <w:sz w:val="24"/>
                <w:u w:val="none" w:color="auto"/>
                <w:lang w:val="en-US" w:eastAsia="zh-CN"/>
              </w:rPr>
              <w:t>详见下表</w:t>
            </w:r>
            <w:r>
              <w:rPr>
                <w:rFonts w:hint="eastAsia" w:ascii="Times New Roman" w:hAnsi="Times New Roman" w:eastAsia="宋体" w:cs="Times New Roman"/>
                <w:bCs/>
                <w:color w:val="auto"/>
                <w:sz w:val="24"/>
                <w:u w:val="none" w:color="auto"/>
                <w:lang w:val="en-US" w:eastAsia="zh-CN"/>
              </w:rPr>
              <w:t>：</w:t>
            </w:r>
          </w:p>
          <w:p w14:paraId="489FBAAF">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zh-CN" w:eastAsia="zh-CN"/>
              </w:rPr>
            </w:pPr>
          </w:p>
          <w:p w14:paraId="597FA4A5">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zh-CN" w:eastAsia="zh-CN"/>
              </w:rPr>
            </w:pPr>
          </w:p>
          <w:p w14:paraId="4263E8F3">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u w:val="none" w:color="auto"/>
                <w:lang w:val="zh-CN" w:eastAsia="zh-CN"/>
              </w:rPr>
            </w:pPr>
            <w:r>
              <w:rPr>
                <w:rFonts w:hint="default" w:ascii="Times New Roman" w:hAnsi="Times New Roman" w:eastAsia="宋体" w:cs="Times New Roman"/>
                <w:b/>
                <w:color w:val="auto"/>
                <w:sz w:val="21"/>
                <w:szCs w:val="21"/>
                <w:highlight w:val="none"/>
                <w:u w:val="none" w:color="auto"/>
                <w:lang w:val="zh-CN" w:eastAsia="zh-CN"/>
              </w:rPr>
              <w:t>表</w:t>
            </w:r>
            <w:r>
              <w:rPr>
                <w:rFonts w:hint="default" w:ascii="Times New Roman" w:hAnsi="Times New Roman" w:eastAsia="宋体" w:cs="Times New Roman"/>
                <w:b/>
                <w:color w:val="auto"/>
                <w:sz w:val="21"/>
                <w:szCs w:val="21"/>
                <w:highlight w:val="none"/>
                <w:u w:val="none" w:color="auto"/>
                <w:lang w:val="en-US" w:eastAsia="zh-CN"/>
              </w:rPr>
              <w:t>4-</w:t>
            </w:r>
            <w:r>
              <w:rPr>
                <w:rFonts w:hint="eastAsia" w:ascii="Times New Roman" w:hAnsi="Times New Roman" w:eastAsia="宋体" w:cs="Times New Roman"/>
                <w:b/>
                <w:color w:val="auto"/>
                <w:sz w:val="21"/>
                <w:szCs w:val="21"/>
                <w:highlight w:val="none"/>
                <w:u w:val="none" w:color="auto"/>
                <w:lang w:val="en-US" w:eastAsia="zh-CN"/>
              </w:rPr>
              <w:t>7  本项目</w:t>
            </w:r>
            <w:r>
              <w:rPr>
                <w:rFonts w:hint="default" w:ascii="Times New Roman" w:hAnsi="Times New Roman" w:eastAsia="宋体" w:cs="Times New Roman"/>
                <w:b/>
                <w:color w:val="auto"/>
                <w:sz w:val="21"/>
                <w:szCs w:val="21"/>
                <w:highlight w:val="none"/>
                <w:u w:val="none" w:color="auto"/>
                <w:lang w:val="en-US" w:eastAsia="zh-CN"/>
              </w:rPr>
              <w:t>废气</w:t>
            </w:r>
            <w:r>
              <w:rPr>
                <w:rFonts w:hint="default" w:ascii="Times New Roman" w:hAnsi="Times New Roman" w:eastAsia="宋体" w:cs="Times New Roman"/>
                <w:b/>
                <w:color w:val="auto"/>
                <w:sz w:val="21"/>
                <w:szCs w:val="21"/>
                <w:highlight w:val="none"/>
                <w:u w:val="none" w:color="auto"/>
                <w:lang w:val="zh-CN" w:eastAsia="zh-CN"/>
              </w:rPr>
              <w:t>监测计划一览表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2"/>
              <w:gridCol w:w="398"/>
              <w:gridCol w:w="1038"/>
              <w:gridCol w:w="1169"/>
              <w:gridCol w:w="1126"/>
              <w:gridCol w:w="3323"/>
            </w:tblGrid>
            <w:tr w14:paraId="6813B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2" w:type="dxa"/>
                  <w:tcBorders>
                    <w:tl2br w:val="nil"/>
                    <w:tr2bl w:val="nil"/>
                  </w:tcBorders>
                  <w:noWrap w:val="0"/>
                  <w:vAlign w:val="center"/>
                </w:tcPr>
                <w:p w14:paraId="2A35EBE3">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类别</w:t>
                  </w:r>
                </w:p>
              </w:tc>
              <w:tc>
                <w:tcPr>
                  <w:tcW w:w="1435" w:type="dxa"/>
                  <w:gridSpan w:val="2"/>
                  <w:tcBorders>
                    <w:tl2br w:val="nil"/>
                    <w:tr2bl w:val="nil"/>
                  </w:tcBorders>
                  <w:noWrap w:val="0"/>
                  <w:vAlign w:val="center"/>
                </w:tcPr>
                <w:p w14:paraId="6BDEE622">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监测点位</w:t>
                  </w:r>
                </w:p>
              </w:tc>
              <w:tc>
                <w:tcPr>
                  <w:tcW w:w="1168" w:type="dxa"/>
                  <w:tcBorders>
                    <w:tl2br w:val="nil"/>
                    <w:tr2bl w:val="nil"/>
                  </w:tcBorders>
                  <w:noWrap w:val="0"/>
                  <w:vAlign w:val="center"/>
                </w:tcPr>
                <w:p w14:paraId="394BA6FE">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监测因子</w:t>
                  </w:r>
                </w:p>
              </w:tc>
              <w:tc>
                <w:tcPr>
                  <w:tcW w:w="1125" w:type="dxa"/>
                  <w:tcBorders>
                    <w:tl2br w:val="nil"/>
                    <w:tr2bl w:val="nil"/>
                  </w:tcBorders>
                  <w:noWrap w:val="0"/>
                  <w:vAlign w:val="center"/>
                </w:tcPr>
                <w:p w14:paraId="5CC2A04F">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监测频次</w:t>
                  </w:r>
                </w:p>
              </w:tc>
              <w:tc>
                <w:tcPr>
                  <w:tcW w:w="3321" w:type="dxa"/>
                  <w:tcBorders>
                    <w:tl2br w:val="nil"/>
                    <w:tr2bl w:val="nil"/>
                  </w:tcBorders>
                  <w:noWrap w:val="0"/>
                  <w:vAlign w:val="center"/>
                </w:tcPr>
                <w:p w14:paraId="5607248D">
                  <w:pPr>
                    <w:adjustRightInd w:val="0"/>
                    <w:snapToGrid w:val="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执行标准</w:t>
                  </w:r>
                </w:p>
              </w:tc>
            </w:tr>
            <w:tr w14:paraId="1A4A2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72" w:type="dxa"/>
                  <w:vMerge w:val="restart"/>
                  <w:tcBorders>
                    <w:tl2br w:val="nil"/>
                    <w:tr2bl w:val="nil"/>
                  </w:tcBorders>
                  <w:noWrap w:val="0"/>
                  <w:vAlign w:val="center"/>
                </w:tcPr>
                <w:p w14:paraId="26C93026">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废气</w:t>
                  </w:r>
                </w:p>
              </w:tc>
              <w:tc>
                <w:tcPr>
                  <w:tcW w:w="398" w:type="dxa"/>
                  <w:tcBorders>
                    <w:tl2br w:val="nil"/>
                    <w:tr2bl w:val="nil"/>
                  </w:tcBorders>
                  <w:noWrap w:val="0"/>
                  <w:vAlign w:val="center"/>
                </w:tcPr>
                <w:p w14:paraId="39AD30F0">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有组织</w:t>
                  </w:r>
                </w:p>
              </w:tc>
              <w:tc>
                <w:tcPr>
                  <w:tcW w:w="1037" w:type="dxa"/>
                  <w:tcBorders>
                    <w:tl2br w:val="nil"/>
                    <w:tr2bl w:val="nil"/>
                  </w:tcBorders>
                  <w:noWrap w:val="0"/>
                  <w:vAlign w:val="center"/>
                </w:tcPr>
                <w:p w14:paraId="5C83D90B">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DA00</w:t>
                  </w:r>
                  <w:r>
                    <w:rPr>
                      <w:rFonts w:hint="eastAsia"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排气筒</w:t>
                  </w:r>
                </w:p>
              </w:tc>
              <w:tc>
                <w:tcPr>
                  <w:tcW w:w="1168" w:type="dxa"/>
                  <w:tcBorders>
                    <w:tl2br w:val="nil"/>
                    <w:tr2bl w:val="nil"/>
                  </w:tcBorders>
                  <w:noWrap w:val="0"/>
                  <w:vAlign w:val="center"/>
                </w:tcPr>
                <w:p w14:paraId="09785DC0">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1125" w:type="dxa"/>
                  <w:tcBorders>
                    <w:tl2br w:val="nil"/>
                    <w:tr2bl w:val="nil"/>
                  </w:tcBorders>
                  <w:noWrap w:val="0"/>
                  <w:vAlign w:val="center"/>
                </w:tcPr>
                <w:p w14:paraId="086D29D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1次/年</w:t>
                  </w:r>
                </w:p>
              </w:tc>
              <w:tc>
                <w:tcPr>
                  <w:tcW w:w="3321" w:type="dxa"/>
                  <w:tcBorders>
                    <w:tl2br w:val="nil"/>
                    <w:tr2bl w:val="nil"/>
                  </w:tcBorders>
                  <w:noWrap w:val="0"/>
                  <w:vAlign w:val="center"/>
                </w:tcPr>
                <w:p w14:paraId="0C2E71E2">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《大气污染物综合排放标准》（GB16297-1996）表2中二级标准限值</w:t>
                  </w:r>
                </w:p>
              </w:tc>
            </w:tr>
            <w:tr w14:paraId="72A3D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72" w:type="dxa"/>
                  <w:vMerge w:val="continue"/>
                  <w:tcBorders>
                    <w:tl2br w:val="nil"/>
                    <w:tr2bl w:val="nil"/>
                  </w:tcBorders>
                  <w:noWrap w:val="0"/>
                  <w:vAlign w:val="center"/>
                </w:tcPr>
                <w:p w14:paraId="1EB1D859">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398" w:type="dxa"/>
                  <w:vMerge w:val="restart"/>
                  <w:tcBorders>
                    <w:tl2br w:val="nil"/>
                    <w:tr2bl w:val="nil"/>
                  </w:tcBorders>
                  <w:noWrap w:val="0"/>
                  <w:vAlign w:val="center"/>
                </w:tcPr>
                <w:p w14:paraId="22C3F85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无组织</w:t>
                  </w:r>
                </w:p>
              </w:tc>
              <w:tc>
                <w:tcPr>
                  <w:tcW w:w="1037" w:type="dxa"/>
                  <w:vMerge w:val="restart"/>
                  <w:tcBorders>
                    <w:tl2br w:val="nil"/>
                    <w:tr2bl w:val="nil"/>
                  </w:tcBorders>
                  <w:noWrap w:val="0"/>
                  <w:vAlign w:val="center"/>
                </w:tcPr>
                <w:p w14:paraId="591AD3C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厂界</w:t>
                  </w:r>
                </w:p>
              </w:tc>
              <w:tc>
                <w:tcPr>
                  <w:tcW w:w="1168" w:type="dxa"/>
                  <w:tcBorders>
                    <w:tl2br w:val="nil"/>
                    <w:tr2bl w:val="nil"/>
                  </w:tcBorders>
                  <w:noWrap w:val="0"/>
                  <w:vAlign w:val="center"/>
                </w:tcPr>
                <w:p w14:paraId="5B3CC398">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颗粒物</w:t>
                  </w:r>
                </w:p>
              </w:tc>
              <w:tc>
                <w:tcPr>
                  <w:tcW w:w="1125" w:type="dxa"/>
                  <w:tcBorders>
                    <w:tl2br w:val="nil"/>
                    <w:tr2bl w:val="nil"/>
                  </w:tcBorders>
                  <w:noWrap w:val="0"/>
                  <w:vAlign w:val="center"/>
                </w:tcPr>
                <w:p w14:paraId="5B04B5BB">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1次/年</w:t>
                  </w:r>
                </w:p>
              </w:tc>
              <w:tc>
                <w:tcPr>
                  <w:tcW w:w="3321" w:type="dxa"/>
                  <w:tcBorders>
                    <w:tl2br w:val="nil"/>
                    <w:tr2bl w:val="nil"/>
                  </w:tcBorders>
                  <w:noWrap w:val="0"/>
                  <w:vAlign w:val="center"/>
                </w:tcPr>
                <w:p w14:paraId="734D2126">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《大气污染物综合排放标准（GB16297-1996）表2中无组织监控浓度限值</w:t>
                  </w:r>
                </w:p>
              </w:tc>
            </w:tr>
            <w:tr w14:paraId="24754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dxa"/>
                  <w:vMerge w:val="continue"/>
                  <w:tcBorders>
                    <w:tl2br w:val="nil"/>
                    <w:tr2bl w:val="nil"/>
                  </w:tcBorders>
                  <w:noWrap w:val="0"/>
                  <w:vAlign w:val="center"/>
                </w:tcPr>
                <w:p w14:paraId="7483D30D">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398" w:type="dxa"/>
                  <w:vMerge w:val="continue"/>
                  <w:tcBorders>
                    <w:tl2br w:val="nil"/>
                    <w:tr2bl w:val="nil"/>
                  </w:tcBorders>
                  <w:noWrap w:val="0"/>
                  <w:vAlign w:val="center"/>
                </w:tcPr>
                <w:p w14:paraId="70D85192">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1037" w:type="dxa"/>
                  <w:vMerge w:val="continue"/>
                  <w:tcBorders>
                    <w:tl2br w:val="nil"/>
                    <w:tr2bl w:val="nil"/>
                  </w:tcBorders>
                  <w:noWrap w:val="0"/>
                  <w:vAlign w:val="center"/>
                </w:tcPr>
                <w:p w14:paraId="0C6F5DD3">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1168" w:type="dxa"/>
                  <w:tcBorders>
                    <w:tl2br w:val="nil"/>
                    <w:tr2bl w:val="nil"/>
                  </w:tcBorders>
                  <w:shd w:val="clear" w:color="auto" w:fill="auto"/>
                  <w:noWrap w:val="0"/>
                  <w:vAlign w:val="center"/>
                </w:tcPr>
                <w:p w14:paraId="038C68D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氨</w:t>
                  </w:r>
                </w:p>
              </w:tc>
              <w:tc>
                <w:tcPr>
                  <w:tcW w:w="1125" w:type="dxa"/>
                  <w:tcBorders>
                    <w:tl2br w:val="nil"/>
                    <w:tr2bl w:val="nil"/>
                  </w:tcBorders>
                  <w:noWrap w:val="0"/>
                  <w:vAlign w:val="center"/>
                </w:tcPr>
                <w:p w14:paraId="16517FB1">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1次/年</w:t>
                  </w:r>
                </w:p>
              </w:tc>
              <w:tc>
                <w:tcPr>
                  <w:tcW w:w="3321" w:type="dxa"/>
                  <w:vMerge w:val="restart"/>
                  <w:tcBorders>
                    <w:tl2br w:val="nil"/>
                    <w:tr2bl w:val="nil"/>
                  </w:tcBorders>
                  <w:noWrap w:val="0"/>
                  <w:vAlign w:val="center"/>
                </w:tcPr>
                <w:p w14:paraId="5918413E">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《恶臭污染物排放标准》</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GB14554-93</w:t>
                  </w:r>
                  <w:r>
                    <w:rPr>
                      <w:rFonts w:hint="eastAsia"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表1恶臭污染物厂界二级新改扩建标准值</w:t>
                  </w:r>
                </w:p>
              </w:tc>
            </w:tr>
            <w:tr w14:paraId="37C04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dxa"/>
                  <w:vMerge w:val="continue"/>
                  <w:tcBorders>
                    <w:tl2br w:val="nil"/>
                    <w:tr2bl w:val="nil"/>
                  </w:tcBorders>
                  <w:noWrap w:val="0"/>
                  <w:vAlign w:val="center"/>
                </w:tcPr>
                <w:p w14:paraId="481E8D36">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398" w:type="dxa"/>
                  <w:vMerge w:val="continue"/>
                  <w:tcBorders>
                    <w:tl2br w:val="nil"/>
                    <w:tr2bl w:val="nil"/>
                  </w:tcBorders>
                  <w:noWrap w:val="0"/>
                  <w:vAlign w:val="center"/>
                </w:tcPr>
                <w:p w14:paraId="4CD3390A">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1037" w:type="dxa"/>
                  <w:vMerge w:val="continue"/>
                  <w:tcBorders>
                    <w:tl2br w:val="nil"/>
                    <w:tr2bl w:val="nil"/>
                  </w:tcBorders>
                  <w:noWrap w:val="0"/>
                  <w:vAlign w:val="center"/>
                </w:tcPr>
                <w:p w14:paraId="2ACE6070">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1168" w:type="dxa"/>
                  <w:tcBorders>
                    <w:tl2br w:val="nil"/>
                    <w:tr2bl w:val="nil"/>
                  </w:tcBorders>
                  <w:shd w:val="clear" w:color="auto" w:fill="auto"/>
                  <w:noWrap w:val="0"/>
                  <w:vAlign w:val="center"/>
                </w:tcPr>
                <w:p w14:paraId="29C93000">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硫化氢</w:t>
                  </w:r>
                </w:p>
              </w:tc>
              <w:tc>
                <w:tcPr>
                  <w:tcW w:w="1125" w:type="dxa"/>
                  <w:tcBorders>
                    <w:tl2br w:val="nil"/>
                    <w:tr2bl w:val="nil"/>
                  </w:tcBorders>
                  <w:shd w:val="clear" w:color="auto" w:fill="auto"/>
                  <w:noWrap w:val="0"/>
                  <w:vAlign w:val="center"/>
                </w:tcPr>
                <w:p w14:paraId="6679FBA9">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1次/年</w:t>
                  </w:r>
                </w:p>
              </w:tc>
              <w:tc>
                <w:tcPr>
                  <w:tcW w:w="3321" w:type="dxa"/>
                  <w:vMerge w:val="continue"/>
                  <w:tcBorders>
                    <w:tl2br w:val="nil"/>
                    <w:tr2bl w:val="nil"/>
                  </w:tcBorders>
                  <w:shd w:val="clear" w:color="auto" w:fill="auto"/>
                  <w:noWrap w:val="0"/>
                  <w:vAlign w:val="center"/>
                </w:tcPr>
                <w:p w14:paraId="34AE2BA6">
                  <w:pPr>
                    <w:adjustRightInd w:val="0"/>
                    <w:snapToGrid w:val="0"/>
                    <w:jc w:val="center"/>
                    <w:rPr>
                      <w:rFonts w:hint="default" w:ascii="Times New Roman" w:hAnsi="Times New Roman" w:eastAsia="宋体" w:cs="Times New Roman"/>
                      <w:color w:val="auto"/>
                      <w:kern w:val="2"/>
                      <w:sz w:val="21"/>
                      <w:szCs w:val="21"/>
                      <w:u w:val="none" w:color="auto"/>
                      <w:lang w:val="en-US" w:eastAsia="zh-CN" w:bidi="ar-SA"/>
                    </w:rPr>
                  </w:pPr>
                </w:p>
              </w:tc>
            </w:tr>
            <w:tr w14:paraId="2AA09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dxa"/>
                  <w:vMerge w:val="continue"/>
                  <w:tcBorders>
                    <w:tl2br w:val="nil"/>
                    <w:tr2bl w:val="nil"/>
                  </w:tcBorders>
                  <w:noWrap w:val="0"/>
                  <w:vAlign w:val="center"/>
                </w:tcPr>
                <w:p w14:paraId="79B74860">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398" w:type="dxa"/>
                  <w:vMerge w:val="continue"/>
                  <w:tcBorders>
                    <w:tl2br w:val="nil"/>
                    <w:tr2bl w:val="nil"/>
                  </w:tcBorders>
                  <w:noWrap w:val="0"/>
                  <w:vAlign w:val="center"/>
                </w:tcPr>
                <w:p w14:paraId="39BA3469">
                  <w:pPr>
                    <w:adjustRightInd w:val="0"/>
                    <w:snapToGrid w:val="0"/>
                    <w:jc w:val="center"/>
                    <w:rPr>
                      <w:rFonts w:hint="default" w:ascii="Times New Roman" w:hAnsi="Times New Roman" w:eastAsia="宋体" w:cs="Times New Roman"/>
                      <w:color w:val="auto"/>
                      <w:sz w:val="21"/>
                      <w:szCs w:val="21"/>
                      <w:u w:val="none" w:color="auto"/>
                      <w:lang w:val="en-US" w:eastAsia="zh-CN"/>
                    </w:rPr>
                  </w:pPr>
                </w:p>
              </w:tc>
              <w:tc>
                <w:tcPr>
                  <w:tcW w:w="1037" w:type="dxa"/>
                  <w:vMerge w:val="continue"/>
                  <w:tcBorders>
                    <w:tl2br w:val="nil"/>
                    <w:tr2bl w:val="nil"/>
                  </w:tcBorders>
                  <w:shd w:val="clear" w:color="auto" w:fill="auto"/>
                  <w:noWrap w:val="0"/>
                  <w:vAlign w:val="center"/>
                </w:tcPr>
                <w:p w14:paraId="2AF8E8C3">
                  <w:pPr>
                    <w:adjustRightInd w:val="0"/>
                    <w:snapToGrid w:val="0"/>
                    <w:jc w:val="center"/>
                    <w:rPr>
                      <w:rFonts w:hint="default" w:ascii="Times New Roman" w:hAnsi="Times New Roman" w:eastAsia="宋体" w:cs="Times New Roman"/>
                      <w:color w:val="auto"/>
                      <w:kern w:val="2"/>
                      <w:sz w:val="21"/>
                      <w:szCs w:val="21"/>
                      <w:u w:val="none" w:color="auto"/>
                      <w:lang w:val="en-US" w:eastAsia="zh-CN" w:bidi="ar-SA"/>
                    </w:rPr>
                  </w:pPr>
                </w:p>
              </w:tc>
              <w:tc>
                <w:tcPr>
                  <w:tcW w:w="1168" w:type="dxa"/>
                  <w:tcBorders>
                    <w:tl2br w:val="nil"/>
                    <w:tr2bl w:val="nil"/>
                  </w:tcBorders>
                  <w:shd w:val="clear" w:color="auto" w:fill="auto"/>
                  <w:noWrap w:val="0"/>
                  <w:vAlign w:val="center"/>
                </w:tcPr>
                <w:p w14:paraId="2AF17331">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臭气浓度</w:t>
                  </w:r>
                </w:p>
              </w:tc>
              <w:tc>
                <w:tcPr>
                  <w:tcW w:w="1125" w:type="dxa"/>
                  <w:tcBorders>
                    <w:tl2br w:val="nil"/>
                    <w:tr2bl w:val="nil"/>
                  </w:tcBorders>
                  <w:shd w:val="clear" w:color="auto" w:fill="auto"/>
                  <w:noWrap w:val="0"/>
                  <w:vAlign w:val="center"/>
                </w:tcPr>
                <w:p w14:paraId="18651C5E">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1次/年</w:t>
                  </w:r>
                </w:p>
              </w:tc>
              <w:tc>
                <w:tcPr>
                  <w:tcW w:w="3321" w:type="dxa"/>
                  <w:vMerge w:val="continue"/>
                  <w:tcBorders>
                    <w:tl2br w:val="nil"/>
                    <w:tr2bl w:val="nil"/>
                  </w:tcBorders>
                  <w:shd w:val="clear" w:color="auto" w:fill="auto"/>
                  <w:noWrap w:val="0"/>
                  <w:vAlign w:val="center"/>
                </w:tcPr>
                <w:p w14:paraId="2B3587ED">
                  <w:pPr>
                    <w:adjustRightInd w:val="0"/>
                    <w:snapToGrid w:val="0"/>
                    <w:jc w:val="center"/>
                    <w:rPr>
                      <w:rFonts w:hint="default" w:ascii="Times New Roman" w:hAnsi="Times New Roman" w:eastAsia="宋体" w:cs="Times New Roman"/>
                      <w:color w:val="auto"/>
                      <w:kern w:val="2"/>
                      <w:sz w:val="21"/>
                      <w:szCs w:val="21"/>
                      <w:u w:val="none" w:color="auto"/>
                      <w:lang w:val="en-US" w:eastAsia="zh-CN" w:bidi="ar-SA"/>
                    </w:rPr>
                  </w:pPr>
                </w:p>
              </w:tc>
            </w:tr>
          </w:tbl>
          <w:p w14:paraId="542DF90C">
            <w:pPr>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default" w:ascii="Times New Roman" w:hAnsi="Times New Roman" w:eastAsia="宋体" w:cs="Times New Roman"/>
                <w:b/>
                <w:bCs/>
                <w:color w:val="auto"/>
                <w:sz w:val="24"/>
                <w:szCs w:val="24"/>
                <w:u w:val="none" w:color="auto"/>
                <w:lang w:val="en-US" w:eastAsia="zh-CN"/>
              </w:rPr>
            </w:pPr>
            <w:r>
              <w:rPr>
                <w:rFonts w:hint="eastAsia" w:cs="Times New Roman"/>
                <w:color w:val="auto"/>
                <w:sz w:val="24"/>
                <w:highlight w:val="none"/>
                <w:u w:val="none" w:color="auto"/>
                <w:lang w:val="en-US" w:eastAsia="zh-CN"/>
              </w:rPr>
              <w:t xml:space="preserve"> </w:t>
            </w:r>
            <w:r>
              <w:rPr>
                <w:rFonts w:hint="eastAsia" w:ascii="Times New Roman" w:hAnsi="Times New Roman" w:eastAsia="宋体" w:cs="Times New Roman"/>
                <w:b/>
                <w:bCs/>
                <w:color w:val="auto"/>
                <w:kern w:val="2"/>
                <w:sz w:val="24"/>
                <w:szCs w:val="24"/>
                <w:u w:val="none" w:color="auto"/>
                <w:lang w:val="en-US" w:eastAsia="zh-CN" w:bidi="ar-SA"/>
              </w:rPr>
              <w:t>二、</w:t>
            </w:r>
            <w:r>
              <w:rPr>
                <w:rFonts w:hint="default" w:ascii="Times New Roman" w:hAnsi="Times New Roman" w:eastAsia="宋体" w:cs="Times New Roman"/>
                <w:b/>
                <w:bCs/>
                <w:color w:val="auto"/>
                <w:sz w:val="24"/>
                <w:szCs w:val="24"/>
                <w:u w:val="none" w:color="auto"/>
                <w:lang w:val="en-US" w:eastAsia="zh-CN"/>
              </w:rPr>
              <w:t>运营期</w:t>
            </w:r>
            <w:r>
              <w:rPr>
                <w:rFonts w:hint="eastAsia" w:ascii="Times New Roman" w:hAnsi="Times New Roman" w:eastAsia="宋体" w:cs="Times New Roman"/>
                <w:b/>
                <w:bCs/>
                <w:color w:val="auto"/>
                <w:sz w:val="24"/>
                <w:szCs w:val="24"/>
                <w:u w:val="none" w:color="auto"/>
                <w:lang w:val="en-US" w:eastAsia="zh-CN"/>
              </w:rPr>
              <w:t>水</w:t>
            </w:r>
            <w:r>
              <w:rPr>
                <w:rFonts w:hint="default" w:ascii="Times New Roman" w:hAnsi="Times New Roman" w:eastAsia="宋体" w:cs="Times New Roman"/>
                <w:b/>
                <w:bCs/>
                <w:color w:val="auto"/>
                <w:sz w:val="24"/>
                <w:szCs w:val="24"/>
                <w:u w:val="none" w:color="auto"/>
                <w:lang w:val="en-US" w:eastAsia="zh-CN"/>
              </w:rPr>
              <w:t>环境影响和保护措施</w:t>
            </w:r>
          </w:p>
          <w:p w14:paraId="7526988B">
            <w:pPr>
              <w:keepNext w:val="0"/>
              <w:keepLines w:val="0"/>
              <w:pageBreakBefore w:val="0"/>
              <w:widowControl/>
              <w:suppressLineNumbers w:val="0"/>
              <w:kinsoku/>
              <w:wordWrap/>
              <w:topLinePunct w:val="0"/>
              <w:autoSpaceDE/>
              <w:autoSpaceDN/>
              <w:bidi w:val="0"/>
              <w:adjustRightInd/>
              <w:snapToGrid/>
              <w:spacing w:line="360" w:lineRule="auto"/>
              <w:ind w:firstLine="482" w:firstLineChars="200"/>
              <w:jc w:val="left"/>
              <w:textAlignment w:val="auto"/>
              <w:rPr>
                <w:rFonts w:hint="eastAsia"/>
                <w:color w:val="auto"/>
                <w:sz w:val="24"/>
                <w:u w:val="none" w:color="auto"/>
                <w:lang w:val="en-US" w:eastAsia="zh-CN"/>
              </w:rPr>
            </w:pPr>
            <w:bookmarkStart w:id="144" w:name="_Toc15601"/>
            <w:bookmarkStart w:id="145" w:name="_Toc21593"/>
            <w:r>
              <w:rPr>
                <w:rFonts w:hint="default" w:ascii="Times New Roman" w:hAnsi="Times New Roman" w:eastAsia="宋体" w:cs="Times New Roman"/>
                <w:b/>
                <w:bCs/>
                <w:color w:val="auto"/>
                <w:kern w:val="2"/>
                <w:sz w:val="24"/>
                <w:szCs w:val="24"/>
                <w:u w:val="none" w:color="auto"/>
                <w:lang w:val="en-US" w:eastAsia="zh-CN" w:bidi="ar-SA"/>
              </w:rPr>
              <w:t>1、废水产生及排放情况</w:t>
            </w:r>
            <w:bookmarkEnd w:id="144"/>
            <w:bookmarkEnd w:id="145"/>
          </w:p>
          <w:p w14:paraId="2724E844">
            <w:pPr>
              <w:pStyle w:val="14"/>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u w:val="none" w:color="auto"/>
              </w:rPr>
            </w:pPr>
            <w:r>
              <w:rPr>
                <w:rFonts w:hint="default" w:ascii="Times New Roman" w:hAnsi="Times New Roman" w:cs="Times New Roman"/>
                <w:bCs/>
                <w:color w:val="auto"/>
                <w:sz w:val="24"/>
                <w:szCs w:val="24"/>
                <w:u w:val="none" w:color="auto"/>
                <w:lang w:val="en-US" w:eastAsia="zh-CN"/>
              </w:rPr>
              <w:t>本项目租赁</w:t>
            </w:r>
            <w:r>
              <w:rPr>
                <w:rFonts w:hint="eastAsia" w:ascii="Times New Roman" w:hAnsi="Times New Roman" w:eastAsia="宋体" w:cs="Times New Roman"/>
                <w:color w:val="000000"/>
                <w:sz w:val="24"/>
                <w:szCs w:val="24"/>
                <w:highlight w:val="none"/>
                <w:lang w:val="en-US" w:eastAsia="zh-CN"/>
              </w:rPr>
              <w:t>湖南龙昶机械股份有限公司</w:t>
            </w:r>
            <w:r>
              <w:rPr>
                <w:rFonts w:hint="default" w:ascii="Times New Roman" w:hAnsi="Times New Roman" w:cs="Times New Roman"/>
                <w:bCs/>
                <w:color w:val="auto"/>
                <w:sz w:val="24"/>
                <w:szCs w:val="24"/>
                <w:u w:val="none" w:color="auto"/>
                <w:lang w:val="en-US" w:eastAsia="zh-CN"/>
              </w:rPr>
              <w:t>内现有标准厂房，不涉及绿化用地、锅炉，</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根据工艺操作管理要求，本项目生产线</w:t>
            </w:r>
            <w:r>
              <w:rPr>
                <w:rFonts w:hint="eastAsia" w:ascii="Times New Roman" w:cs="Times New Roman"/>
                <w:color w:val="000000" w:themeColor="text1"/>
                <w:sz w:val="24"/>
                <w:szCs w:val="22"/>
                <w:highlight w:val="none"/>
                <w:u w:val="none" w:color="auto"/>
                <w:lang w:val="en-US" w:eastAsia="zh-CN" w:bidi="ar-SA"/>
                <w14:textFill>
                  <w14:solidFill>
                    <w14:schemeClr w14:val="tx1"/>
                  </w14:solidFill>
                </w14:textFill>
              </w:rPr>
              <w:t>所采用的生产设备均无需清洗，且所在生产厂房的</w:t>
            </w:r>
            <w:r>
              <w:rPr>
                <w:rFonts w:hint="eastAsia" w:ascii="Times New Roman" w:hAnsi="Times New Roman" w:eastAsia="宋体" w:cs="Times New Roman"/>
                <w:color w:val="000000" w:themeColor="text1"/>
                <w:sz w:val="24"/>
                <w:szCs w:val="24"/>
                <w:highlight w:val="none"/>
                <w:u w:val="none" w:color="auto"/>
                <w:lang w:val="en-US" w:eastAsia="zh-CN"/>
                <w14:textFill>
                  <w14:solidFill>
                    <w14:schemeClr w14:val="tx1"/>
                  </w14:solidFill>
                </w14:textFill>
              </w:rPr>
              <w:t>清洁采用干扫，无需用水清洗，</w:t>
            </w:r>
            <w:r>
              <w:rPr>
                <w:rFonts w:hint="eastAsia" w:ascii="Times New Roman" w:cs="Times New Roman"/>
                <w:color w:val="000000" w:themeColor="text1"/>
                <w:sz w:val="24"/>
                <w:szCs w:val="22"/>
                <w:highlight w:val="none"/>
                <w:u w:val="none" w:color="auto"/>
                <w:lang w:val="en-US" w:eastAsia="zh-CN" w:bidi="ar-SA"/>
                <w14:textFill>
                  <w14:solidFill>
                    <w14:schemeClr w14:val="tx1"/>
                  </w14:solidFill>
                </w14:textFill>
              </w:rPr>
              <w:t>则本项目不涉及生产厂房的地面清洗用水和生产设备清洗用水。</w:t>
            </w:r>
            <w:r>
              <w:rPr>
                <w:rFonts w:hint="eastAsia" w:cs="Times New Roman"/>
                <w:color w:val="000000"/>
                <w:sz w:val="24"/>
                <w:szCs w:val="22"/>
                <w:highlight w:val="none"/>
                <w:u w:val="none" w:color="auto"/>
                <w:lang w:val="en-US" w:eastAsia="zh-CN" w:bidi="ar-SA"/>
              </w:rPr>
              <w:t>本项目</w:t>
            </w:r>
            <w:r>
              <w:rPr>
                <w:rFonts w:hint="eastAsia" w:cs="Times New Roman"/>
                <w:color w:val="000000"/>
                <w:kern w:val="0"/>
                <w:sz w:val="24"/>
                <w:szCs w:val="24"/>
                <w:u w:val="none"/>
                <w:lang w:val="en-US" w:eastAsia="zh-CN"/>
              </w:rPr>
              <w:t>喷淋用水用于无组织抑尘，随蒸发损耗或随粉尘降落，少量进入产品，不外排。</w:t>
            </w:r>
            <w:r>
              <w:rPr>
                <w:rFonts w:hint="eastAsia" w:ascii="Times New Roman" w:hAnsi="Times New Roman" w:eastAsia="宋体" w:cs="Times New Roman"/>
                <w:color w:val="000000" w:themeColor="text1"/>
                <w:sz w:val="24"/>
                <w:szCs w:val="22"/>
                <w:highlight w:val="none"/>
                <w:u w:val="none" w:color="auto"/>
                <w:lang w:val="en-US" w:eastAsia="zh-CN" w:bidi="ar-SA"/>
                <w14:textFill>
                  <w14:solidFill>
                    <w14:schemeClr w14:val="tx1"/>
                  </w14:solidFill>
                </w14:textFill>
              </w:rPr>
              <w:t>因此，</w:t>
            </w:r>
            <w:r>
              <w:rPr>
                <w:rFonts w:hint="eastAsia" w:ascii="Times New Roman" w:hAnsi="Times New Roman" w:eastAsia="宋体" w:cs="Times New Roman"/>
                <w:color w:val="000000"/>
                <w:kern w:val="0"/>
                <w:sz w:val="24"/>
                <w:szCs w:val="24"/>
                <w:u w:val="none" w:color="auto"/>
                <w:lang w:val="en-US" w:eastAsia="zh-CN"/>
              </w:rPr>
              <w:t>本项目运营期产生的废水主要为</w:t>
            </w:r>
            <w:r>
              <w:rPr>
                <w:rFonts w:hint="default" w:ascii="Times New Roman" w:hAnsi="Times New Roman" w:eastAsia="宋体" w:cs="Times New Roman"/>
                <w:bCs/>
                <w:color w:val="000000"/>
                <w:sz w:val="24"/>
                <w:highlight w:val="none"/>
                <w:u w:val="none" w:color="auto"/>
                <w:vertAlign w:val="baseline"/>
                <w:lang w:val="en-US" w:eastAsia="zh-CN"/>
              </w:rPr>
              <w:t>员工办公生活污水</w:t>
            </w:r>
            <w:r>
              <w:rPr>
                <w:rFonts w:hint="eastAsia" w:ascii="Times New Roman" w:hAnsi="Times New Roman" w:eastAsia="宋体" w:cs="Times New Roman"/>
                <w:color w:val="000000"/>
                <w:kern w:val="0"/>
                <w:sz w:val="24"/>
                <w:szCs w:val="24"/>
                <w:u w:val="none" w:color="auto"/>
                <w:lang w:val="en-US" w:eastAsia="zh-CN"/>
              </w:rPr>
              <w:t>。</w:t>
            </w:r>
          </w:p>
          <w:p w14:paraId="722190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kern w:val="0"/>
                <w:sz w:val="24"/>
                <w:szCs w:val="20"/>
                <w:highlight w:val="none"/>
                <w:u w:val="none" w:color="auto"/>
                <w:vertAlign w:val="baseline"/>
                <w:lang w:val="en-US" w:eastAsia="zh-CN" w:bidi="ar-SA"/>
              </w:rPr>
            </w:pP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（1）生活污水</w:t>
            </w:r>
          </w:p>
          <w:p w14:paraId="5FC445B3">
            <w:pPr>
              <w:pStyle w:val="14"/>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Times New Roman" w:hAnsi="Times New Roman" w:cs="Times New Roman"/>
                <w:bCs/>
                <w:color w:val="auto"/>
                <w:sz w:val="24"/>
                <w:szCs w:val="24"/>
                <w:u w:val="none"/>
                <w:lang w:val="en-US" w:eastAsia="zh-CN"/>
              </w:rPr>
            </w:pP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本项目员工生活用水量为</w:t>
            </w:r>
            <w:r>
              <w:rPr>
                <w:rFonts w:hint="eastAsia" w:ascii="Times New Roman" w:hAnsi="Times New Roman" w:cs="Times New Roman"/>
                <w:bCs/>
                <w:color w:val="auto"/>
                <w:sz w:val="24"/>
                <w:szCs w:val="24"/>
                <w:highlight w:val="none"/>
                <w:u w:val="none"/>
                <w:lang w:val="en-US" w:eastAsia="zh-CN"/>
              </w:rPr>
              <w:t>1.26</w:t>
            </w:r>
            <w:r>
              <w:rPr>
                <w:rFonts w:hint="eastAsia" w:cs="Times New Roman"/>
                <w:bCs/>
                <w:color w:val="auto"/>
                <w:sz w:val="24"/>
                <w:szCs w:val="24"/>
                <w:highlight w:val="none"/>
                <w:u w:val="none"/>
                <w:lang w:val="en-US" w:eastAsia="zh-CN"/>
              </w:rPr>
              <w:t>7</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/d（</w:t>
            </w:r>
            <w:r>
              <w:rPr>
                <w:rFonts w:hint="eastAsia" w:ascii="Times New Roman" w:hAnsi="Times New Roman" w:cs="Times New Roman"/>
                <w:bCs/>
                <w:color w:val="auto"/>
                <w:sz w:val="24"/>
                <w:szCs w:val="24"/>
                <w:highlight w:val="none"/>
                <w:u w:val="none"/>
                <w:lang w:val="en-US" w:eastAsia="zh-CN"/>
              </w:rPr>
              <w:t>380</w:t>
            </w:r>
            <w:r>
              <w:rPr>
                <w:rFonts w:hint="default" w:ascii="Times New Roman" w:hAnsi="Times New Roman" w:cs="Times New Roman"/>
                <w:bCs/>
                <w:color w:val="auto"/>
                <w:sz w:val="24"/>
                <w:szCs w:val="24"/>
                <w:highlight w:val="none"/>
                <w:u w:val="none"/>
                <w:lang w:val="en-US" w:eastAsia="zh-CN"/>
              </w:rPr>
              <w:t>m</w:t>
            </w:r>
            <w:r>
              <w:rPr>
                <w:rFonts w:hint="default" w:ascii="Times New Roman" w:hAnsi="Times New Roman" w:cs="Times New Roman"/>
                <w:bCs/>
                <w:color w:val="auto"/>
                <w:sz w:val="24"/>
                <w:szCs w:val="24"/>
                <w:highlight w:val="none"/>
                <w:u w:val="none"/>
                <w:vertAlign w:val="superscript"/>
                <w:lang w:val="en-US" w:eastAsia="zh-CN"/>
              </w:rPr>
              <w:t>3</w:t>
            </w:r>
            <w:r>
              <w:rPr>
                <w:rFonts w:hint="default" w:ascii="Times New Roman" w:hAnsi="Times New Roman" w:cs="Times New Roman"/>
                <w:bCs/>
                <w:color w:val="auto"/>
                <w:sz w:val="24"/>
                <w:szCs w:val="24"/>
                <w:highlight w:val="none"/>
                <w:u w:val="none"/>
                <w:lang w:val="en-US" w:eastAsia="zh-CN"/>
              </w:rPr>
              <w:t>/a）</w:t>
            </w:r>
            <w:r>
              <w:rPr>
                <w:rFonts w:hint="default" w:ascii="Times New Roman" w:hAnsi="Times New Roman" w:cs="Times New Roman"/>
                <w:bCs/>
                <w:color w:val="auto"/>
                <w:sz w:val="24"/>
                <w:szCs w:val="24"/>
                <w:u w:val="none"/>
                <w:lang w:val="en-US" w:eastAsia="zh-CN"/>
              </w:rPr>
              <w:t>，污水排放系数取0.8，则生活污水的产生量约为</w:t>
            </w:r>
            <w:r>
              <w:rPr>
                <w:rFonts w:hint="eastAsia" w:ascii="Times New Roman" w:hAnsi="Times New Roman" w:cs="Times New Roman"/>
                <w:bCs/>
                <w:color w:val="auto"/>
                <w:sz w:val="24"/>
                <w:szCs w:val="24"/>
                <w:u w:val="none"/>
                <w:lang w:val="en-US" w:eastAsia="zh-CN"/>
              </w:rPr>
              <w:t>1.01</w:t>
            </w:r>
            <w:r>
              <w:rPr>
                <w:rFonts w:hint="eastAsia" w:cs="Times New Roman"/>
                <w:bCs/>
                <w:color w:val="auto"/>
                <w:sz w:val="24"/>
                <w:szCs w:val="24"/>
                <w:u w:val="none"/>
                <w:lang w:val="en-US" w:eastAsia="zh-CN"/>
              </w:rPr>
              <w:t>4</w:t>
            </w:r>
            <w:r>
              <w:rPr>
                <w:rFonts w:hint="default" w:ascii="Times New Roman" w:hAnsi="Times New Roman" w:cs="Times New Roman"/>
                <w:bCs/>
                <w:color w:val="auto"/>
                <w:sz w:val="24"/>
                <w:szCs w:val="24"/>
                <w:u w:val="none"/>
                <w:lang w:val="en-US" w:eastAsia="zh-CN"/>
              </w:rPr>
              <w:t>m</w:t>
            </w:r>
            <w:r>
              <w:rPr>
                <w:rFonts w:hint="default" w:ascii="Times New Roman" w:hAnsi="Times New Roman" w:cs="Times New Roman"/>
                <w:bCs/>
                <w:color w:val="auto"/>
                <w:sz w:val="24"/>
                <w:szCs w:val="24"/>
                <w:u w:val="none"/>
                <w:vertAlign w:val="superscript"/>
                <w:lang w:val="en-US" w:eastAsia="zh-CN"/>
              </w:rPr>
              <w:t>3</w:t>
            </w:r>
            <w:r>
              <w:rPr>
                <w:rFonts w:hint="default" w:ascii="Times New Roman" w:hAnsi="Times New Roman" w:cs="Times New Roman"/>
                <w:bCs/>
                <w:color w:val="auto"/>
                <w:sz w:val="24"/>
                <w:szCs w:val="24"/>
                <w:u w:val="none"/>
                <w:lang w:val="en-US" w:eastAsia="zh-CN"/>
              </w:rPr>
              <w:t>/d（</w:t>
            </w:r>
            <w:r>
              <w:rPr>
                <w:rFonts w:hint="eastAsia" w:ascii="Times New Roman" w:hAnsi="Times New Roman" w:cs="Times New Roman"/>
                <w:bCs/>
                <w:color w:val="auto"/>
                <w:sz w:val="24"/>
                <w:szCs w:val="24"/>
                <w:u w:val="none"/>
                <w:lang w:val="en-US" w:eastAsia="zh-CN"/>
              </w:rPr>
              <w:t>304</w:t>
            </w:r>
            <w:r>
              <w:rPr>
                <w:rFonts w:hint="default" w:ascii="Times New Roman" w:hAnsi="Times New Roman" w:cs="Times New Roman"/>
                <w:bCs/>
                <w:color w:val="auto"/>
                <w:sz w:val="24"/>
                <w:szCs w:val="24"/>
                <w:u w:val="none"/>
                <w:lang w:val="en-US" w:eastAsia="zh-CN"/>
              </w:rPr>
              <w:t>m</w:t>
            </w:r>
            <w:r>
              <w:rPr>
                <w:rFonts w:hint="default" w:ascii="Times New Roman" w:hAnsi="Times New Roman" w:cs="Times New Roman"/>
                <w:bCs/>
                <w:color w:val="auto"/>
                <w:sz w:val="24"/>
                <w:szCs w:val="24"/>
                <w:u w:val="none"/>
                <w:vertAlign w:val="superscript"/>
                <w:lang w:val="en-US" w:eastAsia="zh-CN"/>
              </w:rPr>
              <w:t>3</w:t>
            </w:r>
            <w:r>
              <w:rPr>
                <w:rFonts w:hint="default" w:ascii="Times New Roman" w:hAnsi="Times New Roman" w:cs="Times New Roman"/>
                <w:bCs/>
                <w:color w:val="auto"/>
                <w:sz w:val="24"/>
                <w:szCs w:val="24"/>
                <w:u w:val="none"/>
                <w:lang w:val="en-US" w:eastAsia="zh-CN"/>
              </w:rPr>
              <w:t>/a）</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。该生活污水的主要污染物浓度分别为CODcr</w:t>
            </w:r>
            <w:r>
              <w:rPr>
                <w:rFonts w:hint="eastAsia" w:ascii="Times New Roman" w:hAnsi="Times New Roman" w:eastAsia="宋体" w:cs="Times New Roman"/>
                <w:bCs/>
                <w:color w:val="000000"/>
                <w:kern w:val="0"/>
                <w:sz w:val="24"/>
                <w:szCs w:val="20"/>
                <w:highlight w:val="none"/>
                <w:u w:val="none" w:color="auto"/>
                <w:vertAlign w:val="baseline"/>
                <w:lang w:val="en-US" w:eastAsia="zh-CN" w:bidi="ar-SA"/>
              </w:rPr>
              <w:t>：</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350mg/L、BOD</w:t>
            </w:r>
            <w:r>
              <w:rPr>
                <w:rFonts w:hint="default" w:ascii="Times New Roman" w:hAnsi="Times New Roman" w:eastAsia="宋体" w:cs="Times New Roman"/>
                <w:bCs/>
                <w:color w:val="000000"/>
                <w:kern w:val="0"/>
                <w:sz w:val="24"/>
                <w:szCs w:val="20"/>
                <w:highlight w:val="none"/>
                <w:u w:val="none" w:color="auto"/>
                <w:vertAlign w:val="subscript"/>
                <w:lang w:val="en-US" w:eastAsia="zh-CN" w:bidi="ar-SA"/>
              </w:rPr>
              <w:t>5</w:t>
            </w:r>
            <w:r>
              <w:rPr>
                <w:rFonts w:hint="eastAsia" w:ascii="Times New Roman" w:hAnsi="Times New Roman" w:eastAsia="宋体" w:cs="Times New Roman"/>
                <w:bCs/>
                <w:color w:val="000000"/>
                <w:kern w:val="0"/>
                <w:sz w:val="24"/>
                <w:szCs w:val="20"/>
                <w:highlight w:val="none"/>
                <w:u w:val="none" w:color="auto"/>
                <w:vertAlign w:val="baseline"/>
                <w:lang w:val="en-US" w:eastAsia="zh-CN" w:bidi="ar-SA"/>
              </w:rPr>
              <w:t>：</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150mg/L、NH</w:t>
            </w:r>
            <w:r>
              <w:rPr>
                <w:rFonts w:hint="default" w:ascii="Times New Roman" w:hAnsi="Times New Roman" w:eastAsia="宋体" w:cs="Times New Roman"/>
                <w:bCs/>
                <w:color w:val="000000"/>
                <w:kern w:val="0"/>
                <w:sz w:val="24"/>
                <w:szCs w:val="20"/>
                <w:highlight w:val="none"/>
                <w:u w:val="none" w:color="auto"/>
                <w:vertAlign w:val="subscript"/>
                <w:lang w:val="en-US" w:eastAsia="zh-CN" w:bidi="ar-SA"/>
              </w:rPr>
              <w:t>3</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-N</w:t>
            </w:r>
            <w:r>
              <w:rPr>
                <w:rFonts w:hint="eastAsia" w:ascii="Times New Roman" w:hAnsi="Times New Roman" w:eastAsia="宋体" w:cs="Times New Roman"/>
                <w:bCs/>
                <w:color w:val="000000"/>
                <w:kern w:val="0"/>
                <w:sz w:val="24"/>
                <w:szCs w:val="20"/>
                <w:highlight w:val="none"/>
                <w:u w:val="none" w:color="auto"/>
                <w:vertAlign w:val="baseline"/>
                <w:lang w:val="en-US" w:eastAsia="zh-CN" w:bidi="ar-SA"/>
              </w:rPr>
              <w:t xml:space="preserve">： </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30mg/L、SS</w:t>
            </w:r>
            <w:r>
              <w:rPr>
                <w:rFonts w:hint="eastAsia" w:ascii="Times New Roman" w:hAnsi="Times New Roman" w:eastAsia="宋体" w:cs="Times New Roman"/>
                <w:bCs/>
                <w:color w:val="000000"/>
                <w:kern w:val="0"/>
                <w:sz w:val="24"/>
                <w:szCs w:val="20"/>
                <w:highlight w:val="none"/>
                <w:u w:val="none" w:color="auto"/>
                <w:vertAlign w:val="baseline"/>
                <w:lang w:val="en-US" w:eastAsia="zh-CN" w:bidi="ar-SA"/>
              </w:rPr>
              <w:t>：</w:t>
            </w:r>
            <w:r>
              <w:rPr>
                <w:rFonts w:hint="default" w:ascii="Times New Roman" w:hAnsi="Times New Roman" w:eastAsia="宋体" w:cs="Times New Roman"/>
                <w:bCs/>
                <w:color w:val="000000"/>
                <w:kern w:val="0"/>
                <w:sz w:val="24"/>
                <w:szCs w:val="20"/>
                <w:highlight w:val="none"/>
                <w:u w:val="none" w:color="auto"/>
                <w:vertAlign w:val="baseline"/>
                <w:lang w:val="en-US" w:eastAsia="zh-CN" w:bidi="ar-SA"/>
              </w:rPr>
              <w:t>200mg/L，则污染物产生量分别为</w:t>
            </w:r>
            <w:r>
              <w:rPr>
                <w:rFonts w:hint="default" w:ascii="Times New Roman" w:hAnsi="Times New Roman" w:eastAsia="宋体" w:cs="Times New Roman"/>
                <w:i w:val="0"/>
                <w:iCs w:val="0"/>
                <w:color w:val="000000"/>
                <w:kern w:val="0"/>
                <w:sz w:val="24"/>
                <w:szCs w:val="24"/>
                <w:u w:val="none"/>
                <w:lang w:val="en-US" w:eastAsia="zh-CN" w:bidi="ar"/>
              </w:rPr>
              <w:t>0.106</w:t>
            </w:r>
            <w:r>
              <w:rPr>
                <w:rFonts w:hint="default" w:ascii="Times New Roman" w:hAnsi="Times New Roman" w:eastAsia="宋体" w:cs="Times New Roman"/>
                <w:bCs/>
                <w:color w:val="000000"/>
                <w:kern w:val="0"/>
                <w:sz w:val="24"/>
                <w:szCs w:val="24"/>
                <w:highlight w:val="none"/>
                <w:u w:val="none" w:color="auto"/>
                <w:vertAlign w:val="baseline"/>
                <w:lang w:val="en-US" w:eastAsia="zh-CN" w:bidi="ar-SA"/>
              </w:rPr>
              <w:t>t/a、</w:t>
            </w:r>
            <w:r>
              <w:rPr>
                <w:rFonts w:hint="default" w:ascii="Times New Roman" w:hAnsi="Times New Roman" w:eastAsia="宋体" w:cs="Times New Roman"/>
                <w:i w:val="0"/>
                <w:iCs w:val="0"/>
                <w:color w:val="000000"/>
                <w:kern w:val="0"/>
                <w:sz w:val="24"/>
                <w:szCs w:val="24"/>
                <w:u w:val="none"/>
                <w:lang w:val="en-US" w:eastAsia="zh-CN" w:bidi="ar"/>
              </w:rPr>
              <w:t>0.0456</w:t>
            </w:r>
            <w:r>
              <w:rPr>
                <w:rFonts w:hint="default" w:ascii="Times New Roman" w:hAnsi="Times New Roman" w:eastAsia="宋体" w:cs="Times New Roman"/>
                <w:bCs/>
                <w:color w:val="000000"/>
                <w:kern w:val="0"/>
                <w:sz w:val="24"/>
                <w:szCs w:val="24"/>
                <w:highlight w:val="none"/>
                <w:u w:val="none" w:color="auto"/>
                <w:vertAlign w:val="baseline"/>
                <w:lang w:val="en-US" w:eastAsia="zh-CN" w:bidi="ar-SA"/>
              </w:rPr>
              <w:t>t/a、</w:t>
            </w:r>
            <w:r>
              <w:rPr>
                <w:rFonts w:hint="default" w:ascii="Times New Roman" w:hAnsi="Times New Roman" w:eastAsia="宋体" w:cs="Times New Roman"/>
                <w:i w:val="0"/>
                <w:iCs w:val="0"/>
                <w:color w:val="000000"/>
                <w:kern w:val="0"/>
                <w:sz w:val="24"/>
                <w:szCs w:val="24"/>
                <w:u w:val="none"/>
                <w:lang w:val="en-US" w:eastAsia="zh-CN" w:bidi="ar"/>
              </w:rPr>
              <w:t>0.00912</w:t>
            </w:r>
            <w:r>
              <w:rPr>
                <w:rFonts w:hint="default" w:ascii="Times New Roman" w:hAnsi="Times New Roman" w:eastAsia="宋体" w:cs="Times New Roman"/>
                <w:bCs/>
                <w:color w:val="000000"/>
                <w:kern w:val="0"/>
                <w:sz w:val="24"/>
                <w:szCs w:val="24"/>
                <w:highlight w:val="none"/>
                <w:u w:val="none" w:color="auto"/>
                <w:vertAlign w:val="baseline"/>
                <w:lang w:val="en-US" w:eastAsia="zh-CN" w:bidi="ar-SA"/>
              </w:rPr>
              <w:t>t/a、</w:t>
            </w:r>
            <w:r>
              <w:rPr>
                <w:rFonts w:hint="default" w:ascii="Times New Roman" w:hAnsi="Times New Roman" w:eastAsia="宋体" w:cs="Times New Roman"/>
                <w:i w:val="0"/>
                <w:iCs w:val="0"/>
                <w:color w:val="000000"/>
                <w:kern w:val="0"/>
                <w:sz w:val="24"/>
                <w:szCs w:val="24"/>
                <w:u w:val="none"/>
                <w:lang w:val="en-US" w:eastAsia="zh-CN" w:bidi="ar"/>
              </w:rPr>
              <w:t>0.0608</w:t>
            </w:r>
            <w:r>
              <w:rPr>
                <w:rFonts w:hint="default" w:ascii="Times New Roman" w:hAnsi="Times New Roman" w:eastAsia="宋体" w:cs="Times New Roman"/>
                <w:bCs/>
                <w:color w:val="000000"/>
                <w:kern w:val="0"/>
                <w:sz w:val="24"/>
                <w:szCs w:val="24"/>
                <w:highlight w:val="none"/>
                <w:u w:val="none" w:color="auto"/>
                <w:vertAlign w:val="baseline"/>
                <w:lang w:val="en-US" w:eastAsia="zh-CN" w:bidi="ar-SA"/>
              </w:rPr>
              <w:t>t/a。</w:t>
            </w:r>
            <w:r>
              <w:rPr>
                <w:rFonts w:hint="default" w:ascii="Times New Roman" w:hAnsi="Times New Roman" w:cs="Times New Roman"/>
                <w:bCs/>
                <w:color w:val="auto"/>
                <w:sz w:val="24"/>
                <w:szCs w:val="24"/>
                <w:u w:val="none" w:color="auto"/>
                <w:lang w:val="en-US" w:eastAsia="zh-CN"/>
              </w:rPr>
              <w:t>生活污水</w:t>
            </w:r>
            <w:r>
              <w:rPr>
                <w:rFonts w:hint="eastAsia" w:ascii="Times New Roman" w:hAnsi="Times New Roman" w:cs="Times New Roman"/>
                <w:bCs/>
                <w:color w:val="auto"/>
                <w:sz w:val="24"/>
                <w:szCs w:val="24"/>
                <w:u w:val="none" w:color="auto"/>
                <w:lang w:val="en-US" w:eastAsia="zh-CN"/>
              </w:rPr>
              <w:t>经龙昶厂区内现有</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化粪池</w:t>
            </w:r>
            <w:r>
              <w:rPr>
                <w:rFonts w:hint="eastAsia" w:cs="Times New Roman"/>
                <w:bCs/>
                <w:color w:val="auto"/>
                <w:sz w:val="24"/>
                <w:szCs w:val="24"/>
                <w:u w:val="none" w:color="auto"/>
                <w:lang w:val="en-US" w:eastAsia="zh-CN"/>
              </w:rPr>
              <w:t>”</w:t>
            </w:r>
            <w:r>
              <w:rPr>
                <w:rFonts w:hint="eastAsia" w:ascii="Times New Roman" w:hAnsi="Times New Roman" w:cs="Times New Roman"/>
                <w:bCs/>
                <w:color w:val="auto"/>
                <w:sz w:val="24"/>
                <w:szCs w:val="24"/>
                <w:u w:val="none" w:color="auto"/>
                <w:lang w:val="en-US" w:eastAsia="zh-CN"/>
              </w:rPr>
              <w:t>处理达《污水综合排放标准》（GB8978- 1996）表4中三级标准和</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设计进水水质标准后，通过龙昶厂区现有生活污水排污口排入园区污水管网，经</w:t>
            </w:r>
            <w:r>
              <w:rPr>
                <w:rFonts w:hint="default" w:ascii="Times New Roman" w:hAnsi="Times New Roman" w:cs="Times New Roman"/>
                <w:bCs/>
                <w:color w:val="auto"/>
                <w:sz w:val="24"/>
                <w:szCs w:val="24"/>
                <w:u w:val="none" w:color="auto"/>
                <w:lang w:val="en-US" w:eastAsia="zh-CN"/>
              </w:rPr>
              <w:t>新田县污水处理厂</w:t>
            </w:r>
            <w:r>
              <w:rPr>
                <w:rFonts w:hint="eastAsia" w:ascii="Times New Roman" w:hAnsi="Times New Roman" w:cs="Times New Roman"/>
                <w:bCs/>
                <w:color w:val="auto"/>
                <w:sz w:val="24"/>
                <w:szCs w:val="24"/>
                <w:u w:val="none" w:color="auto"/>
                <w:lang w:val="en-US" w:eastAsia="zh-CN"/>
              </w:rPr>
              <w:t>达到《城镇污水处理厂污染物排放标准》（GB18918-2002）及修改单一级A标准后排入</w:t>
            </w:r>
            <w:r>
              <w:rPr>
                <w:rFonts w:hint="eastAsia" w:ascii="Times New Roman" w:hAnsi="Times New Roman" w:cs="Times New Roman"/>
                <w:color w:val="000000"/>
                <w:kern w:val="0"/>
                <w:sz w:val="24"/>
                <w:szCs w:val="24"/>
                <w:u w:val="none"/>
                <w:lang w:val="en-US" w:eastAsia="zh-CN"/>
              </w:rPr>
              <w:t>新田河</w:t>
            </w:r>
            <w:r>
              <w:rPr>
                <w:rFonts w:hint="eastAsia" w:ascii="Times New Roman" w:hAnsi="Times New Roman" w:cs="Times New Roman"/>
                <w:bCs/>
                <w:color w:val="auto"/>
                <w:sz w:val="24"/>
                <w:szCs w:val="24"/>
                <w:u w:val="none"/>
                <w:lang w:val="en-US" w:eastAsia="zh-CN"/>
              </w:rPr>
              <w:t>。</w:t>
            </w:r>
          </w:p>
          <w:p w14:paraId="22612920">
            <w:pPr>
              <w:spacing w:line="360" w:lineRule="auto"/>
              <w:ind w:firstLine="480" w:firstLineChars="200"/>
              <w:jc w:val="both"/>
              <w:rPr>
                <w:rFonts w:hint="default" w:ascii="Times New Roman" w:hAnsi="Times New Roman" w:eastAsia="宋体" w:cs="Times New Roman"/>
                <w:b/>
                <w:color w:val="auto"/>
                <w:sz w:val="21"/>
                <w:szCs w:val="21"/>
                <w:u w:val="none" w:color="auto"/>
              </w:rPr>
            </w:pPr>
            <w:r>
              <w:rPr>
                <w:rFonts w:hint="eastAsia" w:cs="Times New Roman"/>
                <w:b w:val="0"/>
                <w:bCs w:val="0"/>
                <w:color w:val="auto"/>
                <w:sz w:val="24"/>
                <w:szCs w:val="24"/>
                <w:u w:val="none" w:color="auto"/>
                <w:lang w:val="en-US" w:eastAsia="zh-CN"/>
              </w:rPr>
              <w:t>本项目营运期排放废水中各污染物的产排情况详见下表。</w:t>
            </w:r>
          </w:p>
          <w:p w14:paraId="1DA96A6A">
            <w:pPr>
              <w:spacing w:line="240" w:lineRule="auto"/>
              <w:jc w:val="center"/>
              <w:rPr>
                <w:rFonts w:hint="default" w:ascii="Times New Roman" w:hAnsi="Times New Roman" w:eastAsia="宋体" w:cs="Times New Roman"/>
                <w:b/>
                <w:color w:val="000000" w:themeColor="text1"/>
                <w:sz w:val="21"/>
                <w:szCs w:val="21"/>
                <w:u w:val="none" w:color="auto"/>
                <w14:textFill>
                  <w14:solidFill>
                    <w14:schemeClr w14:val="tx1"/>
                  </w14:solidFill>
                </w14:textFill>
              </w:rPr>
            </w:pPr>
          </w:p>
          <w:p w14:paraId="28221A0A">
            <w:pPr>
              <w:spacing w:line="240" w:lineRule="auto"/>
              <w:jc w:val="center"/>
              <w:rPr>
                <w:rFonts w:hint="default" w:ascii="Times New Roman" w:hAnsi="Times New Roman" w:eastAsia="宋体" w:cs="Times New Roman"/>
                <w:b/>
                <w:color w:val="000000" w:themeColor="text1"/>
                <w:sz w:val="21"/>
                <w:szCs w:val="21"/>
                <w:u w:val="none" w:color="auto"/>
                <w14:textFill>
                  <w14:solidFill>
                    <w14:schemeClr w14:val="tx1"/>
                  </w14:solidFill>
                </w14:textFill>
              </w:rPr>
            </w:pPr>
          </w:p>
          <w:p w14:paraId="55391A8F">
            <w:pPr>
              <w:spacing w:line="240" w:lineRule="auto"/>
              <w:jc w:val="center"/>
              <w:rPr>
                <w:rFonts w:hint="default" w:ascii="Times New Roman" w:hAnsi="Times New Roman" w:eastAsia="宋体" w:cs="Times New Roman"/>
                <w:b/>
                <w:color w:val="000000" w:themeColor="text1"/>
                <w:sz w:val="21"/>
                <w:szCs w:val="21"/>
                <w:u w:val="none" w:color="auto"/>
                <w14:textFill>
                  <w14:solidFill>
                    <w14:schemeClr w14:val="tx1"/>
                  </w14:solidFill>
                </w14:textFill>
              </w:rPr>
            </w:pPr>
          </w:p>
          <w:p w14:paraId="0F1D59F3">
            <w:pPr>
              <w:spacing w:line="240" w:lineRule="auto"/>
              <w:jc w:val="center"/>
              <w:rPr>
                <w:rFonts w:hint="default" w:ascii="Times New Roman" w:hAnsi="Times New Roman" w:eastAsia="宋体" w:cs="Times New Roman"/>
                <w:b/>
                <w:color w:val="000000" w:themeColor="text1"/>
                <w:sz w:val="21"/>
                <w:szCs w:val="21"/>
                <w:u w:val="none" w:color="auto"/>
                <w14:textFill>
                  <w14:solidFill>
                    <w14:schemeClr w14:val="tx1"/>
                  </w14:solidFill>
                </w14:textFill>
              </w:rPr>
            </w:pPr>
          </w:p>
          <w:p w14:paraId="3D5A0A51">
            <w:pPr>
              <w:spacing w:line="240" w:lineRule="auto"/>
              <w:jc w:val="center"/>
              <w:rPr>
                <w:rFonts w:hint="default" w:ascii="Times New Roman" w:hAnsi="Times New Roman" w:eastAsia="宋体" w:cs="Times New Roman"/>
                <w:color w:val="auto"/>
                <w:kern w:val="0"/>
                <w:sz w:val="24"/>
                <w:u w:val="none" w:color="auto"/>
                <w:lang w:val="en-US" w:eastAsia="zh-CN"/>
              </w:rPr>
            </w:pPr>
            <w:r>
              <w:rPr>
                <w:rFonts w:hint="default" w:ascii="Times New Roman" w:hAnsi="Times New Roman" w:eastAsia="宋体" w:cs="Times New Roman"/>
                <w:b/>
                <w:color w:val="000000" w:themeColor="text1"/>
                <w:sz w:val="21"/>
                <w:szCs w:val="21"/>
                <w:u w:val="none" w:color="auto"/>
                <w14:textFill>
                  <w14:solidFill>
                    <w14:schemeClr w14:val="tx1"/>
                  </w14:solidFill>
                </w14:textFill>
              </w:rPr>
              <w:t>表4-</w:t>
            </w:r>
            <w:r>
              <w:rPr>
                <w:rFonts w:hint="eastAsia" w:cs="Times New Roman"/>
                <w:b/>
                <w:color w:val="000000" w:themeColor="text1"/>
                <w:sz w:val="21"/>
                <w:szCs w:val="21"/>
                <w:u w:val="none" w:color="auto"/>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u w:val="none" w:color="auto"/>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u w:val="none" w:color="auto"/>
                <w:lang w:val="en-US" w:eastAsia="zh-CN"/>
                <w14:textFill>
                  <w14:solidFill>
                    <w14:schemeClr w14:val="tx1"/>
                  </w14:solidFill>
                </w14:textFill>
              </w:rPr>
              <w:t>项目排放废水污染物产排情况一览表</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675"/>
              <w:gridCol w:w="1500"/>
              <w:gridCol w:w="1155"/>
              <w:gridCol w:w="1338"/>
              <w:gridCol w:w="6"/>
            </w:tblGrid>
            <w:tr w14:paraId="22A75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086E696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b/>
                      <w:bCs/>
                      <w:sz w:val="21"/>
                      <w:szCs w:val="21"/>
                      <w:u w:val="none" w:color="auto"/>
                      <w:lang w:val="en-US" w:eastAsia="zh-CN"/>
                    </w:rPr>
                  </w:pPr>
                  <w:r>
                    <w:rPr>
                      <w:rFonts w:hint="default" w:ascii="Times New Roman" w:hAnsi="Times New Roman" w:cs="Times New Roman" w:eastAsiaTheme="minorEastAsia"/>
                      <w:b/>
                      <w:bCs/>
                      <w:sz w:val="21"/>
                      <w:szCs w:val="21"/>
                      <w:u w:val="none" w:color="auto"/>
                      <w:lang w:val="en-US" w:eastAsia="zh-CN"/>
                    </w:rPr>
                    <w:t>产污环节</w:t>
                  </w:r>
                </w:p>
              </w:tc>
              <w:tc>
                <w:tcPr>
                  <w:tcW w:w="3768" w:type="pct"/>
                  <w:gridSpan w:val="4"/>
                  <w:tcBorders>
                    <w:tl2br w:val="nil"/>
                    <w:tr2bl w:val="nil"/>
                  </w:tcBorders>
                  <w:noWrap w:val="0"/>
                  <w:vAlign w:val="center"/>
                </w:tcPr>
                <w:p w14:paraId="78AC5CDD">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b/>
                      <w:bCs/>
                      <w:sz w:val="21"/>
                      <w:szCs w:val="21"/>
                      <w:u w:val="none" w:color="auto"/>
                      <w:lang w:val="en-US" w:eastAsia="zh-CN"/>
                    </w:rPr>
                  </w:pPr>
                  <w:r>
                    <w:rPr>
                      <w:rFonts w:hint="default" w:ascii="Times New Roman" w:hAnsi="Times New Roman" w:cs="Times New Roman" w:eastAsiaTheme="minorEastAsia"/>
                      <w:b/>
                      <w:bCs/>
                      <w:sz w:val="21"/>
                      <w:szCs w:val="21"/>
                      <w:u w:val="none" w:color="auto"/>
                      <w:lang w:val="en-US" w:eastAsia="zh-CN"/>
                    </w:rPr>
                    <w:t>员工生活</w:t>
                  </w:r>
                </w:p>
              </w:tc>
            </w:tr>
            <w:tr w14:paraId="7F409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1ADF6120">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b/>
                      <w:bCs/>
                      <w:sz w:val="21"/>
                      <w:szCs w:val="21"/>
                      <w:u w:val="none" w:color="auto"/>
                      <w:lang w:val="en-US" w:eastAsia="zh-CN"/>
                    </w:rPr>
                  </w:pPr>
                  <w:r>
                    <w:rPr>
                      <w:rFonts w:hint="default" w:ascii="Times New Roman" w:hAnsi="Times New Roman" w:cs="Times New Roman" w:eastAsiaTheme="minorEastAsia"/>
                      <w:b/>
                      <w:bCs/>
                      <w:sz w:val="21"/>
                      <w:szCs w:val="21"/>
                      <w:u w:val="none" w:color="auto"/>
                      <w:lang w:val="en-US" w:eastAsia="zh-CN"/>
                    </w:rPr>
                    <w:t>类别</w:t>
                  </w:r>
                </w:p>
              </w:tc>
              <w:tc>
                <w:tcPr>
                  <w:tcW w:w="3768" w:type="pct"/>
                  <w:gridSpan w:val="4"/>
                  <w:tcBorders>
                    <w:tl2br w:val="nil"/>
                    <w:tr2bl w:val="nil"/>
                  </w:tcBorders>
                  <w:noWrap w:val="0"/>
                  <w:vAlign w:val="center"/>
                </w:tcPr>
                <w:p w14:paraId="49BC5A0B">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b/>
                      <w:bCs/>
                      <w:sz w:val="21"/>
                      <w:szCs w:val="21"/>
                      <w:u w:val="none" w:color="auto"/>
                      <w:lang w:val="en-US" w:eastAsia="zh-CN"/>
                    </w:rPr>
                  </w:pPr>
                  <w:r>
                    <w:rPr>
                      <w:rFonts w:hint="default" w:ascii="Times New Roman" w:hAnsi="Times New Roman" w:cs="Times New Roman" w:eastAsiaTheme="minorEastAsia"/>
                      <w:b/>
                      <w:bCs/>
                      <w:sz w:val="21"/>
                      <w:szCs w:val="21"/>
                      <w:u w:val="none" w:color="auto"/>
                      <w:lang w:val="en-US" w:eastAsia="zh-CN"/>
                    </w:rPr>
                    <w:t>生活污水</w:t>
                  </w:r>
                </w:p>
              </w:tc>
            </w:tr>
            <w:tr w14:paraId="619D8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38BC43B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污染物种类</w:t>
                  </w:r>
                </w:p>
              </w:tc>
              <w:tc>
                <w:tcPr>
                  <w:tcW w:w="1113" w:type="pct"/>
                  <w:tcBorders>
                    <w:tl2br w:val="nil"/>
                    <w:tr2bl w:val="nil"/>
                  </w:tcBorders>
                  <w:noWrap w:val="0"/>
                  <w:vAlign w:val="center"/>
                </w:tcPr>
                <w:p w14:paraId="010320AD">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COD</w:t>
                  </w:r>
                </w:p>
              </w:tc>
              <w:tc>
                <w:tcPr>
                  <w:tcW w:w="997" w:type="pct"/>
                  <w:tcBorders>
                    <w:tl2br w:val="nil"/>
                    <w:tr2bl w:val="nil"/>
                  </w:tcBorders>
                  <w:noWrap w:val="0"/>
                  <w:vAlign w:val="center"/>
                </w:tcPr>
                <w:p w14:paraId="1316B4F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BOD</w:t>
                  </w:r>
                  <w:r>
                    <w:rPr>
                      <w:rFonts w:hint="default" w:ascii="Times New Roman" w:hAnsi="Times New Roman" w:cs="Times New Roman" w:eastAsiaTheme="minorEastAsia"/>
                      <w:sz w:val="21"/>
                      <w:szCs w:val="21"/>
                      <w:u w:val="none" w:color="auto"/>
                      <w:vertAlign w:val="subscript"/>
                      <w:lang w:val="en-US" w:eastAsia="zh-CN"/>
                    </w:rPr>
                    <w:t>5</w:t>
                  </w:r>
                </w:p>
              </w:tc>
              <w:tc>
                <w:tcPr>
                  <w:tcW w:w="767" w:type="pct"/>
                  <w:tcBorders>
                    <w:tl2br w:val="nil"/>
                    <w:tr2bl w:val="nil"/>
                  </w:tcBorders>
                  <w:noWrap w:val="0"/>
                  <w:vAlign w:val="center"/>
                </w:tcPr>
                <w:p w14:paraId="1869A0F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NH</w:t>
                  </w:r>
                  <w:r>
                    <w:rPr>
                      <w:rFonts w:hint="default" w:ascii="Times New Roman" w:hAnsi="Times New Roman" w:cs="Times New Roman" w:eastAsiaTheme="minorEastAsia"/>
                      <w:sz w:val="21"/>
                      <w:szCs w:val="21"/>
                      <w:u w:val="none" w:color="auto"/>
                      <w:vertAlign w:val="subscript"/>
                      <w:lang w:val="en-US" w:eastAsia="zh-CN"/>
                    </w:rPr>
                    <w:t>3</w:t>
                  </w:r>
                  <w:r>
                    <w:rPr>
                      <w:rFonts w:hint="default" w:ascii="Times New Roman" w:hAnsi="Times New Roman" w:cs="Times New Roman" w:eastAsiaTheme="minorEastAsia"/>
                      <w:sz w:val="21"/>
                      <w:szCs w:val="21"/>
                      <w:u w:val="none" w:color="auto"/>
                      <w:lang w:val="en-US" w:eastAsia="zh-CN"/>
                    </w:rPr>
                    <w:t>-N</w:t>
                  </w:r>
                </w:p>
              </w:tc>
              <w:tc>
                <w:tcPr>
                  <w:tcW w:w="889" w:type="pct"/>
                  <w:tcBorders>
                    <w:tl2br w:val="nil"/>
                    <w:tr2bl w:val="nil"/>
                  </w:tcBorders>
                  <w:noWrap w:val="0"/>
                  <w:vAlign w:val="center"/>
                </w:tcPr>
                <w:p w14:paraId="39C2CE2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SS</w:t>
                  </w:r>
                </w:p>
              </w:tc>
            </w:tr>
            <w:tr w14:paraId="049C7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58E14E87">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污染物产生浓度（mg/L）</w:t>
                  </w:r>
                </w:p>
              </w:tc>
              <w:tc>
                <w:tcPr>
                  <w:tcW w:w="1113" w:type="pct"/>
                  <w:tcBorders>
                    <w:tl2br w:val="nil"/>
                    <w:tr2bl w:val="nil"/>
                  </w:tcBorders>
                  <w:noWrap w:val="0"/>
                  <w:vAlign w:val="center"/>
                </w:tcPr>
                <w:p w14:paraId="01FEF631">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350</w:t>
                  </w:r>
                </w:p>
              </w:tc>
              <w:tc>
                <w:tcPr>
                  <w:tcW w:w="997" w:type="pct"/>
                  <w:tcBorders>
                    <w:tl2br w:val="nil"/>
                    <w:tr2bl w:val="nil"/>
                  </w:tcBorders>
                  <w:noWrap w:val="0"/>
                  <w:vAlign w:val="center"/>
                </w:tcPr>
                <w:p w14:paraId="5971E737">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150</w:t>
                  </w:r>
                </w:p>
              </w:tc>
              <w:tc>
                <w:tcPr>
                  <w:tcW w:w="767" w:type="pct"/>
                  <w:tcBorders>
                    <w:tl2br w:val="nil"/>
                    <w:tr2bl w:val="nil"/>
                  </w:tcBorders>
                  <w:noWrap w:val="0"/>
                  <w:vAlign w:val="center"/>
                </w:tcPr>
                <w:p w14:paraId="4EAFF150">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30</w:t>
                  </w:r>
                </w:p>
              </w:tc>
              <w:tc>
                <w:tcPr>
                  <w:tcW w:w="889" w:type="pct"/>
                  <w:tcBorders>
                    <w:tl2br w:val="nil"/>
                    <w:tr2bl w:val="nil"/>
                  </w:tcBorders>
                  <w:noWrap w:val="0"/>
                  <w:vAlign w:val="center"/>
                </w:tcPr>
                <w:p w14:paraId="23C50790">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200</w:t>
                  </w:r>
                </w:p>
              </w:tc>
            </w:tr>
            <w:tr w14:paraId="7DF74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7B8E006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污染物产生量（t/a）</w:t>
                  </w:r>
                </w:p>
              </w:tc>
              <w:tc>
                <w:tcPr>
                  <w:tcW w:w="1113" w:type="pct"/>
                  <w:tcBorders>
                    <w:tl2br w:val="nil"/>
                    <w:tr2bl w:val="nil"/>
                  </w:tcBorders>
                  <w:shd w:val="clear" w:color="auto" w:fill="auto"/>
                  <w:noWrap w:val="0"/>
                  <w:vAlign w:val="center"/>
                </w:tcPr>
                <w:p w14:paraId="2BA68F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0.106</w:t>
                  </w:r>
                </w:p>
              </w:tc>
              <w:tc>
                <w:tcPr>
                  <w:tcW w:w="997" w:type="pct"/>
                  <w:tcBorders>
                    <w:tl2br w:val="nil"/>
                    <w:tr2bl w:val="nil"/>
                  </w:tcBorders>
                  <w:shd w:val="clear" w:color="auto" w:fill="auto"/>
                  <w:noWrap w:val="0"/>
                  <w:vAlign w:val="center"/>
                </w:tcPr>
                <w:p w14:paraId="5344E2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0.0456</w:t>
                  </w:r>
                </w:p>
              </w:tc>
              <w:tc>
                <w:tcPr>
                  <w:tcW w:w="767" w:type="pct"/>
                  <w:tcBorders>
                    <w:tl2br w:val="nil"/>
                    <w:tr2bl w:val="nil"/>
                  </w:tcBorders>
                  <w:shd w:val="clear" w:color="auto" w:fill="auto"/>
                  <w:noWrap w:val="0"/>
                  <w:vAlign w:val="center"/>
                </w:tcPr>
                <w:p w14:paraId="207328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0.00912</w:t>
                  </w:r>
                </w:p>
              </w:tc>
              <w:tc>
                <w:tcPr>
                  <w:tcW w:w="889" w:type="pct"/>
                  <w:tcBorders>
                    <w:tl2br w:val="nil"/>
                    <w:tr2bl w:val="nil"/>
                  </w:tcBorders>
                  <w:shd w:val="clear" w:color="auto" w:fill="auto"/>
                  <w:noWrap w:val="0"/>
                  <w:vAlign w:val="center"/>
                </w:tcPr>
                <w:p w14:paraId="7E8970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0.0608</w:t>
                  </w:r>
                </w:p>
              </w:tc>
            </w:tr>
            <w:tr w14:paraId="4EF44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7E155C6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治理设施</w:t>
                  </w:r>
                </w:p>
              </w:tc>
              <w:tc>
                <w:tcPr>
                  <w:tcW w:w="3768" w:type="pct"/>
                  <w:gridSpan w:val="4"/>
                  <w:tcBorders>
                    <w:tl2br w:val="nil"/>
                    <w:tr2bl w:val="nil"/>
                  </w:tcBorders>
                  <w:noWrap w:val="0"/>
                  <w:vAlign w:val="center"/>
                </w:tcPr>
                <w:p w14:paraId="214395F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依托龙昶厂区</w:t>
                  </w:r>
                  <w:r>
                    <w:rPr>
                      <w:rFonts w:hint="default" w:ascii="Times New Roman" w:hAnsi="Times New Roman" w:cs="Times New Roman" w:eastAsiaTheme="minorEastAsia"/>
                      <w:sz w:val="21"/>
                      <w:szCs w:val="21"/>
                      <w:u w:val="none" w:color="auto"/>
                      <w:lang w:val="en-US" w:eastAsia="zh-CN"/>
                    </w:rPr>
                    <w:t>化粪池</w:t>
                  </w:r>
                </w:p>
              </w:tc>
            </w:tr>
            <w:tr w14:paraId="36ACE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1227" w:type="pct"/>
                  <w:tcBorders>
                    <w:tl2br w:val="nil"/>
                    <w:tr2bl w:val="nil"/>
                  </w:tcBorders>
                  <w:noWrap w:val="0"/>
                  <w:vAlign w:val="center"/>
                </w:tcPr>
                <w:p w14:paraId="3F58C563">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治理效率（%）</w:t>
                  </w:r>
                </w:p>
              </w:tc>
              <w:tc>
                <w:tcPr>
                  <w:tcW w:w="1113" w:type="pct"/>
                  <w:tcBorders>
                    <w:tl2br w:val="nil"/>
                    <w:tr2bl w:val="nil"/>
                  </w:tcBorders>
                  <w:noWrap w:val="0"/>
                  <w:vAlign w:val="center"/>
                </w:tcPr>
                <w:p w14:paraId="05C3DEF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30</w:t>
                  </w:r>
                  <w:r>
                    <w:rPr>
                      <w:rFonts w:hint="default" w:ascii="Times New Roman" w:hAnsi="Times New Roman" w:cs="Times New Roman" w:eastAsiaTheme="minorEastAsia"/>
                      <w:sz w:val="21"/>
                      <w:szCs w:val="21"/>
                      <w:u w:val="none" w:color="auto"/>
                    </w:rPr>
                    <w:t>%</w:t>
                  </w:r>
                </w:p>
              </w:tc>
              <w:tc>
                <w:tcPr>
                  <w:tcW w:w="997" w:type="pct"/>
                  <w:tcBorders>
                    <w:tl2br w:val="nil"/>
                    <w:tr2bl w:val="nil"/>
                  </w:tcBorders>
                  <w:noWrap w:val="0"/>
                  <w:vAlign w:val="center"/>
                </w:tcPr>
                <w:p w14:paraId="5A968C9E">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3</w:t>
                  </w:r>
                  <w:r>
                    <w:rPr>
                      <w:rFonts w:hint="eastAsia" w:ascii="Times New Roman" w:hAnsi="Times New Roman" w:cs="Times New Roman" w:eastAsiaTheme="minorEastAsia"/>
                      <w:sz w:val="21"/>
                      <w:szCs w:val="21"/>
                      <w:u w:val="none" w:color="auto"/>
                      <w:lang w:val="en-US" w:eastAsia="zh-CN"/>
                    </w:rPr>
                    <w:t>0</w:t>
                  </w:r>
                  <w:r>
                    <w:rPr>
                      <w:rFonts w:hint="default" w:ascii="Times New Roman" w:hAnsi="Times New Roman" w:cs="Times New Roman" w:eastAsiaTheme="minorEastAsia"/>
                      <w:sz w:val="21"/>
                      <w:szCs w:val="21"/>
                      <w:u w:val="none" w:color="auto"/>
                      <w:lang w:val="en-US" w:eastAsia="zh-CN"/>
                    </w:rPr>
                    <w:t>%</w:t>
                  </w:r>
                </w:p>
              </w:tc>
              <w:tc>
                <w:tcPr>
                  <w:tcW w:w="767" w:type="pct"/>
                  <w:tcBorders>
                    <w:tl2br w:val="nil"/>
                    <w:tr2bl w:val="nil"/>
                  </w:tcBorders>
                  <w:noWrap w:val="0"/>
                  <w:vAlign w:val="center"/>
                </w:tcPr>
                <w:p w14:paraId="297E133E">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3</w:t>
                  </w:r>
                  <w:r>
                    <w:rPr>
                      <w:rFonts w:hint="default" w:ascii="Times New Roman" w:hAnsi="Times New Roman" w:cs="Times New Roman" w:eastAsiaTheme="minorEastAsia"/>
                      <w:sz w:val="21"/>
                      <w:szCs w:val="21"/>
                      <w:u w:val="none" w:color="auto"/>
                    </w:rPr>
                    <w:t>%</w:t>
                  </w:r>
                </w:p>
              </w:tc>
              <w:tc>
                <w:tcPr>
                  <w:tcW w:w="889" w:type="pct"/>
                  <w:tcBorders>
                    <w:tl2br w:val="nil"/>
                    <w:tr2bl w:val="nil"/>
                  </w:tcBorders>
                  <w:noWrap w:val="0"/>
                  <w:vAlign w:val="center"/>
                </w:tcPr>
                <w:p w14:paraId="18DB2939">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3</w:t>
                  </w:r>
                  <w:r>
                    <w:rPr>
                      <w:rFonts w:hint="default" w:ascii="Times New Roman" w:hAnsi="Times New Roman" w:cs="Times New Roman" w:eastAsiaTheme="minorEastAsia"/>
                      <w:sz w:val="21"/>
                      <w:szCs w:val="21"/>
                      <w:u w:val="none" w:color="auto"/>
                      <w:lang w:val="en-US" w:eastAsia="zh-CN"/>
                    </w:rPr>
                    <w:t>0</w:t>
                  </w:r>
                  <w:r>
                    <w:rPr>
                      <w:rFonts w:hint="default" w:ascii="Times New Roman" w:hAnsi="Times New Roman" w:cs="Times New Roman" w:eastAsiaTheme="minorEastAsia"/>
                      <w:sz w:val="21"/>
                      <w:szCs w:val="21"/>
                      <w:u w:val="none" w:color="auto"/>
                    </w:rPr>
                    <w:t>%</w:t>
                  </w:r>
                </w:p>
              </w:tc>
            </w:tr>
            <w:tr w14:paraId="4C6C7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6A92C068">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废水排放量（m</w:t>
                  </w:r>
                  <w:r>
                    <w:rPr>
                      <w:rFonts w:hint="default" w:ascii="Times New Roman" w:hAnsi="Times New Roman" w:cs="Times New Roman" w:eastAsiaTheme="minorEastAsia"/>
                      <w:sz w:val="21"/>
                      <w:szCs w:val="21"/>
                      <w:u w:val="none" w:color="auto"/>
                      <w:vertAlign w:val="superscript"/>
                      <w:lang w:val="en-US" w:eastAsia="zh-CN"/>
                    </w:rPr>
                    <w:t>3</w:t>
                  </w:r>
                  <w:r>
                    <w:rPr>
                      <w:rFonts w:hint="default" w:ascii="Times New Roman" w:hAnsi="Times New Roman" w:cs="Times New Roman" w:eastAsiaTheme="minorEastAsia"/>
                      <w:sz w:val="21"/>
                      <w:szCs w:val="21"/>
                      <w:u w:val="none" w:color="auto"/>
                      <w:lang w:val="en-US" w:eastAsia="zh-CN"/>
                    </w:rPr>
                    <w:t>/a）</w:t>
                  </w:r>
                </w:p>
              </w:tc>
              <w:tc>
                <w:tcPr>
                  <w:tcW w:w="3768" w:type="pct"/>
                  <w:gridSpan w:val="4"/>
                  <w:tcBorders>
                    <w:tl2br w:val="nil"/>
                    <w:tr2bl w:val="nil"/>
                  </w:tcBorders>
                  <w:noWrap w:val="0"/>
                  <w:vAlign w:val="center"/>
                </w:tcPr>
                <w:p w14:paraId="01C256CD">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304</w:t>
                  </w:r>
                </w:p>
              </w:tc>
            </w:tr>
            <w:tr w14:paraId="4DB70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28B88404">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污染物排放浓度（mg/L）</w:t>
                  </w:r>
                </w:p>
              </w:tc>
              <w:tc>
                <w:tcPr>
                  <w:tcW w:w="1113" w:type="pct"/>
                  <w:tcBorders>
                    <w:tl2br w:val="nil"/>
                    <w:tr2bl w:val="nil"/>
                  </w:tcBorders>
                  <w:noWrap w:val="0"/>
                  <w:vAlign w:val="center"/>
                </w:tcPr>
                <w:p w14:paraId="01FA7D56">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245</w:t>
                  </w:r>
                </w:p>
              </w:tc>
              <w:tc>
                <w:tcPr>
                  <w:tcW w:w="997" w:type="pct"/>
                  <w:tcBorders>
                    <w:tl2br w:val="nil"/>
                    <w:tr2bl w:val="nil"/>
                  </w:tcBorders>
                  <w:noWrap w:val="0"/>
                  <w:vAlign w:val="center"/>
                </w:tcPr>
                <w:p w14:paraId="5D63D8D9">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105</w:t>
                  </w:r>
                </w:p>
              </w:tc>
              <w:tc>
                <w:tcPr>
                  <w:tcW w:w="767" w:type="pct"/>
                  <w:tcBorders>
                    <w:tl2br w:val="nil"/>
                    <w:tr2bl w:val="nil"/>
                  </w:tcBorders>
                  <w:noWrap w:val="0"/>
                  <w:vAlign w:val="center"/>
                </w:tcPr>
                <w:p w14:paraId="76A1E018">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29.1</w:t>
                  </w:r>
                </w:p>
              </w:tc>
              <w:tc>
                <w:tcPr>
                  <w:tcW w:w="889" w:type="pct"/>
                  <w:tcBorders>
                    <w:tl2br w:val="nil"/>
                    <w:tr2bl w:val="nil"/>
                  </w:tcBorders>
                  <w:noWrap w:val="0"/>
                  <w:vAlign w:val="center"/>
                </w:tcPr>
                <w:p w14:paraId="7C0F41C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140</w:t>
                  </w:r>
                </w:p>
              </w:tc>
            </w:tr>
            <w:tr w14:paraId="4B099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30E6B8E2">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排放浓度限值（mg/L）</w:t>
                  </w:r>
                </w:p>
              </w:tc>
              <w:tc>
                <w:tcPr>
                  <w:tcW w:w="1113" w:type="pct"/>
                  <w:tcBorders>
                    <w:tl2br w:val="nil"/>
                    <w:tr2bl w:val="nil"/>
                  </w:tcBorders>
                  <w:noWrap w:val="0"/>
                  <w:vAlign w:val="center"/>
                </w:tcPr>
                <w:p w14:paraId="55178A5E">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250</w:t>
                  </w:r>
                </w:p>
              </w:tc>
              <w:tc>
                <w:tcPr>
                  <w:tcW w:w="997" w:type="pct"/>
                  <w:tcBorders>
                    <w:tl2br w:val="nil"/>
                    <w:tr2bl w:val="nil"/>
                  </w:tcBorders>
                  <w:noWrap w:val="0"/>
                  <w:vAlign w:val="center"/>
                </w:tcPr>
                <w:p w14:paraId="3D53448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150</w:t>
                  </w:r>
                </w:p>
              </w:tc>
              <w:tc>
                <w:tcPr>
                  <w:tcW w:w="767" w:type="pct"/>
                  <w:tcBorders>
                    <w:tl2br w:val="nil"/>
                    <w:tr2bl w:val="nil"/>
                  </w:tcBorders>
                  <w:noWrap w:val="0"/>
                  <w:vAlign w:val="center"/>
                </w:tcPr>
                <w:p w14:paraId="66F66671">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30</w:t>
                  </w:r>
                </w:p>
              </w:tc>
              <w:tc>
                <w:tcPr>
                  <w:tcW w:w="889" w:type="pct"/>
                  <w:tcBorders>
                    <w:tl2br w:val="nil"/>
                    <w:tr2bl w:val="nil"/>
                  </w:tcBorders>
                  <w:noWrap w:val="0"/>
                  <w:vAlign w:val="center"/>
                </w:tcPr>
                <w:p w14:paraId="3C6F48C9">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200</w:t>
                  </w:r>
                </w:p>
              </w:tc>
            </w:tr>
            <w:tr w14:paraId="28B58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51435367">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污染物排放量（t/a）</w:t>
                  </w:r>
                </w:p>
              </w:tc>
              <w:tc>
                <w:tcPr>
                  <w:tcW w:w="1113" w:type="pct"/>
                  <w:tcBorders>
                    <w:tl2br w:val="nil"/>
                    <w:tr2bl w:val="nil"/>
                  </w:tcBorders>
                  <w:shd w:val="clear" w:color="auto" w:fill="auto"/>
                  <w:noWrap w:val="0"/>
                  <w:vAlign w:val="center"/>
                </w:tcPr>
                <w:p w14:paraId="220602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r>
                    <w:rPr>
                      <w:rFonts w:hint="eastAsia" w:ascii="Times New Roman" w:hAnsi="Times New Roman" w:eastAsia="宋体" w:cs="Times New Roman"/>
                      <w:i w:val="0"/>
                      <w:iCs w:val="0"/>
                      <w:color w:val="000000"/>
                      <w:kern w:val="0"/>
                      <w:sz w:val="21"/>
                      <w:szCs w:val="21"/>
                      <w:u w:val="none"/>
                      <w:lang w:val="en-US" w:eastAsia="zh-CN" w:bidi="ar"/>
                    </w:rPr>
                    <w:t>5</w:t>
                  </w:r>
                </w:p>
              </w:tc>
              <w:tc>
                <w:tcPr>
                  <w:tcW w:w="997" w:type="pct"/>
                  <w:tcBorders>
                    <w:tl2br w:val="nil"/>
                    <w:tr2bl w:val="nil"/>
                  </w:tcBorders>
                  <w:shd w:val="clear" w:color="auto" w:fill="auto"/>
                  <w:noWrap w:val="0"/>
                  <w:vAlign w:val="center"/>
                </w:tcPr>
                <w:p w14:paraId="69805A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0.0319</w:t>
                  </w:r>
                </w:p>
              </w:tc>
              <w:tc>
                <w:tcPr>
                  <w:tcW w:w="767" w:type="pct"/>
                  <w:tcBorders>
                    <w:tl2br w:val="nil"/>
                    <w:tr2bl w:val="nil"/>
                  </w:tcBorders>
                  <w:shd w:val="clear" w:color="auto" w:fill="auto"/>
                  <w:noWrap w:val="0"/>
                  <w:vAlign w:val="center"/>
                </w:tcPr>
                <w:p w14:paraId="437F38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0.0088</w:t>
                  </w:r>
                  <w:r>
                    <w:rPr>
                      <w:rFonts w:hint="eastAsia" w:ascii="Times New Roman" w:hAnsi="Times New Roman" w:eastAsia="宋体" w:cs="Times New Roman"/>
                      <w:i w:val="0"/>
                      <w:iCs w:val="0"/>
                      <w:color w:val="000000"/>
                      <w:kern w:val="0"/>
                      <w:sz w:val="21"/>
                      <w:szCs w:val="21"/>
                      <w:u w:val="none"/>
                      <w:lang w:val="en-US" w:eastAsia="zh-CN" w:bidi="ar"/>
                    </w:rPr>
                    <w:t>5</w:t>
                  </w:r>
                </w:p>
              </w:tc>
              <w:tc>
                <w:tcPr>
                  <w:tcW w:w="889" w:type="pct"/>
                  <w:tcBorders>
                    <w:tl2br w:val="nil"/>
                    <w:tr2bl w:val="nil"/>
                  </w:tcBorders>
                  <w:shd w:val="clear" w:color="auto" w:fill="auto"/>
                  <w:noWrap w:val="0"/>
                  <w:vAlign w:val="center"/>
                </w:tcPr>
                <w:p w14:paraId="2F0805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0.0426</w:t>
                  </w:r>
                </w:p>
              </w:tc>
            </w:tr>
            <w:tr w14:paraId="56A68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tcBorders>
                    <w:tl2br w:val="nil"/>
                    <w:tr2bl w:val="nil"/>
                  </w:tcBorders>
                  <w:noWrap w:val="0"/>
                  <w:vAlign w:val="center"/>
                </w:tcPr>
                <w:p w14:paraId="0ACD2D70">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排放方式</w:t>
                  </w:r>
                </w:p>
              </w:tc>
              <w:tc>
                <w:tcPr>
                  <w:tcW w:w="3772" w:type="pct"/>
                  <w:gridSpan w:val="5"/>
                  <w:tcBorders>
                    <w:tl2br w:val="nil"/>
                    <w:tr2bl w:val="nil"/>
                  </w:tcBorders>
                  <w:noWrap w:val="0"/>
                  <w:vAlign w:val="center"/>
                </w:tcPr>
                <w:p w14:paraId="273CE1A1">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间接排放</w:t>
                  </w:r>
                </w:p>
              </w:tc>
            </w:tr>
            <w:tr w14:paraId="716FB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tcBorders>
                    <w:tl2br w:val="nil"/>
                    <w:tr2bl w:val="nil"/>
                  </w:tcBorders>
                  <w:noWrap w:val="0"/>
                  <w:vAlign w:val="center"/>
                </w:tcPr>
                <w:p w14:paraId="1713237E">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排放去向</w:t>
                  </w:r>
                </w:p>
              </w:tc>
              <w:tc>
                <w:tcPr>
                  <w:tcW w:w="3772" w:type="pct"/>
                  <w:gridSpan w:val="5"/>
                  <w:tcBorders>
                    <w:tl2br w:val="nil"/>
                    <w:tr2bl w:val="nil"/>
                  </w:tcBorders>
                  <w:noWrap w:val="0"/>
                  <w:vAlign w:val="center"/>
                </w:tcPr>
                <w:p w14:paraId="2FE5CF78">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新田县污水处理厂</w:t>
                  </w:r>
                </w:p>
              </w:tc>
            </w:tr>
            <w:tr w14:paraId="0A8D4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tcBorders>
                    <w:tl2br w:val="nil"/>
                    <w:tr2bl w:val="nil"/>
                  </w:tcBorders>
                  <w:noWrap w:val="0"/>
                  <w:vAlign w:val="center"/>
                </w:tcPr>
                <w:p w14:paraId="397BFE0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排放规律</w:t>
                  </w:r>
                </w:p>
              </w:tc>
              <w:tc>
                <w:tcPr>
                  <w:tcW w:w="3772" w:type="pct"/>
                  <w:gridSpan w:val="5"/>
                  <w:tcBorders>
                    <w:tl2br w:val="nil"/>
                    <w:tr2bl w:val="nil"/>
                  </w:tcBorders>
                  <w:noWrap w:val="0"/>
                  <w:vAlign w:val="center"/>
                </w:tcPr>
                <w:p w14:paraId="006A452A">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间断</w:t>
                  </w:r>
                </w:p>
              </w:tc>
            </w:tr>
            <w:tr w14:paraId="314A7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5D855F72">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废水排放量（m</w:t>
                  </w:r>
                  <w:r>
                    <w:rPr>
                      <w:rFonts w:hint="default" w:ascii="Times New Roman" w:hAnsi="Times New Roman" w:cs="Times New Roman" w:eastAsiaTheme="minorEastAsia"/>
                      <w:sz w:val="21"/>
                      <w:szCs w:val="21"/>
                      <w:u w:val="none" w:color="auto"/>
                      <w:vertAlign w:val="superscript"/>
                      <w:lang w:val="en-US" w:eastAsia="zh-CN"/>
                    </w:rPr>
                    <w:t>3</w:t>
                  </w:r>
                  <w:r>
                    <w:rPr>
                      <w:rFonts w:hint="default" w:ascii="Times New Roman" w:hAnsi="Times New Roman" w:cs="Times New Roman" w:eastAsiaTheme="minorEastAsia"/>
                      <w:sz w:val="21"/>
                      <w:szCs w:val="21"/>
                      <w:u w:val="none" w:color="auto"/>
                      <w:lang w:val="en-US" w:eastAsia="zh-CN"/>
                    </w:rPr>
                    <w:t>/a）</w:t>
                  </w:r>
                </w:p>
              </w:tc>
              <w:tc>
                <w:tcPr>
                  <w:tcW w:w="3768" w:type="pct"/>
                  <w:gridSpan w:val="4"/>
                  <w:tcBorders>
                    <w:tl2br w:val="nil"/>
                    <w:tr2bl w:val="nil"/>
                  </w:tcBorders>
                  <w:noWrap w:val="0"/>
                  <w:vAlign w:val="center"/>
                </w:tcPr>
                <w:p w14:paraId="7C092A03">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304</w:t>
                  </w:r>
                </w:p>
              </w:tc>
            </w:tr>
            <w:tr w14:paraId="19FB4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7E8E0201">
                  <w:pPr>
                    <w:pStyle w:val="11"/>
                    <w:keepNext w:val="0"/>
                    <w:keepLines w:val="0"/>
                    <w:pageBreakBefore w:val="0"/>
                    <w:widowControl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污水处理厂处理后排放浓度mg/L</w:t>
                  </w:r>
                </w:p>
              </w:tc>
              <w:tc>
                <w:tcPr>
                  <w:tcW w:w="1113" w:type="pct"/>
                  <w:tcBorders>
                    <w:tl2br w:val="nil"/>
                    <w:tr2bl w:val="nil"/>
                  </w:tcBorders>
                  <w:noWrap w:val="0"/>
                  <w:vAlign w:val="center"/>
                </w:tcPr>
                <w:p w14:paraId="359E4AC9">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50</w:t>
                  </w:r>
                </w:p>
              </w:tc>
              <w:tc>
                <w:tcPr>
                  <w:tcW w:w="997" w:type="pct"/>
                  <w:tcBorders>
                    <w:tl2br w:val="nil"/>
                    <w:tr2bl w:val="nil"/>
                  </w:tcBorders>
                  <w:noWrap w:val="0"/>
                  <w:vAlign w:val="center"/>
                </w:tcPr>
                <w:p w14:paraId="72A8BE12">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10</w:t>
                  </w:r>
                </w:p>
              </w:tc>
              <w:tc>
                <w:tcPr>
                  <w:tcW w:w="767" w:type="pct"/>
                  <w:tcBorders>
                    <w:tl2br w:val="nil"/>
                    <w:tr2bl w:val="nil"/>
                  </w:tcBorders>
                  <w:noWrap w:val="0"/>
                  <w:vAlign w:val="center"/>
                </w:tcPr>
                <w:p w14:paraId="13F39482">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5</w:t>
                  </w:r>
                </w:p>
              </w:tc>
              <w:tc>
                <w:tcPr>
                  <w:tcW w:w="889" w:type="pct"/>
                  <w:tcBorders>
                    <w:tl2br w:val="nil"/>
                    <w:tr2bl w:val="nil"/>
                  </w:tcBorders>
                  <w:noWrap w:val="0"/>
                  <w:vAlign w:val="center"/>
                </w:tcPr>
                <w:p w14:paraId="40000D25">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10</w:t>
                  </w:r>
                </w:p>
              </w:tc>
            </w:tr>
            <w:tr w14:paraId="44EC4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1227" w:type="pct"/>
                  <w:tcBorders>
                    <w:tl2br w:val="nil"/>
                    <w:tr2bl w:val="nil"/>
                  </w:tcBorders>
                  <w:noWrap w:val="0"/>
                  <w:vAlign w:val="center"/>
                </w:tcPr>
                <w:p w14:paraId="568376A2">
                  <w:pPr>
                    <w:pStyle w:val="11"/>
                    <w:keepNext w:val="0"/>
                    <w:keepLines w:val="0"/>
                    <w:pageBreakBefore w:val="0"/>
                    <w:widowControl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sz w:val="21"/>
                      <w:szCs w:val="21"/>
                      <w:u w:val="none" w:color="auto"/>
                      <w:lang w:val="en-US" w:eastAsia="zh-CN"/>
                    </w:rPr>
                  </w:pPr>
                  <w:r>
                    <w:rPr>
                      <w:rFonts w:hint="default" w:ascii="Times New Roman" w:hAnsi="Times New Roman" w:cs="Times New Roman" w:eastAsiaTheme="minorEastAsia"/>
                      <w:sz w:val="21"/>
                      <w:szCs w:val="21"/>
                      <w:u w:val="none" w:color="auto"/>
                      <w:lang w:val="en-US" w:eastAsia="zh-CN"/>
                    </w:rPr>
                    <w:t>污水处理厂处理后排放量t/a</w:t>
                  </w:r>
                </w:p>
              </w:tc>
              <w:tc>
                <w:tcPr>
                  <w:tcW w:w="1113" w:type="pct"/>
                  <w:tcBorders>
                    <w:tl2br w:val="nil"/>
                    <w:tr2bl w:val="nil"/>
                  </w:tcBorders>
                  <w:noWrap w:val="0"/>
                  <w:vAlign w:val="center"/>
                </w:tcPr>
                <w:p w14:paraId="1B7E6C8C">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0.0152</w:t>
                  </w:r>
                </w:p>
              </w:tc>
              <w:tc>
                <w:tcPr>
                  <w:tcW w:w="997" w:type="pct"/>
                  <w:tcBorders>
                    <w:tl2br w:val="nil"/>
                    <w:tr2bl w:val="nil"/>
                  </w:tcBorders>
                  <w:noWrap w:val="0"/>
                  <w:vAlign w:val="center"/>
                </w:tcPr>
                <w:p w14:paraId="1E13F43E">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0.00304</w:t>
                  </w:r>
                </w:p>
              </w:tc>
              <w:tc>
                <w:tcPr>
                  <w:tcW w:w="767" w:type="pct"/>
                  <w:tcBorders>
                    <w:tl2br w:val="nil"/>
                    <w:tr2bl w:val="nil"/>
                  </w:tcBorders>
                  <w:noWrap w:val="0"/>
                  <w:vAlign w:val="center"/>
                </w:tcPr>
                <w:p w14:paraId="0CC40F7C">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0.00152</w:t>
                  </w:r>
                </w:p>
              </w:tc>
              <w:tc>
                <w:tcPr>
                  <w:tcW w:w="889" w:type="pct"/>
                  <w:tcBorders>
                    <w:tl2br w:val="nil"/>
                    <w:tr2bl w:val="nil"/>
                  </w:tcBorders>
                  <w:noWrap w:val="0"/>
                  <w:vAlign w:val="center"/>
                </w:tcPr>
                <w:p w14:paraId="34EE5AC5">
                  <w:pPr>
                    <w:pStyle w:val="11"/>
                    <w:keepNext w:val="0"/>
                    <w:keepLines w:val="0"/>
                    <w:pageBreakBefore w:val="0"/>
                    <w:tabs>
                      <w:tab w:val="left" w:pos="940"/>
                    </w:tabs>
                    <w:kinsoku/>
                    <w:wordWrap/>
                    <w:overflowPunct/>
                    <w:topLinePunct w:val="0"/>
                    <w:autoSpaceDE/>
                    <w:autoSpaceDN/>
                    <w:bidi w:val="0"/>
                    <w:adjustRightInd w:val="0"/>
                    <w:snapToGrid w:val="0"/>
                    <w:spacing w:before="0" w:after="0" w:line="240" w:lineRule="auto"/>
                    <w:ind w:right="0" w:firstLine="0" w:firstLineChars="0"/>
                    <w:jc w:val="center"/>
                    <w:rPr>
                      <w:rFonts w:hint="default" w:ascii="Times New Roman" w:hAnsi="Times New Roman" w:cs="Times New Roman" w:eastAsiaTheme="minorEastAsia"/>
                      <w:sz w:val="21"/>
                      <w:szCs w:val="21"/>
                      <w:u w:val="none" w:color="auto"/>
                      <w:lang w:val="en-US" w:eastAsia="zh-CN"/>
                    </w:rPr>
                  </w:pPr>
                  <w:r>
                    <w:rPr>
                      <w:rFonts w:hint="eastAsia" w:ascii="Times New Roman" w:hAnsi="Times New Roman" w:cs="Times New Roman" w:eastAsiaTheme="minorEastAsia"/>
                      <w:sz w:val="21"/>
                      <w:szCs w:val="21"/>
                      <w:u w:val="none" w:color="auto"/>
                      <w:lang w:val="en-US" w:eastAsia="zh-CN"/>
                    </w:rPr>
                    <w:t>0.00304</w:t>
                  </w:r>
                </w:p>
              </w:tc>
            </w:tr>
          </w:tbl>
          <w:p w14:paraId="50ADC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highlight w:val="none"/>
                <w:u w:val="none" w:color="auto"/>
                <w:lang w:val="en-US" w:eastAsia="zh-CN"/>
              </w:rPr>
            </w:pPr>
            <w:r>
              <w:rPr>
                <w:rFonts w:hint="eastAsia"/>
                <w:color w:val="auto"/>
                <w:sz w:val="24"/>
                <w:szCs w:val="24"/>
                <w:highlight w:val="none"/>
                <w:u w:val="none" w:color="auto"/>
                <w:lang w:val="en-US" w:eastAsia="zh-CN"/>
              </w:rPr>
              <w:t>本项目营运期废水排放方式、排放去向、排放规律及排放口基本情况等详见表4-9、4-10。</w:t>
            </w:r>
          </w:p>
          <w:p w14:paraId="1A24EA5C">
            <w:pPr>
              <w:spacing w:line="240" w:lineRule="auto"/>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表4-</w:t>
            </w:r>
            <w:r>
              <w:rPr>
                <w:rFonts w:hint="eastAsia" w:cs="Times New Roman"/>
                <w:b/>
                <w:color w:val="auto"/>
                <w:sz w:val="21"/>
                <w:szCs w:val="21"/>
                <w:u w:val="none" w:color="auto"/>
                <w:lang w:val="en-US" w:eastAsia="zh-CN"/>
              </w:rPr>
              <w:t>9</w:t>
            </w:r>
            <w:r>
              <w:rPr>
                <w:rFonts w:hint="default" w:ascii="Times New Roman" w:hAnsi="Times New Roman" w:eastAsia="宋体" w:cs="Times New Roman"/>
                <w:b/>
                <w:color w:val="auto"/>
                <w:sz w:val="21"/>
                <w:szCs w:val="21"/>
                <w:u w:val="none" w:color="auto"/>
                <w:lang w:val="en-US" w:eastAsia="zh-CN"/>
              </w:rPr>
              <w:t xml:space="preserve">  </w:t>
            </w:r>
            <w:r>
              <w:rPr>
                <w:rFonts w:hint="eastAsia" w:cs="Times New Roman"/>
                <w:b/>
                <w:color w:val="auto"/>
                <w:sz w:val="21"/>
                <w:szCs w:val="21"/>
                <w:u w:val="none" w:color="auto"/>
                <w:lang w:val="en-US" w:eastAsia="zh-CN"/>
              </w:rPr>
              <w:t>废水类别、污染物及污染治理设施信息</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6"/>
              <w:gridCol w:w="637"/>
              <w:gridCol w:w="796"/>
              <w:gridCol w:w="674"/>
              <w:gridCol w:w="628"/>
              <w:gridCol w:w="704"/>
              <w:gridCol w:w="674"/>
              <w:gridCol w:w="781"/>
              <w:gridCol w:w="497"/>
              <w:gridCol w:w="610"/>
              <w:gridCol w:w="1165"/>
            </w:tblGrid>
            <w:tr w14:paraId="19EFD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vMerge w:val="restart"/>
                  <w:tcBorders>
                    <w:tl2br w:val="nil"/>
                    <w:tr2bl w:val="nil"/>
                  </w:tcBorders>
                  <w:noWrap w:val="0"/>
                  <w:vAlign w:val="center"/>
                </w:tcPr>
                <w:p w14:paraId="229D9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序号</w:t>
                  </w:r>
                </w:p>
              </w:tc>
              <w:tc>
                <w:tcPr>
                  <w:tcW w:w="423" w:type="pct"/>
                  <w:vMerge w:val="restart"/>
                  <w:tcBorders>
                    <w:tl2br w:val="nil"/>
                    <w:tr2bl w:val="nil"/>
                  </w:tcBorders>
                  <w:noWrap w:val="0"/>
                  <w:vAlign w:val="center"/>
                </w:tcPr>
                <w:p w14:paraId="5EAFA9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废水类别a</w:t>
                  </w:r>
                </w:p>
              </w:tc>
              <w:tc>
                <w:tcPr>
                  <w:tcW w:w="529" w:type="pct"/>
                  <w:vMerge w:val="restart"/>
                  <w:tcBorders>
                    <w:tl2br w:val="nil"/>
                    <w:tr2bl w:val="nil"/>
                  </w:tcBorders>
                  <w:noWrap w:val="0"/>
                  <w:vAlign w:val="center"/>
                </w:tcPr>
                <w:p w14:paraId="35037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污染物种类b</w:t>
                  </w:r>
                </w:p>
              </w:tc>
              <w:tc>
                <w:tcPr>
                  <w:tcW w:w="447" w:type="pct"/>
                  <w:vMerge w:val="restart"/>
                  <w:tcBorders>
                    <w:tl2br w:val="nil"/>
                    <w:tr2bl w:val="nil"/>
                  </w:tcBorders>
                  <w:noWrap w:val="0"/>
                  <w:vAlign w:val="center"/>
                </w:tcPr>
                <w:p w14:paraId="05A4A7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排放去向c</w:t>
                  </w:r>
                </w:p>
              </w:tc>
              <w:tc>
                <w:tcPr>
                  <w:tcW w:w="417" w:type="pct"/>
                  <w:vMerge w:val="restart"/>
                  <w:tcBorders>
                    <w:tl2br w:val="nil"/>
                    <w:tr2bl w:val="nil"/>
                  </w:tcBorders>
                  <w:noWrap w:val="0"/>
                  <w:vAlign w:val="center"/>
                </w:tcPr>
                <w:p w14:paraId="389F8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排放规律d</w:t>
                  </w:r>
                </w:p>
              </w:tc>
              <w:tc>
                <w:tcPr>
                  <w:tcW w:w="1435" w:type="pct"/>
                  <w:gridSpan w:val="3"/>
                  <w:tcBorders>
                    <w:tl2br w:val="nil"/>
                    <w:tr2bl w:val="nil"/>
                  </w:tcBorders>
                  <w:noWrap w:val="0"/>
                  <w:vAlign w:val="center"/>
                </w:tcPr>
                <w:p w14:paraId="49689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污染治理设施</w:t>
                  </w:r>
                </w:p>
              </w:tc>
              <w:tc>
                <w:tcPr>
                  <w:tcW w:w="330" w:type="pct"/>
                  <w:vMerge w:val="restart"/>
                  <w:tcBorders>
                    <w:tl2br w:val="nil"/>
                    <w:tr2bl w:val="nil"/>
                  </w:tcBorders>
                  <w:noWrap w:val="0"/>
                  <w:vAlign w:val="center"/>
                </w:tcPr>
                <w:p w14:paraId="1BAA8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highlight w:val="yellow"/>
                      <w:u w:val="none" w:color="auto"/>
                    </w:rPr>
                  </w:pPr>
                  <w:r>
                    <w:rPr>
                      <w:rFonts w:hint="default" w:ascii="Times New Roman" w:hAnsi="Times New Roman" w:cs="Times New Roman"/>
                      <w:b w:val="0"/>
                      <w:bCs w:val="0"/>
                      <w:snapToGrid w:val="0"/>
                      <w:color w:val="auto"/>
                      <w:kern w:val="0"/>
                      <w:sz w:val="18"/>
                      <w:szCs w:val="18"/>
                      <w:u w:val="none" w:color="auto"/>
                    </w:rPr>
                    <w:t>排放口编号f</w:t>
                  </w:r>
                </w:p>
              </w:tc>
              <w:tc>
                <w:tcPr>
                  <w:tcW w:w="405" w:type="pct"/>
                  <w:vMerge w:val="restart"/>
                  <w:tcBorders>
                    <w:tl2br w:val="nil"/>
                    <w:tr2bl w:val="nil"/>
                  </w:tcBorders>
                  <w:noWrap w:val="0"/>
                  <w:vAlign w:val="center"/>
                </w:tcPr>
                <w:p w14:paraId="025EE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排放口设置是否符合要求g</w:t>
                  </w:r>
                </w:p>
              </w:tc>
              <w:tc>
                <w:tcPr>
                  <w:tcW w:w="773" w:type="pct"/>
                  <w:vMerge w:val="restart"/>
                  <w:tcBorders>
                    <w:tl2br w:val="nil"/>
                    <w:tr2bl w:val="nil"/>
                  </w:tcBorders>
                  <w:noWrap w:val="0"/>
                  <w:vAlign w:val="center"/>
                </w:tcPr>
                <w:p w14:paraId="429618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排放口类型</w:t>
                  </w:r>
                </w:p>
              </w:tc>
            </w:tr>
            <w:tr w14:paraId="2E15A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vMerge w:val="continue"/>
                  <w:tcBorders>
                    <w:tl2br w:val="nil"/>
                    <w:tr2bl w:val="nil"/>
                  </w:tcBorders>
                  <w:noWrap w:val="0"/>
                  <w:vAlign w:val="center"/>
                </w:tcPr>
                <w:p w14:paraId="630809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p>
              </w:tc>
              <w:tc>
                <w:tcPr>
                  <w:tcW w:w="423" w:type="pct"/>
                  <w:vMerge w:val="continue"/>
                  <w:tcBorders>
                    <w:tl2br w:val="nil"/>
                    <w:tr2bl w:val="nil"/>
                  </w:tcBorders>
                  <w:noWrap w:val="0"/>
                  <w:vAlign w:val="center"/>
                </w:tcPr>
                <w:p w14:paraId="24557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p>
              </w:tc>
              <w:tc>
                <w:tcPr>
                  <w:tcW w:w="529" w:type="pct"/>
                  <w:vMerge w:val="continue"/>
                  <w:tcBorders>
                    <w:tl2br w:val="nil"/>
                    <w:tr2bl w:val="nil"/>
                  </w:tcBorders>
                  <w:noWrap w:val="0"/>
                  <w:vAlign w:val="center"/>
                </w:tcPr>
                <w:p w14:paraId="7495A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p>
              </w:tc>
              <w:tc>
                <w:tcPr>
                  <w:tcW w:w="447" w:type="pct"/>
                  <w:vMerge w:val="continue"/>
                  <w:tcBorders>
                    <w:tl2br w:val="nil"/>
                    <w:tr2bl w:val="nil"/>
                  </w:tcBorders>
                  <w:noWrap w:val="0"/>
                  <w:vAlign w:val="center"/>
                </w:tcPr>
                <w:p w14:paraId="30F7F9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p>
              </w:tc>
              <w:tc>
                <w:tcPr>
                  <w:tcW w:w="417" w:type="pct"/>
                  <w:vMerge w:val="continue"/>
                  <w:tcBorders>
                    <w:tl2br w:val="nil"/>
                    <w:tr2bl w:val="nil"/>
                  </w:tcBorders>
                  <w:noWrap w:val="0"/>
                  <w:vAlign w:val="center"/>
                </w:tcPr>
                <w:p w14:paraId="790193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p>
              </w:tc>
              <w:tc>
                <w:tcPr>
                  <w:tcW w:w="468" w:type="pct"/>
                  <w:tcBorders>
                    <w:tl2br w:val="nil"/>
                    <w:tr2bl w:val="nil"/>
                  </w:tcBorders>
                  <w:noWrap w:val="0"/>
                  <w:vAlign w:val="center"/>
                </w:tcPr>
                <w:p w14:paraId="3DD36C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污染治理设施编号</w:t>
                  </w:r>
                </w:p>
              </w:tc>
              <w:tc>
                <w:tcPr>
                  <w:tcW w:w="447" w:type="pct"/>
                  <w:tcBorders>
                    <w:tl2br w:val="nil"/>
                    <w:tr2bl w:val="nil"/>
                  </w:tcBorders>
                  <w:noWrap w:val="0"/>
                  <w:vAlign w:val="center"/>
                </w:tcPr>
                <w:p w14:paraId="0B820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污染治理设施名称e</w:t>
                  </w:r>
                </w:p>
              </w:tc>
              <w:tc>
                <w:tcPr>
                  <w:tcW w:w="519" w:type="pct"/>
                  <w:tcBorders>
                    <w:tl2br w:val="nil"/>
                    <w:tr2bl w:val="nil"/>
                  </w:tcBorders>
                  <w:noWrap w:val="0"/>
                  <w:vAlign w:val="center"/>
                </w:tcPr>
                <w:p w14:paraId="2CBEC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color w:val="auto"/>
                      <w:kern w:val="0"/>
                      <w:sz w:val="18"/>
                      <w:szCs w:val="18"/>
                      <w:u w:val="none" w:color="auto"/>
                    </w:rPr>
                  </w:pPr>
                  <w:r>
                    <w:rPr>
                      <w:rFonts w:hint="default" w:ascii="Times New Roman" w:hAnsi="Times New Roman" w:cs="Times New Roman"/>
                      <w:b w:val="0"/>
                      <w:bCs w:val="0"/>
                      <w:snapToGrid w:val="0"/>
                      <w:color w:val="auto"/>
                      <w:kern w:val="0"/>
                      <w:sz w:val="18"/>
                      <w:szCs w:val="18"/>
                      <w:u w:val="none" w:color="auto"/>
                    </w:rPr>
                    <w:t>污染治理设施工艺</w:t>
                  </w:r>
                </w:p>
              </w:tc>
              <w:tc>
                <w:tcPr>
                  <w:tcW w:w="330" w:type="pct"/>
                  <w:vMerge w:val="continue"/>
                  <w:tcBorders>
                    <w:tl2br w:val="nil"/>
                    <w:tr2bl w:val="nil"/>
                  </w:tcBorders>
                  <w:noWrap w:val="0"/>
                  <w:vAlign w:val="center"/>
                </w:tcPr>
                <w:p w14:paraId="18E4B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u w:val="none" w:color="auto"/>
                    </w:rPr>
                  </w:pPr>
                </w:p>
              </w:tc>
              <w:tc>
                <w:tcPr>
                  <w:tcW w:w="405" w:type="pct"/>
                  <w:vMerge w:val="continue"/>
                  <w:tcBorders>
                    <w:tl2br w:val="nil"/>
                    <w:tr2bl w:val="nil"/>
                  </w:tcBorders>
                  <w:noWrap w:val="0"/>
                  <w:vAlign w:val="center"/>
                </w:tcPr>
                <w:p w14:paraId="11F71D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u w:val="none" w:color="auto"/>
                    </w:rPr>
                  </w:pPr>
                </w:p>
              </w:tc>
              <w:tc>
                <w:tcPr>
                  <w:tcW w:w="773" w:type="pct"/>
                  <w:vMerge w:val="continue"/>
                  <w:tcBorders>
                    <w:tl2br w:val="nil"/>
                    <w:tr2bl w:val="nil"/>
                  </w:tcBorders>
                  <w:noWrap w:val="0"/>
                  <w:vAlign w:val="center"/>
                </w:tcPr>
                <w:p w14:paraId="1F4B9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u w:val="none" w:color="auto"/>
                    </w:rPr>
                  </w:pPr>
                </w:p>
              </w:tc>
            </w:tr>
            <w:tr w14:paraId="7CF4E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236" w:type="pct"/>
                  <w:tcBorders>
                    <w:tl2br w:val="nil"/>
                    <w:tr2bl w:val="nil"/>
                  </w:tcBorders>
                  <w:noWrap w:val="0"/>
                  <w:vAlign w:val="center"/>
                </w:tcPr>
                <w:p w14:paraId="1BC59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u w:val="none" w:color="auto"/>
                      <w:lang w:val="en-US" w:eastAsia="zh-CN"/>
                    </w:rPr>
                  </w:pPr>
                  <w:r>
                    <w:rPr>
                      <w:rFonts w:hint="eastAsia" w:ascii="Times New Roman" w:hAnsi="Times New Roman" w:cs="Times New Roman"/>
                      <w:snapToGrid w:val="0"/>
                      <w:color w:val="auto"/>
                      <w:kern w:val="0"/>
                      <w:sz w:val="18"/>
                      <w:szCs w:val="18"/>
                      <w:u w:val="none" w:color="auto"/>
                      <w:lang w:val="en-US" w:eastAsia="zh-CN"/>
                    </w:rPr>
                    <w:t>1</w:t>
                  </w:r>
                </w:p>
              </w:tc>
              <w:tc>
                <w:tcPr>
                  <w:tcW w:w="423" w:type="pct"/>
                  <w:tcBorders>
                    <w:tl2br w:val="nil"/>
                    <w:tr2bl w:val="nil"/>
                  </w:tcBorders>
                  <w:noWrap w:val="0"/>
                  <w:vAlign w:val="center"/>
                </w:tcPr>
                <w:p w14:paraId="4D1644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snapToGrid w:val="0"/>
                      <w:color w:val="auto"/>
                      <w:kern w:val="0"/>
                      <w:sz w:val="18"/>
                      <w:szCs w:val="18"/>
                      <w:u w:val="none" w:color="auto"/>
                      <w:lang w:val="en-US" w:eastAsia="zh-CN"/>
                    </w:rPr>
                  </w:pPr>
                  <w:r>
                    <w:rPr>
                      <w:rFonts w:hint="eastAsia" w:cs="Times New Roman"/>
                      <w:snapToGrid w:val="0"/>
                      <w:color w:val="auto"/>
                      <w:kern w:val="0"/>
                      <w:sz w:val="18"/>
                      <w:szCs w:val="18"/>
                      <w:u w:val="none" w:color="auto"/>
                      <w:lang w:val="en-US" w:eastAsia="zh-CN"/>
                    </w:rPr>
                    <w:t>生活污水</w:t>
                  </w:r>
                </w:p>
              </w:tc>
              <w:tc>
                <w:tcPr>
                  <w:tcW w:w="529" w:type="pct"/>
                  <w:tcBorders>
                    <w:tl2br w:val="nil"/>
                    <w:tr2bl w:val="nil"/>
                  </w:tcBorders>
                  <w:noWrap w:val="0"/>
                  <w:vAlign w:val="center"/>
                </w:tcPr>
                <w:p w14:paraId="70520B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18"/>
                      <w:szCs w:val="18"/>
                      <w:u w:val="none" w:color="auto"/>
                      <w:lang w:val="en-US" w:eastAsia="zh-CN"/>
                    </w:rPr>
                  </w:pPr>
                  <w:r>
                    <w:rPr>
                      <w:rFonts w:hint="default" w:ascii="Times New Roman" w:hAnsi="Times New Roman" w:cs="Times New Roman"/>
                      <w:snapToGrid w:val="0"/>
                      <w:color w:val="auto"/>
                      <w:kern w:val="0"/>
                      <w:sz w:val="18"/>
                      <w:szCs w:val="18"/>
                      <w:u w:val="none" w:color="auto"/>
                    </w:rPr>
                    <w:t>pH、BOD</w:t>
                  </w:r>
                  <w:r>
                    <w:rPr>
                      <w:rFonts w:hint="default" w:ascii="Times New Roman" w:hAnsi="Times New Roman" w:cs="Times New Roman"/>
                      <w:snapToGrid w:val="0"/>
                      <w:color w:val="auto"/>
                      <w:kern w:val="0"/>
                      <w:sz w:val="18"/>
                      <w:szCs w:val="18"/>
                      <w:u w:val="none" w:color="auto"/>
                      <w:vertAlign w:val="subscript"/>
                    </w:rPr>
                    <w:t>5</w:t>
                  </w:r>
                  <w:r>
                    <w:rPr>
                      <w:rFonts w:hint="default" w:ascii="Times New Roman" w:hAnsi="Times New Roman" w:cs="Times New Roman"/>
                      <w:snapToGrid w:val="0"/>
                      <w:color w:val="auto"/>
                      <w:kern w:val="0"/>
                      <w:sz w:val="18"/>
                      <w:szCs w:val="18"/>
                      <w:u w:val="none" w:color="auto"/>
                    </w:rPr>
                    <w:t>、COD</w:t>
                  </w:r>
                  <w:r>
                    <w:rPr>
                      <w:rFonts w:hint="default" w:ascii="Times New Roman" w:hAnsi="Times New Roman" w:cs="Times New Roman"/>
                      <w:snapToGrid w:val="0"/>
                      <w:color w:val="auto"/>
                      <w:kern w:val="0"/>
                      <w:sz w:val="18"/>
                      <w:szCs w:val="18"/>
                      <w:u w:val="none" w:color="auto"/>
                      <w:vertAlign w:val="subscript"/>
                    </w:rPr>
                    <w:t>cr</w:t>
                  </w:r>
                  <w:r>
                    <w:rPr>
                      <w:rFonts w:hint="default" w:ascii="Times New Roman" w:hAnsi="Times New Roman" w:cs="Times New Roman"/>
                      <w:snapToGrid w:val="0"/>
                      <w:color w:val="auto"/>
                      <w:kern w:val="0"/>
                      <w:sz w:val="18"/>
                      <w:szCs w:val="18"/>
                      <w:u w:val="none" w:color="auto"/>
                    </w:rPr>
                    <w:t>、SS、NH</w:t>
                  </w:r>
                  <w:r>
                    <w:rPr>
                      <w:rFonts w:hint="default" w:ascii="Times New Roman" w:hAnsi="Times New Roman" w:cs="Times New Roman"/>
                      <w:snapToGrid w:val="0"/>
                      <w:color w:val="auto"/>
                      <w:kern w:val="0"/>
                      <w:sz w:val="18"/>
                      <w:szCs w:val="18"/>
                      <w:u w:val="none" w:color="auto"/>
                      <w:vertAlign w:val="subscript"/>
                    </w:rPr>
                    <w:t>3</w:t>
                  </w:r>
                  <w:r>
                    <w:rPr>
                      <w:rFonts w:hint="default" w:ascii="Times New Roman" w:hAnsi="Times New Roman" w:cs="Times New Roman"/>
                      <w:snapToGrid w:val="0"/>
                      <w:color w:val="auto"/>
                      <w:kern w:val="0"/>
                      <w:sz w:val="18"/>
                      <w:szCs w:val="18"/>
                      <w:u w:val="none" w:color="auto"/>
                    </w:rPr>
                    <w:t>-N</w:t>
                  </w:r>
                </w:p>
              </w:tc>
              <w:tc>
                <w:tcPr>
                  <w:tcW w:w="447" w:type="pct"/>
                  <w:tcBorders>
                    <w:tl2br w:val="nil"/>
                    <w:tr2bl w:val="nil"/>
                  </w:tcBorders>
                  <w:noWrap w:val="0"/>
                  <w:vAlign w:val="center"/>
                </w:tcPr>
                <w:p w14:paraId="30011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u w:val="none" w:color="auto"/>
                    </w:rPr>
                  </w:pPr>
                  <w:r>
                    <w:rPr>
                      <w:rFonts w:hint="default" w:ascii="Times New Roman" w:hAnsi="Times New Roman" w:eastAsia="宋体" w:cs="Times New Roman"/>
                      <w:snapToGrid w:val="0"/>
                      <w:color w:val="auto"/>
                      <w:kern w:val="0"/>
                      <w:sz w:val="18"/>
                      <w:szCs w:val="18"/>
                      <w:u w:val="none" w:color="auto"/>
                      <w:lang w:val="en-US" w:eastAsia="zh-CN"/>
                    </w:rPr>
                    <w:t>新田县污水处理厂</w:t>
                  </w:r>
                </w:p>
              </w:tc>
              <w:tc>
                <w:tcPr>
                  <w:tcW w:w="417" w:type="pct"/>
                  <w:tcBorders>
                    <w:tl2br w:val="nil"/>
                    <w:tr2bl w:val="nil"/>
                  </w:tcBorders>
                  <w:noWrap w:val="0"/>
                  <w:vAlign w:val="center"/>
                </w:tcPr>
                <w:p w14:paraId="455F9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kern w:val="0"/>
                      <w:sz w:val="18"/>
                      <w:szCs w:val="18"/>
                      <w:u w:val="none" w:color="auto"/>
                      <w:lang w:val="en-US" w:eastAsia="zh-CN"/>
                    </w:rPr>
                  </w:pPr>
                  <w:r>
                    <w:rPr>
                      <w:rFonts w:hint="default" w:ascii="Times New Roman" w:hAnsi="Times New Roman" w:cs="Times New Roman"/>
                      <w:snapToGrid w:val="0"/>
                      <w:color w:val="auto"/>
                      <w:kern w:val="0"/>
                      <w:sz w:val="18"/>
                      <w:szCs w:val="18"/>
                      <w:u w:val="none" w:color="auto"/>
                      <w:lang w:val="en-US" w:eastAsia="zh-CN"/>
                    </w:rPr>
                    <w:t>间歇</w:t>
                  </w:r>
                  <w:r>
                    <w:rPr>
                      <w:rFonts w:hint="default" w:ascii="Times New Roman" w:hAnsi="Times New Roman" w:cs="Times New Roman"/>
                      <w:snapToGrid w:val="0"/>
                      <w:color w:val="auto"/>
                      <w:kern w:val="0"/>
                      <w:sz w:val="18"/>
                      <w:szCs w:val="18"/>
                      <w:u w:val="none" w:color="auto"/>
                    </w:rPr>
                    <w:t>排放流量稳定</w:t>
                  </w:r>
                </w:p>
              </w:tc>
              <w:tc>
                <w:tcPr>
                  <w:tcW w:w="468" w:type="pct"/>
                  <w:tcBorders>
                    <w:tl2br w:val="nil"/>
                    <w:tr2bl w:val="nil"/>
                  </w:tcBorders>
                  <w:noWrap w:val="0"/>
                  <w:vAlign w:val="center"/>
                </w:tcPr>
                <w:p w14:paraId="75B12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u w:val="none" w:color="auto"/>
                      <w:lang w:eastAsia="zh-CN"/>
                    </w:rPr>
                  </w:pPr>
                  <w:r>
                    <w:rPr>
                      <w:rFonts w:hint="default" w:ascii="Times New Roman" w:hAnsi="Times New Roman" w:cs="Times New Roman"/>
                      <w:snapToGrid w:val="0"/>
                      <w:color w:val="auto"/>
                      <w:kern w:val="0"/>
                      <w:sz w:val="18"/>
                      <w:szCs w:val="18"/>
                      <w:u w:val="none" w:color="auto"/>
                    </w:rPr>
                    <w:t>TW00</w:t>
                  </w:r>
                  <w:r>
                    <w:rPr>
                      <w:rFonts w:hint="eastAsia" w:ascii="Times New Roman" w:hAnsi="Times New Roman" w:cs="Times New Roman"/>
                      <w:snapToGrid w:val="0"/>
                      <w:color w:val="auto"/>
                      <w:kern w:val="0"/>
                      <w:sz w:val="18"/>
                      <w:szCs w:val="18"/>
                      <w:u w:val="none" w:color="auto"/>
                      <w:lang w:val="en-US" w:eastAsia="zh-CN"/>
                    </w:rPr>
                    <w:t>1</w:t>
                  </w:r>
                </w:p>
              </w:tc>
              <w:tc>
                <w:tcPr>
                  <w:tcW w:w="447" w:type="pct"/>
                  <w:tcBorders>
                    <w:tl2br w:val="nil"/>
                    <w:tr2bl w:val="nil"/>
                  </w:tcBorders>
                  <w:noWrap w:val="0"/>
                  <w:vAlign w:val="center"/>
                </w:tcPr>
                <w:p w14:paraId="77761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snapToGrid w:val="0"/>
                      <w:color w:val="auto"/>
                      <w:kern w:val="0"/>
                      <w:sz w:val="18"/>
                      <w:szCs w:val="18"/>
                      <w:u w:val="none" w:color="auto"/>
                      <w:lang w:val="en-US" w:eastAsia="zh-CN"/>
                    </w:rPr>
                  </w:pPr>
                  <w:r>
                    <w:rPr>
                      <w:rFonts w:hint="eastAsia" w:cs="Times New Roman"/>
                      <w:color w:val="auto"/>
                      <w:kern w:val="0"/>
                      <w:sz w:val="18"/>
                      <w:szCs w:val="18"/>
                      <w:highlight w:val="none"/>
                      <w:u w:val="none" w:color="auto"/>
                      <w:lang w:val="en-US" w:eastAsia="zh-CN"/>
                    </w:rPr>
                    <w:t>化粪池</w:t>
                  </w:r>
                </w:p>
              </w:tc>
              <w:tc>
                <w:tcPr>
                  <w:tcW w:w="519" w:type="pct"/>
                  <w:tcBorders>
                    <w:tl2br w:val="nil"/>
                    <w:tr2bl w:val="nil"/>
                  </w:tcBorders>
                  <w:noWrap w:val="0"/>
                  <w:vAlign w:val="center"/>
                </w:tcPr>
                <w:p w14:paraId="4A3B8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18"/>
                      <w:szCs w:val="18"/>
                      <w:highlight w:val="none"/>
                      <w:u w:val="none" w:color="auto"/>
                      <w:lang w:val="en-US" w:eastAsia="zh-CN"/>
                    </w:rPr>
                  </w:pPr>
                  <w:r>
                    <w:rPr>
                      <w:rFonts w:hint="eastAsia" w:cs="Times New Roman"/>
                      <w:color w:val="auto"/>
                      <w:kern w:val="0"/>
                      <w:sz w:val="18"/>
                      <w:szCs w:val="18"/>
                      <w:highlight w:val="none"/>
                      <w:u w:val="none" w:color="auto"/>
                      <w:lang w:val="en-US" w:eastAsia="zh-CN"/>
                    </w:rPr>
                    <w:t>化粪池</w:t>
                  </w:r>
                </w:p>
              </w:tc>
              <w:tc>
                <w:tcPr>
                  <w:tcW w:w="330" w:type="pct"/>
                  <w:tcBorders>
                    <w:tl2br w:val="nil"/>
                    <w:tr2bl w:val="nil"/>
                  </w:tcBorders>
                  <w:noWrap w:val="0"/>
                  <w:vAlign w:val="center"/>
                </w:tcPr>
                <w:p w14:paraId="3E987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kern w:val="0"/>
                      <w:sz w:val="18"/>
                      <w:szCs w:val="18"/>
                      <w:u w:val="none" w:color="auto"/>
                      <w:lang w:eastAsia="zh-CN"/>
                    </w:rPr>
                  </w:pPr>
                  <w:r>
                    <w:rPr>
                      <w:rFonts w:hint="default" w:ascii="Times New Roman" w:hAnsi="Times New Roman" w:cs="Times New Roman"/>
                      <w:snapToGrid w:val="0"/>
                      <w:color w:val="auto"/>
                      <w:kern w:val="0"/>
                      <w:sz w:val="18"/>
                      <w:szCs w:val="18"/>
                      <w:u w:val="none" w:color="auto"/>
                    </w:rPr>
                    <w:t>DW00</w:t>
                  </w:r>
                  <w:r>
                    <w:rPr>
                      <w:rFonts w:hint="eastAsia" w:ascii="Times New Roman" w:hAnsi="Times New Roman" w:cs="Times New Roman"/>
                      <w:snapToGrid w:val="0"/>
                      <w:color w:val="auto"/>
                      <w:kern w:val="0"/>
                      <w:sz w:val="18"/>
                      <w:szCs w:val="18"/>
                      <w:u w:val="none" w:color="auto"/>
                      <w:lang w:val="en-US" w:eastAsia="zh-CN"/>
                    </w:rPr>
                    <w:t>1</w:t>
                  </w:r>
                </w:p>
              </w:tc>
              <w:tc>
                <w:tcPr>
                  <w:tcW w:w="405" w:type="pct"/>
                  <w:tcBorders>
                    <w:tl2br w:val="nil"/>
                    <w:tr2bl w:val="nil"/>
                  </w:tcBorders>
                  <w:noWrap w:val="0"/>
                  <w:vAlign w:val="center"/>
                </w:tcPr>
                <w:p w14:paraId="03F8A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☑是</w:t>
                  </w:r>
                </w:p>
                <w:p w14:paraId="09C740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□否</w:t>
                  </w:r>
                </w:p>
              </w:tc>
              <w:tc>
                <w:tcPr>
                  <w:tcW w:w="773" w:type="pct"/>
                  <w:tcBorders>
                    <w:tl2br w:val="nil"/>
                    <w:tr2bl w:val="nil"/>
                  </w:tcBorders>
                  <w:noWrap w:val="0"/>
                  <w:vAlign w:val="center"/>
                </w:tcPr>
                <w:p w14:paraId="3AF298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☑企业总排</w:t>
                  </w:r>
                </w:p>
                <w:p w14:paraId="4F8DF8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□雨水排放</w:t>
                  </w:r>
                </w:p>
                <w:p w14:paraId="6E3AA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□清净下水排放</w:t>
                  </w:r>
                </w:p>
                <w:p w14:paraId="5DC0C9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□温排水排放</w:t>
                  </w:r>
                </w:p>
                <w:p w14:paraId="791DB5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18"/>
                      <w:szCs w:val="18"/>
                      <w:u w:val="none" w:color="auto"/>
                    </w:rPr>
                    <w:t>□车间或车间处理设施排放口</w:t>
                  </w:r>
                </w:p>
              </w:tc>
            </w:tr>
          </w:tbl>
          <w:p w14:paraId="1D77D32D">
            <w:pPr>
              <w:spacing w:line="240" w:lineRule="auto"/>
              <w:jc w:val="center"/>
              <w:rPr>
                <w:rFonts w:hint="default" w:ascii="Times New Roman" w:hAnsi="Times New Roman" w:eastAsia="宋体" w:cs="Times New Roman"/>
                <w:b/>
                <w:color w:val="auto"/>
                <w:sz w:val="21"/>
                <w:szCs w:val="21"/>
                <w:u w:val="none" w:color="auto"/>
                <w:lang w:val="en-US"/>
              </w:rPr>
            </w:pPr>
            <w:r>
              <w:rPr>
                <w:rFonts w:hint="eastAsia"/>
                <w:color w:val="auto"/>
                <w:sz w:val="24"/>
                <w:szCs w:val="24"/>
                <w:highlight w:val="none"/>
                <w:u w:val="none" w:color="auto"/>
                <w:lang w:val="en-US" w:eastAsia="zh-CN"/>
              </w:rPr>
              <w:t xml:space="preserve"> </w:t>
            </w:r>
            <w:r>
              <w:rPr>
                <w:rFonts w:hint="default" w:ascii="Times New Roman" w:hAnsi="Times New Roman" w:eastAsia="宋体" w:cs="Times New Roman"/>
                <w:b/>
                <w:color w:val="auto"/>
                <w:sz w:val="21"/>
                <w:szCs w:val="21"/>
                <w:u w:val="none" w:color="auto"/>
                <w:lang w:val="en-US"/>
              </w:rPr>
              <w:t>表4-</w:t>
            </w:r>
            <w:r>
              <w:rPr>
                <w:rFonts w:hint="eastAsia" w:ascii="Times New Roman" w:hAnsi="Times New Roman" w:eastAsia="宋体" w:cs="Times New Roman"/>
                <w:b/>
                <w:color w:val="auto"/>
                <w:sz w:val="21"/>
                <w:szCs w:val="21"/>
                <w:u w:val="none" w:color="auto"/>
                <w:lang w:val="en-US" w:eastAsia="zh-CN"/>
              </w:rPr>
              <w:t xml:space="preserve">10 </w:t>
            </w:r>
            <w:r>
              <w:rPr>
                <w:rFonts w:hint="eastAsia" w:cs="Times New Roman"/>
                <w:b/>
                <w:color w:val="auto"/>
                <w:sz w:val="21"/>
                <w:szCs w:val="21"/>
                <w:u w:val="none" w:color="auto"/>
                <w:lang w:val="en-US" w:eastAsia="zh-CN"/>
              </w:rPr>
              <w:t xml:space="preserve"> </w:t>
            </w:r>
            <w:r>
              <w:rPr>
                <w:rFonts w:hint="default" w:ascii="Times New Roman" w:hAnsi="Times New Roman" w:eastAsia="宋体" w:cs="Times New Roman"/>
                <w:b/>
                <w:color w:val="auto"/>
                <w:sz w:val="21"/>
                <w:szCs w:val="21"/>
                <w:u w:val="none" w:color="auto"/>
                <w:lang w:val="en-US"/>
              </w:rPr>
              <w:t>废水间接排放口基本情况表</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1"/>
              <w:gridCol w:w="860"/>
              <w:gridCol w:w="1300"/>
              <w:gridCol w:w="1248"/>
              <w:gridCol w:w="804"/>
              <w:gridCol w:w="601"/>
              <w:gridCol w:w="407"/>
              <w:gridCol w:w="2002"/>
            </w:tblGrid>
            <w:tr w14:paraId="1611F0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95" w:type="dxa"/>
                  <w:tcBorders>
                    <w:tl2br w:val="nil"/>
                    <w:tr2bl w:val="nil"/>
                  </w:tcBorders>
                  <w:noWrap w:val="0"/>
                  <w:vAlign w:val="center"/>
                </w:tcPr>
                <w:p w14:paraId="09734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序号</w:t>
                  </w:r>
                </w:p>
              </w:tc>
              <w:tc>
                <w:tcPr>
                  <w:tcW w:w="842" w:type="dxa"/>
                  <w:tcBorders>
                    <w:tl2br w:val="nil"/>
                    <w:tr2bl w:val="nil"/>
                  </w:tcBorders>
                  <w:noWrap w:val="0"/>
                  <w:vAlign w:val="center"/>
                </w:tcPr>
                <w:p w14:paraId="17BE6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排放口编号和名称</w:t>
                  </w:r>
                </w:p>
              </w:tc>
              <w:tc>
                <w:tcPr>
                  <w:tcW w:w="2495" w:type="dxa"/>
                  <w:gridSpan w:val="2"/>
                  <w:tcBorders>
                    <w:tl2br w:val="nil"/>
                    <w:tr2bl w:val="nil"/>
                  </w:tcBorders>
                  <w:noWrap w:val="0"/>
                  <w:vAlign w:val="center"/>
                </w:tcPr>
                <w:p w14:paraId="67AF78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排放口坐标</w:t>
                  </w:r>
                </w:p>
              </w:tc>
              <w:tc>
                <w:tcPr>
                  <w:tcW w:w="787" w:type="dxa"/>
                  <w:tcBorders>
                    <w:tl2br w:val="nil"/>
                    <w:tr2bl w:val="nil"/>
                  </w:tcBorders>
                  <w:noWrap w:val="0"/>
                  <w:vAlign w:val="center"/>
                </w:tcPr>
                <w:p w14:paraId="0B7FA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废水排放量（t</w:t>
                  </w:r>
                  <w:r>
                    <w:rPr>
                      <w:rFonts w:hint="default"/>
                      <w:color w:val="auto"/>
                      <w:sz w:val="18"/>
                      <w:szCs w:val="18"/>
                      <w:u w:val="none" w:color="auto"/>
                    </w:rPr>
                    <w:t>/a</w:t>
                  </w:r>
                  <w:r>
                    <w:rPr>
                      <w:rFonts w:hint="default"/>
                      <w:color w:val="auto"/>
                      <w:sz w:val="18"/>
                      <w:szCs w:val="18"/>
                      <w:u w:val="none" w:color="auto"/>
                      <w:lang w:val="en-US"/>
                    </w:rPr>
                    <w:t>）</w:t>
                  </w:r>
                </w:p>
              </w:tc>
              <w:tc>
                <w:tcPr>
                  <w:tcW w:w="589" w:type="dxa"/>
                  <w:tcBorders>
                    <w:tl2br w:val="nil"/>
                    <w:tr2bl w:val="nil"/>
                  </w:tcBorders>
                  <w:noWrap w:val="0"/>
                  <w:vAlign w:val="center"/>
                </w:tcPr>
                <w:p w14:paraId="223DE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排放去向</w:t>
                  </w:r>
                </w:p>
              </w:tc>
              <w:tc>
                <w:tcPr>
                  <w:tcW w:w="399" w:type="dxa"/>
                  <w:tcBorders>
                    <w:tl2br w:val="nil"/>
                    <w:tr2bl w:val="nil"/>
                  </w:tcBorders>
                  <w:noWrap w:val="0"/>
                  <w:vAlign w:val="center"/>
                </w:tcPr>
                <w:p w14:paraId="607233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排放规律</w:t>
                  </w:r>
                </w:p>
              </w:tc>
              <w:tc>
                <w:tcPr>
                  <w:tcW w:w="1959" w:type="dxa"/>
                  <w:tcBorders>
                    <w:tl2br w:val="nil"/>
                    <w:tr2bl w:val="nil"/>
                  </w:tcBorders>
                  <w:noWrap w:val="0"/>
                  <w:vAlign w:val="center"/>
                </w:tcPr>
                <w:p w14:paraId="1F6BE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eastAsia"/>
                      <w:color w:val="auto"/>
                      <w:sz w:val="18"/>
                      <w:szCs w:val="18"/>
                      <w:u w:val="none" w:color="auto"/>
                      <w:lang w:val="en-US" w:eastAsia="zh-CN"/>
                    </w:rPr>
                    <w:t>受纳污水处理厂</w:t>
                  </w:r>
                  <w:r>
                    <w:rPr>
                      <w:rFonts w:hint="default"/>
                      <w:color w:val="auto"/>
                      <w:sz w:val="18"/>
                      <w:szCs w:val="18"/>
                      <w:u w:val="none" w:color="auto"/>
                      <w:lang w:val="en-US"/>
                    </w:rPr>
                    <w:t>排放标准</w:t>
                  </w:r>
                </w:p>
              </w:tc>
            </w:tr>
            <w:tr w14:paraId="402CC9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95" w:type="dxa"/>
                  <w:tcBorders>
                    <w:tl2br w:val="nil"/>
                    <w:tr2bl w:val="nil"/>
                  </w:tcBorders>
                  <w:noWrap w:val="0"/>
                  <w:vAlign w:val="center"/>
                </w:tcPr>
                <w:p w14:paraId="261C2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1</w:t>
                  </w:r>
                </w:p>
              </w:tc>
              <w:tc>
                <w:tcPr>
                  <w:tcW w:w="842" w:type="dxa"/>
                  <w:tcBorders>
                    <w:tl2br w:val="nil"/>
                    <w:tr2bl w:val="nil"/>
                  </w:tcBorders>
                  <w:noWrap w:val="0"/>
                  <w:vAlign w:val="center"/>
                </w:tcPr>
                <w:p w14:paraId="63FDC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u w:val="none" w:color="auto"/>
                      <w:lang w:val="en-US" w:eastAsia="zh-CN"/>
                    </w:rPr>
                  </w:pPr>
                  <w:r>
                    <w:rPr>
                      <w:rFonts w:hint="default"/>
                      <w:color w:val="auto"/>
                      <w:sz w:val="18"/>
                      <w:szCs w:val="18"/>
                      <w:u w:val="none" w:color="auto"/>
                      <w:lang w:val="en-US"/>
                    </w:rPr>
                    <w:t>DW001</w:t>
                  </w:r>
                  <w:r>
                    <w:rPr>
                      <w:rFonts w:hint="eastAsia"/>
                      <w:color w:val="auto"/>
                      <w:sz w:val="18"/>
                      <w:szCs w:val="18"/>
                      <w:u w:val="none" w:color="auto"/>
                      <w:lang w:val="en-US" w:eastAsia="zh-CN"/>
                    </w:rPr>
                    <w:t>龙昶厂区</w:t>
                  </w:r>
                  <w:r>
                    <w:rPr>
                      <w:rFonts w:hint="default"/>
                      <w:color w:val="auto"/>
                      <w:sz w:val="18"/>
                      <w:szCs w:val="18"/>
                      <w:u w:val="none" w:color="auto"/>
                      <w:lang w:val="en-US"/>
                    </w:rPr>
                    <w:t>总排口</w:t>
                  </w:r>
                </w:p>
              </w:tc>
              <w:tc>
                <w:tcPr>
                  <w:tcW w:w="1273" w:type="dxa"/>
                  <w:tcBorders>
                    <w:tl2br w:val="nil"/>
                    <w:tr2bl w:val="nil"/>
                  </w:tcBorders>
                  <w:noWrap w:val="0"/>
                  <w:vAlign w:val="center"/>
                </w:tcPr>
                <w:p w14:paraId="10564E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u w:val="none" w:color="auto"/>
                      <w:lang w:val="en-US"/>
                    </w:rPr>
                  </w:pPr>
                  <w:r>
                    <w:rPr>
                      <w:rFonts w:hint="default" w:ascii="Times New Roman" w:hAnsi="Times New Roman" w:cs="Times New Roman"/>
                      <w:color w:val="auto"/>
                      <w:sz w:val="18"/>
                      <w:szCs w:val="18"/>
                      <w:u w:val="none" w:color="auto"/>
                      <w:lang w:val="en-US" w:eastAsia="zh-CN"/>
                    </w:rPr>
                    <w:t>E</w:t>
                  </w:r>
                  <w:r>
                    <w:rPr>
                      <w:rFonts w:hint="default" w:ascii="Times New Roman" w:hAnsi="Times New Roman" w:cs="Times New Roman"/>
                      <w:color w:val="auto"/>
                      <w:kern w:val="0"/>
                      <w:sz w:val="18"/>
                      <w:szCs w:val="18"/>
                      <w:highlight w:val="none"/>
                      <w:u w:val="none" w:color="auto"/>
                      <w:lang w:val="en-US" w:eastAsia="zh-CN"/>
                    </w:rPr>
                    <w:t>112°11′18.057″</w:t>
                  </w:r>
                </w:p>
              </w:tc>
              <w:tc>
                <w:tcPr>
                  <w:tcW w:w="1222" w:type="dxa"/>
                  <w:tcBorders>
                    <w:tl2br w:val="nil"/>
                    <w:tr2bl w:val="nil"/>
                  </w:tcBorders>
                  <w:noWrap w:val="0"/>
                  <w:vAlign w:val="center"/>
                </w:tcPr>
                <w:p w14:paraId="12F3E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u w:val="none" w:color="auto"/>
                      <w:lang w:val="en-US"/>
                    </w:rPr>
                  </w:pPr>
                  <w:r>
                    <w:rPr>
                      <w:rFonts w:hint="default" w:ascii="Times New Roman" w:hAnsi="Times New Roman" w:cs="Times New Roman"/>
                      <w:color w:val="auto"/>
                      <w:sz w:val="18"/>
                      <w:szCs w:val="18"/>
                      <w:u w:val="none" w:color="auto"/>
                      <w:lang w:val="en-US" w:eastAsia="zh-CN"/>
                    </w:rPr>
                    <w:t>N</w:t>
                  </w:r>
                  <w:r>
                    <w:rPr>
                      <w:rFonts w:hint="default" w:ascii="Times New Roman" w:hAnsi="Times New Roman" w:cs="Times New Roman"/>
                      <w:color w:val="auto"/>
                      <w:kern w:val="0"/>
                      <w:sz w:val="18"/>
                      <w:szCs w:val="18"/>
                      <w:highlight w:val="none"/>
                      <w:u w:val="none" w:color="auto"/>
                      <w:lang w:val="en-US" w:eastAsia="zh-CN"/>
                    </w:rPr>
                    <w:t>25°53′51.611″</w:t>
                  </w:r>
                </w:p>
              </w:tc>
              <w:tc>
                <w:tcPr>
                  <w:tcW w:w="787" w:type="dxa"/>
                  <w:tcBorders>
                    <w:tl2br w:val="nil"/>
                    <w:tr2bl w:val="nil"/>
                  </w:tcBorders>
                  <w:noWrap w:val="0"/>
                  <w:vAlign w:val="center"/>
                </w:tcPr>
                <w:p w14:paraId="60F91F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eastAsia="zh-CN"/>
                    </w:rPr>
                  </w:pPr>
                  <w:r>
                    <w:rPr>
                      <w:rFonts w:hint="eastAsia" w:eastAsia="宋体" w:cs="Times New Roman"/>
                      <w:i w:val="0"/>
                      <w:iCs w:val="0"/>
                      <w:color w:val="000000"/>
                      <w:kern w:val="0"/>
                      <w:sz w:val="18"/>
                      <w:szCs w:val="18"/>
                      <w:u w:val="none" w:color="auto"/>
                      <w:lang w:val="en-US" w:eastAsia="zh-CN" w:bidi="ar"/>
                    </w:rPr>
                    <w:t>304</w:t>
                  </w:r>
                </w:p>
              </w:tc>
              <w:tc>
                <w:tcPr>
                  <w:tcW w:w="589" w:type="dxa"/>
                  <w:tcBorders>
                    <w:tl2br w:val="nil"/>
                    <w:tr2bl w:val="nil"/>
                  </w:tcBorders>
                  <w:noWrap w:val="0"/>
                  <w:vAlign w:val="center"/>
                </w:tcPr>
                <w:p w14:paraId="63005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18"/>
                      <w:szCs w:val="18"/>
                      <w:u w:val="none" w:color="auto"/>
                      <w:lang w:val="en-US" w:eastAsia="zh-CN"/>
                    </w:rPr>
                  </w:pPr>
                  <w:r>
                    <w:rPr>
                      <w:rFonts w:hint="default" w:ascii="Times New Roman" w:hAnsi="Times New Roman" w:eastAsia="宋体" w:cs="Times New Roman"/>
                      <w:snapToGrid w:val="0"/>
                      <w:color w:val="auto"/>
                      <w:kern w:val="0"/>
                      <w:sz w:val="18"/>
                      <w:szCs w:val="18"/>
                      <w:u w:val="none" w:color="auto"/>
                      <w:lang w:val="en-US" w:eastAsia="zh-CN"/>
                    </w:rPr>
                    <w:t>新田县污水处理厂</w:t>
                  </w:r>
                </w:p>
              </w:tc>
              <w:tc>
                <w:tcPr>
                  <w:tcW w:w="399" w:type="dxa"/>
                  <w:tcBorders>
                    <w:tl2br w:val="nil"/>
                    <w:tr2bl w:val="nil"/>
                  </w:tcBorders>
                  <w:noWrap w:val="0"/>
                  <w:vAlign w:val="center"/>
                </w:tcPr>
                <w:p w14:paraId="53C313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color w:val="auto"/>
                      <w:sz w:val="18"/>
                      <w:szCs w:val="18"/>
                      <w:u w:val="none" w:color="auto"/>
                      <w:lang w:val="en-US"/>
                    </w:rPr>
                    <w:t>间接排放</w:t>
                  </w:r>
                </w:p>
              </w:tc>
              <w:tc>
                <w:tcPr>
                  <w:tcW w:w="1959" w:type="dxa"/>
                  <w:tcBorders>
                    <w:tl2br w:val="nil"/>
                    <w:tr2bl w:val="nil"/>
                  </w:tcBorders>
                  <w:noWrap w:val="0"/>
                  <w:vAlign w:val="center"/>
                </w:tcPr>
                <w:p w14:paraId="43FBA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u w:val="none" w:color="auto"/>
                      <w:lang w:val="en-US"/>
                    </w:rPr>
                  </w:pPr>
                  <w:r>
                    <w:rPr>
                      <w:rFonts w:hint="default" w:ascii="Times New Roman" w:hAnsi="Times New Roman" w:cs="Times New Roman"/>
                      <w:color w:val="000000" w:themeColor="text1"/>
                      <w:sz w:val="18"/>
                      <w:szCs w:val="18"/>
                      <w:u w:val="none" w:color="auto"/>
                      <w:lang w:val="en-US"/>
                      <w14:textFill>
                        <w14:solidFill>
                          <w14:schemeClr w14:val="tx1"/>
                        </w14:solidFill>
                      </w14:textFill>
                    </w:rPr>
                    <w:t>《城镇污水处理厂污染物排放标准》（GB18918-2002）中一级A标准</w:t>
                  </w:r>
                </w:p>
              </w:tc>
            </w:tr>
          </w:tbl>
          <w:p w14:paraId="29FD810C">
            <w:pPr>
              <w:keepNext w:val="0"/>
              <w:keepLines w:val="0"/>
              <w:pageBreakBefore w:val="0"/>
              <w:widowControl w:val="0"/>
              <w:numPr>
                <w:ilvl w:val="0"/>
                <w:numId w:val="0"/>
              </w:numPr>
              <w:kinsoku/>
              <w:wordWrap/>
              <w:overflowPunct/>
              <w:topLinePunct w:val="0"/>
              <w:autoSpaceDE/>
              <w:autoSpaceDN/>
              <w:bidi w:val="0"/>
              <w:snapToGrid/>
              <w:spacing w:line="360" w:lineRule="auto"/>
              <w:ind w:firstLine="482" w:firstLineChars="200"/>
              <w:textAlignment w:val="auto"/>
              <w:rPr>
                <w:rFonts w:hint="default" w:ascii="Times New Roman" w:hAnsi="Times New Roman" w:cs="Times New Roman"/>
                <w:bCs/>
                <w:color w:val="auto"/>
                <w:sz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eastAsia="zh-CN"/>
              </w:rPr>
              <w:t>生活污水处理措施可行性分析</w:t>
            </w:r>
          </w:p>
          <w:p w14:paraId="390DFD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根据</w:t>
            </w:r>
            <w:r>
              <w:rPr>
                <w:rFonts w:hint="eastAsia" w:cs="Times New Roman"/>
                <w:bCs/>
                <w:color w:val="000000" w:themeColor="text1"/>
                <w:sz w:val="24"/>
                <w:u w:val="none" w:color="auto"/>
                <w:lang w:val="en-US" w:eastAsia="zh-CN"/>
                <w14:textFill>
                  <w14:solidFill>
                    <w14:schemeClr w14:val="tx1"/>
                  </w14:solidFill>
                </w14:textFill>
              </w:rPr>
              <w:t>“</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《排污许可证申请与核发技术规范 总则》（HJ942-2018）中4.5.3.1</w:t>
            </w:r>
            <w:r>
              <w:rPr>
                <w:rFonts w:hint="eastAsia" w:cs="Times New Roman"/>
                <w:bCs/>
                <w:color w:val="000000" w:themeColor="text1"/>
                <w:sz w:val="24"/>
                <w:u w:val="none" w:color="auto"/>
                <w:lang w:val="en-US" w:eastAsia="zh-CN"/>
                <w14:textFill>
                  <w14:solidFill>
                    <w14:schemeClr w14:val="tx1"/>
                  </w14:solidFill>
                </w14:textFill>
              </w:rPr>
              <w:t>”</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，生活污水防治工艺为</w:t>
            </w:r>
            <w:r>
              <w:rPr>
                <w:rFonts w:hint="eastAsia" w:cs="Times New Roman"/>
                <w:bCs/>
                <w:color w:val="000000" w:themeColor="text1"/>
                <w:sz w:val="24"/>
                <w:u w:val="none" w:color="auto"/>
                <w:lang w:val="en-US" w:eastAsia="zh-CN"/>
                <w14:textFill>
                  <w14:solidFill>
                    <w14:schemeClr w14:val="tx1"/>
                  </w14:solidFill>
                </w14:textFill>
              </w:rPr>
              <w:t>“</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过滤、沉淀-活性污泥法、生物接触氧化、其他</w:t>
            </w:r>
            <w:r>
              <w:rPr>
                <w:rFonts w:hint="eastAsia" w:cs="Times New Roman"/>
                <w:bCs/>
                <w:color w:val="000000" w:themeColor="text1"/>
                <w:sz w:val="24"/>
                <w:u w:val="none" w:color="auto"/>
                <w:lang w:val="en-US" w:eastAsia="zh-CN"/>
                <w14:textFill>
                  <w14:solidFill>
                    <w14:schemeClr w14:val="tx1"/>
                  </w14:solidFill>
                </w14:textFill>
              </w:rPr>
              <w:t>”</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等处理技术或其他。</w:t>
            </w:r>
          </w:p>
          <w:p w14:paraId="060491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经查阅相关资料，化粪池是一种利用沉淀和厌氧发酵的原理，去除生活污水中悬浮性有机物的处理设施，属于初级的过渡型生活处理构筑物。污水进入化粪池经过12~24h的沉淀，可去除30%的悬浮物，30%的CODcr，30%的BOD</w:t>
            </w:r>
            <w:r>
              <w:rPr>
                <w:rFonts w:hint="default" w:ascii="Times New Roman" w:hAnsi="Times New Roman" w:cs="Times New Roman"/>
                <w:bCs/>
                <w:color w:val="000000" w:themeColor="text1"/>
                <w:sz w:val="24"/>
                <w:u w:val="none" w:color="auto"/>
                <w:vertAlign w:val="subscript"/>
                <w:lang w:val="en-US" w:eastAsia="zh-CN"/>
                <w14:textFill>
                  <w14:solidFill>
                    <w14:schemeClr w14:val="tx1"/>
                  </w14:solidFill>
                </w14:textFill>
              </w:rPr>
              <w:t>5</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，3%的NH</w:t>
            </w:r>
            <w:r>
              <w:rPr>
                <w:rFonts w:hint="default" w:ascii="Times New Roman" w:hAnsi="Times New Roman" w:cs="Times New Roman"/>
                <w:bCs/>
                <w:color w:val="000000" w:themeColor="text1"/>
                <w:sz w:val="24"/>
                <w:u w:val="none" w:color="auto"/>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-N。</w:t>
            </w:r>
          </w:p>
          <w:p w14:paraId="5234F57F">
            <w:pPr>
              <w:pStyle w:val="42"/>
              <w:keepNext w:val="0"/>
              <w:keepLines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eastAsia="宋体" w:cs="Times New Roman"/>
                <w:color w:val="auto"/>
                <w:sz w:val="24"/>
                <w:u w:val="none" w:color="auto"/>
                <w:lang w:val="en-US" w:eastAsia="zh-CN"/>
              </w:rPr>
            </w:pPr>
            <w:r>
              <w:rPr>
                <w:rFonts w:hint="default" w:ascii="Times New Roman" w:hAnsi="Times New Roman" w:cs="Times New Roman"/>
                <w:color w:val="auto"/>
                <w:highlight w:val="none"/>
                <w:u w:val="none" w:color="auto"/>
                <w:lang w:val="en-US" w:eastAsia="zh-CN"/>
              </w:rPr>
              <w:t>同时，参照</w:t>
            </w:r>
            <w:r>
              <w:rPr>
                <w:rFonts w:hint="default" w:ascii="Times New Roman" w:hAnsi="Times New Roman" w:eastAsia="宋体" w:cs="Times New Roman"/>
                <w:color w:val="auto"/>
                <w:sz w:val="24"/>
                <w:u w:val="none" w:color="auto"/>
                <w:lang w:val="en-US" w:eastAsia="zh-CN"/>
              </w:rPr>
              <w:t>《排污许可证申请与核发技术规范 铁路、船舶、航空航天和其他运输设备制造业》（HJ1124-2020）中A.7废水污染防治推荐可行技术可知：生活污水的推荐可行技术包括化粪池、其他生化处理。由此表明，本项目生活污水所采取的</w:t>
            </w:r>
            <w:r>
              <w:rPr>
                <w:rFonts w:hint="eastAsia"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化粪池</w:t>
            </w:r>
            <w:r>
              <w:rPr>
                <w:rFonts w:hint="eastAsia"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处理措施，属于</w:t>
            </w:r>
            <w:r>
              <w:rPr>
                <w:rFonts w:hint="default" w:ascii="Times New Roman" w:hAnsi="Times New Roman" w:eastAsia="宋体" w:cs="Times New Roman"/>
                <w:color w:val="auto"/>
                <w:sz w:val="24"/>
                <w:u w:val="none" w:color="auto"/>
                <w:lang w:val="en-US" w:eastAsia="zh-CN"/>
              </w:rPr>
              <w:t>废水污染防治推荐可行技术之一。</w:t>
            </w:r>
          </w:p>
          <w:p w14:paraId="018480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color w:val="000000" w:themeColor="text1"/>
                <w:sz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同时，本项目</w:t>
            </w:r>
            <w:r>
              <w:rPr>
                <w:rFonts w:hint="default" w:ascii="Times New Roman" w:hAnsi="Times New Roman" w:cs="Times New Roman"/>
                <w:bCs/>
                <w:color w:val="auto"/>
                <w:sz w:val="24"/>
                <w:szCs w:val="24"/>
                <w:u w:val="none"/>
                <w:lang w:val="en-US" w:eastAsia="zh-CN"/>
              </w:rPr>
              <w:t>生活污水经龙昶厂区内现有化粪池处理达《污水综合排放标准》（GB8978- 1996）表4中三级标准和新田县污水处理厂设计进水水质标准后，通过龙昶厂区现有生活污水排污口排入园区污水管网，经新田县污水处理厂达到《城镇污水处理厂污染物排放标准》（GB18918-2002）及修改单一级A标准后排入</w:t>
            </w:r>
            <w:r>
              <w:rPr>
                <w:rFonts w:hint="eastAsia" w:ascii="Times New Roman" w:hAnsi="Times New Roman" w:cs="Times New Roman"/>
                <w:bCs/>
                <w:color w:val="auto"/>
                <w:sz w:val="24"/>
                <w:szCs w:val="24"/>
                <w:u w:val="none"/>
                <w:lang w:val="en-US" w:eastAsia="zh-CN"/>
              </w:rPr>
              <w:t>新田河</w:t>
            </w:r>
            <w:r>
              <w:rPr>
                <w:rFonts w:hint="default" w:ascii="Times New Roman" w:hAnsi="Times New Roman" w:cs="Times New Roman"/>
                <w:bCs/>
                <w:color w:val="000000" w:themeColor="text1"/>
                <w:sz w:val="24"/>
                <w:u w:val="none" w:color="auto"/>
                <w:lang w:val="en-US" w:eastAsia="zh-CN"/>
                <w14:textFill>
                  <w14:solidFill>
                    <w14:schemeClr w14:val="tx1"/>
                  </w14:solidFill>
                </w14:textFill>
              </w:rPr>
              <w:t>，则对周边地表水环境影响较小。</w:t>
            </w:r>
          </w:p>
          <w:p w14:paraId="6E3E728F">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b w:val="0"/>
                <w:bCs w:val="0"/>
                <w:color w:val="auto"/>
                <w:sz w:val="24"/>
                <w:szCs w:val="24"/>
                <w:u w:val="none" w:color="auto"/>
                <w:lang w:val="en-US" w:eastAsia="zh-CN"/>
              </w:rPr>
            </w:pPr>
            <w:r>
              <w:rPr>
                <w:rFonts w:hint="default" w:ascii="Times New Roman" w:hAnsi="Times New Roman" w:cs="Times New Roman"/>
                <w:b w:val="0"/>
                <w:bCs w:val="0"/>
                <w:color w:val="auto"/>
                <w:sz w:val="24"/>
                <w:szCs w:val="24"/>
                <w:u w:val="none" w:color="auto"/>
                <w:lang w:val="en-US" w:eastAsia="zh-CN"/>
              </w:rPr>
              <w:t>因此，厂区生活污水采用</w:t>
            </w:r>
            <w:r>
              <w:rPr>
                <w:rFonts w:hint="eastAsia" w:cs="Times New Roman"/>
                <w:b w:val="0"/>
                <w:bCs w:val="0"/>
                <w:color w:val="auto"/>
                <w:sz w:val="24"/>
                <w:szCs w:val="24"/>
                <w:u w:val="none" w:color="auto"/>
                <w:lang w:val="en-US" w:eastAsia="zh-CN"/>
              </w:rPr>
              <w:t>“</w:t>
            </w:r>
            <w:r>
              <w:rPr>
                <w:rFonts w:hint="default" w:ascii="Times New Roman" w:hAnsi="Times New Roman" w:cs="Times New Roman"/>
                <w:b w:val="0"/>
                <w:bCs w:val="0"/>
                <w:color w:val="auto"/>
                <w:sz w:val="24"/>
                <w:szCs w:val="24"/>
                <w:u w:val="none" w:color="auto"/>
                <w:lang w:val="en-US" w:eastAsia="zh-CN"/>
              </w:rPr>
              <w:t>化粪池</w:t>
            </w:r>
            <w:r>
              <w:rPr>
                <w:rFonts w:hint="eastAsia" w:cs="Times New Roman"/>
                <w:b w:val="0"/>
                <w:bCs w:val="0"/>
                <w:color w:val="auto"/>
                <w:sz w:val="24"/>
                <w:szCs w:val="24"/>
                <w:u w:val="none" w:color="auto"/>
                <w:lang w:val="en-US" w:eastAsia="zh-CN"/>
              </w:rPr>
              <w:t>”</w:t>
            </w:r>
            <w:r>
              <w:rPr>
                <w:rFonts w:hint="default" w:ascii="Times New Roman" w:hAnsi="Times New Roman" w:cs="Times New Roman"/>
                <w:b w:val="0"/>
                <w:bCs w:val="0"/>
                <w:color w:val="auto"/>
                <w:sz w:val="24"/>
                <w:szCs w:val="24"/>
                <w:u w:val="none" w:color="auto"/>
                <w:lang w:val="en-US" w:eastAsia="zh-CN"/>
              </w:rPr>
              <w:t>的处理措施可行。</w:t>
            </w:r>
          </w:p>
          <w:p w14:paraId="332148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w:t>
            </w:r>
            <w:r>
              <w:rPr>
                <w:rFonts w:hint="default" w:ascii="Times New Roman" w:hAnsi="Times New Roman" w:cs="Times New Roman"/>
                <w:b/>
                <w:bCs/>
                <w:color w:val="000000" w:themeColor="text1"/>
                <w:sz w:val="24"/>
                <w:szCs w:val="24"/>
                <w:u w:val="none" w:color="auto"/>
                <w:lang w:val="en-US" w:eastAsia="zh-CN"/>
                <w14:textFill>
                  <w14:solidFill>
                    <w14:schemeClr w14:val="tx1"/>
                  </w14:solidFill>
                </w14:textFill>
              </w:rPr>
              <w:t>废水排入</w:t>
            </w:r>
            <w:r>
              <w:rPr>
                <w:rFonts w:hint="default" w:ascii="Times New Roman" w:hAnsi="Times New Roman" w:eastAsia="宋体" w:cs="Times New Roman"/>
                <w:b/>
                <w:bCs/>
                <w:color w:val="auto"/>
                <w:kern w:val="0"/>
                <w:sz w:val="24"/>
                <w:szCs w:val="24"/>
                <w:u w:val="none" w:color="auto"/>
                <w:lang w:val="en-US" w:eastAsia="zh-CN"/>
              </w:rPr>
              <w:t>新田县污水处理厂</w:t>
            </w:r>
            <w:r>
              <w:rPr>
                <w:rFonts w:hint="default" w:ascii="Times New Roman" w:hAnsi="Times New Roman" w:cs="Times New Roman"/>
                <w:b/>
                <w:bCs/>
                <w:color w:val="000000" w:themeColor="text1"/>
                <w:sz w:val="24"/>
                <w:szCs w:val="24"/>
                <w:u w:val="none" w:color="auto"/>
                <w:lang w:val="en-US" w:eastAsia="zh-CN"/>
                <w14:textFill>
                  <w14:solidFill>
                    <w14:schemeClr w14:val="tx1"/>
                  </w14:solidFill>
                </w14:textFill>
              </w:rPr>
              <w:t>可行性分析</w:t>
            </w:r>
          </w:p>
          <w:p w14:paraId="1DE63F58">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000000" w:themeColor="text1"/>
                <w:ker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新田产业开发区现已启动新田县南部新城工业园污水处理厂建设工作，故在过渡期间内，新田产业开发区</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内的</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工业废水和生活污水</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均</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依托新田污水处理厂</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进行处理</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新田县污水处理厂为工业集中区与新田县</w:t>
            </w:r>
            <w:r>
              <w:rPr>
                <w:rFonts w:hint="eastAsia" w:cs="Times New Roman"/>
                <w:bCs/>
                <w:color w:val="000000" w:themeColor="text1"/>
                <w:sz w:val="24"/>
                <w:szCs w:val="24"/>
                <w:u w:val="none" w:color="auto"/>
                <w:lang w:val="en-US" w:eastAsia="zh-CN"/>
                <w14:textFill>
                  <w14:solidFill>
                    <w14:schemeClr w14:val="tx1"/>
                  </w14:solidFill>
                </w14:textFill>
              </w:rPr>
              <w:t>县城</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共用</w:t>
            </w:r>
            <w:r>
              <w:rPr>
                <w:rFonts w:hint="eastAsia" w:cs="Times New Roman"/>
                <w:bCs/>
                <w:color w:val="000000" w:themeColor="text1"/>
                <w:sz w:val="24"/>
                <w:szCs w:val="24"/>
                <w:u w:val="none" w:color="auto"/>
                <w:lang w:val="en-US" w:eastAsia="zh-CN"/>
                <w14:textFill>
                  <w14:solidFill>
                    <w14:schemeClr w14:val="tx1"/>
                  </w14:solidFill>
                </w14:textFill>
              </w:rPr>
              <w:t>的</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污水处理厂，位于新田县龙泉镇秀峰街南段。新田县污水处理厂占地面积23400m</w:t>
            </w:r>
            <w:r>
              <w:rPr>
                <w:rFonts w:hint="eastAsia" w:cs="Times New Roman"/>
                <w:bCs/>
                <w:color w:val="000000" w:themeColor="text1"/>
                <w:sz w:val="24"/>
                <w:szCs w:val="24"/>
                <w:u w:val="none" w:color="auto"/>
                <w:vertAlign w:val="superscript"/>
                <w:lang w:val="en-US" w:eastAsia="zh-CN"/>
                <w14:textFill>
                  <w14:solidFill>
                    <w14:schemeClr w14:val="tx1"/>
                  </w14:solidFill>
                </w14:textFill>
              </w:rPr>
              <w:t>2</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w:t>
            </w:r>
            <w:r>
              <w:rPr>
                <w:rFonts w:hint="eastAsia" w:cs="Times New Roman"/>
                <w:bCs/>
                <w:color w:val="000000" w:themeColor="text1"/>
                <w:sz w:val="24"/>
                <w:szCs w:val="24"/>
                <w:u w:val="none" w:color="auto"/>
                <w:lang w:val="en-US" w:eastAsia="zh-CN"/>
                <w14:textFill>
                  <w14:solidFill>
                    <w14:schemeClr w14:val="tx1"/>
                  </w14:solidFill>
                </w14:textFill>
              </w:rPr>
              <w:t>污水</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处理能力为2万t</w:t>
            </w:r>
            <w:r>
              <w:rPr>
                <w:rFonts w:hint="eastAsia" w:cs="Times New Roman"/>
                <w:bCs/>
                <w:color w:val="000000" w:themeColor="text1"/>
                <w:sz w:val="24"/>
                <w:szCs w:val="24"/>
                <w:u w:val="none" w:color="auto"/>
                <w:lang w:val="en-US" w:eastAsia="zh-CN"/>
                <w14:textFill>
                  <w14:solidFill>
                    <w14:schemeClr w14:val="tx1"/>
                  </w14:solidFill>
                </w14:textFill>
              </w:rPr>
              <w:t>/</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d，污水处理工艺采用CASS工艺</w:t>
            </w:r>
            <w:r>
              <w:rPr>
                <w:rFonts w:hint="eastAsia" w:cs="Times New Roman"/>
                <w:bCs/>
                <w:color w:val="000000" w:themeColor="text1"/>
                <w:sz w:val="24"/>
                <w:szCs w:val="24"/>
                <w:u w:val="none" w:color="auto"/>
                <w:lang w:val="en-US" w:eastAsia="zh-CN"/>
                <w14:textFill>
                  <w14:solidFill>
                    <w14:schemeClr w14:val="tx1"/>
                  </w14:solidFill>
                </w14:textFill>
              </w:rPr>
              <w:t>。</w:t>
            </w:r>
          </w:p>
          <w:p w14:paraId="37AD5C8B">
            <w:pPr>
              <w:pStyle w:val="2"/>
              <w:keepLines w:val="0"/>
              <w:pageBreakBefore w:val="0"/>
              <w:kinsoku/>
              <w:wordWrap/>
              <w:topLinePunct w:val="0"/>
              <w:autoSpaceDE/>
              <w:autoSpaceDN/>
              <w:bidi w:val="0"/>
              <w:adjustRightInd/>
              <w:snapToGrid/>
              <w:spacing w:before="0" w:after="0" w:line="360" w:lineRule="auto"/>
              <w:ind w:left="0" w:firstLine="480" w:firstLineChars="200"/>
              <w:textAlignment w:val="auto"/>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pPr>
            <w:bookmarkStart w:id="146" w:name="_Toc16102"/>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新田县污水处理厂纳污范围包括新田产业开发区</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园区</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的工业废水和生活污水，此外还承担了纳污范围内的城镇生活污水。本项目属于新田产业开发区纳污范围之内，区域范围纳污管网已建设完成；同时，本项目生活污水日排水量较小，水质较简单，不会对新田县污水处理厂进水水质、水量负荷造成冲击，经处理后废水达到《城镇污水处理厂污染物排放标准》（GB18918-2002）一级A标准</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尾水排入</w:t>
            </w:r>
            <w:r>
              <w:rPr>
                <w:rFonts w:hint="eastAsia"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新田河</w:t>
            </w:r>
            <w:r>
              <w:rPr>
                <w:rFonts w:hint="default" w:ascii="Times New Roman" w:hAnsi="Times New Roman" w:eastAsia="宋体" w:cs="Times New Roman"/>
                <w:b w:val="0"/>
                <w:bCs/>
                <w:color w:val="000000" w:themeColor="text1"/>
                <w:kern w:val="2"/>
                <w:sz w:val="24"/>
                <w:szCs w:val="24"/>
                <w:u w:val="none" w:color="auto"/>
                <w:lang w:val="en-US" w:eastAsia="zh-CN" w:bidi="ar-SA"/>
                <w14:textFill>
                  <w14:solidFill>
                    <w14:schemeClr w14:val="tx1"/>
                  </w14:solidFill>
                </w14:textFill>
              </w:rPr>
              <w:t>，措施可行。</w:t>
            </w:r>
            <w:bookmarkEnd w:id="146"/>
          </w:p>
          <w:p w14:paraId="5C9B75E4">
            <w:pPr>
              <w:keepNext w:val="0"/>
              <w:keepLines w:val="0"/>
              <w:pageBreakBefore w:val="0"/>
              <w:widowControl/>
              <w:kinsoku w:val="0"/>
              <w:wordWrap/>
              <w:overflowPunct/>
              <w:topLinePunct w:val="0"/>
              <w:autoSpaceDE w:val="0"/>
              <w:autoSpaceDN w:val="0"/>
              <w:bidi w:val="0"/>
              <w:adjustRightInd w:val="0"/>
              <w:snapToGrid/>
              <w:spacing w:line="360" w:lineRule="auto"/>
              <w:ind w:firstLine="482" w:firstLineChars="200"/>
              <w:jc w:val="both"/>
              <w:textAlignment w:val="baseline"/>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4</w:t>
            </w:r>
            <w:r>
              <w:rPr>
                <w:rFonts w:hint="default" w:ascii="Times New Roman" w:hAnsi="Times New Roman" w:eastAsia="宋体" w:cs="Times New Roman"/>
                <w:b/>
                <w:bCs/>
                <w:color w:val="auto"/>
                <w:sz w:val="24"/>
                <w:szCs w:val="24"/>
                <w:u w:val="none" w:color="auto"/>
                <w:lang w:val="en-US" w:eastAsia="zh-CN"/>
              </w:rPr>
              <w:t>、监测计划</w:t>
            </w:r>
          </w:p>
          <w:p w14:paraId="463762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bCs/>
                <w:color w:val="000000" w:themeColor="text1"/>
                <w:sz w:val="24"/>
                <w:u w:val="none" w:color="auto"/>
                <w:lang w:val="en-US" w:eastAsia="zh-CN"/>
                <w14:textFill>
                  <w14:solidFill>
                    <w14:schemeClr w14:val="tx1"/>
                  </w14:solidFill>
                </w14:textFill>
              </w:rPr>
              <w:t>本项目</w:t>
            </w:r>
            <w:r>
              <w:rPr>
                <w:rFonts w:hint="eastAsia" w:ascii="Times New Roman" w:hAnsi="Times New Roman" w:cs="Times New Roman"/>
                <w:bCs/>
                <w:color w:val="000000" w:themeColor="text1"/>
                <w:sz w:val="24"/>
                <w:u w:val="none" w:color="auto"/>
                <w:lang w:val="en-US" w:eastAsia="zh-CN"/>
                <w14:textFill>
                  <w14:solidFill>
                    <w14:schemeClr w14:val="tx1"/>
                  </w14:solidFill>
                </w14:textFill>
              </w:rPr>
              <w:t>仅生活污水外排，且</w:t>
            </w:r>
            <w:r>
              <w:rPr>
                <w:rFonts w:hint="default" w:ascii="Times New Roman" w:hAnsi="Times New Roman" w:cs="Times New Roman"/>
                <w:bCs/>
                <w:color w:val="auto"/>
                <w:sz w:val="24"/>
                <w:szCs w:val="24"/>
                <w:u w:val="none"/>
                <w:lang w:val="en-US" w:eastAsia="zh-CN"/>
              </w:rPr>
              <w:t>生活污水经龙昶厂区内现有化粪池处理达《污水综合排放标准》（GB8978- 1996）表4中三级标准和</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新田县污水处理厂</w:t>
            </w:r>
            <w:r>
              <w:rPr>
                <w:rFonts w:hint="default" w:ascii="Times New Roman" w:hAnsi="Times New Roman" w:cs="Times New Roman"/>
                <w:bCs/>
                <w:color w:val="auto"/>
                <w:sz w:val="24"/>
                <w:szCs w:val="24"/>
                <w:u w:val="none"/>
                <w:lang w:val="en-US" w:eastAsia="zh-CN"/>
              </w:rPr>
              <w:t>设计进水水质标准后，通过龙昶厂区现有生活污水排污口排入园区污水管网，经</w:t>
            </w:r>
            <w:r>
              <w:rPr>
                <w:rFonts w:hint="default" w:ascii="Times New Roman" w:hAnsi="Times New Roman" w:cs="Times New Roman"/>
                <w:bCs/>
                <w:color w:val="000000" w:themeColor="text1"/>
                <w:sz w:val="24"/>
                <w:szCs w:val="24"/>
                <w:u w:val="none" w:color="auto"/>
                <w:lang w:val="en-US" w:eastAsia="zh-CN"/>
                <w14:textFill>
                  <w14:solidFill>
                    <w14:schemeClr w14:val="tx1"/>
                  </w14:solidFill>
                </w14:textFill>
              </w:rPr>
              <w:t>新田县污水处理厂</w:t>
            </w:r>
            <w:r>
              <w:rPr>
                <w:rFonts w:hint="default" w:ascii="Times New Roman" w:hAnsi="Times New Roman" w:cs="Times New Roman"/>
                <w:bCs/>
                <w:color w:val="auto"/>
                <w:sz w:val="24"/>
                <w:szCs w:val="24"/>
                <w:u w:val="none"/>
                <w:lang w:val="en-US" w:eastAsia="zh-CN"/>
              </w:rPr>
              <w:t>达到《城镇污水处理厂污染物排放标准》（GB18918-2002）及修改单一级A标准后排入</w:t>
            </w:r>
            <w:r>
              <w:rPr>
                <w:rFonts w:hint="eastAsia" w:ascii="Times New Roman" w:hAnsi="Times New Roman" w:cs="Times New Roman"/>
                <w:bCs/>
                <w:color w:val="auto"/>
                <w:sz w:val="24"/>
                <w:szCs w:val="24"/>
                <w:u w:val="none"/>
                <w:lang w:val="en-US" w:eastAsia="zh-CN"/>
              </w:rPr>
              <w:t>新田河，</w:t>
            </w:r>
            <w:r>
              <w:rPr>
                <w:rFonts w:hint="eastAsia" w:ascii="Times New Roman" w:hAnsi="Times New Roman" w:eastAsia="宋体" w:cs="Times New Roman"/>
                <w:bCs/>
                <w:color w:val="000000" w:themeColor="text1"/>
                <w:sz w:val="24"/>
                <w:szCs w:val="24"/>
                <w:u w:val="none" w:color="auto"/>
                <w:lang w:val="en-US" w:eastAsia="zh-CN"/>
                <w14:textFill>
                  <w14:solidFill>
                    <w14:schemeClr w14:val="tx1"/>
                  </w14:solidFill>
                </w14:textFill>
              </w:rPr>
              <w:t>因此废水监测依托</w:t>
            </w:r>
            <w:r>
              <w:rPr>
                <w:rFonts w:hint="eastAsia" w:ascii="Times New Roman" w:hAnsi="Times New Roman" w:eastAsia="宋体" w:cs="Times New Roman"/>
                <w:color w:val="000000"/>
                <w:sz w:val="24"/>
                <w:szCs w:val="24"/>
                <w:highlight w:val="none"/>
                <w:lang w:val="en-US" w:eastAsia="zh-CN"/>
              </w:rPr>
              <w:t>湖南龙昶机械股份有限公司</w:t>
            </w:r>
            <w:r>
              <w:rPr>
                <w:rFonts w:hint="eastAsia" w:ascii="Times New Roman" w:hAnsi="Times New Roman" w:eastAsia="宋体" w:cs="Times New Roman"/>
                <w:bCs/>
                <w:color w:val="000000" w:themeColor="text1"/>
                <w:sz w:val="24"/>
                <w:szCs w:val="24"/>
                <w:u w:val="none" w:color="auto"/>
                <w:lang w:val="en-US" w:eastAsia="zh-CN"/>
                <w14:textFill>
                  <w14:solidFill>
                    <w14:schemeClr w14:val="tx1"/>
                  </w14:solidFill>
                </w14:textFill>
              </w:rPr>
              <w:t>监测计划进行监测</w:t>
            </w:r>
            <w:r>
              <w:rPr>
                <w:rFonts w:hint="default" w:ascii="Times New Roman" w:hAnsi="Times New Roman" w:eastAsia="宋体" w:cs="Times New Roman"/>
                <w:bCs/>
                <w:color w:val="000000" w:themeColor="text1"/>
                <w:sz w:val="24"/>
                <w:szCs w:val="24"/>
                <w:u w:val="none" w:color="auto"/>
                <w:lang w:val="en-US" w:eastAsia="zh-CN"/>
                <w14:textFill>
                  <w14:solidFill>
                    <w14:schemeClr w14:val="tx1"/>
                  </w14:solidFill>
                </w14:textFill>
              </w:rPr>
              <w:t>。</w:t>
            </w:r>
          </w:p>
          <w:p w14:paraId="0BD1D032">
            <w:pPr>
              <w:pStyle w:val="14"/>
              <w:keepNext w:val="0"/>
              <w:keepLines w:val="0"/>
              <w:pageBreakBefore w:val="0"/>
              <w:kinsoku/>
              <w:wordWrap/>
              <w:overflowPunct/>
              <w:topLinePunct w:val="0"/>
              <w:autoSpaceDE/>
              <w:autoSpaceDN/>
              <w:bidi w:val="0"/>
              <w:snapToGrid/>
              <w:spacing w:line="360" w:lineRule="auto"/>
              <w:ind w:firstLine="0" w:firstLineChars="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三</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szCs w:val="24"/>
                <w:u w:val="none" w:color="auto"/>
                <w:lang w:val="en-US" w:eastAsia="zh-CN"/>
              </w:rPr>
              <w:t>运营期声环境影响和保护措施</w:t>
            </w:r>
          </w:p>
          <w:p w14:paraId="193FE184">
            <w:pPr>
              <w:keepNext w:val="0"/>
              <w:keepLines w:val="0"/>
              <w:pageBreakBefore w:val="0"/>
              <w:kinsoku/>
              <w:wordWrap/>
              <w:overflowPunct/>
              <w:topLinePunct w:val="0"/>
              <w:autoSpaceDE/>
              <w:autoSpaceDN/>
              <w:bidi w:val="0"/>
              <w:snapToGrid/>
              <w:spacing w:line="360" w:lineRule="auto"/>
              <w:ind w:firstLine="482" w:firstLineChars="200"/>
              <w:textAlignment w:val="auto"/>
              <w:outlineLvl w:val="2"/>
              <w:rPr>
                <w:rFonts w:hint="default" w:ascii="Times New Roman" w:hAnsi="Times New Roman" w:eastAsia="宋体" w:cs="Times New Roman"/>
                <w:b w:val="0"/>
                <w:bCs w:val="0"/>
                <w:color w:val="auto"/>
                <w:sz w:val="24"/>
                <w:szCs w:val="24"/>
                <w:u w:val="single" w:color="auto"/>
                <w:lang w:val="en-US" w:eastAsia="zh-CN"/>
              </w:rPr>
            </w:pPr>
            <w:r>
              <w:rPr>
                <w:rFonts w:hint="eastAsia" w:ascii="Times New Roman" w:hAnsi="Times New Roman" w:eastAsia="宋体" w:cs="Times New Roman"/>
                <w:b/>
                <w:bCs/>
                <w:color w:val="auto"/>
                <w:sz w:val="24"/>
                <w:szCs w:val="24"/>
                <w:u w:val="single" w:color="auto"/>
                <w:lang w:val="en-US" w:eastAsia="zh-CN"/>
              </w:rPr>
              <w:t>1、</w:t>
            </w:r>
            <w:r>
              <w:rPr>
                <w:rFonts w:hint="default" w:ascii="Times New Roman" w:hAnsi="Times New Roman" w:eastAsia="宋体" w:cs="Times New Roman"/>
                <w:b/>
                <w:bCs/>
                <w:color w:val="auto"/>
                <w:sz w:val="24"/>
                <w:szCs w:val="24"/>
                <w:u w:val="single" w:color="auto"/>
                <w:lang w:val="en-US" w:eastAsia="zh-CN"/>
              </w:rPr>
              <w:t>噪声源强分析</w:t>
            </w:r>
          </w:p>
          <w:p w14:paraId="0DDEDF4B">
            <w:pPr>
              <w:spacing w:line="360" w:lineRule="auto"/>
              <w:ind w:firstLine="480" w:firstLineChars="200"/>
              <w:rPr>
                <w:rFonts w:hint="default" w:ascii="Times New Roman" w:hAnsi="Times New Roman" w:cs="Times New Roman"/>
                <w:color w:val="auto"/>
                <w:sz w:val="24"/>
                <w:szCs w:val="24"/>
                <w:highlight w:val="none"/>
                <w:u w:val="single" w:color="auto"/>
                <w:lang w:val="en-US" w:eastAsia="zh-CN"/>
              </w:rPr>
            </w:pPr>
            <w:r>
              <w:rPr>
                <w:rFonts w:hint="default" w:ascii="Times New Roman" w:hAnsi="Times New Roman" w:eastAsia="宋体" w:cs="Times New Roman"/>
                <w:color w:val="auto"/>
                <w:sz w:val="24"/>
                <w:szCs w:val="24"/>
                <w:highlight w:val="none"/>
                <w:u w:val="single" w:color="auto"/>
                <w:lang w:val="en-US" w:eastAsia="zh-CN"/>
              </w:rPr>
              <w:t>本项目主要噪声来自</w:t>
            </w:r>
            <w:r>
              <w:rPr>
                <w:rFonts w:hint="eastAsia" w:ascii="Times New Roman" w:hAnsi="Times New Roman" w:eastAsia="宋体" w:cs="Times New Roman"/>
                <w:color w:val="auto"/>
                <w:sz w:val="24"/>
                <w:szCs w:val="24"/>
                <w:highlight w:val="none"/>
                <w:u w:val="single" w:color="auto"/>
                <w:lang w:val="en-US" w:eastAsia="zh-CN"/>
              </w:rPr>
              <w:t>双轴破碎机、磁选输送机、物料输送机、筛分机、自动打包机、叉车、抓机、抱机、推机、磁选机、喷淋装置以及风机</w:t>
            </w:r>
            <w:r>
              <w:rPr>
                <w:rFonts w:hint="default" w:ascii="Times New Roman" w:hAnsi="Times New Roman" w:eastAsia="宋体" w:cs="Times New Roman"/>
                <w:color w:val="auto"/>
                <w:sz w:val="24"/>
                <w:szCs w:val="24"/>
                <w:highlight w:val="none"/>
                <w:u w:val="single" w:color="auto"/>
                <w:lang w:val="en-US" w:eastAsia="zh-CN"/>
              </w:rPr>
              <w:t>设备运行时产生的设备噪声，噪声源强在</w:t>
            </w:r>
            <w:r>
              <w:rPr>
                <w:rFonts w:hint="eastAsia" w:ascii="Times New Roman" w:hAnsi="Times New Roman" w:eastAsia="宋体" w:cs="Times New Roman"/>
                <w:color w:val="auto"/>
                <w:sz w:val="24"/>
                <w:szCs w:val="24"/>
                <w:highlight w:val="none"/>
                <w:u w:val="single" w:color="auto"/>
                <w:lang w:val="en-US" w:eastAsia="zh-CN"/>
              </w:rPr>
              <w:t>80</w:t>
            </w:r>
            <w:r>
              <w:rPr>
                <w:rFonts w:hint="default" w:ascii="Times New Roman" w:hAnsi="Times New Roman" w:eastAsia="宋体" w:cs="Times New Roman"/>
                <w:color w:val="auto"/>
                <w:sz w:val="24"/>
                <w:szCs w:val="24"/>
                <w:highlight w:val="none"/>
                <w:u w:val="single" w:color="auto"/>
                <w:lang w:val="en-US" w:eastAsia="zh-CN"/>
              </w:rPr>
              <w:t>~</w:t>
            </w:r>
            <w:r>
              <w:rPr>
                <w:rFonts w:hint="eastAsia" w:ascii="Times New Roman" w:hAnsi="Times New Roman" w:eastAsia="宋体" w:cs="Times New Roman"/>
                <w:color w:val="auto"/>
                <w:sz w:val="24"/>
                <w:szCs w:val="24"/>
                <w:highlight w:val="none"/>
                <w:u w:val="single" w:color="auto"/>
                <w:lang w:val="en-US" w:eastAsia="zh-CN"/>
              </w:rPr>
              <w:t>90</w:t>
            </w:r>
            <w:r>
              <w:rPr>
                <w:rFonts w:hint="default" w:ascii="Times New Roman" w:hAnsi="Times New Roman" w:eastAsia="宋体" w:cs="Times New Roman"/>
                <w:color w:val="auto"/>
                <w:sz w:val="24"/>
                <w:szCs w:val="24"/>
                <w:highlight w:val="none"/>
                <w:u w:val="single" w:color="auto"/>
                <w:lang w:val="en-US" w:eastAsia="zh-CN"/>
              </w:rPr>
              <w:t>dB（A）之间，通过选用低噪声设备，基础</w:t>
            </w:r>
            <w:r>
              <w:rPr>
                <w:rFonts w:hint="eastAsia" w:ascii="Times New Roman" w:hAnsi="Times New Roman" w:eastAsia="宋体" w:cs="Times New Roman"/>
                <w:color w:val="auto"/>
                <w:sz w:val="24"/>
                <w:szCs w:val="24"/>
                <w:highlight w:val="none"/>
                <w:u w:val="single" w:color="auto"/>
                <w:lang w:val="en-US" w:eastAsia="zh-CN"/>
              </w:rPr>
              <w:t>减振</w:t>
            </w:r>
            <w:r>
              <w:rPr>
                <w:rFonts w:hint="default" w:ascii="Times New Roman" w:hAnsi="Times New Roman" w:eastAsia="宋体" w:cs="Times New Roman"/>
                <w:color w:val="auto"/>
                <w:sz w:val="24"/>
                <w:szCs w:val="24"/>
                <w:highlight w:val="none"/>
                <w:u w:val="single" w:color="auto"/>
                <w:lang w:val="en-US" w:eastAsia="zh-CN"/>
              </w:rPr>
              <w:t>并经</w:t>
            </w:r>
            <w:r>
              <w:rPr>
                <w:rFonts w:hint="default" w:ascii="Times New Roman" w:hAnsi="Times New Roman" w:eastAsia="宋体" w:cs="Times New Roman"/>
                <w:color w:val="auto"/>
                <w:sz w:val="24"/>
                <w:szCs w:val="24"/>
                <w:u w:val="single" w:color="auto"/>
              </w:rPr>
              <w:t>距离衰减后可有效减轻噪声对外界的影响，</w:t>
            </w:r>
            <w:r>
              <w:rPr>
                <w:rFonts w:hint="default" w:ascii="Times New Roman" w:hAnsi="Times New Roman" w:cs="Times New Roman"/>
                <w:color w:val="auto"/>
                <w:sz w:val="24"/>
                <w:szCs w:val="24"/>
                <w:highlight w:val="none"/>
                <w:u w:val="single" w:color="auto"/>
                <w:lang w:val="en-US" w:eastAsia="zh-CN"/>
              </w:rPr>
              <w:t>设备噪声源强如下表所示。</w:t>
            </w:r>
          </w:p>
          <w:p w14:paraId="765BF13C">
            <w:pPr>
              <w:pStyle w:val="30"/>
              <w:spacing w:line="240" w:lineRule="auto"/>
              <w:jc w:val="center"/>
              <w:rPr>
                <w:rFonts w:hint="default"/>
                <w:b/>
                <w:bCs/>
                <w:color w:val="auto"/>
                <w:u w:val="single" w:color="auto"/>
                <w:lang w:eastAsia="zh-CN"/>
              </w:rPr>
            </w:pPr>
            <w:r>
              <w:rPr>
                <w:rFonts w:hint="default" w:ascii="Times New Roman" w:hAnsi="Times New Roman" w:eastAsia="宋体" w:cs="Times New Roman"/>
                <w:b/>
                <w:bCs/>
                <w:color w:val="auto"/>
                <w:sz w:val="21"/>
                <w:szCs w:val="21"/>
                <w:u w:val="single" w:color="auto"/>
              </w:rPr>
              <w:t>表4-</w:t>
            </w:r>
            <w:r>
              <w:rPr>
                <w:rFonts w:hint="eastAsia" w:ascii="Times New Roman" w:hAnsi="Times New Roman" w:cs="Times New Roman"/>
                <w:b/>
                <w:bCs/>
                <w:color w:val="auto"/>
                <w:sz w:val="21"/>
                <w:szCs w:val="21"/>
                <w:u w:val="single" w:color="auto"/>
                <w:lang w:val="en-US" w:eastAsia="zh-CN"/>
              </w:rPr>
              <w:t>11</w:t>
            </w:r>
            <w:r>
              <w:rPr>
                <w:rFonts w:hint="eastAsia" w:ascii="Times New Roman" w:hAnsi="Times New Roman" w:eastAsia="宋体" w:cs="Times New Roman"/>
                <w:b/>
                <w:bCs/>
                <w:color w:val="auto"/>
                <w:sz w:val="21"/>
                <w:szCs w:val="21"/>
                <w:u w:val="single" w:color="auto"/>
                <w:lang w:val="en-US" w:eastAsia="zh-CN"/>
              </w:rPr>
              <w:t xml:space="preserve">  </w:t>
            </w:r>
            <w:r>
              <w:rPr>
                <w:rFonts w:hint="default" w:ascii="Times New Roman" w:hAnsi="Times New Roman" w:eastAsia="宋体" w:cs="Times New Roman"/>
                <w:b/>
                <w:bCs/>
                <w:color w:val="auto"/>
                <w:sz w:val="21"/>
                <w:szCs w:val="21"/>
                <w:u w:val="single" w:color="auto"/>
              </w:rPr>
              <w:t>项目噪声情况一览表</w:t>
            </w:r>
          </w:p>
          <w:tbl>
            <w:tblPr>
              <w:tblStyle w:val="34"/>
              <w:tblW w:w="48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2895"/>
              <w:gridCol w:w="1462"/>
              <w:gridCol w:w="1629"/>
            </w:tblGrid>
            <w:tr w14:paraId="40D99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1" w:type="dxa"/>
                  <w:tcBorders>
                    <w:tl2br w:val="nil"/>
                    <w:tr2bl w:val="nil"/>
                  </w:tcBorders>
                  <w:noWrap w:val="0"/>
                  <w:vAlign w:val="center"/>
                </w:tcPr>
                <w:p w14:paraId="118A3D8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5"/>
                      <w:sz w:val="21"/>
                      <w:szCs w:val="21"/>
                      <w:u w:val="single" w:color="auto"/>
                    </w:rPr>
                    <w:t>序号</w:t>
                  </w:r>
                </w:p>
              </w:tc>
              <w:tc>
                <w:tcPr>
                  <w:tcW w:w="2895" w:type="dxa"/>
                  <w:tcBorders>
                    <w:tl2br w:val="nil"/>
                    <w:tr2bl w:val="nil"/>
                  </w:tcBorders>
                  <w:noWrap w:val="0"/>
                  <w:vAlign w:val="center"/>
                </w:tcPr>
                <w:p w14:paraId="265A6FC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pacing w:val="4"/>
                      <w:sz w:val="21"/>
                      <w:szCs w:val="21"/>
                      <w:u w:val="single" w:color="auto"/>
                    </w:rPr>
                    <w:t>名</w:t>
                  </w:r>
                  <w:r>
                    <w:rPr>
                      <w:rFonts w:hint="default" w:ascii="Times New Roman" w:hAnsi="Times New Roman" w:eastAsia="宋体" w:cs="Times New Roman"/>
                      <w:b/>
                      <w:bCs/>
                      <w:color w:val="auto"/>
                      <w:spacing w:val="3"/>
                      <w:sz w:val="21"/>
                      <w:szCs w:val="21"/>
                      <w:u w:val="single" w:color="auto"/>
                    </w:rPr>
                    <w:t>称</w:t>
                  </w:r>
                </w:p>
              </w:tc>
              <w:tc>
                <w:tcPr>
                  <w:tcW w:w="1462" w:type="dxa"/>
                  <w:tcBorders>
                    <w:tl2br w:val="nil"/>
                    <w:tr2bl w:val="nil"/>
                  </w:tcBorders>
                  <w:noWrap w:val="0"/>
                  <w:vAlign w:val="center"/>
                </w:tcPr>
                <w:p w14:paraId="6E46BB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bCs/>
                      <w:color w:val="auto"/>
                      <w:sz w:val="21"/>
                      <w:szCs w:val="21"/>
                      <w:u w:val="single" w:color="auto"/>
                      <w:lang w:eastAsia="zh-CN"/>
                    </w:rPr>
                  </w:pPr>
                  <w:r>
                    <w:rPr>
                      <w:rFonts w:hint="default" w:ascii="Times New Roman" w:hAnsi="Times New Roman" w:eastAsia="宋体" w:cs="Times New Roman"/>
                      <w:b/>
                      <w:bCs/>
                      <w:color w:val="auto"/>
                      <w:spacing w:val="7"/>
                      <w:sz w:val="21"/>
                      <w:szCs w:val="21"/>
                      <w:u w:val="single" w:color="auto"/>
                    </w:rPr>
                    <w:t>数</w:t>
                  </w:r>
                  <w:r>
                    <w:rPr>
                      <w:rFonts w:hint="default" w:ascii="Times New Roman" w:hAnsi="Times New Roman" w:eastAsia="宋体" w:cs="Times New Roman"/>
                      <w:b/>
                      <w:bCs/>
                      <w:color w:val="auto"/>
                      <w:spacing w:val="4"/>
                      <w:sz w:val="21"/>
                      <w:szCs w:val="21"/>
                      <w:u w:val="single" w:color="auto"/>
                    </w:rPr>
                    <w:t>量</w:t>
                  </w:r>
                  <w:r>
                    <w:rPr>
                      <w:rFonts w:hint="eastAsia" w:ascii="Times New Roman" w:hAnsi="Times New Roman" w:eastAsia="宋体" w:cs="Times New Roman"/>
                      <w:b/>
                      <w:bCs/>
                      <w:color w:val="auto"/>
                      <w:spacing w:val="4"/>
                      <w:sz w:val="21"/>
                      <w:szCs w:val="21"/>
                      <w:u w:val="single" w:color="auto"/>
                      <w:lang w:eastAsia="zh-CN"/>
                    </w:rPr>
                    <w:t>（</w:t>
                  </w:r>
                  <w:r>
                    <w:rPr>
                      <w:rFonts w:hint="eastAsia" w:ascii="Times New Roman" w:hAnsi="Times New Roman" w:eastAsia="宋体" w:cs="Times New Roman"/>
                      <w:b/>
                      <w:bCs/>
                      <w:color w:val="auto"/>
                      <w:sz w:val="21"/>
                      <w:szCs w:val="21"/>
                      <w:u w:val="single" w:color="auto"/>
                      <w:lang w:val="en-US" w:eastAsia="zh-CN"/>
                    </w:rPr>
                    <w:t>台</w:t>
                  </w:r>
                  <w:r>
                    <w:rPr>
                      <w:rFonts w:hint="eastAsia" w:ascii="Times New Roman" w:hAnsi="Times New Roman" w:eastAsia="宋体" w:cs="Times New Roman"/>
                      <w:b/>
                      <w:bCs/>
                      <w:color w:val="auto"/>
                      <w:spacing w:val="4"/>
                      <w:sz w:val="21"/>
                      <w:szCs w:val="21"/>
                      <w:u w:val="single" w:color="auto"/>
                      <w:lang w:eastAsia="zh-CN"/>
                    </w:rPr>
                    <w:t>）</w:t>
                  </w:r>
                </w:p>
              </w:tc>
              <w:tc>
                <w:tcPr>
                  <w:tcW w:w="1629" w:type="dxa"/>
                  <w:tcBorders>
                    <w:tl2br w:val="nil"/>
                    <w:tr2bl w:val="nil"/>
                  </w:tcBorders>
                  <w:noWrap w:val="0"/>
                  <w:vAlign w:val="center"/>
                </w:tcPr>
                <w:p w14:paraId="2096BA6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bCs/>
                      <w:color w:val="auto"/>
                      <w:sz w:val="21"/>
                      <w:szCs w:val="21"/>
                      <w:u w:val="single" w:color="auto"/>
                      <w:lang w:eastAsia="zh-CN"/>
                    </w:rPr>
                  </w:pPr>
                  <w:r>
                    <w:rPr>
                      <w:rFonts w:hint="default" w:ascii="Times New Roman" w:hAnsi="Times New Roman" w:eastAsia="宋体" w:cs="Times New Roman"/>
                      <w:b/>
                      <w:bCs/>
                      <w:color w:val="auto"/>
                      <w:spacing w:val="-1"/>
                      <w:position w:val="1"/>
                      <w:sz w:val="21"/>
                      <w:szCs w:val="21"/>
                      <w:u w:val="single" w:color="auto"/>
                    </w:rPr>
                    <w:t>单机 d</w:t>
                  </w:r>
                  <w:r>
                    <w:rPr>
                      <w:rFonts w:hint="default" w:ascii="Times New Roman" w:hAnsi="Times New Roman" w:eastAsia="宋体" w:cs="Times New Roman"/>
                      <w:b/>
                      <w:bCs/>
                      <w:color w:val="auto"/>
                      <w:position w:val="1"/>
                      <w:sz w:val="21"/>
                      <w:szCs w:val="21"/>
                      <w:u w:val="single" w:color="auto"/>
                    </w:rPr>
                    <w:t>B</w:t>
                  </w:r>
                  <w:r>
                    <w:rPr>
                      <w:rFonts w:hint="eastAsia" w:ascii="Times New Roman" w:hAnsi="Times New Roman" w:eastAsia="宋体" w:cs="Times New Roman"/>
                      <w:b/>
                      <w:bCs/>
                      <w:color w:val="auto"/>
                      <w:spacing w:val="-1"/>
                      <w:position w:val="1"/>
                      <w:sz w:val="21"/>
                      <w:szCs w:val="21"/>
                      <w:u w:val="single" w:color="auto"/>
                      <w:lang w:eastAsia="zh-CN"/>
                    </w:rPr>
                    <w:t>（</w:t>
                  </w:r>
                  <w:r>
                    <w:rPr>
                      <w:rFonts w:hint="default" w:ascii="Times New Roman" w:hAnsi="Times New Roman" w:eastAsia="宋体" w:cs="Times New Roman"/>
                      <w:b/>
                      <w:bCs/>
                      <w:color w:val="auto"/>
                      <w:position w:val="1"/>
                      <w:sz w:val="21"/>
                      <w:szCs w:val="21"/>
                      <w:u w:val="single" w:color="auto"/>
                    </w:rPr>
                    <w:t>A</w:t>
                  </w:r>
                  <w:r>
                    <w:rPr>
                      <w:rFonts w:hint="eastAsia" w:ascii="Times New Roman" w:hAnsi="Times New Roman" w:eastAsia="宋体" w:cs="Times New Roman"/>
                      <w:b/>
                      <w:bCs/>
                      <w:color w:val="auto"/>
                      <w:spacing w:val="-1"/>
                      <w:position w:val="1"/>
                      <w:sz w:val="21"/>
                      <w:szCs w:val="21"/>
                      <w:u w:val="single" w:color="auto"/>
                      <w:lang w:eastAsia="zh-CN"/>
                    </w:rPr>
                    <w:t>）</w:t>
                  </w:r>
                </w:p>
              </w:tc>
            </w:tr>
            <w:tr w14:paraId="20005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2818ACF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2895" w:type="dxa"/>
                  <w:tcBorders>
                    <w:tl2br w:val="nil"/>
                    <w:tr2bl w:val="nil"/>
                  </w:tcBorders>
                  <w:shd w:val="clear" w:color="auto" w:fill="auto"/>
                  <w:noWrap w:val="0"/>
                  <w:vAlign w:val="center"/>
                </w:tcPr>
                <w:p w14:paraId="52BCA4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双轴破碎机</w:t>
                  </w:r>
                </w:p>
              </w:tc>
              <w:tc>
                <w:tcPr>
                  <w:tcW w:w="1462" w:type="dxa"/>
                  <w:tcBorders>
                    <w:tl2br w:val="nil"/>
                    <w:tr2bl w:val="nil"/>
                  </w:tcBorders>
                  <w:shd w:val="clear" w:color="auto" w:fill="auto"/>
                  <w:noWrap w:val="0"/>
                  <w:vAlign w:val="center"/>
                </w:tcPr>
                <w:p w14:paraId="46E811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3台</w:t>
                  </w:r>
                </w:p>
              </w:tc>
              <w:tc>
                <w:tcPr>
                  <w:tcW w:w="1629" w:type="dxa"/>
                  <w:tcBorders>
                    <w:tl2br w:val="nil"/>
                    <w:tr2bl w:val="nil"/>
                  </w:tcBorders>
                  <w:shd w:val="clear" w:color="auto" w:fill="auto"/>
                  <w:noWrap w:val="0"/>
                  <w:vAlign w:val="center"/>
                </w:tcPr>
                <w:p w14:paraId="5AEFAE2A">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eastAsia="宋体" w:cs="Times New Roman"/>
                      <w:b w:val="0"/>
                      <w:bCs w:val="0"/>
                      <w:color w:val="auto"/>
                      <w:kern w:val="2"/>
                      <w:sz w:val="21"/>
                      <w:szCs w:val="24"/>
                      <w:u w:val="single" w:color="auto"/>
                      <w:lang w:val="en-US" w:eastAsia="zh-CN" w:bidi="ar-SA"/>
                    </w:rPr>
                    <w:t>90</w:t>
                  </w:r>
                </w:p>
              </w:tc>
            </w:tr>
            <w:tr w14:paraId="4F13A2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4619D10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c>
                <w:tcPr>
                  <w:tcW w:w="2895" w:type="dxa"/>
                  <w:tcBorders>
                    <w:tl2br w:val="nil"/>
                    <w:tr2bl w:val="nil"/>
                  </w:tcBorders>
                  <w:shd w:val="clear" w:color="auto" w:fill="auto"/>
                  <w:noWrap w:val="0"/>
                  <w:vAlign w:val="center"/>
                </w:tcPr>
                <w:p w14:paraId="4E83D8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磁选输送机</w:t>
                  </w:r>
                </w:p>
              </w:tc>
              <w:tc>
                <w:tcPr>
                  <w:tcW w:w="1462" w:type="dxa"/>
                  <w:tcBorders>
                    <w:tl2br w:val="nil"/>
                    <w:tr2bl w:val="nil"/>
                  </w:tcBorders>
                  <w:shd w:val="clear" w:color="auto" w:fill="auto"/>
                  <w:noWrap w:val="0"/>
                  <w:vAlign w:val="center"/>
                </w:tcPr>
                <w:p w14:paraId="12B61D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1台</w:t>
                  </w:r>
                </w:p>
              </w:tc>
              <w:tc>
                <w:tcPr>
                  <w:tcW w:w="1629" w:type="dxa"/>
                  <w:tcBorders>
                    <w:tl2br w:val="nil"/>
                    <w:tr2bl w:val="nil"/>
                  </w:tcBorders>
                  <w:shd w:val="clear" w:color="auto" w:fill="auto"/>
                  <w:noWrap w:val="0"/>
                  <w:vAlign w:val="center"/>
                </w:tcPr>
                <w:p w14:paraId="36A2EF4D">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6D6A3D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43C320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3</w:t>
                  </w:r>
                </w:p>
              </w:tc>
              <w:tc>
                <w:tcPr>
                  <w:tcW w:w="2895" w:type="dxa"/>
                  <w:tcBorders>
                    <w:tl2br w:val="nil"/>
                    <w:tr2bl w:val="nil"/>
                  </w:tcBorders>
                  <w:shd w:val="clear" w:color="auto" w:fill="auto"/>
                  <w:noWrap w:val="0"/>
                  <w:vAlign w:val="center"/>
                </w:tcPr>
                <w:p w14:paraId="5AFC84A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物料输送机</w:t>
                  </w:r>
                </w:p>
              </w:tc>
              <w:tc>
                <w:tcPr>
                  <w:tcW w:w="1462" w:type="dxa"/>
                  <w:tcBorders>
                    <w:tl2br w:val="nil"/>
                    <w:tr2bl w:val="nil"/>
                  </w:tcBorders>
                  <w:shd w:val="clear" w:color="auto" w:fill="auto"/>
                  <w:noWrap w:val="0"/>
                  <w:vAlign w:val="center"/>
                </w:tcPr>
                <w:p w14:paraId="3D178D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4台</w:t>
                  </w:r>
                </w:p>
              </w:tc>
              <w:tc>
                <w:tcPr>
                  <w:tcW w:w="1629" w:type="dxa"/>
                  <w:tcBorders>
                    <w:tl2br w:val="nil"/>
                    <w:tr2bl w:val="nil"/>
                  </w:tcBorders>
                  <w:shd w:val="clear" w:color="auto" w:fill="auto"/>
                  <w:noWrap w:val="0"/>
                  <w:vAlign w:val="center"/>
                </w:tcPr>
                <w:p w14:paraId="57CDF86B">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221C27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5C2205F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4</w:t>
                  </w:r>
                </w:p>
              </w:tc>
              <w:tc>
                <w:tcPr>
                  <w:tcW w:w="2895" w:type="dxa"/>
                  <w:tcBorders>
                    <w:tl2br w:val="nil"/>
                    <w:tr2bl w:val="nil"/>
                  </w:tcBorders>
                  <w:shd w:val="clear" w:color="auto" w:fill="auto"/>
                  <w:noWrap w:val="0"/>
                  <w:vAlign w:val="center"/>
                </w:tcPr>
                <w:p w14:paraId="07C914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筛分机</w:t>
                  </w:r>
                </w:p>
              </w:tc>
              <w:tc>
                <w:tcPr>
                  <w:tcW w:w="1462" w:type="dxa"/>
                  <w:tcBorders>
                    <w:tl2br w:val="nil"/>
                    <w:tr2bl w:val="nil"/>
                  </w:tcBorders>
                  <w:shd w:val="clear" w:color="auto" w:fill="auto"/>
                  <w:noWrap w:val="0"/>
                  <w:vAlign w:val="center"/>
                </w:tcPr>
                <w:p w14:paraId="6F14DB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2台</w:t>
                  </w:r>
                </w:p>
              </w:tc>
              <w:tc>
                <w:tcPr>
                  <w:tcW w:w="1629" w:type="dxa"/>
                  <w:tcBorders>
                    <w:tl2br w:val="nil"/>
                    <w:tr2bl w:val="nil"/>
                  </w:tcBorders>
                  <w:shd w:val="clear" w:color="auto" w:fill="auto"/>
                  <w:noWrap w:val="0"/>
                  <w:vAlign w:val="center"/>
                </w:tcPr>
                <w:p w14:paraId="3620DDEA">
                  <w:pPr>
                    <w:widowControl/>
                    <w:jc w:val="center"/>
                    <w:rPr>
                      <w:rFonts w:hint="default" w:ascii="Times New Roman" w:hAnsi="Times New Roman" w:eastAsia="宋体" w:cs="Times New Roman"/>
                      <w:b w:val="0"/>
                      <w:bCs w:val="0"/>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4FCFFA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0F28CF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5</w:t>
                  </w:r>
                </w:p>
              </w:tc>
              <w:tc>
                <w:tcPr>
                  <w:tcW w:w="2895" w:type="dxa"/>
                  <w:tcBorders>
                    <w:tl2br w:val="nil"/>
                    <w:tr2bl w:val="nil"/>
                  </w:tcBorders>
                  <w:shd w:val="clear" w:color="auto" w:fill="auto"/>
                  <w:noWrap w:val="0"/>
                  <w:vAlign w:val="center"/>
                </w:tcPr>
                <w:p w14:paraId="75FFCA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自动打包机</w:t>
                  </w:r>
                </w:p>
              </w:tc>
              <w:tc>
                <w:tcPr>
                  <w:tcW w:w="1462" w:type="dxa"/>
                  <w:tcBorders>
                    <w:tl2br w:val="nil"/>
                    <w:tr2bl w:val="nil"/>
                  </w:tcBorders>
                  <w:shd w:val="clear" w:color="auto" w:fill="auto"/>
                  <w:noWrap w:val="0"/>
                  <w:vAlign w:val="center"/>
                </w:tcPr>
                <w:p w14:paraId="23A1E6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1</w:t>
                  </w:r>
                  <w:r>
                    <w:rPr>
                      <w:rFonts w:hint="eastAsia" w:ascii="Times New Roman" w:hAnsi="Times New Roman" w:eastAsia="宋体" w:cs="Times New Roman"/>
                      <w:bCs/>
                      <w:color w:val="000000"/>
                      <w:kern w:val="2"/>
                      <w:sz w:val="21"/>
                      <w:szCs w:val="21"/>
                      <w:u w:val="single" w:color="auto"/>
                      <w:lang w:val="en-US" w:eastAsia="zh-CN" w:bidi="ar-SA"/>
                    </w:rPr>
                    <w:t>台</w:t>
                  </w:r>
                </w:p>
              </w:tc>
              <w:tc>
                <w:tcPr>
                  <w:tcW w:w="1629" w:type="dxa"/>
                  <w:tcBorders>
                    <w:tl2br w:val="nil"/>
                    <w:tr2bl w:val="nil"/>
                  </w:tcBorders>
                  <w:shd w:val="clear" w:color="auto" w:fill="auto"/>
                  <w:noWrap w:val="0"/>
                  <w:vAlign w:val="center"/>
                </w:tcPr>
                <w:p w14:paraId="52BADA90">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80</w:t>
                  </w:r>
                </w:p>
              </w:tc>
            </w:tr>
            <w:tr w14:paraId="7405B5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3F1CF1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6</w:t>
                  </w:r>
                </w:p>
              </w:tc>
              <w:tc>
                <w:tcPr>
                  <w:tcW w:w="2895" w:type="dxa"/>
                  <w:tcBorders>
                    <w:tl2br w:val="nil"/>
                    <w:tr2bl w:val="nil"/>
                  </w:tcBorders>
                  <w:shd w:val="clear" w:color="auto" w:fill="auto"/>
                  <w:noWrap w:val="0"/>
                  <w:vAlign w:val="center"/>
                </w:tcPr>
                <w:p w14:paraId="49F9F5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叉车</w:t>
                  </w:r>
                </w:p>
              </w:tc>
              <w:tc>
                <w:tcPr>
                  <w:tcW w:w="1462" w:type="dxa"/>
                  <w:tcBorders>
                    <w:tl2br w:val="nil"/>
                    <w:tr2bl w:val="nil"/>
                  </w:tcBorders>
                  <w:shd w:val="clear" w:color="auto" w:fill="auto"/>
                  <w:noWrap w:val="0"/>
                  <w:vAlign w:val="center"/>
                </w:tcPr>
                <w:p w14:paraId="701EE5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3</w:t>
                  </w:r>
                  <w:r>
                    <w:rPr>
                      <w:rFonts w:hint="eastAsia" w:ascii="Times New Roman" w:hAnsi="Times New Roman" w:eastAsia="宋体" w:cs="Times New Roman"/>
                      <w:bCs/>
                      <w:color w:val="000000"/>
                      <w:kern w:val="2"/>
                      <w:sz w:val="21"/>
                      <w:szCs w:val="21"/>
                      <w:u w:val="single" w:color="auto"/>
                      <w:lang w:val="en-US" w:eastAsia="zh-CN" w:bidi="ar-SA"/>
                    </w:rPr>
                    <w:t>台</w:t>
                  </w:r>
                </w:p>
              </w:tc>
              <w:tc>
                <w:tcPr>
                  <w:tcW w:w="1629" w:type="dxa"/>
                  <w:tcBorders>
                    <w:tl2br w:val="nil"/>
                    <w:tr2bl w:val="nil"/>
                  </w:tcBorders>
                  <w:shd w:val="clear" w:color="auto" w:fill="auto"/>
                  <w:noWrap w:val="0"/>
                  <w:vAlign w:val="center"/>
                </w:tcPr>
                <w:p w14:paraId="33167672">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90</w:t>
                  </w:r>
                </w:p>
              </w:tc>
            </w:tr>
            <w:tr w14:paraId="2BA77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4C1F48C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7</w:t>
                  </w:r>
                </w:p>
              </w:tc>
              <w:tc>
                <w:tcPr>
                  <w:tcW w:w="2895" w:type="dxa"/>
                  <w:tcBorders>
                    <w:tl2br w:val="nil"/>
                    <w:tr2bl w:val="nil"/>
                  </w:tcBorders>
                  <w:shd w:val="clear" w:color="auto" w:fill="auto"/>
                  <w:noWrap w:val="0"/>
                  <w:vAlign w:val="center"/>
                </w:tcPr>
                <w:p w14:paraId="71DEA6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抓机</w:t>
                  </w:r>
                </w:p>
              </w:tc>
              <w:tc>
                <w:tcPr>
                  <w:tcW w:w="1462" w:type="dxa"/>
                  <w:tcBorders>
                    <w:tl2br w:val="nil"/>
                    <w:tr2bl w:val="nil"/>
                  </w:tcBorders>
                  <w:shd w:val="clear" w:color="auto" w:fill="auto"/>
                  <w:noWrap w:val="0"/>
                  <w:vAlign w:val="center"/>
                </w:tcPr>
                <w:p w14:paraId="0B8826B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c>
                <w:tcPr>
                  <w:tcW w:w="1629" w:type="dxa"/>
                  <w:tcBorders>
                    <w:tl2br w:val="nil"/>
                    <w:tr2bl w:val="nil"/>
                  </w:tcBorders>
                  <w:shd w:val="clear" w:color="auto" w:fill="auto"/>
                  <w:noWrap w:val="0"/>
                  <w:vAlign w:val="center"/>
                </w:tcPr>
                <w:p w14:paraId="08C004BC">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0EEB5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6433B6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8</w:t>
                  </w:r>
                </w:p>
              </w:tc>
              <w:tc>
                <w:tcPr>
                  <w:tcW w:w="2895" w:type="dxa"/>
                  <w:tcBorders>
                    <w:tl2br w:val="nil"/>
                    <w:tr2bl w:val="nil"/>
                  </w:tcBorders>
                  <w:shd w:val="clear" w:color="auto" w:fill="auto"/>
                  <w:noWrap w:val="0"/>
                  <w:vAlign w:val="center"/>
                </w:tcPr>
                <w:p w14:paraId="78C378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抱机</w:t>
                  </w:r>
                </w:p>
              </w:tc>
              <w:tc>
                <w:tcPr>
                  <w:tcW w:w="1462" w:type="dxa"/>
                  <w:tcBorders>
                    <w:tl2br w:val="nil"/>
                    <w:tr2bl w:val="nil"/>
                  </w:tcBorders>
                  <w:shd w:val="clear" w:color="auto" w:fill="auto"/>
                  <w:noWrap w:val="0"/>
                  <w:vAlign w:val="center"/>
                </w:tcPr>
                <w:p w14:paraId="6F7596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c>
                <w:tcPr>
                  <w:tcW w:w="1629" w:type="dxa"/>
                  <w:tcBorders>
                    <w:tl2br w:val="nil"/>
                    <w:tr2bl w:val="nil"/>
                  </w:tcBorders>
                  <w:shd w:val="clear" w:color="auto" w:fill="auto"/>
                  <w:noWrap w:val="0"/>
                  <w:vAlign w:val="center"/>
                </w:tcPr>
                <w:p w14:paraId="43762ED1">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1381B4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14E29EA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9</w:t>
                  </w:r>
                </w:p>
              </w:tc>
              <w:tc>
                <w:tcPr>
                  <w:tcW w:w="2895" w:type="dxa"/>
                  <w:tcBorders>
                    <w:tl2br w:val="nil"/>
                    <w:tr2bl w:val="nil"/>
                  </w:tcBorders>
                  <w:shd w:val="clear" w:color="auto" w:fill="auto"/>
                  <w:noWrap w:val="0"/>
                  <w:vAlign w:val="center"/>
                </w:tcPr>
                <w:p w14:paraId="7A5306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推机</w:t>
                  </w:r>
                </w:p>
              </w:tc>
              <w:tc>
                <w:tcPr>
                  <w:tcW w:w="1462" w:type="dxa"/>
                  <w:tcBorders>
                    <w:tl2br w:val="nil"/>
                    <w:tr2bl w:val="nil"/>
                  </w:tcBorders>
                  <w:shd w:val="clear" w:color="auto" w:fill="auto"/>
                  <w:noWrap w:val="0"/>
                  <w:vAlign w:val="center"/>
                </w:tcPr>
                <w:p w14:paraId="675F8F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2</w:t>
                  </w:r>
                  <w:r>
                    <w:rPr>
                      <w:rFonts w:hint="eastAsia" w:ascii="Times New Roman" w:hAnsi="Times New Roman" w:eastAsia="宋体" w:cs="Times New Roman"/>
                      <w:bCs/>
                      <w:color w:val="000000"/>
                      <w:kern w:val="2"/>
                      <w:sz w:val="21"/>
                      <w:szCs w:val="21"/>
                      <w:u w:val="single" w:color="auto"/>
                      <w:lang w:val="en-US" w:eastAsia="zh-CN" w:bidi="ar-SA"/>
                    </w:rPr>
                    <w:t>台</w:t>
                  </w:r>
                </w:p>
              </w:tc>
              <w:tc>
                <w:tcPr>
                  <w:tcW w:w="1629" w:type="dxa"/>
                  <w:tcBorders>
                    <w:tl2br w:val="nil"/>
                    <w:tr2bl w:val="nil"/>
                  </w:tcBorders>
                  <w:shd w:val="clear" w:color="auto" w:fill="auto"/>
                  <w:noWrap w:val="0"/>
                  <w:vAlign w:val="center"/>
                </w:tcPr>
                <w:p w14:paraId="237D5E46">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85</w:t>
                  </w:r>
                </w:p>
              </w:tc>
            </w:tr>
            <w:tr w14:paraId="207B2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14:paraId="4B03B98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10</w:t>
                  </w:r>
                </w:p>
              </w:tc>
              <w:tc>
                <w:tcPr>
                  <w:tcW w:w="2895" w:type="dxa"/>
                  <w:tcBorders>
                    <w:tl2br w:val="nil"/>
                    <w:tr2bl w:val="nil"/>
                  </w:tcBorders>
                  <w:shd w:val="clear" w:color="auto" w:fill="auto"/>
                  <w:noWrap w:val="0"/>
                  <w:vAlign w:val="center"/>
                </w:tcPr>
                <w:p w14:paraId="7F0CA4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磁选机</w:t>
                  </w:r>
                </w:p>
              </w:tc>
              <w:tc>
                <w:tcPr>
                  <w:tcW w:w="1462" w:type="dxa"/>
                  <w:tcBorders>
                    <w:tl2br w:val="nil"/>
                    <w:tr2bl w:val="nil"/>
                  </w:tcBorders>
                  <w:shd w:val="clear" w:color="auto" w:fill="auto"/>
                  <w:noWrap w:val="0"/>
                  <w:vAlign w:val="center"/>
                </w:tcPr>
                <w:p w14:paraId="1E8C3E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1台</w:t>
                  </w:r>
                </w:p>
              </w:tc>
              <w:tc>
                <w:tcPr>
                  <w:tcW w:w="1629" w:type="dxa"/>
                  <w:tcBorders>
                    <w:tl2br w:val="nil"/>
                    <w:tr2bl w:val="nil"/>
                  </w:tcBorders>
                  <w:shd w:val="clear" w:color="auto" w:fill="auto"/>
                  <w:noWrap w:val="0"/>
                  <w:vAlign w:val="top"/>
                </w:tcPr>
                <w:p w14:paraId="478CEF14">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80</w:t>
                  </w:r>
                </w:p>
              </w:tc>
            </w:tr>
            <w:tr w14:paraId="420993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Pr>
                <w:p w14:paraId="4C1FDA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11</w:t>
                  </w:r>
                </w:p>
              </w:tc>
              <w:tc>
                <w:tcPr>
                  <w:tcW w:w="0" w:type="auto"/>
                  <w:shd w:val="clear" w:color="auto" w:fill="auto"/>
                  <w:vAlign w:val="center"/>
                </w:tcPr>
                <w:p w14:paraId="45E321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sz w:val="21"/>
                      <w:szCs w:val="21"/>
                      <w:u w:val="single" w:color="auto"/>
                      <w:lang w:val="en-US" w:eastAsia="zh-CN"/>
                    </w:rPr>
                    <w:t>喷淋装置</w:t>
                  </w:r>
                </w:p>
              </w:tc>
              <w:tc>
                <w:tcPr>
                  <w:tcW w:w="0" w:type="auto"/>
                  <w:shd w:val="clear" w:color="auto" w:fill="auto"/>
                  <w:vAlign w:val="center"/>
                </w:tcPr>
                <w:p w14:paraId="7FB8FE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kern w:val="2"/>
                      <w:sz w:val="21"/>
                      <w:szCs w:val="21"/>
                      <w:u w:val="single" w:color="auto"/>
                      <w:lang w:val="en-US" w:eastAsia="zh-CN" w:bidi="ar-SA"/>
                    </w:rPr>
                  </w:pPr>
                  <w:r>
                    <w:rPr>
                      <w:rFonts w:hint="eastAsia" w:ascii="Times New Roman" w:hAnsi="Times New Roman" w:eastAsia="宋体" w:cs="Times New Roman"/>
                      <w:bCs/>
                      <w:color w:val="000000"/>
                      <w:kern w:val="2"/>
                      <w:sz w:val="21"/>
                      <w:szCs w:val="21"/>
                      <w:u w:val="single" w:color="auto"/>
                      <w:lang w:val="en-US" w:eastAsia="zh-CN" w:bidi="ar-SA"/>
                    </w:rPr>
                    <w:t>6台</w:t>
                  </w:r>
                </w:p>
              </w:tc>
              <w:tc>
                <w:tcPr>
                  <w:tcW w:w="0" w:type="auto"/>
                  <w:shd w:val="clear" w:color="auto" w:fill="auto"/>
                  <w:vAlign w:val="top"/>
                </w:tcPr>
                <w:p w14:paraId="705B3496">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80</w:t>
                  </w:r>
                </w:p>
              </w:tc>
            </w:tr>
            <w:tr w14:paraId="54291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0" w:type="auto"/>
                </w:tcPr>
                <w:p w14:paraId="4DE37BE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12</w:t>
                  </w:r>
                </w:p>
              </w:tc>
              <w:tc>
                <w:tcPr>
                  <w:tcW w:w="0" w:type="auto"/>
                  <w:shd w:val="clear" w:color="auto" w:fill="auto"/>
                  <w:vAlign w:val="center"/>
                </w:tcPr>
                <w:p w14:paraId="7EC1D63F">
                  <w:pPr>
                    <w:keepNext w:val="0"/>
                    <w:keepLines w:val="0"/>
                    <w:widowControl/>
                    <w:suppressLineNumbers w:val="0"/>
                    <w:jc w:val="center"/>
                    <w:textAlignment w:val="center"/>
                    <w:rPr>
                      <w:rFonts w:hint="default" w:ascii="Times New Roman" w:hAnsi="Times New Roman" w:eastAsia="宋体" w:cs="Times New Roman"/>
                      <w:i w:val="0"/>
                      <w:iCs w:val="0"/>
                      <w:color w:val="3D3D3D"/>
                      <w:kern w:val="0"/>
                      <w:sz w:val="21"/>
                      <w:szCs w:val="21"/>
                      <w:u w:val="single" w:color="auto"/>
                      <w:lang w:val="en-US" w:eastAsia="zh-CN" w:bidi="ar"/>
                    </w:rPr>
                  </w:pPr>
                  <w:r>
                    <w:rPr>
                      <w:rFonts w:hint="eastAsia" w:ascii="Times New Roman" w:hAnsi="Times New Roman" w:eastAsia="宋体" w:cs="Times New Roman"/>
                      <w:i w:val="0"/>
                      <w:iCs w:val="0"/>
                      <w:color w:val="3D3D3D"/>
                      <w:kern w:val="0"/>
                      <w:sz w:val="21"/>
                      <w:szCs w:val="21"/>
                      <w:u w:val="single" w:color="auto"/>
                      <w:lang w:val="en-US" w:eastAsia="zh-CN" w:bidi="ar"/>
                    </w:rPr>
                    <w:t>风机</w:t>
                  </w:r>
                </w:p>
              </w:tc>
              <w:tc>
                <w:tcPr>
                  <w:tcW w:w="0" w:type="auto"/>
                  <w:shd w:val="clear" w:color="auto" w:fill="auto"/>
                  <w:vAlign w:val="center"/>
                </w:tcPr>
                <w:p w14:paraId="0421BE07">
                  <w:pPr>
                    <w:keepNext w:val="0"/>
                    <w:keepLines w:val="0"/>
                    <w:widowControl/>
                    <w:suppressLineNumbers w:val="0"/>
                    <w:jc w:val="center"/>
                    <w:textAlignment w:val="center"/>
                    <w:rPr>
                      <w:rFonts w:hint="eastAsia" w:ascii="Times New Roman" w:hAnsi="Times New Roman" w:eastAsia="宋体" w:cs="Times New Roman"/>
                      <w:i w:val="0"/>
                      <w:iCs w:val="0"/>
                      <w:color w:val="3D3D3D"/>
                      <w:kern w:val="0"/>
                      <w:sz w:val="21"/>
                      <w:szCs w:val="21"/>
                      <w:u w:val="single" w:color="auto"/>
                      <w:lang w:val="en-US" w:eastAsia="zh-CN" w:bidi="ar"/>
                    </w:rPr>
                  </w:pPr>
                  <w:r>
                    <w:rPr>
                      <w:rFonts w:hint="eastAsia" w:ascii="Times New Roman" w:hAnsi="Times New Roman" w:eastAsia="宋体" w:cs="Times New Roman"/>
                      <w:i w:val="0"/>
                      <w:iCs w:val="0"/>
                      <w:color w:val="3D3D3D"/>
                      <w:kern w:val="0"/>
                      <w:sz w:val="21"/>
                      <w:szCs w:val="21"/>
                      <w:u w:val="single" w:color="auto"/>
                      <w:lang w:val="en-US" w:eastAsia="zh-CN" w:bidi="ar"/>
                    </w:rPr>
                    <w:t>3台</w:t>
                  </w:r>
                </w:p>
              </w:tc>
              <w:tc>
                <w:tcPr>
                  <w:tcW w:w="0" w:type="auto"/>
                  <w:shd w:val="clear" w:color="auto" w:fill="auto"/>
                  <w:vAlign w:val="top"/>
                </w:tcPr>
                <w:p w14:paraId="25E61471">
                  <w:pPr>
                    <w:widowControl/>
                    <w:jc w:val="center"/>
                    <w:rPr>
                      <w:rFonts w:hint="default" w:ascii="Times New Roman" w:hAnsi="Times New Roman" w:eastAsia="宋体" w:cs="Times New Roman"/>
                      <w:b w:val="0"/>
                      <w:bCs w:val="0"/>
                      <w:color w:val="auto"/>
                      <w:kern w:val="2"/>
                      <w:sz w:val="21"/>
                      <w:szCs w:val="24"/>
                      <w:u w:val="single" w:color="auto"/>
                      <w:lang w:val="en-US" w:eastAsia="zh-CN" w:bidi="ar-SA"/>
                    </w:rPr>
                  </w:pPr>
                  <w:r>
                    <w:rPr>
                      <w:rFonts w:hint="eastAsia" w:ascii="Times New Roman" w:hAnsi="Times New Roman" w:eastAsia="宋体" w:cs="Times New Roman"/>
                      <w:b w:val="0"/>
                      <w:bCs w:val="0"/>
                      <w:color w:val="auto"/>
                      <w:kern w:val="2"/>
                      <w:sz w:val="21"/>
                      <w:szCs w:val="24"/>
                      <w:u w:val="single" w:color="auto"/>
                      <w:lang w:val="en-US" w:eastAsia="zh-CN" w:bidi="ar-SA"/>
                    </w:rPr>
                    <w:t>90</w:t>
                  </w:r>
                </w:p>
              </w:tc>
            </w:tr>
          </w:tbl>
          <w:p w14:paraId="0570D3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sz w:val="24"/>
                <w:szCs w:val="24"/>
                <w:u w:val="single" w:color="auto"/>
              </w:rPr>
            </w:pPr>
            <w:r>
              <w:rPr>
                <w:rFonts w:hint="eastAsia" w:cs="Times New Roman"/>
                <w:color w:val="auto"/>
                <w:sz w:val="24"/>
                <w:szCs w:val="24"/>
                <w:highlight w:val="none"/>
                <w:u w:val="single" w:color="auto"/>
                <w:lang w:val="en-US" w:eastAsia="zh-CN"/>
              </w:rPr>
              <w:t xml:space="preserve"> </w:t>
            </w:r>
            <w:r>
              <w:rPr>
                <w:rFonts w:hint="default" w:ascii="Times New Roman" w:hAnsi="Times New Roman" w:eastAsia="宋体" w:cs="Times New Roman"/>
                <w:b/>
                <w:bCs/>
                <w:color w:val="auto"/>
                <w:sz w:val="24"/>
                <w:szCs w:val="24"/>
                <w:u w:val="single" w:color="auto"/>
                <w:lang w:val="en-US" w:eastAsia="zh-CN"/>
              </w:rPr>
              <w:t xml:space="preserve"> 2、</w:t>
            </w:r>
            <w:r>
              <w:rPr>
                <w:rFonts w:hint="default" w:ascii="Times New Roman" w:hAnsi="Times New Roman" w:eastAsia="宋体" w:cs="Times New Roman"/>
                <w:b/>
                <w:bCs/>
                <w:color w:val="auto"/>
                <w:sz w:val="24"/>
                <w:szCs w:val="24"/>
                <w:u w:val="single" w:color="auto"/>
                <w:lang w:eastAsia="zh-CN"/>
              </w:rPr>
              <w:t>噪声环境影响预测</w:t>
            </w:r>
          </w:p>
          <w:p w14:paraId="0ED0AB66">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textAlignment w:val="baseline"/>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（1）预测内容</w:t>
            </w:r>
          </w:p>
          <w:p w14:paraId="72501C71">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根据《环境影响评价技术导则 声环境》（HJ2.4-2021）的相关要求，评价项目建成后厂界噪声是否达到《工业企业厂界环境噪声排放标准》（GB12348-2008）中的相应功能区标准。</w:t>
            </w:r>
          </w:p>
          <w:p w14:paraId="7DA99C77">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textAlignment w:val="baseline"/>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（2）预测模式</w:t>
            </w:r>
          </w:p>
          <w:p w14:paraId="519846F2">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根据《环境影响评价技术导则 声环境》（HJ2.4-2021），本次评价采用下述噪声预测模式：</w:t>
            </w:r>
          </w:p>
          <w:p w14:paraId="08FDDE98">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rPr>
                <w:rFonts w:hint="default" w:ascii="Times New Roman" w:hAnsi="Times New Roman" w:cs="Times New Roman"/>
                <w:color w:val="auto"/>
                <w:sz w:val="24"/>
                <w:szCs w:val="24"/>
                <w:u w:val="single" w:color="auto"/>
              </w:rPr>
            </w:pPr>
            <w:r>
              <w:rPr>
                <w:rFonts w:hint="default" w:ascii="Times New Roman" w:hAnsi="Times New Roman" w:cs="Times New Roman"/>
                <w:color w:val="auto"/>
                <w:spacing w:val="0"/>
                <w:sz w:val="24"/>
                <w:szCs w:val="24"/>
                <w:u w:val="single" w:color="auto"/>
                <w:lang w:val="en-US" w:eastAsia="zh-CN"/>
              </w:rPr>
              <w:t>①</w:t>
            </w:r>
            <w:r>
              <w:rPr>
                <w:rFonts w:hint="default" w:ascii="Times New Roman" w:hAnsi="Times New Roman" w:cs="Times New Roman"/>
                <w:color w:val="auto"/>
                <w:spacing w:val="-1"/>
                <w:sz w:val="24"/>
                <w:szCs w:val="24"/>
                <w:u w:val="single" w:color="auto"/>
              </w:rPr>
              <w:t>室内声源</w:t>
            </w:r>
          </w:p>
          <w:p w14:paraId="051AE9C4">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cs="Times New Roman"/>
                <w:sz w:val="24"/>
                <w:szCs w:val="24"/>
                <w:u w:val="single" w:color="auto"/>
              </w:rPr>
            </w:pPr>
            <w:r>
              <w:rPr>
                <w:rFonts w:hint="default" w:ascii="Times New Roman" w:hAnsi="Times New Roman" w:eastAsia="宋体" w:cs="Times New Roman"/>
                <w:color w:val="auto"/>
                <w:spacing w:val="0"/>
                <w:position w:val="0"/>
                <w:sz w:val="24"/>
                <w:szCs w:val="24"/>
                <w:u w:val="single" w:color="auto"/>
                <w:lang w:eastAsia="zh-CN"/>
              </w:rPr>
              <w:t>本项目位于室内的声源，室内声源采用等效室外声源声功率级法进行计算。</w:t>
            </w:r>
            <w:r>
              <w:rPr>
                <w:rFonts w:hint="default" w:ascii="Times New Roman" w:hAnsi="Times New Roman" w:cs="Times New Roman"/>
                <w:sz w:val="24"/>
                <w:szCs w:val="24"/>
                <w:u w:val="single" w:color="auto"/>
              </w:rPr>
              <w:t>首先计算出某个室内声源靠近围护结构出的声压级：</w:t>
            </w:r>
          </w:p>
          <w:p w14:paraId="47286AE1">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28"/>
                <w:sz w:val="24"/>
                <w:szCs w:val="24"/>
                <w:u w:val="single" w:color="auto"/>
              </w:rPr>
              <w:drawing>
                <wp:inline distT="0" distB="0" distL="114300" distR="114300">
                  <wp:extent cx="1754505" cy="436245"/>
                  <wp:effectExtent l="0" t="0" r="1714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1754505" cy="436245"/>
                          </a:xfrm>
                          <a:prstGeom prst="rect">
                            <a:avLst/>
                          </a:prstGeom>
                          <a:noFill/>
                          <a:ln>
                            <a:noFill/>
                          </a:ln>
                        </pic:spPr>
                      </pic:pic>
                    </a:graphicData>
                  </a:graphic>
                </wp:inline>
              </w:drawing>
            </w:r>
          </w:p>
          <w:p w14:paraId="21C948C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所有室内声源靠近围护结构处产生的声压级Lp1i（T），dB（A）：</w:t>
            </w:r>
          </w:p>
          <w:p w14:paraId="6C5970FA">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30"/>
                <w:sz w:val="24"/>
                <w:szCs w:val="24"/>
                <w:u w:val="single" w:color="auto"/>
              </w:rPr>
              <w:drawing>
                <wp:inline distT="0" distB="0" distL="114300" distR="114300">
                  <wp:extent cx="2137410" cy="499745"/>
                  <wp:effectExtent l="0" t="0" r="0" b="1524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2"/>
                          <a:stretch>
                            <a:fillRect/>
                          </a:stretch>
                        </pic:blipFill>
                        <pic:spPr>
                          <a:xfrm>
                            <a:off x="0" y="0"/>
                            <a:ext cx="2137410" cy="499745"/>
                          </a:xfrm>
                          <a:prstGeom prst="rect">
                            <a:avLst/>
                          </a:prstGeom>
                          <a:noFill/>
                          <a:ln>
                            <a:noFill/>
                          </a:ln>
                        </pic:spPr>
                      </pic:pic>
                    </a:graphicData>
                  </a:graphic>
                </wp:inline>
              </w:drawing>
            </w:r>
          </w:p>
          <w:p w14:paraId="17D2683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计算室外靠近围护结构处产生的声压级LP2i（T），dB（A）：</w:t>
            </w:r>
          </w:p>
          <w:p w14:paraId="600DF311">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12"/>
                <w:sz w:val="24"/>
                <w:szCs w:val="24"/>
                <w:u w:val="single" w:color="auto"/>
              </w:rPr>
              <w:drawing>
                <wp:inline distT="0" distB="0" distL="114300" distR="114300">
                  <wp:extent cx="1775460" cy="233680"/>
                  <wp:effectExtent l="0" t="0" r="15240"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1775460" cy="233680"/>
                          </a:xfrm>
                          <a:prstGeom prst="rect">
                            <a:avLst/>
                          </a:prstGeom>
                          <a:noFill/>
                          <a:ln>
                            <a:noFill/>
                          </a:ln>
                        </pic:spPr>
                      </pic:pic>
                    </a:graphicData>
                  </a:graphic>
                </wp:inline>
              </w:drawing>
            </w:r>
          </w:p>
          <w:p w14:paraId="1A699BB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将室外声压级LP2（T）换算成等效室外声源，计算出等效室外声源的声功率级LW，dB（A）：</w:t>
            </w:r>
          </w:p>
          <w:p w14:paraId="6AAD1C88">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12"/>
                <w:sz w:val="24"/>
                <w:szCs w:val="24"/>
                <w:u w:val="single" w:color="auto"/>
              </w:rPr>
              <w:drawing>
                <wp:inline distT="0" distB="0" distL="114300" distR="114300">
                  <wp:extent cx="1243965" cy="223520"/>
                  <wp:effectExtent l="0" t="0" r="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4"/>
                          <a:stretch>
                            <a:fillRect/>
                          </a:stretch>
                        </pic:blipFill>
                        <pic:spPr>
                          <a:xfrm>
                            <a:off x="0" y="0"/>
                            <a:ext cx="1243965" cy="223520"/>
                          </a:xfrm>
                          <a:prstGeom prst="rect">
                            <a:avLst/>
                          </a:prstGeom>
                          <a:noFill/>
                          <a:ln>
                            <a:noFill/>
                          </a:ln>
                        </pic:spPr>
                      </pic:pic>
                    </a:graphicData>
                  </a:graphic>
                </wp:inline>
              </w:drawing>
            </w:r>
          </w:p>
          <w:p w14:paraId="3C446C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等效室外声源的位置为围护结构的位置，由此按室外声源，计算出等效室外声源在预测点产生的声压级。</w:t>
            </w:r>
          </w:p>
          <w:p w14:paraId="381239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fldChar w:fldCharType="begin"/>
            </w:r>
            <w:r>
              <w:rPr>
                <w:rFonts w:hint="default" w:ascii="Times New Roman" w:hAnsi="Times New Roman" w:cs="Times New Roman"/>
                <w:sz w:val="24"/>
                <w:szCs w:val="24"/>
                <w:u w:val="single" w:color="auto"/>
              </w:rPr>
              <w:instrText xml:space="preserve"> = 2 \* GB3 \* MERGEFORMAT </w:instrText>
            </w:r>
            <w:r>
              <w:rPr>
                <w:rFonts w:hint="default" w:ascii="Times New Roman" w:hAnsi="Times New Roman" w:cs="Times New Roman"/>
                <w:sz w:val="24"/>
                <w:szCs w:val="24"/>
                <w:u w:val="single" w:color="auto"/>
              </w:rPr>
              <w:fldChar w:fldCharType="separate"/>
            </w:r>
            <w:r>
              <w:rPr>
                <w:rFonts w:hint="default" w:ascii="Times New Roman" w:hAnsi="Times New Roman" w:cs="Times New Roman"/>
                <w:sz w:val="24"/>
                <w:szCs w:val="24"/>
                <w:u w:val="single" w:color="auto"/>
              </w:rPr>
              <w:t>②</w:t>
            </w:r>
            <w:r>
              <w:rPr>
                <w:rFonts w:hint="default" w:ascii="Times New Roman" w:hAnsi="Times New Roman" w:cs="Times New Roman"/>
                <w:sz w:val="24"/>
                <w:szCs w:val="24"/>
                <w:u w:val="single" w:color="auto"/>
              </w:rPr>
              <w:fldChar w:fldCharType="end"/>
            </w:r>
            <w:r>
              <w:rPr>
                <w:rFonts w:hint="default" w:ascii="Times New Roman" w:hAnsi="Times New Roman" w:cs="Times New Roman"/>
                <w:sz w:val="24"/>
                <w:szCs w:val="24"/>
                <w:u w:val="single" w:color="auto"/>
              </w:rPr>
              <w:t>噪声贡献值计算</w:t>
            </w:r>
          </w:p>
          <w:p w14:paraId="5EC39EA4">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34"/>
                <w:sz w:val="24"/>
                <w:szCs w:val="24"/>
                <w:u w:val="single" w:color="auto"/>
              </w:rPr>
              <w:drawing>
                <wp:inline distT="0" distB="0" distL="114300" distR="114300">
                  <wp:extent cx="2945130" cy="457200"/>
                  <wp:effectExtent l="0" t="0" r="762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5"/>
                          <a:stretch>
                            <a:fillRect/>
                          </a:stretch>
                        </pic:blipFill>
                        <pic:spPr>
                          <a:xfrm>
                            <a:off x="0" y="0"/>
                            <a:ext cx="2945130" cy="457200"/>
                          </a:xfrm>
                          <a:prstGeom prst="rect">
                            <a:avLst/>
                          </a:prstGeom>
                          <a:noFill/>
                          <a:ln>
                            <a:noFill/>
                          </a:ln>
                        </pic:spPr>
                      </pic:pic>
                    </a:graphicData>
                  </a:graphic>
                </wp:inline>
              </w:drawing>
            </w:r>
          </w:p>
          <w:p w14:paraId="52E81A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fldChar w:fldCharType="begin"/>
            </w:r>
            <w:r>
              <w:rPr>
                <w:rFonts w:hint="default" w:ascii="Times New Roman" w:hAnsi="Times New Roman" w:cs="Times New Roman"/>
                <w:sz w:val="24"/>
                <w:szCs w:val="24"/>
                <w:u w:val="single" w:color="auto"/>
              </w:rPr>
              <w:instrText xml:space="preserve"> = 3 \* GB3 \* MERGEFORMAT </w:instrText>
            </w:r>
            <w:r>
              <w:rPr>
                <w:rFonts w:hint="default" w:ascii="Times New Roman" w:hAnsi="Times New Roman" w:cs="Times New Roman"/>
                <w:sz w:val="24"/>
                <w:szCs w:val="24"/>
                <w:u w:val="single" w:color="auto"/>
              </w:rPr>
              <w:fldChar w:fldCharType="separate"/>
            </w:r>
            <w:r>
              <w:rPr>
                <w:rFonts w:hint="default" w:ascii="Times New Roman" w:hAnsi="Times New Roman" w:cs="Times New Roman"/>
                <w:sz w:val="24"/>
                <w:szCs w:val="24"/>
                <w:u w:val="single" w:color="auto"/>
              </w:rPr>
              <w:t>③</w:t>
            </w:r>
            <w:r>
              <w:rPr>
                <w:rFonts w:hint="default" w:ascii="Times New Roman" w:hAnsi="Times New Roman" w:cs="Times New Roman"/>
                <w:sz w:val="24"/>
                <w:szCs w:val="24"/>
                <w:u w:val="single" w:color="auto"/>
              </w:rPr>
              <w:fldChar w:fldCharType="end"/>
            </w:r>
            <w:r>
              <w:rPr>
                <w:rFonts w:hint="default" w:ascii="Times New Roman" w:hAnsi="Times New Roman" w:cs="Times New Roman"/>
                <w:sz w:val="24"/>
                <w:szCs w:val="24"/>
                <w:u w:val="single" w:color="auto"/>
              </w:rPr>
              <w:t>噪声预测值的计算</w:t>
            </w:r>
          </w:p>
          <w:p w14:paraId="13C4D949">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cs="Times New Roman"/>
                <w:sz w:val="24"/>
                <w:szCs w:val="24"/>
                <w:u w:val="single" w:color="auto"/>
              </w:rPr>
            </w:pPr>
            <w:r>
              <w:rPr>
                <w:rFonts w:hint="default" w:ascii="Times New Roman" w:hAnsi="Times New Roman" w:cs="Times New Roman"/>
                <w:position w:val="-14"/>
                <w:sz w:val="24"/>
                <w:szCs w:val="24"/>
                <w:u w:val="single" w:color="auto"/>
              </w:rPr>
              <w:drawing>
                <wp:inline distT="0" distB="0" distL="114300" distR="114300">
                  <wp:extent cx="2254250" cy="266065"/>
                  <wp:effectExtent l="0" t="0" r="12700" b="63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6"/>
                          <a:stretch>
                            <a:fillRect/>
                          </a:stretch>
                        </pic:blipFill>
                        <pic:spPr>
                          <a:xfrm>
                            <a:off x="0" y="0"/>
                            <a:ext cx="2254250" cy="266065"/>
                          </a:xfrm>
                          <a:prstGeom prst="rect">
                            <a:avLst/>
                          </a:prstGeom>
                          <a:noFill/>
                          <a:ln>
                            <a:noFill/>
                          </a:ln>
                        </pic:spPr>
                      </pic:pic>
                    </a:graphicData>
                  </a:graphic>
                </wp:inline>
              </w:drawing>
            </w:r>
          </w:p>
          <w:p w14:paraId="6270FA9B">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式中：</w:t>
            </w:r>
            <w:r>
              <w:rPr>
                <w:rFonts w:hint="default" w:ascii="Times New Roman" w:hAnsi="Times New Roman" w:cs="Times New Roman"/>
                <w:sz w:val="24"/>
                <w:szCs w:val="24"/>
                <w:u w:val="single" w:color="auto"/>
              </w:rPr>
              <w:drawing>
                <wp:inline distT="0" distB="0" distL="114300" distR="114300">
                  <wp:extent cx="266065" cy="244475"/>
                  <wp:effectExtent l="0" t="0" r="635" b="254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7"/>
                          <a:stretch>
                            <a:fillRect/>
                          </a:stretch>
                        </pic:blipFill>
                        <pic:spPr>
                          <a:xfrm>
                            <a:off x="0" y="0"/>
                            <a:ext cx="266065" cy="244475"/>
                          </a:xfrm>
                          <a:prstGeom prst="rect">
                            <a:avLst/>
                          </a:prstGeom>
                          <a:noFill/>
                          <a:ln>
                            <a:noFill/>
                          </a:ln>
                        </pic:spPr>
                      </pic:pic>
                    </a:graphicData>
                  </a:graphic>
                </wp:inline>
              </w:drawing>
            </w:r>
            <w:r>
              <w:rPr>
                <w:rFonts w:hint="default" w:ascii="Times New Roman" w:hAnsi="Times New Roman" w:cs="Times New Roman"/>
                <w:sz w:val="24"/>
                <w:szCs w:val="24"/>
                <w:u w:val="single" w:color="auto"/>
              </w:rPr>
              <w:t>——建设项目声源在预测点的等效声级贡献值，dB（A）；</w:t>
            </w:r>
          </w:p>
          <w:p w14:paraId="166A688F">
            <w:pPr>
              <w:keepNext w:val="0"/>
              <w:keepLines w:val="0"/>
              <w:pageBreakBefore w:val="0"/>
              <w:widowControl w:val="0"/>
              <w:kinsoku/>
              <w:wordWrap/>
              <w:overflowPunct/>
              <w:topLinePunct w:val="0"/>
              <w:autoSpaceDE/>
              <w:autoSpaceDN/>
              <w:bidi w:val="0"/>
              <w:adjustRightInd/>
              <w:snapToGrid/>
              <w:spacing w:line="360" w:lineRule="auto"/>
              <w:ind w:firstLine="1200" w:firstLineChars="50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Leqb—— 预测点的背景值，dB（A）；</w:t>
            </w:r>
          </w:p>
          <w:p w14:paraId="75499F01">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fldChar w:fldCharType="begin"/>
            </w:r>
            <w:r>
              <w:rPr>
                <w:rFonts w:hint="default" w:ascii="Times New Roman" w:hAnsi="Times New Roman" w:cs="Times New Roman"/>
                <w:sz w:val="24"/>
                <w:szCs w:val="24"/>
                <w:u w:val="single" w:color="auto"/>
              </w:rPr>
              <w:instrText xml:space="preserve"> = 4 \* GB3 \* MERGEFORMAT </w:instrText>
            </w:r>
            <w:r>
              <w:rPr>
                <w:rFonts w:hint="default" w:ascii="Times New Roman" w:hAnsi="Times New Roman" w:cs="Times New Roman"/>
                <w:sz w:val="24"/>
                <w:szCs w:val="24"/>
                <w:u w:val="single" w:color="auto"/>
              </w:rPr>
              <w:fldChar w:fldCharType="separate"/>
            </w:r>
            <w:r>
              <w:rPr>
                <w:rFonts w:hint="default" w:ascii="Times New Roman" w:hAnsi="Times New Roman" w:cs="Times New Roman"/>
                <w:sz w:val="24"/>
                <w:szCs w:val="24"/>
                <w:u w:val="single" w:color="auto"/>
              </w:rPr>
              <w:t>④</w:t>
            </w:r>
            <w:r>
              <w:rPr>
                <w:rFonts w:hint="default" w:ascii="Times New Roman" w:hAnsi="Times New Roman" w:cs="Times New Roman"/>
                <w:sz w:val="24"/>
                <w:szCs w:val="24"/>
                <w:u w:val="single" w:color="auto"/>
              </w:rPr>
              <w:fldChar w:fldCharType="end"/>
            </w:r>
            <w:r>
              <w:rPr>
                <w:rFonts w:hint="default" w:ascii="Times New Roman" w:hAnsi="Times New Roman" w:cs="Times New Roman"/>
                <w:sz w:val="24"/>
                <w:szCs w:val="24"/>
                <w:u w:val="single" w:color="auto"/>
              </w:rPr>
              <w:t>户外声传播衰减公式</w:t>
            </w:r>
          </w:p>
          <w:p w14:paraId="0FF1858F">
            <w:pPr>
              <w:keepNext w:val="0"/>
              <w:keepLines w:val="0"/>
              <w:pageBreakBefore w:val="0"/>
              <w:widowControl w:val="0"/>
              <w:kinsoku/>
              <w:wordWrap/>
              <w:overflowPunct/>
              <w:topLinePunct w:val="0"/>
              <w:autoSpaceDE/>
              <w:autoSpaceDN/>
              <w:bidi w:val="0"/>
              <w:adjustRightInd/>
              <w:snapToGrid/>
              <w:spacing w:line="360" w:lineRule="auto"/>
              <w:ind w:firstLine="480"/>
              <w:jc w:val="center"/>
              <w:rPr>
                <w:rFonts w:hint="default" w:ascii="Times New Roman" w:hAnsi="Times New Roman" w:cs="Times New Roman"/>
                <w:sz w:val="24"/>
                <w:szCs w:val="24"/>
                <w:u w:val="single" w:color="auto"/>
              </w:rPr>
            </w:pPr>
            <w:r>
              <w:rPr>
                <w:rFonts w:hint="default" w:ascii="Times New Roman" w:hAnsi="Times New Roman" w:cs="Times New Roman"/>
                <w:position w:val="-14"/>
                <w:sz w:val="24"/>
                <w:szCs w:val="24"/>
                <w:u w:val="single" w:color="auto"/>
              </w:rPr>
              <w:drawing>
                <wp:inline distT="0" distB="0" distL="114300" distR="114300">
                  <wp:extent cx="2955925" cy="266065"/>
                  <wp:effectExtent l="0" t="0" r="15875" b="63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2955925" cy="266065"/>
                          </a:xfrm>
                          <a:prstGeom prst="rect">
                            <a:avLst/>
                          </a:prstGeom>
                          <a:noFill/>
                          <a:ln>
                            <a:noFill/>
                          </a:ln>
                        </pic:spPr>
                      </pic:pic>
                    </a:graphicData>
                  </a:graphic>
                </wp:inline>
              </w:drawing>
            </w:r>
          </w:p>
          <w:p w14:paraId="791AFF11">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fldChar w:fldCharType="begin"/>
            </w:r>
            <w:r>
              <w:rPr>
                <w:rFonts w:hint="default" w:ascii="Times New Roman" w:hAnsi="Times New Roman" w:cs="Times New Roman"/>
                <w:sz w:val="24"/>
                <w:szCs w:val="24"/>
                <w:u w:val="single" w:color="auto"/>
              </w:rPr>
              <w:instrText xml:space="preserve"> = 5 \* GB3 \* MERGEFORMAT </w:instrText>
            </w:r>
            <w:r>
              <w:rPr>
                <w:rFonts w:hint="default" w:ascii="Times New Roman" w:hAnsi="Times New Roman" w:cs="Times New Roman"/>
                <w:sz w:val="24"/>
                <w:szCs w:val="24"/>
                <w:u w:val="single" w:color="auto"/>
              </w:rPr>
              <w:fldChar w:fldCharType="separate"/>
            </w:r>
            <w:r>
              <w:rPr>
                <w:rFonts w:hint="default" w:ascii="Times New Roman" w:hAnsi="Times New Roman" w:cs="Times New Roman"/>
                <w:sz w:val="24"/>
                <w:szCs w:val="24"/>
                <w:u w:val="single" w:color="auto"/>
              </w:rPr>
              <w:t>⑤</w:t>
            </w:r>
            <w:r>
              <w:rPr>
                <w:rFonts w:hint="default" w:ascii="Times New Roman" w:hAnsi="Times New Roman" w:cs="Times New Roman"/>
                <w:sz w:val="24"/>
                <w:szCs w:val="24"/>
                <w:u w:val="single" w:color="auto"/>
              </w:rPr>
              <w:fldChar w:fldCharType="end"/>
            </w:r>
            <w:r>
              <w:rPr>
                <w:rFonts w:hint="default" w:ascii="Times New Roman" w:hAnsi="Times New Roman" w:cs="Times New Roman"/>
                <w:sz w:val="24"/>
                <w:szCs w:val="24"/>
                <w:u w:val="single" w:color="auto"/>
              </w:rPr>
              <w:t>点声源的几何发散衰减公式</w:t>
            </w:r>
          </w:p>
          <w:p w14:paraId="0988C34B">
            <w:pPr>
              <w:keepNext w:val="0"/>
              <w:keepLines w:val="0"/>
              <w:pageBreakBefore w:val="0"/>
              <w:widowControl w:val="0"/>
              <w:kinsoku/>
              <w:wordWrap/>
              <w:overflowPunct/>
              <w:topLinePunct w:val="0"/>
              <w:autoSpaceDE/>
              <w:autoSpaceDN/>
              <w:bidi w:val="0"/>
              <w:adjustRightInd/>
              <w:snapToGrid/>
              <w:spacing w:line="360" w:lineRule="auto"/>
              <w:ind w:firstLine="480"/>
              <w:jc w:val="center"/>
              <w:rPr>
                <w:rFonts w:hint="default" w:ascii="Times New Roman" w:hAnsi="Times New Roman" w:cs="Times New Roman"/>
                <w:sz w:val="24"/>
                <w:szCs w:val="24"/>
                <w:u w:val="single" w:color="auto"/>
              </w:rPr>
            </w:pPr>
            <w:r>
              <w:rPr>
                <w:rFonts w:hint="default" w:ascii="Times New Roman" w:hAnsi="Times New Roman" w:cs="Times New Roman"/>
                <w:position w:val="-24"/>
                <w:sz w:val="24"/>
                <w:szCs w:val="24"/>
                <w:u w:val="single" w:color="auto"/>
              </w:rPr>
              <w:drawing>
                <wp:inline distT="0" distB="0" distL="114300" distR="114300">
                  <wp:extent cx="2138045" cy="297815"/>
                  <wp:effectExtent l="0" t="0" r="0" b="635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9"/>
                          <a:stretch>
                            <a:fillRect/>
                          </a:stretch>
                        </pic:blipFill>
                        <pic:spPr>
                          <a:xfrm>
                            <a:off x="0" y="0"/>
                            <a:ext cx="2138045" cy="297815"/>
                          </a:xfrm>
                          <a:prstGeom prst="rect">
                            <a:avLst/>
                          </a:prstGeom>
                          <a:noFill/>
                          <a:ln>
                            <a:noFill/>
                          </a:ln>
                        </pic:spPr>
                      </pic:pic>
                    </a:graphicData>
                  </a:graphic>
                </wp:inline>
              </w:drawing>
            </w:r>
          </w:p>
          <w:p w14:paraId="044279FC">
            <w:pPr>
              <w:keepNext w:val="0"/>
              <w:keepLines w:val="0"/>
              <w:pageBreakBefore w:val="0"/>
              <w:widowControl w:val="0"/>
              <w:kinsoku/>
              <w:wordWrap/>
              <w:overflowPunct/>
              <w:topLinePunct w:val="0"/>
              <w:autoSpaceDE/>
              <w:autoSpaceDN/>
              <w:bidi w:val="0"/>
              <w:adjustRightInd/>
              <w:snapToGrid/>
              <w:spacing w:line="360" w:lineRule="auto"/>
              <w:ind w:firstLine="48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以上公式符号详见《环境影响评价技术导则 声环境》（HJ2.4-2021）。</w:t>
            </w:r>
          </w:p>
          <w:p w14:paraId="1078C27D">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sz w:val="24"/>
                <w:szCs w:val="24"/>
                <w:u w:val="single" w:color="auto"/>
              </w:rPr>
            </w:pPr>
            <w:r>
              <w:rPr>
                <w:rFonts w:hint="eastAsia" w:ascii="Times New Roman" w:hAnsi="Times New Roman" w:eastAsia="宋体" w:cs="Times New Roman"/>
                <w:b/>
                <w:bCs/>
                <w:color w:val="auto"/>
                <w:sz w:val="24"/>
                <w:szCs w:val="24"/>
                <w:u w:val="single" w:color="auto"/>
                <w:lang w:val="en-US" w:eastAsia="zh-CN"/>
              </w:rPr>
              <w:t>3、</w:t>
            </w:r>
            <w:r>
              <w:rPr>
                <w:rFonts w:hint="default" w:ascii="Times New Roman" w:hAnsi="Times New Roman" w:eastAsia="宋体" w:cs="Times New Roman"/>
                <w:b/>
                <w:bCs/>
                <w:color w:val="auto"/>
                <w:sz w:val="24"/>
                <w:szCs w:val="24"/>
                <w:u w:val="single" w:color="auto"/>
                <w:lang w:eastAsia="zh-CN"/>
              </w:rPr>
              <w:t>噪声源调查清单</w:t>
            </w:r>
          </w:p>
          <w:p w14:paraId="1919CA0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拟建项目噪声源衰减量包括遮挡物衰减量、空气吸收衰减量、地面效应引起的衰减量，其中主要为遮挡物衰减量，而空气和地面引起的衰减量与距离衰减相比很小。因此，本评价预测只考虑设备降噪和厂房围护结构引起的衰减量，其衰减量通过估算得到。根据工程分析，本项目采用的生产设备均位于厂房内，即属于室内声源，且属于工业企业噪声；本项目租赁</w:t>
            </w:r>
            <w:r>
              <w:rPr>
                <w:rFonts w:hint="eastAsia" w:ascii="Times New Roman" w:hAnsi="Times New Roman" w:eastAsia="宋体" w:cs="Times New Roman"/>
                <w:color w:val="000000"/>
                <w:sz w:val="24"/>
                <w:szCs w:val="24"/>
                <w:highlight w:val="none"/>
                <w:u w:val="single" w:color="auto"/>
                <w:lang w:val="en-US" w:eastAsia="zh-CN"/>
              </w:rPr>
              <w:t>湖南龙昶机械股份有限公司厂区</w:t>
            </w:r>
            <w:r>
              <w:rPr>
                <w:rFonts w:hint="default" w:ascii="Times New Roman" w:hAnsi="Times New Roman" w:cs="Times New Roman"/>
                <w:sz w:val="24"/>
                <w:szCs w:val="24"/>
                <w:u w:val="single" w:color="auto"/>
              </w:rPr>
              <w:t>内现有</w:t>
            </w:r>
            <w:r>
              <w:rPr>
                <w:rFonts w:hint="eastAsia" w:ascii="Times New Roman" w:hAnsi="Times New Roman" w:cs="Times New Roman"/>
                <w:sz w:val="24"/>
                <w:szCs w:val="24"/>
                <w:u w:val="single" w:color="auto"/>
                <w:lang w:val="en-US" w:eastAsia="zh-CN"/>
              </w:rPr>
              <w:t>1</w:t>
            </w:r>
            <w:r>
              <w:rPr>
                <w:rFonts w:hint="default" w:ascii="Times New Roman" w:hAnsi="Times New Roman" w:cs="Times New Roman"/>
                <w:sz w:val="24"/>
                <w:szCs w:val="24"/>
                <w:u w:val="single" w:color="auto"/>
              </w:rPr>
              <w:t>栋标准厂房作为生产厂房</w:t>
            </w:r>
            <w:r>
              <w:rPr>
                <w:rFonts w:hint="eastAsia" w:ascii="Times New Roman" w:hAnsi="Times New Roman" w:cs="Times New Roman"/>
                <w:sz w:val="24"/>
                <w:szCs w:val="24"/>
                <w:u w:val="single" w:color="auto"/>
                <w:lang w:eastAsia="zh-CN"/>
              </w:rPr>
              <w:t>，</w:t>
            </w:r>
            <w:r>
              <w:rPr>
                <w:rFonts w:hint="default" w:ascii="Times New Roman" w:hAnsi="Times New Roman" w:cs="Times New Roman"/>
                <w:sz w:val="24"/>
                <w:szCs w:val="24"/>
                <w:u w:val="single" w:color="auto"/>
              </w:rPr>
              <w:t>没有明显的厂区边界，则本项目营运期噪声不涉及户外声传播衰减。因此，本次评价对项目生产厂房的四周噪声贡献值进行预测，以判定厂界噪声达标情况。</w:t>
            </w:r>
          </w:p>
          <w:p w14:paraId="629BB973">
            <w:pPr>
              <w:spacing w:line="360" w:lineRule="auto"/>
              <w:ind w:firstLine="480" w:firstLineChars="200"/>
              <w:rPr>
                <w:rFonts w:hint="default" w:cs="Times New Roman"/>
                <w:color w:val="auto"/>
                <w:sz w:val="24"/>
                <w:szCs w:val="24"/>
                <w:u w:val="none" w:color="auto"/>
                <w:lang w:val="en-US" w:eastAsia="zh-CN"/>
              </w:rPr>
            </w:pPr>
            <w:r>
              <w:rPr>
                <w:rFonts w:hint="default" w:ascii="Times New Roman" w:hAnsi="Times New Roman" w:cs="Times New Roman"/>
                <w:sz w:val="24"/>
                <w:szCs w:val="24"/>
                <w:u w:val="single" w:color="auto"/>
              </w:rPr>
              <w:t>本项目噪声源调查清单详见表</w:t>
            </w:r>
            <w:r>
              <w:rPr>
                <w:rFonts w:hint="default" w:ascii="Times New Roman" w:hAnsi="Times New Roman" w:cs="Times New Roman"/>
                <w:sz w:val="24"/>
                <w:szCs w:val="24"/>
                <w:u w:val="single" w:color="auto"/>
                <w:lang w:val="en-US" w:eastAsia="zh-CN"/>
              </w:rPr>
              <w:t>4-</w:t>
            </w:r>
            <w:r>
              <w:rPr>
                <w:rFonts w:hint="eastAsia" w:ascii="Times New Roman" w:hAnsi="Times New Roman" w:cs="Times New Roman"/>
                <w:sz w:val="24"/>
                <w:szCs w:val="24"/>
                <w:u w:val="single" w:color="auto"/>
                <w:lang w:val="en-US" w:eastAsia="zh-CN"/>
              </w:rPr>
              <w:t>1</w:t>
            </w:r>
            <w:r>
              <w:rPr>
                <w:rFonts w:hint="eastAsia" w:cs="Times New Roman"/>
                <w:sz w:val="24"/>
                <w:szCs w:val="24"/>
                <w:u w:val="single" w:color="auto"/>
                <w:lang w:val="en-US" w:eastAsia="zh-CN"/>
              </w:rPr>
              <w:t>2</w:t>
            </w:r>
            <w:r>
              <w:rPr>
                <w:rFonts w:hint="default" w:ascii="Times New Roman" w:hAnsi="Times New Roman" w:cs="Times New Roman"/>
                <w:sz w:val="24"/>
                <w:szCs w:val="24"/>
                <w:u w:val="single" w:color="auto"/>
                <w:lang w:eastAsia="zh-CN"/>
              </w:rPr>
              <w:t>，</w:t>
            </w:r>
            <w:r>
              <w:rPr>
                <w:rFonts w:hint="default" w:ascii="Times New Roman" w:hAnsi="Times New Roman" w:cs="Times New Roman"/>
                <w:sz w:val="24"/>
                <w:szCs w:val="24"/>
                <w:u w:val="single" w:color="auto"/>
              </w:rPr>
              <w:t>空间相对位置以</w:t>
            </w:r>
            <w:r>
              <w:rPr>
                <w:rFonts w:hint="default" w:ascii="Times New Roman" w:hAnsi="Times New Roman" w:cs="Times New Roman"/>
                <w:color w:val="auto"/>
                <w:sz w:val="24"/>
                <w:szCs w:val="24"/>
                <w:u w:val="single" w:color="auto"/>
              </w:rPr>
              <w:t>厂界</w:t>
            </w:r>
            <w:r>
              <w:rPr>
                <w:rFonts w:hint="eastAsia" w:ascii="Times New Roman" w:hAnsi="Times New Roman" w:cs="Times New Roman"/>
                <w:color w:val="auto"/>
                <w:sz w:val="24"/>
                <w:szCs w:val="24"/>
                <w:u w:val="single" w:color="auto"/>
                <w:lang w:val="en-US" w:eastAsia="zh-CN"/>
              </w:rPr>
              <w:t>东南角</w:t>
            </w:r>
            <w:r>
              <w:rPr>
                <w:rFonts w:hint="default" w:ascii="Times New Roman" w:hAnsi="Times New Roman" w:cs="Times New Roman" w:eastAsiaTheme="minorEastAsia"/>
                <w:b w:val="0"/>
                <w:bCs/>
                <w:sz w:val="24"/>
                <w:szCs w:val="24"/>
                <w:u w:val="single" w:color="auto"/>
                <w:lang w:val="en-US" w:eastAsia="zh-CN"/>
              </w:rPr>
              <w:t>（</w:t>
            </w:r>
            <w:r>
              <w:rPr>
                <w:rFonts w:hint="default" w:ascii="Times New Roman" w:hAnsi="Times New Roman" w:cs="Times New Roman" w:eastAsiaTheme="minorEastAsia"/>
                <w:b w:val="0"/>
                <w:bCs/>
                <w:color w:val="000000" w:themeColor="text1"/>
                <w:sz w:val="24"/>
                <w:szCs w:val="24"/>
                <w:u w:val="single" w:color="auto"/>
                <w:lang w:val="en-US" w:eastAsia="zh-CN"/>
                <w14:textFill>
                  <w14:solidFill>
                    <w14:schemeClr w14:val="tx1"/>
                  </w14:solidFill>
                </w14:textFill>
              </w:rPr>
              <w:t>112°11′20.742″</w:t>
            </w:r>
            <w:r>
              <w:rPr>
                <w:rFonts w:hint="eastAsia" w:ascii="Times New Roman" w:hAnsi="Times New Roman" w:cs="Times New Roman" w:eastAsiaTheme="minorEastAsia"/>
                <w:b w:val="0"/>
                <w:bCs/>
                <w:color w:val="000000" w:themeColor="text1"/>
                <w:sz w:val="24"/>
                <w:szCs w:val="24"/>
                <w:u w:val="single" w:color="auto"/>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4"/>
                <w:szCs w:val="24"/>
                <w:u w:val="single" w:color="auto"/>
                <w:lang w:val="en-US" w:eastAsia="zh-CN"/>
                <w14:textFill>
                  <w14:solidFill>
                    <w14:schemeClr w14:val="tx1"/>
                  </w14:solidFill>
                </w14:textFill>
              </w:rPr>
              <w:t>25°53′52.461″</w:t>
            </w:r>
            <w:r>
              <w:rPr>
                <w:rFonts w:hint="default" w:ascii="Times New Roman" w:hAnsi="Times New Roman" w:cs="Times New Roman" w:eastAsiaTheme="minorEastAsia"/>
                <w:b w:val="0"/>
                <w:bCs/>
                <w:sz w:val="24"/>
                <w:szCs w:val="24"/>
                <w:u w:val="single" w:color="auto"/>
                <w:lang w:val="en-US" w:eastAsia="zh-CN"/>
              </w:rPr>
              <w:t>）</w:t>
            </w:r>
            <w:r>
              <w:rPr>
                <w:rFonts w:hint="default" w:ascii="Times New Roman" w:hAnsi="Times New Roman" w:cs="Times New Roman"/>
                <w:color w:val="auto"/>
                <w:sz w:val="24"/>
                <w:szCs w:val="24"/>
                <w:u w:val="single" w:color="auto"/>
              </w:rPr>
              <w:t>为坐标原点</w:t>
            </w:r>
            <w:r>
              <w:rPr>
                <w:rFonts w:hint="default" w:ascii="Times New Roman" w:hAnsi="Times New Roman" w:cs="Times New Roman"/>
                <w:color w:val="auto"/>
                <w:sz w:val="24"/>
                <w:szCs w:val="24"/>
                <w:u w:val="single" w:color="auto"/>
                <w:lang w:eastAsia="zh-CN"/>
              </w:rPr>
              <w:t>。</w:t>
            </w:r>
            <w:r>
              <w:rPr>
                <w:rFonts w:hint="eastAsia" w:ascii="Times New Roman" w:hAnsi="Times New Roman" w:cs="Times New Roman"/>
                <w:color w:val="auto"/>
                <w:sz w:val="24"/>
                <w:szCs w:val="24"/>
                <w:u w:val="single" w:color="auto"/>
                <w:lang w:val="en-US" w:eastAsia="zh-CN"/>
              </w:rPr>
              <w:t>且本项目无室外噪声源</w:t>
            </w:r>
            <w:r>
              <w:rPr>
                <w:rFonts w:hint="eastAsia" w:cs="Times New Roman"/>
                <w:color w:val="auto"/>
                <w:sz w:val="24"/>
                <w:szCs w:val="24"/>
                <w:u w:val="single" w:color="auto"/>
                <w:lang w:val="en-US" w:eastAsia="zh-CN"/>
              </w:rPr>
              <w:t>。</w:t>
            </w:r>
          </w:p>
        </w:tc>
      </w:tr>
    </w:tbl>
    <w:p w14:paraId="6FD282D6">
      <w:pPr>
        <w:numPr>
          <w:ilvl w:val="0"/>
          <w:numId w:val="0"/>
        </w:num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13839"/>
      </w:tblGrid>
      <w:tr w14:paraId="6C5E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dxa"/>
          </w:tcPr>
          <w:p w14:paraId="71F729BA">
            <w:pPr>
              <w:numPr>
                <w:ilvl w:val="0"/>
                <w:numId w:val="0"/>
              </w:numPr>
              <w:rPr>
                <w:rFonts w:hint="eastAsia"/>
                <w:vertAlign w:val="baseline"/>
                <w:lang w:val="en-US" w:eastAsia="zh-CN"/>
              </w:rPr>
            </w:pPr>
          </w:p>
        </w:tc>
        <w:tc>
          <w:tcPr>
            <w:tcW w:w="13839" w:type="dxa"/>
          </w:tcPr>
          <w:p w14:paraId="668C9898">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highlight w:val="none"/>
                <w:u w:val="single" w:color="auto"/>
                <w:lang w:val="en-US" w:eastAsia="zh-CN"/>
              </w:rPr>
            </w:pPr>
            <w:r>
              <w:rPr>
                <w:rFonts w:hint="eastAsia" w:ascii="Times New Roman" w:hAnsi="Times New Roman" w:eastAsia="宋体" w:cs="Times New Roman"/>
                <w:b/>
                <w:color w:val="000000"/>
                <w:sz w:val="21"/>
                <w:szCs w:val="21"/>
                <w:highlight w:val="none"/>
                <w:u w:val="single" w:color="auto"/>
                <w:lang w:val="en-US" w:eastAsia="zh-CN"/>
              </w:rPr>
              <w:t>表4-12  工业企业噪声源强调查清单（室内声源）</w:t>
            </w:r>
          </w:p>
          <w:tbl>
            <w:tblPr>
              <w:tblStyle w:val="27"/>
              <w:tblW w:w="49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50"/>
              <w:gridCol w:w="708"/>
              <w:gridCol w:w="397"/>
              <w:gridCol w:w="645"/>
              <w:gridCol w:w="641"/>
              <w:gridCol w:w="621"/>
              <w:gridCol w:w="368"/>
              <w:gridCol w:w="621"/>
              <w:gridCol w:w="641"/>
              <w:gridCol w:w="621"/>
              <w:gridCol w:w="621"/>
              <w:gridCol w:w="621"/>
              <w:gridCol w:w="621"/>
              <w:gridCol w:w="621"/>
              <w:gridCol w:w="621"/>
              <w:gridCol w:w="442"/>
              <w:gridCol w:w="711"/>
              <w:gridCol w:w="621"/>
              <w:gridCol w:w="621"/>
              <w:gridCol w:w="621"/>
              <w:gridCol w:w="621"/>
            </w:tblGrid>
            <w:tr w14:paraId="66C8D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tblHeader/>
                <w:jc w:val="center"/>
              </w:trPr>
              <w:tc>
                <w:tcPr>
                  <w:tcW w:w="397" w:type="dxa"/>
                  <w:vMerge w:val="restart"/>
                  <w:tcBorders>
                    <w:tl2br w:val="nil"/>
                    <w:tr2bl w:val="nil"/>
                  </w:tcBorders>
                  <w:noWrap w:val="0"/>
                  <w:vAlign w:val="center"/>
                </w:tcPr>
                <w:p w14:paraId="4024CE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建筑物名称</w:t>
                  </w:r>
                </w:p>
              </w:tc>
              <w:tc>
                <w:tcPr>
                  <w:tcW w:w="1050" w:type="dxa"/>
                  <w:vMerge w:val="restart"/>
                  <w:tcBorders>
                    <w:tl2br w:val="nil"/>
                    <w:tr2bl w:val="nil"/>
                  </w:tcBorders>
                  <w:noWrap w:val="0"/>
                  <w:vAlign w:val="center"/>
                </w:tcPr>
                <w:p w14:paraId="700985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声源名称</w:t>
                  </w:r>
                </w:p>
              </w:tc>
              <w:tc>
                <w:tcPr>
                  <w:tcW w:w="708" w:type="dxa"/>
                  <w:vMerge w:val="restart"/>
                  <w:tcBorders>
                    <w:tl2br w:val="nil"/>
                    <w:tr2bl w:val="nil"/>
                  </w:tcBorders>
                  <w:noWrap w:val="0"/>
                  <w:vAlign w:val="center"/>
                </w:tcPr>
                <w:p w14:paraId="19C219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highlight w:val="none"/>
                      <w:u w:val="single" w:color="auto"/>
                      <w:lang w:eastAsia="zh-CN"/>
                    </w:rPr>
                  </w:pPr>
                  <w:r>
                    <w:rPr>
                      <w:rFonts w:hint="default" w:ascii="Times New Roman" w:hAnsi="Times New Roman" w:cs="Times New Roman"/>
                      <w:b/>
                      <w:bCs/>
                      <w:color w:val="auto"/>
                      <w:kern w:val="0"/>
                      <w:sz w:val="18"/>
                      <w:szCs w:val="18"/>
                      <w:highlight w:val="none"/>
                      <w:u w:val="single" w:color="auto"/>
                      <w:lang w:bidi="ar"/>
                    </w:rPr>
                    <w:t>声压级</w:t>
                  </w:r>
                  <w:r>
                    <w:rPr>
                      <w:rFonts w:hint="default" w:ascii="Times New Roman" w:hAnsi="Times New Roman" w:cs="Times New Roman"/>
                      <w:b/>
                      <w:bCs/>
                      <w:snapToGrid w:val="0"/>
                      <w:color w:val="auto"/>
                      <w:kern w:val="0"/>
                      <w:sz w:val="18"/>
                      <w:szCs w:val="18"/>
                      <w:highlight w:val="none"/>
                      <w:u w:val="single" w:color="auto"/>
                      <w:lang w:bidi="ar"/>
                    </w:rPr>
                    <w:t>dB</w:t>
                  </w:r>
                  <w:r>
                    <w:rPr>
                      <w:rFonts w:hint="default" w:ascii="Times New Roman" w:hAnsi="Times New Roman" w:cs="Times New Roman"/>
                      <w:b/>
                      <w:bCs/>
                      <w:snapToGrid w:val="0"/>
                      <w:color w:val="auto"/>
                      <w:kern w:val="0"/>
                      <w:sz w:val="18"/>
                      <w:szCs w:val="18"/>
                      <w:highlight w:val="none"/>
                      <w:u w:val="single" w:color="auto"/>
                      <w:lang w:eastAsia="zh-CN" w:bidi="ar"/>
                    </w:rPr>
                    <w:t>（</w:t>
                  </w:r>
                  <w:r>
                    <w:rPr>
                      <w:rFonts w:hint="default" w:ascii="Times New Roman" w:hAnsi="Times New Roman" w:cs="Times New Roman"/>
                      <w:b/>
                      <w:bCs/>
                      <w:snapToGrid w:val="0"/>
                      <w:color w:val="auto"/>
                      <w:kern w:val="0"/>
                      <w:sz w:val="18"/>
                      <w:szCs w:val="18"/>
                      <w:highlight w:val="none"/>
                      <w:u w:val="single" w:color="auto"/>
                      <w:lang w:bidi="ar"/>
                    </w:rPr>
                    <w:t>A</w:t>
                  </w:r>
                  <w:r>
                    <w:rPr>
                      <w:rFonts w:hint="default" w:ascii="Times New Roman" w:hAnsi="Times New Roman" w:cs="Times New Roman"/>
                      <w:b/>
                      <w:bCs/>
                      <w:snapToGrid w:val="0"/>
                      <w:color w:val="auto"/>
                      <w:kern w:val="0"/>
                      <w:sz w:val="18"/>
                      <w:szCs w:val="18"/>
                      <w:highlight w:val="none"/>
                      <w:u w:val="single" w:color="auto"/>
                      <w:lang w:eastAsia="zh-CN" w:bidi="ar"/>
                    </w:rPr>
                    <w:t>）</w:t>
                  </w:r>
                </w:p>
              </w:tc>
              <w:tc>
                <w:tcPr>
                  <w:tcW w:w="397" w:type="dxa"/>
                  <w:vMerge w:val="restart"/>
                  <w:tcBorders>
                    <w:tl2br w:val="nil"/>
                    <w:tr2bl w:val="nil"/>
                  </w:tcBorders>
                  <w:noWrap w:val="0"/>
                  <w:vAlign w:val="center"/>
                </w:tcPr>
                <w:p w14:paraId="0649EF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距声源距离m</w:t>
                  </w:r>
                </w:p>
              </w:tc>
              <w:tc>
                <w:tcPr>
                  <w:tcW w:w="645" w:type="dxa"/>
                  <w:vMerge w:val="restart"/>
                  <w:tcBorders>
                    <w:tl2br w:val="nil"/>
                    <w:tr2bl w:val="nil"/>
                  </w:tcBorders>
                  <w:noWrap w:val="0"/>
                  <w:vAlign w:val="center"/>
                </w:tcPr>
                <w:p w14:paraId="30D06F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声源控制措施</w:t>
                  </w:r>
                </w:p>
              </w:tc>
              <w:tc>
                <w:tcPr>
                  <w:tcW w:w="1630" w:type="dxa"/>
                  <w:gridSpan w:val="3"/>
                  <w:tcBorders>
                    <w:tl2br w:val="nil"/>
                    <w:tr2bl w:val="nil"/>
                  </w:tcBorders>
                  <w:noWrap w:val="0"/>
                  <w:vAlign w:val="center"/>
                </w:tcPr>
                <w:p w14:paraId="060892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空间相对位置</w:t>
                  </w:r>
                  <w:r>
                    <w:rPr>
                      <w:rFonts w:hint="default" w:ascii="Times New Roman" w:hAnsi="Times New Roman" w:cs="Times New Roman"/>
                      <w:b/>
                      <w:bCs/>
                      <w:snapToGrid w:val="0"/>
                      <w:color w:val="auto"/>
                      <w:kern w:val="0"/>
                      <w:sz w:val="18"/>
                      <w:szCs w:val="18"/>
                      <w:highlight w:val="none"/>
                      <w:u w:val="single" w:color="auto"/>
                      <w:lang w:bidi="ar"/>
                    </w:rPr>
                    <w:t>/m</w:t>
                  </w:r>
                </w:p>
              </w:tc>
              <w:tc>
                <w:tcPr>
                  <w:tcW w:w="2504" w:type="dxa"/>
                  <w:gridSpan w:val="4"/>
                  <w:tcBorders>
                    <w:tl2br w:val="nil"/>
                    <w:tr2bl w:val="nil"/>
                  </w:tcBorders>
                  <w:noWrap w:val="0"/>
                  <w:vAlign w:val="center"/>
                </w:tcPr>
                <w:p w14:paraId="48A802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距室内边界距离</w:t>
                  </w:r>
                  <w:r>
                    <w:rPr>
                      <w:rFonts w:hint="default" w:ascii="Times New Roman" w:hAnsi="Times New Roman" w:cs="Times New Roman"/>
                      <w:b/>
                      <w:bCs/>
                      <w:snapToGrid w:val="0"/>
                      <w:color w:val="auto"/>
                      <w:kern w:val="0"/>
                      <w:sz w:val="18"/>
                      <w:szCs w:val="18"/>
                      <w:highlight w:val="none"/>
                      <w:u w:val="single" w:color="auto"/>
                      <w:lang w:bidi="ar"/>
                    </w:rPr>
                    <w:t>/m</w:t>
                  </w:r>
                </w:p>
              </w:tc>
              <w:tc>
                <w:tcPr>
                  <w:tcW w:w="2484" w:type="dxa"/>
                  <w:gridSpan w:val="4"/>
                  <w:tcBorders>
                    <w:tl2br w:val="nil"/>
                    <w:tr2bl w:val="nil"/>
                  </w:tcBorders>
                  <w:noWrap w:val="0"/>
                  <w:vAlign w:val="center"/>
                </w:tcPr>
                <w:p w14:paraId="1A2003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室内边界声级</w:t>
                  </w:r>
                  <w:r>
                    <w:rPr>
                      <w:rFonts w:hint="default" w:ascii="Times New Roman" w:hAnsi="Times New Roman" w:cs="Times New Roman"/>
                      <w:b/>
                      <w:bCs/>
                      <w:snapToGrid w:val="0"/>
                      <w:color w:val="auto"/>
                      <w:kern w:val="0"/>
                      <w:sz w:val="18"/>
                      <w:szCs w:val="18"/>
                      <w:highlight w:val="none"/>
                      <w:u w:val="single" w:color="auto"/>
                      <w:lang w:bidi="ar"/>
                    </w:rPr>
                    <w:t>/dB（A）</w:t>
                  </w:r>
                </w:p>
              </w:tc>
              <w:tc>
                <w:tcPr>
                  <w:tcW w:w="442" w:type="dxa"/>
                  <w:vMerge w:val="restart"/>
                  <w:tcBorders>
                    <w:tl2br w:val="nil"/>
                    <w:tr2bl w:val="nil"/>
                  </w:tcBorders>
                  <w:noWrap w:val="0"/>
                  <w:vAlign w:val="center"/>
                </w:tcPr>
                <w:p w14:paraId="0E0B1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运行时段</w:t>
                  </w:r>
                </w:p>
              </w:tc>
              <w:tc>
                <w:tcPr>
                  <w:tcW w:w="711" w:type="dxa"/>
                  <w:vMerge w:val="restart"/>
                  <w:tcBorders>
                    <w:tl2br w:val="nil"/>
                    <w:tr2bl w:val="nil"/>
                  </w:tcBorders>
                  <w:noWrap w:val="0"/>
                  <w:vAlign w:val="center"/>
                </w:tcPr>
                <w:p w14:paraId="450AC4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highlight w:val="none"/>
                      <w:u w:val="single" w:color="auto"/>
                    </w:rPr>
                  </w:pPr>
                  <w:r>
                    <w:rPr>
                      <w:rFonts w:hint="default" w:ascii="Times New Roman" w:hAnsi="Times New Roman" w:cs="Times New Roman"/>
                      <w:b/>
                      <w:bCs/>
                      <w:color w:val="auto"/>
                      <w:kern w:val="0"/>
                      <w:sz w:val="18"/>
                      <w:szCs w:val="18"/>
                      <w:highlight w:val="none"/>
                      <w:u w:val="single" w:color="auto"/>
                      <w:lang w:bidi="ar"/>
                    </w:rPr>
                    <w:t>建筑物插入损失</w:t>
                  </w:r>
                  <w:r>
                    <w:rPr>
                      <w:rFonts w:hint="default" w:ascii="Times New Roman" w:hAnsi="Times New Roman" w:cs="Times New Roman"/>
                      <w:b/>
                      <w:bCs/>
                      <w:snapToGrid w:val="0"/>
                      <w:color w:val="auto"/>
                      <w:kern w:val="0"/>
                      <w:sz w:val="18"/>
                      <w:szCs w:val="18"/>
                      <w:highlight w:val="none"/>
                      <w:u w:val="single" w:color="auto"/>
                      <w:lang w:bidi="ar"/>
                    </w:rPr>
                    <w:t>/dB（A）</w:t>
                  </w:r>
                </w:p>
              </w:tc>
              <w:tc>
                <w:tcPr>
                  <w:tcW w:w="2484" w:type="dxa"/>
                  <w:gridSpan w:val="4"/>
                  <w:tcBorders>
                    <w:tl2br w:val="nil"/>
                    <w:tr2bl w:val="nil"/>
                  </w:tcBorders>
                  <w:noWrap w:val="0"/>
                  <w:vAlign w:val="center"/>
                </w:tcPr>
                <w:p w14:paraId="0A07E7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18"/>
                      <w:szCs w:val="18"/>
                      <w:highlight w:val="none"/>
                      <w:u w:val="single" w:color="auto"/>
                      <w:lang w:eastAsia="zh-CN"/>
                    </w:rPr>
                  </w:pPr>
                  <w:r>
                    <w:rPr>
                      <w:rFonts w:hint="default" w:ascii="Times New Roman" w:hAnsi="Times New Roman" w:cs="Times New Roman"/>
                      <w:b/>
                      <w:bCs/>
                      <w:color w:val="auto"/>
                      <w:kern w:val="0"/>
                      <w:sz w:val="18"/>
                      <w:szCs w:val="18"/>
                      <w:highlight w:val="none"/>
                      <w:u w:val="single" w:color="auto"/>
                      <w:lang w:bidi="ar"/>
                    </w:rPr>
                    <w:t>建筑物外声压级</w:t>
                  </w:r>
                  <w:r>
                    <w:rPr>
                      <w:rFonts w:hint="default" w:ascii="Times New Roman" w:hAnsi="Times New Roman" w:cs="Times New Roman"/>
                      <w:b/>
                      <w:bCs/>
                      <w:color w:val="auto"/>
                      <w:kern w:val="0"/>
                      <w:sz w:val="18"/>
                      <w:szCs w:val="18"/>
                      <w:highlight w:val="none"/>
                      <w:u w:val="single" w:color="auto"/>
                      <w:lang w:eastAsia="zh-CN" w:bidi="ar"/>
                    </w:rPr>
                    <w:t>（</w:t>
                  </w:r>
                  <w:r>
                    <w:rPr>
                      <w:rFonts w:hint="default" w:ascii="Times New Roman" w:hAnsi="Times New Roman" w:cs="Times New Roman"/>
                      <w:b/>
                      <w:bCs/>
                      <w:color w:val="auto"/>
                      <w:kern w:val="0"/>
                      <w:sz w:val="18"/>
                      <w:szCs w:val="18"/>
                      <w:highlight w:val="none"/>
                      <w:u w:val="single" w:color="auto"/>
                      <w:lang w:bidi="ar"/>
                    </w:rPr>
                    <w:t>dB</w:t>
                  </w:r>
                  <w:r>
                    <w:rPr>
                      <w:rFonts w:hint="default" w:ascii="Times New Roman" w:hAnsi="Times New Roman" w:cs="Times New Roman"/>
                      <w:b/>
                      <w:bCs/>
                      <w:color w:val="auto"/>
                      <w:kern w:val="0"/>
                      <w:sz w:val="18"/>
                      <w:szCs w:val="18"/>
                      <w:highlight w:val="none"/>
                      <w:u w:val="single" w:color="auto"/>
                      <w:lang w:eastAsia="zh-CN" w:bidi="ar"/>
                    </w:rPr>
                    <w:t>（</w:t>
                  </w:r>
                  <w:r>
                    <w:rPr>
                      <w:rFonts w:hint="default" w:ascii="Times New Roman" w:hAnsi="Times New Roman" w:cs="Times New Roman"/>
                      <w:b/>
                      <w:bCs/>
                      <w:color w:val="auto"/>
                      <w:kern w:val="0"/>
                      <w:sz w:val="18"/>
                      <w:szCs w:val="18"/>
                      <w:highlight w:val="none"/>
                      <w:u w:val="single" w:color="auto"/>
                      <w:lang w:bidi="ar"/>
                    </w:rPr>
                    <w:t>A</w:t>
                  </w:r>
                  <w:r>
                    <w:rPr>
                      <w:rFonts w:hint="default" w:ascii="Times New Roman" w:hAnsi="Times New Roman" w:cs="Times New Roman"/>
                      <w:b/>
                      <w:bCs/>
                      <w:color w:val="auto"/>
                      <w:kern w:val="0"/>
                      <w:sz w:val="18"/>
                      <w:szCs w:val="18"/>
                      <w:highlight w:val="none"/>
                      <w:u w:val="single" w:color="auto"/>
                      <w:lang w:eastAsia="zh-CN" w:bidi="ar"/>
                    </w:rPr>
                    <w:t>））</w:t>
                  </w:r>
                </w:p>
              </w:tc>
            </w:tr>
            <w:tr w14:paraId="3F086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blHeader/>
                <w:jc w:val="center"/>
              </w:trPr>
              <w:tc>
                <w:tcPr>
                  <w:tcW w:w="397" w:type="dxa"/>
                  <w:vMerge w:val="continue"/>
                  <w:tcBorders>
                    <w:tl2br w:val="nil"/>
                    <w:tr2bl w:val="nil"/>
                  </w:tcBorders>
                  <w:noWrap w:val="0"/>
                  <w:vAlign w:val="center"/>
                </w:tcPr>
                <w:p w14:paraId="0747F4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1050" w:type="dxa"/>
                  <w:vMerge w:val="continue"/>
                  <w:tcBorders>
                    <w:tl2br w:val="nil"/>
                    <w:tr2bl w:val="nil"/>
                  </w:tcBorders>
                  <w:noWrap w:val="0"/>
                  <w:vAlign w:val="center"/>
                </w:tcPr>
                <w:p w14:paraId="6D3FE1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708" w:type="dxa"/>
                  <w:vMerge w:val="continue"/>
                  <w:tcBorders>
                    <w:tl2br w:val="nil"/>
                    <w:tr2bl w:val="nil"/>
                  </w:tcBorders>
                  <w:noWrap w:val="0"/>
                  <w:vAlign w:val="center"/>
                </w:tcPr>
                <w:p w14:paraId="055631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397" w:type="dxa"/>
                  <w:vMerge w:val="continue"/>
                  <w:tcBorders>
                    <w:tl2br w:val="nil"/>
                    <w:tr2bl w:val="nil"/>
                  </w:tcBorders>
                  <w:noWrap w:val="0"/>
                  <w:vAlign w:val="center"/>
                </w:tcPr>
                <w:p w14:paraId="4BC0FC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645" w:type="dxa"/>
                  <w:vMerge w:val="continue"/>
                  <w:tcBorders>
                    <w:tl2br w:val="nil"/>
                    <w:tr2bl w:val="nil"/>
                  </w:tcBorders>
                  <w:noWrap w:val="0"/>
                  <w:vAlign w:val="center"/>
                </w:tcPr>
                <w:p w14:paraId="5147C0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641" w:type="dxa"/>
                  <w:tcBorders>
                    <w:tl2br w:val="nil"/>
                    <w:tr2bl w:val="nil"/>
                  </w:tcBorders>
                  <w:noWrap w:val="0"/>
                  <w:vAlign w:val="center"/>
                </w:tcPr>
                <w:p w14:paraId="61CB0D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X</w:t>
                  </w:r>
                </w:p>
              </w:tc>
              <w:tc>
                <w:tcPr>
                  <w:tcW w:w="621" w:type="dxa"/>
                  <w:tcBorders>
                    <w:tl2br w:val="nil"/>
                    <w:tr2bl w:val="nil"/>
                  </w:tcBorders>
                  <w:noWrap w:val="0"/>
                  <w:vAlign w:val="center"/>
                </w:tcPr>
                <w:p w14:paraId="720277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Y</w:t>
                  </w:r>
                </w:p>
              </w:tc>
              <w:tc>
                <w:tcPr>
                  <w:tcW w:w="368" w:type="dxa"/>
                  <w:tcBorders>
                    <w:tl2br w:val="nil"/>
                    <w:tr2bl w:val="nil"/>
                  </w:tcBorders>
                  <w:noWrap w:val="0"/>
                  <w:vAlign w:val="center"/>
                </w:tcPr>
                <w:p w14:paraId="7E0730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Z</w:t>
                  </w:r>
                </w:p>
              </w:tc>
              <w:tc>
                <w:tcPr>
                  <w:tcW w:w="621" w:type="dxa"/>
                  <w:tcBorders>
                    <w:tl2br w:val="nil"/>
                    <w:tr2bl w:val="nil"/>
                  </w:tcBorders>
                  <w:noWrap w:val="0"/>
                  <w:vAlign w:val="center"/>
                </w:tcPr>
                <w:p w14:paraId="104A0C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东</w:t>
                  </w:r>
                </w:p>
              </w:tc>
              <w:tc>
                <w:tcPr>
                  <w:tcW w:w="641" w:type="dxa"/>
                  <w:tcBorders>
                    <w:tl2br w:val="nil"/>
                    <w:tr2bl w:val="nil"/>
                  </w:tcBorders>
                  <w:noWrap w:val="0"/>
                  <w:vAlign w:val="center"/>
                </w:tcPr>
                <w:p w14:paraId="524090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南</w:t>
                  </w:r>
                </w:p>
              </w:tc>
              <w:tc>
                <w:tcPr>
                  <w:tcW w:w="621" w:type="dxa"/>
                  <w:tcBorders>
                    <w:tl2br w:val="nil"/>
                    <w:tr2bl w:val="nil"/>
                  </w:tcBorders>
                  <w:noWrap w:val="0"/>
                  <w:vAlign w:val="center"/>
                </w:tcPr>
                <w:p w14:paraId="4E3FBD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西</w:t>
                  </w:r>
                </w:p>
              </w:tc>
              <w:tc>
                <w:tcPr>
                  <w:tcW w:w="621" w:type="dxa"/>
                  <w:tcBorders>
                    <w:tl2br w:val="nil"/>
                    <w:tr2bl w:val="nil"/>
                  </w:tcBorders>
                  <w:noWrap w:val="0"/>
                  <w:vAlign w:val="center"/>
                </w:tcPr>
                <w:p w14:paraId="698AAE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北</w:t>
                  </w:r>
                </w:p>
              </w:tc>
              <w:tc>
                <w:tcPr>
                  <w:tcW w:w="621" w:type="dxa"/>
                  <w:tcBorders>
                    <w:tl2br w:val="nil"/>
                    <w:tr2bl w:val="nil"/>
                  </w:tcBorders>
                  <w:noWrap w:val="0"/>
                  <w:vAlign w:val="center"/>
                </w:tcPr>
                <w:p w14:paraId="0DF529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东</w:t>
                  </w:r>
                </w:p>
              </w:tc>
              <w:tc>
                <w:tcPr>
                  <w:tcW w:w="621" w:type="dxa"/>
                  <w:tcBorders>
                    <w:tl2br w:val="nil"/>
                    <w:tr2bl w:val="nil"/>
                  </w:tcBorders>
                  <w:noWrap w:val="0"/>
                  <w:vAlign w:val="center"/>
                </w:tcPr>
                <w:p w14:paraId="6BA71B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南</w:t>
                  </w:r>
                </w:p>
              </w:tc>
              <w:tc>
                <w:tcPr>
                  <w:tcW w:w="621" w:type="dxa"/>
                  <w:tcBorders>
                    <w:tl2br w:val="nil"/>
                    <w:tr2bl w:val="nil"/>
                  </w:tcBorders>
                  <w:noWrap w:val="0"/>
                  <w:vAlign w:val="center"/>
                </w:tcPr>
                <w:p w14:paraId="3228DD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西</w:t>
                  </w:r>
                </w:p>
              </w:tc>
              <w:tc>
                <w:tcPr>
                  <w:tcW w:w="621" w:type="dxa"/>
                  <w:tcBorders>
                    <w:tl2br w:val="nil"/>
                    <w:tr2bl w:val="nil"/>
                  </w:tcBorders>
                  <w:noWrap w:val="0"/>
                  <w:vAlign w:val="center"/>
                </w:tcPr>
                <w:p w14:paraId="74BCAB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北</w:t>
                  </w:r>
                </w:p>
              </w:tc>
              <w:tc>
                <w:tcPr>
                  <w:tcW w:w="442" w:type="dxa"/>
                  <w:vMerge w:val="continue"/>
                  <w:tcBorders>
                    <w:tl2br w:val="nil"/>
                    <w:tr2bl w:val="nil"/>
                  </w:tcBorders>
                  <w:noWrap w:val="0"/>
                  <w:vAlign w:val="center"/>
                </w:tcPr>
                <w:p w14:paraId="0B8E6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711" w:type="dxa"/>
                  <w:vMerge w:val="continue"/>
                  <w:tcBorders>
                    <w:tl2br w:val="nil"/>
                    <w:tr2bl w:val="nil"/>
                  </w:tcBorders>
                  <w:noWrap w:val="0"/>
                  <w:vAlign w:val="center"/>
                </w:tcPr>
                <w:p w14:paraId="45B71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18"/>
                      <w:szCs w:val="18"/>
                      <w:u w:val="single" w:color="auto"/>
                    </w:rPr>
                  </w:pPr>
                </w:p>
              </w:tc>
              <w:tc>
                <w:tcPr>
                  <w:tcW w:w="621" w:type="dxa"/>
                  <w:tcBorders>
                    <w:tl2br w:val="nil"/>
                    <w:tr2bl w:val="nil"/>
                  </w:tcBorders>
                  <w:noWrap w:val="0"/>
                  <w:vAlign w:val="center"/>
                </w:tcPr>
                <w:p w14:paraId="4DFE0F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东</w:t>
                  </w:r>
                </w:p>
              </w:tc>
              <w:tc>
                <w:tcPr>
                  <w:tcW w:w="621" w:type="dxa"/>
                  <w:tcBorders>
                    <w:tl2br w:val="nil"/>
                    <w:tr2bl w:val="nil"/>
                  </w:tcBorders>
                  <w:noWrap w:val="0"/>
                  <w:vAlign w:val="center"/>
                </w:tcPr>
                <w:p w14:paraId="779073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南</w:t>
                  </w:r>
                </w:p>
              </w:tc>
              <w:tc>
                <w:tcPr>
                  <w:tcW w:w="621" w:type="dxa"/>
                  <w:tcBorders>
                    <w:tl2br w:val="nil"/>
                    <w:tr2bl w:val="nil"/>
                  </w:tcBorders>
                  <w:noWrap w:val="0"/>
                  <w:vAlign w:val="center"/>
                </w:tcPr>
                <w:p w14:paraId="14B8EC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西</w:t>
                  </w:r>
                </w:p>
              </w:tc>
              <w:tc>
                <w:tcPr>
                  <w:tcW w:w="621" w:type="dxa"/>
                  <w:tcBorders>
                    <w:tl2br w:val="nil"/>
                    <w:tr2bl w:val="nil"/>
                  </w:tcBorders>
                  <w:noWrap w:val="0"/>
                  <w:vAlign w:val="center"/>
                </w:tcPr>
                <w:p w14:paraId="3ADD6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bCs/>
                      <w:color w:val="auto"/>
                      <w:sz w:val="18"/>
                      <w:szCs w:val="18"/>
                      <w:u w:val="single" w:color="auto"/>
                    </w:rPr>
                  </w:pPr>
                  <w:r>
                    <w:rPr>
                      <w:rFonts w:hint="default" w:ascii="Times New Roman" w:hAnsi="Times New Roman" w:cs="Times New Roman"/>
                      <w:b/>
                      <w:bCs/>
                      <w:color w:val="auto"/>
                      <w:kern w:val="0"/>
                      <w:sz w:val="18"/>
                      <w:szCs w:val="18"/>
                      <w:u w:val="single" w:color="auto"/>
                      <w:lang w:bidi="ar"/>
                    </w:rPr>
                    <w:t>北</w:t>
                  </w:r>
                </w:p>
              </w:tc>
            </w:tr>
            <w:tr w14:paraId="3CE7D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7" w:type="dxa"/>
                  <w:vMerge w:val="restart"/>
                  <w:tcBorders>
                    <w:tl2br w:val="nil"/>
                    <w:tr2bl w:val="nil"/>
                  </w:tcBorders>
                  <w:noWrap w:val="0"/>
                  <w:vAlign w:val="center"/>
                </w:tcPr>
                <w:p w14:paraId="6FB0B1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color w:val="auto"/>
                      <w:sz w:val="18"/>
                      <w:szCs w:val="18"/>
                      <w:u w:val="single" w:color="auto"/>
                      <w:lang w:val="en-US" w:eastAsia="zh-CN"/>
                    </w:rPr>
                    <w:t>生产车间</w:t>
                  </w:r>
                </w:p>
              </w:tc>
              <w:tc>
                <w:tcPr>
                  <w:tcW w:w="1050" w:type="dxa"/>
                  <w:tcBorders>
                    <w:tl2br w:val="nil"/>
                    <w:tr2bl w:val="nil"/>
                  </w:tcBorders>
                  <w:shd w:val="clear" w:color="auto" w:fill="auto"/>
                  <w:noWrap w:val="0"/>
                  <w:vAlign w:val="center"/>
                </w:tcPr>
                <w:p w14:paraId="0B3D84B4">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双轴破碎机1</w:t>
                  </w:r>
                </w:p>
              </w:tc>
              <w:tc>
                <w:tcPr>
                  <w:tcW w:w="708" w:type="dxa"/>
                  <w:tcBorders>
                    <w:tl2br w:val="nil"/>
                    <w:tr2bl w:val="nil"/>
                  </w:tcBorders>
                  <w:shd w:val="clear" w:color="auto" w:fill="auto"/>
                  <w:noWrap w:val="0"/>
                  <w:vAlign w:val="center"/>
                </w:tcPr>
                <w:p w14:paraId="1A82AE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768474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54BFC7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3794BE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-42.34</w:t>
                  </w:r>
                </w:p>
              </w:tc>
              <w:tc>
                <w:tcPr>
                  <w:tcW w:w="621" w:type="dxa"/>
                  <w:tcBorders>
                    <w:tl2br w:val="nil"/>
                    <w:tr2bl w:val="nil"/>
                  </w:tcBorders>
                  <w:shd w:val="clear" w:color="auto" w:fill="auto"/>
                  <w:noWrap w:val="0"/>
                  <w:vAlign w:val="center"/>
                </w:tcPr>
                <w:p w14:paraId="00047D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34.3</w:t>
                  </w:r>
                </w:p>
              </w:tc>
              <w:tc>
                <w:tcPr>
                  <w:tcW w:w="368" w:type="dxa"/>
                  <w:tcBorders>
                    <w:tl2br w:val="nil"/>
                    <w:tr2bl w:val="nil"/>
                  </w:tcBorders>
                  <w:shd w:val="clear" w:color="auto" w:fill="auto"/>
                  <w:noWrap w:val="0"/>
                  <w:vAlign w:val="center"/>
                </w:tcPr>
                <w:p w14:paraId="1ADF4F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3E06FF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5.74</w:t>
                  </w:r>
                </w:p>
              </w:tc>
              <w:tc>
                <w:tcPr>
                  <w:tcW w:w="641" w:type="dxa"/>
                  <w:tcBorders>
                    <w:tl2br w:val="nil"/>
                    <w:tr2bl w:val="nil"/>
                  </w:tcBorders>
                  <w:shd w:val="clear" w:color="auto" w:fill="auto"/>
                  <w:noWrap w:val="0"/>
                  <w:vAlign w:val="center"/>
                </w:tcPr>
                <w:p w14:paraId="62655E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32.32</w:t>
                  </w:r>
                </w:p>
              </w:tc>
              <w:tc>
                <w:tcPr>
                  <w:tcW w:w="621" w:type="dxa"/>
                  <w:tcBorders>
                    <w:tl2br w:val="nil"/>
                    <w:tr2bl w:val="nil"/>
                  </w:tcBorders>
                  <w:shd w:val="clear" w:color="auto" w:fill="auto"/>
                  <w:noWrap w:val="0"/>
                  <w:vAlign w:val="center"/>
                </w:tcPr>
                <w:p w14:paraId="5DF4F3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42.71</w:t>
                  </w:r>
                </w:p>
              </w:tc>
              <w:tc>
                <w:tcPr>
                  <w:tcW w:w="621" w:type="dxa"/>
                  <w:tcBorders>
                    <w:tl2br w:val="nil"/>
                    <w:tr2bl w:val="nil"/>
                  </w:tcBorders>
                  <w:shd w:val="clear" w:color="auto" w:fill="auto"/>
                  <w:noWrap w:val="0"/>
                  <w:vAlign w:val="center"/>
                </w:tcPr>
                <w:p w14:paraId="1F0F54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41.15</w:t>
                  </w:r>
                </w:p>
              </w:tc>
              <w:tc>
                <w:tcPr>
                  <w:tcW w:w="621" w:type="dxa"/>
                  <w:tcBorders>
                    <w:tl2br w:val="nil"/>
                    <w:tr2bl w:val="nil"/>
                  </w:tcBorders>
                  <w:shd w:val="clear" w:color="auto" w:fill="auto"/>
                  <w:noWrap w:val="0"/>
                  <w:vAlign w:val="center"/>
                </w:tcPr>
                <w:p w14:paraId="6D964D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63.84</w:t>
                  </w:r>
                </w:p>
              </w:tc>
              <w:tc>
                <w:tcPr>
                  <w:tcW w:w="621" w:type="dxa"/>
                  <w:tcBorders>
                    <w:tl2br w:val="nil"/>
                    <w:tr2bl w:val="nil"/>
                  </w:tcBorders>
                  <w:shd w:val="clear" w:color="auto" w:fill="auto"/>
                  <w:noWrap w:val="0"/>
                  <w:vAlign w:val="center"/>
                </w:tcPr>
                <w:p w14:paraId="0B2BCC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49.09</w:t>
                  </w:r>
                </w:p>
              </w:tc>
              <w:tc>
                <w:tcPr>
                  <w:tcW w:w="621" w:type="dxa"/>
                  <w:tcBorders>
                    <w:tl2br w:val="nil"/>
                    <w:tr2bl w:val="nil"/>
                  </w:tcBorders>
                  <w:shd w:val="clear" w:color="auto" w:fill="auto"/>
                  <w:noWrap w:val="0"/>
                  <w:vAlign w:val="center"/>
                </w:tcPr>
                <w:p w14:paraId="56EF0B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46.85</w:t>
                  </w:r>
                </w:p>
              </w:tc>
              <w:tc>
                <w:tcPr>
                  <w:tcW w:w="621" w:type="dxa"/>
                  <w:tcBorders>
                    <w:tl2br w:val="nil"/>
                    <w:tr2bl w:val="nil"/>
                  </w:tcBorders>
                  <w:shd w:val="clear" w:color="auto" w:fill="auto"/>
                  <w:noWrap w:val="0"/>
                  <w:vAlign w:val="center"/>
                </w:tcPr>
                <w:p w14:paraId="12B658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47.15</w:t>
                  </w:r>
                </w:p>
              </w:tc>
              <w:tc>
                <w:tcPr>
                  <w:tcW w:w="442" w:type="dxa"/>
                  <w:vMerge w:val="restart"/>
                  <w:tcBorders>
                    <w:tl2br w:val="nil"/>
                    <w:tr2bl w:val="nil"/>
                  </w:tcBorders>
                  <w:noWrap w:val="0"/>
                  <w:vAlign w:val="center"/>
                </w:tcPr>
                <w:p w14:paraId="15AC08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18"/>
                      <w:szCs w:val="18"/>
                      <w:u w:val="single" w:color="auto"/>
                      <w:lang w:val="en-US" w:eastAsia="zh-CN"/>
                    </w:rPr>
                  </w:pPr>
                  <w:r>
                    <w:rPr>
                      <w:rFonts w:hint="default" w:ascii="Times New Roman" w:hAnsi="Times New Roman" w:eastAsia="宋体" w:cs="Times New Roman"/>
                      <w:b w:val="0"/>
                      <w:bCs w:val="0"/>
                      <w:color w:val="auto"/>
                      <w:sz w:val="18"/>
                      <w:szCs w:val="18"/>
                      <w:u w:val="single" w:color="auto"/>
                      <w:lang w:val="en-US" w:eastAsia="zh-CN"/>
                    </w:rPr>
                    <w:t>昼夜</w:t>
                  </w:r>
                </w:p>
              </w:tc>
              <w:tc>
                <w:tcPr>
                  <w:tcW w:w="711" w:type="dxa"/>
                  <w:tcBorders>
                    <w:tl2br w:val="nil"/>
                    <w:tr2bl w:val="nil"/>
                  </w:tcBorders>
                  <w:noWrap w:val="0"/>
                  <w:vAlign w:val="center"/>
                </w:tcPr>
                <w:p w14:paraId="5824D2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18"/>
                      <w:szCs w:val="18"/>
                      <w:u w:val="single" w:color="auto"/>
                    </w:rPr>
                  </w:pPr>
                  <w:r>
                    <w:rPr>
                      <w:rFonts w:hint="default" w:ascii="Times New Roman" w:hAnsi="Times New Roman" w:cs="Times New Roman"/>
                      <w:color w:val="auto"/>
                      <w:kern w:val="0"/>
                      <w:sz w:val="18"/>
                      <w:szCs w:val="18"/>
                      <w:u w:val="single" w:color="auto"/>
                      <w:lang w:bidi="ar"/>
                    </w:rPr>
                    <w:t>20</w:t>
                  </w:r>
                </w:p>
              </w:tc>
              <w:tc>
                <w:tcPr>
                  <w:tcW w:w="621" w:type="dxa"/>
                  <w:vMerge w:val="restart"/>
                  <w:tcBorders>
                    <w:tl2br w:val="nil"/>
                    <w:tr2bl w:val="nil"/>
                  </w:tcBorders>
                  <w:noWrap w:val="0"/>
                  <w:vAlign w:val="center"/>
                </w:tcPr>
                <w:p w14:paraId="503C99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single" w:color="auto"/>
                      <w:lang w:val="en-US" w:eastAsia="zh-CN" w:bidi="ar"/>
                    </w:rPr>
                  </w:pPr>
                  <w:r>
                    <w:rPr>
                      <w:rFonts w:hint="default" w:ascii="Times New Roman" w:hAnsi="Times New Roman" w:eastAsia="宋体" w:cs="Times New Roman"/>
                      <w:color w:val="auto"/>
                      <w:kern w:val="0"/>
                      <w:sz w:val="18"/>
                      <w:szCs w:val="18"/>
                      <w:u w:val="single" w:color="auto"/>
                      <w:lang w:val="en-US" w:eastAsia="zh-CN" w:bidi="ar"/>
                    </w:rPr>
                    <w:t>48.32</w:t>
                  </w:r>
                </w:p>
              </w:tc>
              <w:tc>
                <w:tcPr>
                  <w:tcW w:w="621" w:type="dxa"/>
                  <w:vMerge w:val="restart"/>
                  <w:tcBorders>
                    <w:tl2br w:val="nil"/>
                    <w:tr2bl w:val="nil"/>
                  </w:tcBorders>
                  <w:noWrap w:val="0"/>
                  <w:vAlign w:val="center"/>
                </w:tcPr>
                <w:p w14:paraId="1E00EE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single" w:color="auto"/>
                      <w:lang w:val="en-US" w:eastAsia="zh-CN" w:bidi="ar"/>
                    </w:rPr>
                  </w:pPr>
                  <w:r>
                    <w:rPr>
                      <w:rFonts w:hint="default" w:ascii="Times New Roman" w:hAnsi="Times New Roman" w:eastAsia="宋体" w:cs="Times New Roman"/>
                      <w:color w:val="auto"/>
                      <w:kern w:val="0"/>
                      <w:sz w:val="18"/>
                      <w:szCs w:val="18"/>
                      <w:u w:val="single" w:color="auto"/>
                      <w:lang w:val="en-US" w:eastAsia="zh-CN" w:bidi="ar"/>
                    </w:rPr>
                    <w:t>40.71</w:t>
                  </w:r>
                </w:p>
              </w:tc>
              <w:tc>
                <w:tcPr>
                  <w:tcW w:w="621" w:type="dxa"/>
                  <w:vMerge w:val="restart"/>
                  <w:tcBorders>
                    <w:tl2br w:val="nil"/>
                    <w:tr2bl w:val="nil"/>
                  </w:tcBorders>
                  <w:noWrap w:val="0"/>
                  <w:vAlign w:val="center"/>
                </w:tcPr>
                <w:p w14:paraId="5E588D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18"/>
                      <w:szCs w:val="18"/>
                      <w:u w:val="single" w:color="auto"/>
                      <w:lang w:val="en-US" w:eastAsia="zh-CN" w:bidi="ar"/>
                    </w:rPr>
                  </w:pPr>
                  <w:r>
                    <w:rPr>
                      <w:rFonts w:hint="default" w:ascii="Times New Roman" w:hAnsi="Times New Roman" w:eastAsia="宋体" w:cs="Times New Roman"/>
                      <w:color w:val="auto"/>
                      <w:kern w:val="0"/>
                      <w:sz w:val="18"/>
                      <w:szCs w:val="18"/>
                      <w:u w:val="single" w:color="auto"/>
                      <w:lang w:val="en-US" w:eastAsia="zh-CN" w:bidi="ar"/>
                    </w:rPr>
                    <w:t>43.61</w:t>
                  </w:r>
                </w:p>
              </w:tc>
              <w:tc>
                <w:tcPr>
                  <w:tcW w:w="621" w:type="dxa"/>
                  <w:vMerge w:val="restart"/>
                  <w:tcBorders>
                    <w:tl2br w:val="nil"/>
                    <w:tr2bl w:val="nil"/>
                  </w:tcBorders>
                  <w:noWrap w:val="0"/>
                  <w:vAlign w:val="center"/>
                </w:tcPr>
                <w:p w14:paraId="243748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2"/>
                      <w:sz w:val="18"/>
                      <w:szCs w:val="18"/>
                      <w:u w:val="single" w:color="auto"/>
                      <w:lang w:val="en-US" w:eastAsia="zh-CN" w:bidi="ar-SA"/>
                    </w:rPr>
                  </w:pPr>
                  <w:r>
                    <w:rPr>
                      <w:rFonts w:hint="default" w:ascii="Times New Roman" w:hAnsi="Times New Roman" w:eastAsia="宋体" w:cs="Times New Roman"/>
                      <w:i w:val="0"/>
                      <w:iCs w:val="0"/>
                      <w:color w:val="auto"/>
                      <w:kern w:val="2"/>
                      <w:sz w:val="18"/>
                      <w:szCs w:val="18"/>
                      <w:u w:val="single" w:color="auto"/>
                      <w:lang w:val="en-US" w:eastAsia="zh-CN" w:bidi="ar-SA"/>
                    </w:rPr>
                    <w:t>46.89</w:t>
                  </w:r>
                </w:p>
              </w:tc>
            </w:tr>
            <w:tr w14:paraId="79CFA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97" w:type="dxa"/>
                  <w:vMerge w:val="continue"/>
                  <w:tcBorders>
                    <w:tl2br w:val="nil"/>
                    <w:tr2bl w:val="nil"/>
                  </w:tcBorders>
                  <w:noWrap w:val="0"/>
                  <w:vAlign w:val="center"/>
                </w:tcPr>
                <w:p w14:paraId="14E689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37E1008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双轴破碎机2</w:t>
                  </w:r>
                </w:p>
              </w:tc>
              <w:tc>
                <w:tcPr>
                  <w:tcW w:w="708" w:type="dxa"/>
                  <w:tcBorders>
                    <w:tl2br w:val="nil"/>
                    <w:tr2bl w:val="nil"/>
                  </w:tcBorders>
                  <w:shd w:val="clear" w:color="auto" w:fill="auto"/>
                  <w:noWrap w:val="0"/>
                  <w:vAlign w:val="center"/>
                </w:tcPr>
                <w:p w14:paraId="3A54E3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371421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3A843D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22AF51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-34.2</w:t>
                  </w:r>
                </w:p>
              </w:tc>
              <w:tc>
                <w:tcPr>
                  <w:tcW w:w="621" w:type="dxa"/>
                  <w:tcBorders>
                    <w:tl2br w:val="nil"/>
                    <w:tr2bl w:val="nil"/>
                  </w:tcBorders>
                  <w:shd w:val="clear" w:color="auto" w:fill="auto"/>
                  <w:noWrap w:val="0"/>
                  <w:vAlign w:val="center"/>
                </w:tcPr>
                <w:p w14:paraId="12293C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35.65</w:t>
                  </w:r>
                </w:p>
              </w:tc>
              <w:tc>
                <w:tcPr>
                  <w:tcW w:w="368" w:type="dxa"/>
                  <w:tcBorders>
                    <w:tl2br w:val="nil"/>
                    <w:tr2bl w:val="nil"/>
                  </w:tcBorders>
                  <w:shd w:val="clear" w:color="auto" w:fill="auto"/>
                  <w:noWrap w:val="0"/>
                  <w:vAlign w:val="center"/>
                </w:tcPr>
                <w:p w14:paraId="5B7DC4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0AA795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6.25</w:t>
                  </w:r>
                </w:p>
              </w:tc>
              <w:tc>
                <w:tcPr>
                  <w:tcW w:w="641" w:type="dxa"/>
                  <w:tcBorders>
                    <w:tl2br w:val="nil"/>
                    <w:tr2bl w:val="nil"/>
                  </w:tcBorders>
                  <w:shd w:val="clear" w:color="auto" w:fill="auto"/>
                  <w:noWrap w:val="0"/>
                  <w:vAlign w:val="center"/>
                </w:tcPr>
                <w:p w14:paraId="7D4EB4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24.11</w:t>
                  </w:r>
                </w:p>
              </w:tc>
              <w:tc>
                <w:tcPr>
                  <w:tcW w:w="621" w:type="dxa"/>
                  <w:tcBorders>
                    <w:tl2br w:val="nil"/>
                    <w:tr2bl w:val="nil"/>
                  </w:tcBorders>
                  <w:shd w:val="clear" w:color="auto" w:fill="auto"/>
                  <w:noWrap w:val="0"/>
                  <w:vAlign w:val="center"/>
                </w:tcPr>
                <w:p w14:paraId="271642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42.22</w:t>
                  </w:r>
                </w:p>
              </w:tc>
              <w:tc>
                <w:tcPr>
                  <w:tcW w:w="621" w:type="dxa"/>
                  <w:tcBorders>
                    <w:tl2br w:val="nil"/>
                    <w:tr2bl w:val="nil"/>
                  </w:tcBorders>
                  <w:shd w:val="clear" w:color="auto" w:fill="auto"/>
                  <w:noWrap w:val="0"/>
                  <w:vAlign w:val="center"/>
                </w:tcPr>
                <w:p w14:paraId="4383B6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49.36</w:t>
                  </w:r>
                </w:p>
              </w:tc>
              <w:tc>
                <w:tcPr>
                  <w:tcW w:w="621" w:type="dxa"/>
                  <w:tcBorders>
                    <w:tl2br w:val="nil"/>
                    <w:tr2bl w:val="nil"/>
                  </w:tcBorders>
                  <w:shd w:val="clear" w:color="auto" w:fill="auto"/>
                  <w:noWrap w:val="0"/>
                  <w:vAlign w:val="center"/>
                </w:tcPr>
                <w:p w14:paraId="41D444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63.1</w:t>
                  </w:r>
                </w:p>
              </w:tc>
              <w:tc>
                <w:tcPr>
                  <w:tcW w:w="621" w:type="dxa"/>
                  <w:tcBorders>
                    <w:tl2br w:val="nil"/>
                    <w:tr2bl w:val="nil"/>
                  </w:tcBorders>
                  <w:shd w:val="clear" w:color="auto" w:fill="auto"/>
                  <w:noWrap w:val="0"/>
                  <w:vAlign w:val="center"/>
                </w:tcPr>
                <w:p w14:paraId="603E30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51.52</w:t>
                  </w:r>
                </w:p>
              </w:tc>
              <w:tc>
                <w:tcPr>
                  <w:tcW w:w="621" w:type="dxa"/>
                  <w:tcBorders>
                    <w:tl2br w:val="nil"/>
                    <w:tr2bl w:val="nil"/>
                  </w:tcBorders>
                  <w:shd w:val="clear" w:color="auto" w:fill="auto"/>
                  <w:noWrap w:val="0"/>
                  <w:vAlign w:val="center"/>
                </w:tcPr>
                <w:p w14:paraId="371A65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46.95</w:t>
                  </w:r>
                </w:p>
              </w:tc>
              <w:tc>
                <w:tcPr>
                  <w:tcW w:w="621" w:type="dxa"/>
                  <w:tcBorders>
                    <w:tl2br w:val="nil"/>
                    <w:tr2bl w:val="nil"/>
                  </w:tcBorders>
                  <w:shd w:val="clear" w:color="auto" w:fill="auto"/>
                  <w:noWrap w:val="0"/>
                  <w:vAlign w:val="center"/>
                </w:tcPr>
                <w:p w14:paraId="7333F5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45.74</w:t>
                  </w:r>
                </w:p>
              </w:tc>
              <w:tc>
                <w:tcPr>
                  <w:tcW w:w="442" w:type="dxa"/>
                  <w:vMerge w:val="continue"/>
                  <w:tcBorders>
                    <w:tl2br w:val="nil"/>
                    <w:tr2bl w:val="nil"/>
                  </w:tcBorders>
                  <w:noWrap w:val="0"/>
                  <w:vAlign w:val="center"/>
                </w:tcPr>
                <w:p w14:paraId="6F57E8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1BE4A6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18"/>
                      <w:szCs w:val="18"/>
                      <w:u w:val="single" w:color="auto"/>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4790C5A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A15BA3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581FE10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723B345">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7D50C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7" w:type="dxa"/>
                  <w:vMerge w:val="continue"/>
                  <w:tcBorders>
                    <w:tl2br w:val="nil"/>
                    <w:tr2bl w:val="nil"/>
                  </w:tcBorders>
                  <w:noWrap w:val="0"/>
                  <w:vAlign w:val="center"/>
                </w:tcPr>
                <w:p w14:paraId="0ADE53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45CBBEF7">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双轴破碎机3</w:t>
                  </w:r>
                </w:p>
              </w:tc>
              <w:tc>
                <w:tcPr>
                  <w:tcW w:w="708" w:type="dxa"/>
                  <w:tcBorders>
                    <w:tl2br w:val="nil"/>
                    <w:tr2bl w:val="nil"/>
                  </w:tcBorders>
                  <w:shd w:val="clear" w:color="auto" w:fill="auto"/>
                  <w:noWrap w:val="0"/>
                  <w:vAlign w:val="center"/>
                </w:tcPr>
                <w:p w14:paraId="65F8FA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536A9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60CFA2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333450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-26.45</w:t>
                  </w:r>
                </w:p>
              </w:tc>
              <w:tc>
                <w:tcPr>
                  <w:tcW w:w="621" w:type="dxa"/>
                  <w:tcBorders>
                    <w:tl2br w:val="nil"/>
                    <w:tr2bl w:val="nil"/>
                  </w:tcBorders>
                  <w:shd w:val="clear" w:color="auto" w:fill="auto"/>
                  <w:noWrap w:val="0"/>
                  <w:vAlign w:val="center"/>
                </w:tcPr>
                <w:p w14:paraId="4A3D19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37.4</w:t>
                  </w:r>
                </w:p>
              </w:tc>
              <w:tc>
                <w:tcPr>
                  <w:tcW w:w="368" w:type="dxa"/>
                  <w:tcBorders>
                    <w:tl2br w:val="nil"/>
                    <w:tr2bl w:val="nil"/>
                  </w:tcBorders>
                  <w:shd w:val="clear" w:color="auto" w:fill="auto"/>
                  <w:noWrap w:val="0"/>
                  <w:vAlign w:val="center"/>
                </w:tcPr>
                <w:p w14:paraId="67AD5A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323A87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6.28</w:t>
                  </w:r>
                </w:p>
              </w:tc>
              <w:tc>
                <w:tcPr>
                  <w:tcW w:w="641" w:type="dxa"/>
                  <w:tcBorders>
                    <w:tl2br w:val="nil"/>
                    <w:tr2bl w:val="nil"/>
                  </w:tcBorders>
                  <w:shd w:val="clear" w:color="auto" w:fill="auto"/>
                  <w:noWrap w:val="0"/>
                  <w:vAlign w:val="center"/>
                </w:tcPr>
                <w:p w14:paraId="634AF6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16.17</w:t>
                  </w:r>
                </w:p>
              </w:tc>
              <w:tc>
                <w:tcPr>
                  <w:tcW w:w="621" w:type="dxa"/>
                  <w:tcBorders>
                    <w:tl2br w:val="nil"/>
                    <w:tr2bl w:val="nil"/>
                  </w:tcBorders>
                  <w:shd w:val="clear" w:color="auto" w:fill="auto"/>
                  <w:noWrap w:val="0"/>
                  <w:vAlign w:val="center"/>
                </w:tcPr>
                <w:p w14:paraId="1A82AF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42.21</w:t>
                  </w:r>
                </w:p>
              </w:tc>
              <w:tc>
                <w:tcPr>
                  <w:tcW w:w="621" w:type="dxa"/>
                  <w:tcBorders>
                    <w:tl2br w:val="nil"/>
                    <w:tr2bl w:val="nil"/>
                  </w:tcBorders>
                  <w:shd w:val="clear" w:color="auto" w:fill="auto"/>
                  <w:noWrap w:val="0"/>
                  <w:vAlign w:val="center"/>
                </w:tcPr>
                <w:p w14:paraId="55893A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57.3</w:t>
                  </w:r>
                </w:p>
              </w:tc>
              <w:tc>
                <w:tcPr>
                  <w:tcW w:w="621" w:type="dxa"/>
                  <w:tcBorders>
                    <w:tl2br w:val="nil"/>
                    <w:tr2bl w:val="nil"/>
                  </w:tcBorders>
                  <w:shd w:val="clear" w:color="auto" w:fill="auto"/>
                  <w:noWrap w:val="0"/>
                  <w:vAlign w:val="center"/>
                </w:tcPr>
                <w:p w14:paraId="12D396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63.06</w:t>
                  </w:r>
                </w:p>
              </w:tc>
              <w:tc>
                <w:tcPr>
                  <w:tcW w:w="621" w:type="dxa"/>
                  <w:tcBorders>
                    <w:tl2br w:val="nil"/>
                    <w:tr2bl w:val="nil"/>
                  </w:tcBorders>
                  <w:shd w:val="clear" w:color="auto" w:fill="auto"/>
                  <w:noWrap w:val="0"/>
                  <w:vAlign w:val="center"/>
                </w:tcPr>
                <w:p w14:paraId="759F9F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54.9</w:t>
                  </w:r>
                </w:p>
              </w:tc>
              <w:tc>
                <w:tcPr>
                  <w:tcW w:w="621" w:type="dxa"/>
                  <w:tcBorders>
                    <w:tl2br w:val="nil"/>
                    <w:tr2bl w:val="nil"/>
                  </w:tcBorders>
                  <w:shd w:val="clear" w:color="auto" w:fill="auto"/>
                  <w:noWrap w:val="0"/>
                  <w:vAlign w:val="center"/>
                </w:tcPr>
                <w:p w14:paraId="60B9F9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46.95</w:t>
                  </w:r>
                </w:p>
              </w:tc>
              <w:tc>
                <w:tcPr>
                  <w:tcW w:w="621" w:type="dxa"/>
                  <w:tcBorders>
                    <w:tl2br w:val="nil"/>
                    <w:tr2bl w:val="nil"/>
                  </w:tcBorders>
                  <w:shd w:val="clear" w:color="auto" w:fill="auto"/>
                  <w:noWrap w:val="0"/>
                  <w:vAlign w:val="center"/>
                </w:tcPr>
                <w:p w14:paraId="698CE7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44.64</w:t>
                  </w:r>
                </w:p>
              </w:tc>
              <w:tc>
                <w:tcPr>
                  <w:tcW w:w="442" w:type="dxa"/>
                  <w:vMerge w:val="continue"/>
                  <w:tcBorders>
                    <w:tl2br w:val="nil"/>
                    <w:tr2bl w:val="nil"/>
                  </w:tcBorders>
                  <w:noWrap w:val="0"/>
                  <w:vAlign w:val="center"/>
                </w:tcPr>
                <w:p w14:paraId="79457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2A7359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18"/>
                      <w:szCs w:val="18"/>
                      <w:u w:val="single" w:color="auto"/>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3111667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E76C4B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E7AAA7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9C3F49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3E424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97" w:type="dxa"/>
                  <w:vMerge w:val="continue"/>
                  <w:tcBorders>
                    <w:tl2br w:val="nil"/>
                    <w:tr2bl w:val="nil"/>
                  </w:tcBorders>
                  <w:noWrap w:val="0"/>
                  <w:vAlign w:val="center"/>
                </w:tcPr>
                <w:p w14:paraId="4BDF73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161024D6">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磁选输送机</w:t>
                  </w:r>
                </w:p>
              </w:tc>
              <w:tc>
                <w:tcPr>
                  <w:tcW w:w="708" w:type="dxa"/>
                  <w:tcBorders>
                    <w:tl2br w:val="nil"/>
                    <w:tr2bl w:val="nil"/>
                  </w:tcBorders>
                  <w:shd w:val="clear" w:color="auto" w:fill="auto"/>
                  <w:noWrap w:val="0"/>
                  <w:vAlign w:val="center"/>
                </w:tcPr>
                <w:p w14:paraId="00101F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2ED7CA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625B8B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4E960F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-48.34</w:t>
                  </w:r>
                </w:p>
              </w:tc>
              <w:tc>
                <w:tcPr>
                  <w:tcW w:w="621" w:type="dxa"/>
                  <w:tcBorders>
                    <w:tl2br w:val="nil"/>
                    <w:tr2bl w:val="nil"/>
                  </w:tcBorders>
                  <w:shd w:val="clear" w:color="auto" w:fill="auto"/>
                  <w:noWrap w:val="0"/>
                  <w:vAlign w:val="center"/>
                </w:tcPr>
                <w:p w14:paraId="30332D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32.17</w:t>
                  </w:r>
                </w:p>
              </w:tc>
              <w:tc>
                <w:tcPr>
                  <w:tcW w:w="368" w:type="dxa"/>
                  <w:tcBorders>
                    <w:tl2br w:val="nil"/>
                    <w:tr2bl w:val="nil"/>
                  </w:tcBorders>
                  <w:shd w:val="clear" w:color="auto" w:fill="auto"/>
                  <w:noWrap w:val="0"/>
                  <w:vAlign w:val="center"/>
                </w:tcPr>
                <w:p w14:paraId="029FEF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77602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6.47</w:t>
                  </w:r>
                </w:p>
              </w:tc>
              <w:tc>
                <w:tcPr>
                  <w:tcW w:w="641" w:type="dxa"/>
                  <w:tcBorders>
                    <w:tl2br w:val="nil"/>
                    <w:tr2bl w:val="nil"/>
                  </w:tcBorders>
                  <w:shd w:val="clear" w:color="auto" w:fill="auto"/>
                  <w:noWrap w:val="0"/>
                  <w:vAlign w:val="center"/>
                </w:tcPr>
                <w:p w14:paraId="3B2968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38.67</w:t>
                  </w:r>
                </w:p>
              </w:tc>
              <w:tc>
                <w:tcPr>
                  <w:tcW w:w="621" w:type="dxa"/>
                  <w:tcBorders>
                    <w:tl2br w:val="nil"/>
                    <w:tr2bl w:val="nil"/>
                  </w:tcBorders>
                  <w:shd w:val="clear" w:color="auto" w:fill="auto"/>
                  <w:noWrap w:val="0"/>
                  <w:vAlign w:val="center"/>
                </w:tcPr>
                <w:p w14:paraId="6E0309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41.97</w:t>
                  </w:r>
                </w:p>
              </w:tc>
              <w:tc>
                <w:tcPr>
                  <w:tcW w:w="621" w:type="dxa"/>
                  <w:tcBorders>
                    <w:tl2br w:val="nil"/>
                    <w:tr2bl w:val="nil"/>
                  </w:tcBorders>
                  <w:shd w:val="clear" w:color="auto" w:fill="auto"/>
                  <w:noWrap w:val="0"/>
                  <w:vAlign w:val="center"/>
                </w:tcPr>
                <w:p w14:paraId="4AC84B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34.8</w:t>
                  </w:r>
                </w:p>
              </w:tc>
              <w:tc>
                <w:tcPr>
                  <w:tcW w:w="621" w:type="dxa"/>
                  <w:tcBorders>
                    <w:tl2br w:val="nil"/>
                    <w:tr2bl w:val="nil"/>
                  </w:tcBorders>
                  <w:shd w:val="clear" w:color="auto" w:fill="auto"/>
                  <w:noWrap w:val="0"/>
                  <w:vAlign w:val="center"/>
                </w:tcPr>
                <w:p w14:paraId="6BB613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57.8</w:t>
                  </w:r>
                </w:p>
              </w:tc>
              <w:tc>
                <w:tcPr>
                  <w:tcW w:w="621" w:type="dxa"/>
                  <w:tcBorders>
                    <w:tl2br w:val="nil"/>
                    <w:tr2bl w:val="nil"/>
                  </w:tcBorders>
                  <w:shd w:val="clear" w:color="auto" w:fill="auto"/>
                  <w:noWrap w:val="0"/>
                  <w:vAlign w:val="center"/>
                </w:tcPr>
                <w:p w14:paraId="66F56E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42.64</w:t>
                  </w:r>
                </w:p>
              </w:tc>
              <w:tc>
                <w:tcPr>
                  <w:tcW w:w="621" w:type="dxa"/>
                  <w:tcBorders>
                    <w:tl2br w:val="nil"/>
                    <w:tr2bl w:val="nil"/>
                  </w:tcBorders>
                  <w:shd w:val="clear" w:color="auto" w:fill="auto"/>
                  <w:noWrap w:val="0"/>
                  <w:vAlign w:val="center"/>
                </w:tcPr>
                <w:p w14:paraId="732B67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41.99</w:t>
                  </w:r>
                </w:p>
              </w:tc>
              <w:tc>
                <w:tcPr>
                  <w:tcW w:w="621" w:type="dxa"/>
                  <w:tcBorders>
                    <w:tl2br w:val="nil"/>
                    <w:tr2bl w:val="nil"/>
                  </w:tcBorders>
                  <w:shd w:val="clear" w:color="auto" w:fill="auto"/>
                  <w:noWrap w:val="0"/>
                  <w:vAlign w:val="center"/>
                </w:tcPr>
                <w:p w14:paraId="478C4C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43.49</w:t>
                  </w:r>
                </w:p>
              </w:tc>
              <w:tc>
                <w:tcPr>
                  <w:tcW w:w="442" w:type="dxa"/>
                  <w:vMerge w:val="continue"/>
                  <w:tcBorders>
                    <w:tl2br w:val="nil"/>
                    <w:tr2bl w:val="nil"/>
                  </w:tcBorders>
                  <w:noWrap w:val="0"/>
                  <w:vAlign w:val="center"/>
                </w:tcPr>
                <w:p w14:paraId="54B614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10181F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18"/>
                      <w:szCs w:val="18"/>
                      <w:u w:val="single" w:color="auto"/>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2DAA0E3B">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CF2C67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98A34C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64A4AB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1EEC8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7" w:type="dxa"/>
                  <w:vMerge w:val="continue"/>
                  <w:tcBorders>
                    <w:tl2br w:val="nil"/>
                    <w:tr2bl w:val="nil"/>
                  </w:tcBorders>
                  <w:noWrap w:val="0"/>
                  <w:vAlign w:val="center"/>
                </w:tcPr>
                <w:p w14:paraId="4B28EF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0C17D40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物料输送机1</w:t>
                  </w:r>
                </w:p>
              </w:tc>
              <w:tc>
                <w:tcPr>
                  <w:tcW w:w="708" w:type="dxa"/>
                  <w:tcBorders>
                    <w:tl2br w:val="nil"/>
                    <w:tr2bl w:val="nil"/>
                  </w:tcBorders>
                  <w:shd w:val="clear" w:color="auto" w:fill="auto"/>
                  <w:noWrap w:val="0"/>
                  <w:vAlign w:val="center"/>
                </w:tcPr>
                <w:p w14:paraId="73B715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66E866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2AB944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66BA4D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-41.18</w:t>
                  </w:r>
                </w:p>
              </w:tc>
              <w:tc>
                <w:tcPr>
                  <w:tcW w:w="621" w:type="dxa"/>
                  <w:tcBorders>
                    <w:tl2br w:val="nil"/>
                    <w:tr2bl w:val="nil"/>
                  </w:tcBorders>
                  <w:shd w:val="clear" w:color="auto" w:fill="auto"/>
                  <w:noWrap w:val="0"/>
                  <w:vAlign w:val="center"/>
                </w:tcPr>
                <w:p w14:paraId="59247A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27.52</w:t>
                  </w:r>
                </w:p>
              </w:tc>
              <w:tc>
                <w:tcPr>
                  <w:tcW w:w="368" w:type="dxa"/>
                  <w:tcBorders>
                    <w:tl2br w:val="nil"/>
                    <w:tr2bl w:val="nil"/>
                  </w:tcBorders>
                  <w:shd w:val="clear" w:color="auto" w:fill="auto"/>
                  <w:noWrap w:val="0"/>
                  <w:vAlign w:val="center"/>
                </w:tcPr>
                <w:p w14:paraId="5B6520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1223B4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12.61</w:t>
                  </w:r>
                </w:p>
              </w:tc>
              <w:tc>
                <w:tcPr>
                  <w:tcW w:w="641" w:type="dxa"/>
                  <w:tcBorders>
                    <w:tl2br w:val="nil"/>
                    <w:tr2bl w:val="nil"/>
                  </w:tcBorders>
                  <w:shd w:val="clear" w:color="auto" w:fill="auto"/>
                  <w:noWrap w:val="0"/>
                  <w:vAlign w:val="center"/>
                </w:tcPr>
                <w:p w14:paraId="6630AA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32.96</w:t>
                  </w:r>
                </w:p>
              </w:tc>
              <w:tc>
                <w:tcPr>
                  <w:tcW w:w="621" w:type="dxa"/>
                  <w:tcBorders>
                    <w:tl2br w:val="nil"/>
                    <w:tr2bl w:val="nil"/>
                  </w:tcBorders>
                  <w:shd w:val="clear" w:color="auto" w:fill="auto"/>
                  <w:noWrap w:val="0"/>
                  <w:vAlign w:val="center"/>
                </w:tcPr>
                <w:p w14:paraId="4E1EA9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35.84</w:t>
                  </w:r>
                </w:p>
              </w:tc>
              <w:tc>
                <w:tcPr>
                  <w:tcW w:w="621" w:type="dxa"/>
                  <w:tcBorders>
                    <w:tl2br w:val="nil"/>
                    <w:tr2bl w:val="nil"/>
                  </w:tcBorders>
                  <w:shd w:val="clear" w:color="auto" w:fill="auto"/>
                  <w:noWrap w:val="0"/>
                  <w:vAlign w:val="center"/>
                </w:tcPr>
                <w:p w14:paraId="5D9A1B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40.48</w:t>
                  </w:r>
                </w:p>
              </w:tc>
              <w:tc>
                <w:tcPr>
                  <w:tcW w:w="621" w:type="dxa"/>
                  <w:tcBorders>
                    <w:tl2br w:val="nil"/>
                    <w:tr2bl w:val="nil"/>
                  </w:tcBorders>
                  <w:shd w:val="clear" w:color="auto" w:fill="auto"/>
                  <w:noWrap w:val="0"/>
                  <w:vAlign w:val="center"/>
                </w:tcPr>
                <w:p w14:paraId="3F7A13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52.04</w:t>
                  </w:r>
                </w:p>
              </w:tc>
              <w:tc>
                <w:tcPr>
                  <w:tcW w:w="621" w:type="dxa"/>
                  <w:tcBorders>
                    <w:tl2br w:val="nil"/>
                    <w:tr2bl w:val="nil"/>
                  </w:tcBorders>
                  <w:shd w:val="clear" w:color="auto" w:fill="auto"/>
                  <w:noWrap w:val="0"/>
                  <w:vAlign w:val="center"/>
                </w:tcPr>
                <w:p w14:paraId="71C99F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43.93</w:t>
                  </w:r>
                </w:p>
              </w:tc>
              <w:tc>
                <w:tcPr>
                  <w:tcW w:w="621" w:type="dxa"/>
                  <w:tcBorders>
                    <w:tl2br w:val="nil"/>
                    <w:tr2bl w:val="nil"/>
                  </w:tcBorders>
                  <w:shd w:val="clear" w:color="auto" w:fill="auto"/>
                  <w:noWrap w:val="0"/>
                  <w:vAlign w:val="center"/>
                </w:tcPr>
                <w:p w14:paraId="5CDEC3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43.25</w:t>
                  </w:r>
                </w:p>
              </w:tc>
              <w:tc>
                <w:tcPr>
                  <w:tcW w:w="621" w:type="dxa"/>
                  <w:tcBorders>
                    <w:tl2br w:val="nil"/>
                    <w:tr2bl w:val="nil"/>
                  </w:tcBorders>
                  <w:shd w:val="clear" w:color="auto" w:fill="auto"/>
                  <w:noWrap w:val="0"/>
                  <w:vAlign w:val="center"/>
                </w:tcPr>
                <w:p w14:paraId="2ACA52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42.28</w:t>
                  </w:r>
                </w:p>
              </w:tc>
              <w:tc>
                <w:tcPr>
                  <w:tcW w:w="442" w:type="dxa"/>
                  <w:vMerge w:val="continue"/>
                  <w:tcBorders>
                    <w:tl2br w:val="nil"/>
                    <w:tr2bl w:val="nil"/>
                  </w:tcBorders>
                  <w:noWrap w:val="0"/>
                  <w:vAlign w:val="center"/>
                </w:tcPr>
                <w:p w14:paraId="55A5BD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427916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79A467D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38E665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954614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4B2D5E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053D5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7" w:type="dxa"/>
                  <w:vMerge w:val="continue"/>
                  <w:tcBorders>
                    <w:tl2br w:val="nil"/>
                    <w:tr2bl w:val="nil"/>
                  </w:tcBorders>
                  <w:noWrap w:val="0"/>
                  <w:vAlign w:val="center"/>
                </w:tcPr>
                <w:p w14:paraId="4410F7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0FE29363">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物料输送机2</w:t>
                  </w:r>
                </w:p>
              </w:tc>
              <w:tc>
                <w:tcPr>
                  <w:tcW w:w="708" w:type="dxa"/>
                  <w:tcBorders>
                    <w:tl2br w:val="nil"/>
                    <w:tr2bl w:val="nil"/>
                  </w:tcBorders>
                  <w:shd w:val="clear" w:color="auto" w:fill="auto"/>
                  <w:noWrap w:val="0"/>
                  <w:vAlign w:val="center"/>
                </w:tcPr>
                <w:p w14:paraId="28902C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045D14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1028DE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5213F6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-35.56</w:t>
                  </w:r>
                </w:p>
              </w:tc>
              <w:tc>
                <w:tcPr>
                  <w:tcW w:w="621" w:type="dxa"/>
                  <w:tcBorders>
                    <w:tl2br w:val="nil"/>
                    <w:tr2bl w:val="nil"/>
                  </w:tcBorders>
                  <w:shd w:val="clear" w:color="auto" w:fill="auto"/>
                  <w:noWrap w:val="0"/>
                  <w:vAlign w:val="center"/>
                </w:tcPr>
                <w:p w14:paraId="30C96B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28.29</w:t>
                  </w:r>
                </w:p>
              </w:tc>
              <w:tc>
                <w:tcPr>
                  <w:tcW w:w="368" w:type="dxa"/>
                  <w:tcBorders>
                    <w:tl2br w:val="nil"/>
                    <w:tr2bl w:val="nil"/>
                  </w:tcBorders>
                  <w:shd w:val="clear" w:color="auto" w:fill="auto"/>
                  <w:noWrap w:val="0"/>
                  <w:vAlign w:val="center"/>
                </w:tcPr>
                <w:p w14:paraId="7C9DFC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5FF25E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13.12</w:t>
                  </w:r>
                </w:p>
              </w:tc>
              <w:tc>
                <w:tcPr>
                  <w:tcW w:w="641" w:type="dxa"/>
                  <w:tcBorders>
                    <w:tl2br w:val="nil"/>
                    <w:tr2bl w:val="nil"/>
                  </w:tcBorders>
                  <w:shd w:val="clear" w:color="auto" w:fill="auto"/>
                  <w:noWrap w:val="0"/>
                  <w:vAlign w:val="center"/>
                </w:tcPr>
                <w:p w14:paraId="390DE2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27.33</w:t>
                  </w:r>
                </w:p>
              </w:tc>
              <w:tc>
                <w:tcPr>
                  <w:tcW w:w="621" w:type="dxa"/>
                  <w:tcBorders>
                    <w:tl2br w:val="nil"/>
                    <w:tr2bl w:val="nil"/>
                  </w:tcBorders>
                  <w:shd w:val="clear" w:color="auto" w:fill="auto"/>
                  <w:noWrap w:val="0"/>
                  <w:vAlign w:val="center"/>
                </w:tcPr>
                <w:p w14:paraId="1E03F1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35.35</w:t>
                  </w:r>
                </w:p>
              </w:tc>
              <w:tc>
                <w:tcPr>
                  <w:tcW w:w="621" w:type="dxa"/>
                  <w:tcBorders>
                    <w:tl2br w:val="nil"/>
                    <w:tr2bl w:val="nil"/>
                  </w:tcBorders>
                  <w:shd w:val="clear" w:color="auto" w:fill="auto"/>
                  <w:noWrap w:val="0"/>
                  <w:vAlign w:val="center"/>
                </w:tcPr>
                <w:p w14:paraId="0F42AA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46.1</w:t>
                  </w:r>
                </w:p>
              </w:tc>
              <w:tc>
                <w:tcPr>
                  <w:tcW w:w="621" w:type="dxa"/>
                  <w:tcBorders>
                    <w:tl2br w:val="nil"/>
                    <w:tr2bl w:val="nil"/>
                  </w:tcBorders>
                  <w:shd w:val="clear" w:color="auto" w:fill="auto"/>
                  <w:noWrap w:val="0"/>
                  <w:vAlign w:val="center"/>
                </w:tcPr>
                <w:p w14:paraId="380010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51.69</w:t>
                  </w:r>
                </w:p>
              </w:tc>
              <w:tc>
                <w:tcPr>
                  <w:tcW w:w="621" w:type="dxa"/>
                  <w:tcBorders>
                    <w:tl2br w:val="nil"/>
                    <w:tr2bl w:val="nil"/>
                  </w:tcBorders>
                  <w:shd w:val="clear" w:color="auto" w:fill="auto"/>
                  <w:noWrap w:val="0"/>
                  <w:vAlign w:val="center"/>
                </w:tcPr>
                <w:p w14:paraId="2D014A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45.47</w:t>
                  </w:r>
                </w:p>
              </w:tc>
              <w:tc>
                <w:tcPr>
                  <w:tcW w:w="621" w:type="dxa"/>
                  <w:tcBorders>
                    <w:tl2br w:val="nil"/>
                    <w:tr2bl w:val="nil"/>
                  </w:tcBorders>
                  <w:shd w:val="clear" w:color="auto" w:fill="auto"/>
                  <w:noWrap w:val="0"/>
                  <w:vAlign w:val="center"/>
                </w:tcPr>
                <w:p w14:paraId="63EECD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43.36</w:t>
                  </w:r>
                </w:p>
              </w:tc>
              <w:tc>
                <w:tcPr>
                  <w:tcW w:w="621" w:type="dxa"/>
                  <w:tcBorders>
                    <w:tl2br w:val="nil"/>
                    <w:tr2bl w:val="nil"/>
                  </w:tcBorders>
                  <w:shd w:val="clear" w:color="auto" w:fill="auto"/>
                  <w:noWrap w:val="0"/>
                  <w:vAlign w:val="center"/>
                </w:tcPr>
                <w:p w14:paraId="13C4CF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41.26</w:t>
                  </w:r>
                </w:p>
              </w:tc>
              <w:tc>
                <w:tcPr>
                  <w:tcW w:w="442" w:type="dxa"/>
                  <w:vMerge w:val="continue"/>
                  <w:tcBorders>
                    <w:tl2br w:val="nil"/>
                    <w:tr2bl w:val="nil"/>
                  </w:tcBorders>
                  <w:noWrap w:val="0"/>
                  <w:vAlign w:val="center"/>
                </w:tcPr>
                <w:p w14:paraId="60335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20517C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5A745C9B">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3BB2A0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9D6449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F5FE9F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530E9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7" w:type="dxa"/>
                  <w:vMerge w:val="continue"/>
                  <w:tcBorders>
                    <w:tl2br w:val="nil"/>
                    <w:tr2bl w:val="nil"/>
                  </w:tcBorders>
                  <w:noWrap w:val="0"/>
                  <w:vAlign w:val="center"/>
                </w:tcPr>
                <w:p w14:paraId="3FD6D5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3707D003">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物料输送机3</w:t>
                  </w:r>
                </w:p>
              </w:tc>
              <w:tc>
                <w:tcPr>
                  <w:tcW w:w="708" w:type="dxa"/>
                  <w:tcBorders>
                    <w:tl2br w:val="nil"/>
                    <w:tr2bl w:val="nil"/>
                  </w:tcBorders>
                  <w:shd w:val="clear" w:color="auto" w:fill="auto"/>
                  <w:noWrap w:val="0"/>
                  <w:vAlign w:val="center"/>
                </w:tcPr>
                <w:p w14:paraId="7F4F49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27093E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28A1EF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791679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-28.39</w:t>
                  </w:r>
                </w:p>
              </w:tc>
              <w:tc>
                <w:tcPr>
                  <w:tcW w:w="621" w:type="dxa"/>
                  <w:tcBorders>
                    <w:tl2br w:val="nil"/>
                    <w:tr2bl w:val="nil"/>
                  </w:tcBorders>
                  <w:shd w:val="clear" w:color="auto" w:fill="auto"/>
                  <w:noWrap w:val="0"/>
                  <w:vAlign w:val="center"/>
                </w:tcPr>
                <w:p w14:paraId="07921C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29.84</w:t>
                  </w:r>
                </w:p>
              </w:tc>
              <w:tc>
                <w:tcPr>
                  <w:tcW w:w="368" w:type="dxa"/>
                  <w:tcBorders>
                    <w:tl2br w:val="nil"/>
                    <w:tr2bl w:val="nil"/>
                  </w:tcBorders>
                  <w:shd w:val="clear" w:color="auto" w:fill="auto"/>
                  <w:noWrap w:val="0"/>
                  <w:vAlign w:val="center"/>
                </w:tcPr>
                <w:p w14:paraId="50B006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6337AB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13.21</w:t>
                  </w:r>
                </w:p>
              </w:tc>
              <w:tc>
                <w:tcPr>
                  <w:tcW w:w="641" w:type="dxa"/>
                  <w:tcBorders>
                    <w:tl2br w:val="nil"/>
                    <w:tr2bl w:val="nil"/>
                  </w:tcBorders>
                  <w:shd w:val="clear" w:color="auto" w:fill="auto"/>
                  <w:noWrap w:val="0"/>
                  <w:vAlign w:val="center"/>
                </w:tcPr>
                <w:p w14:paraId="1ACE86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20.01</w:t>
                  </w:r>
                </w:p>
              </w:tc>
              <w:tc>
                <w:tcPr>
                  <w:tcW w:w="621" w:type="dxa"/>
                  <w:tcBorders>
                    <w:tl2br w:val="nil"/>
                    <w:tr2bl w:val="nil"/>
                  </w:tcBorders>
                  <w:shd w:val="clear" w:color="auto" w:fill="auto"/>
                  <w:noWrap w:val="0"/>
                  <w:vAlign w:val="center"/>
                </w:tcPr>
                <w:p w14:paraId="08E307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35.27</w:t>
                  </w:r>
                </w:p>
              </w:tc>
              <w:tc>
                <w:tcPr>
                  <w:tcW w:w="621" w:type="dxa"/>
                  <w:tcBorders>
                    <w:tl2br w:val="nil"/>
                    <w:tr2bl w:val="nil"/>
                  </w:tcBorders>
                  <w:shd w:val="clear" w:color="auto" w:fill="auto"/>
                  <w:noWrap w:val="0"/>
                  <w:vAlign w:val="center"/>
                </w:tcPr>
                <w:p w14:paraId="3AC1ED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53.43</w:t>
                  </w:r>
                </w:p>
              </w:tc>
              <w:tc>
                <w:tcPr>
                  <w:tcW w:w="621" w:type="dxa"/>
                  <w:tcBorders>
                    <w:tl2br w:val="nil"/>
                    <w:tr2bl w:val="nil"/>
                  </w:tcBorders>
                  <w:shd w:val="clear" w:color="auto" w:fill="auto"/>
                  <w:noWrap w:val="0"/>
                  <w:vAlign w:val="center"/>
                </w:tcPr>
                <w:p w14:paraId="21FBF5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51.64</w:t>
                  </w:r>
                </w:p>
              </w:tc>
              <w:tc>
                <w:tcPr>
                  <w:tcW w:w="621" w:type="dxa"/>
                  <w:tcBorders>
                    <w:tl2br w:val="nil"/>
                    <w:tr2bl w:val="nil"/>
                  </w:tcBorders>
                  <w:shd w:val="clear" w:color="auto" w:fill="auto"/>
                  <w:noWrap w:val="0"/>
                  <w:vAlign w:val="center"/>
                </w:tcPr>
                <w:p w14:paraId="3C9E98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48.09</w:t>
                  </w:r>
                </w:p>
              </w:tc>
              <w:tc>
                <w:tcPr>
                  <w:tcW w:w="621" w:type="dxa"/>
                  <w:tcBorders>
                    <w:tl2br w:val="nil"/>
                    <w:tr2bl w:val="nil"/>
                  </w:tcBorders>
                  <w:shd w:val="clear" w:color="auto" w:fill="auto"/>
                  <w:noWrap w:val="0"/>
                  <w:vAlign w:val="center"/>
                </w:tcPr>
                <w:p w14:paraId="2E9FED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43.38</w:t>
                  </w:r>
                </w:p>
              </w:tc>
              <w:tc>
                <w:tcPr>
                  <w:tcW w:w="621" w:type="dxa"/>
                  <w:tcBorders>
                    <w:tl2br w:val="nil"/>
                    <w:tr2bl w:val="nil"/>
                  </w:tcBorders>
                  <w:shd w:val="clear" w:color="auto" w:fill="auto"/>
                  <w:noWrap w:val="0"/>
                  <w:vAlign w:val="center"/>
                </w:tcPr>
                <w:p w14:paraId="76E902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40.15</w:t>
                  </w:r>
                </w:p>
              </w:tc>
              <w:tc>
                <w:tcPr>
                  <w:tcW w:w="442" w:type="dxa"/>
                  <w:vMerge w:val="continue"/>
                  <w:tcBorders>
                    <w:tl2br w:val="nil"/>
                    <w:tr2bl w:val="nil"/>
                  </w:tcBorders>
                  <w:noWrap w:val="0"/>
                  <w:vAlign w:val="center"/>
                </w:tcPr>
                <w:p w14:paraId="099E5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37660F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FA2406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16CA17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50EDA52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0B40345">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6593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Merge w:val="continue"/>
                  <w:tcBorders>
                    <w:tl2br w:val="nil"/>
                    <w:tr2bl w:val="nil"/>
                  </w:tcBorders>
                  <w:noWrap w:val="0"/>
                  <w:vAlign w:val="center"/>
                </w:tcPr>
                <w:p w14:paraId="3813CC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2E78964C">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物料输送机4</w:t>
                  </w:r>
                </w:p>
              </w:tc>
              <w:tc>
                <w:tcPr>
                  <w:tcW w:w="708" w:type="dxa"/>
                  <w:tcBorders>
                    <w:tl2br w:val="nil"/>
                    <w:tr2bl w:val="nil"/>
                  </w:tcBorders>
                  <w:shd w:val="clear" w:color="auto" w:fill="auto"/>
                  <w:noWrap w:val="0"/>
                  <w:vAlign w:val="center"/>
                </w:tcPr>
                <w:p w14:paraId="635E90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5CDE71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1488F0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1350AB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-22.38</w:t>
                  </w:r>
                </w:p>
              </w:tc>
              <w:tc>
                <w:tcPr>
                  <w:tcW w:w="621" w:type="dxa"/>
                  <w:tcBorders>
                    <w:tl2br w:val="nil"/>
                    <w:tr2bl w:val="nil"/>
                  </w:tcBorders>
                  <w:shd w:val="clear" w:color="auto" w:fill="auto"/>
                  <w:noWrap w:val="0"/>
                  <w:vAlign w:val="center"/>
                </w:tcPr>
                <w:p w14:paraId="7DEF0A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31</w:t>
                  </w:r>
                </w:p>
              </w:tc>
              <w:tc>
                <w:tcPr>
                  <w:tcW w:w="368" w:type="dxa"/>
                  <w:tcBorders>
                    <w:tl2br w:val="nil"/>
                    <w:tr2bl w:val="nil"/>
                  </w:tcBorders>
                  <w:shd w:val="clear" w:color="auto" w:fill="auto"/>
                  <w:noWrap w:val="0"/>
                  <w:vAlign w:val="center"/>
                </w:tcPr>
                <w:p w14:paraId="64BEEC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429975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13.43</w:t>
                  </w:r>
                </w:p>
              </w:tc>
              <w:tc>
                <w:tcPr>
                  <w:tcW w:w="641" w:type="dxa"/>
                  <w:tcBorders>
                    <w:tl2br w:val="nil"/>
                    <w:tr2bl w:val="nil"/>
                  </w:tcBorders>
                  <w:shd w:val="clear" w:color="auto" w:fill="auto"/>
                  <w:noWrap w:val="0"/>
                  <w:vAlign w:val="center"/>
                </w:tcPr>
                <w:p w14:paraId="5426AF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13.9</w:t>
                  </w:r>
                </w:p>
              </w:tc>
              <w:tc>
                <w:tcPr>
                  <w:tcW w:w="621" w:type="dxa"/>
                  <w:tcBorders>
                    <w:tl2br w:val="nil"/>
                    <w:tr2bl w:val="nil"/>
                  </w:tcBorders>
                  <w:shd w:val="clear" w:color="auto" w:fill="auto"/>
                  <w:noWrap w:val="0"/>
                  <w:vAlign w:val="center"/>
                </w:tcPr>
                <w:p w14:paraId="17B1BB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35.06</w:t>
                  </w:r>
                </w:p>
              </w:tc>
              <w:tc>
                <w:tcPr>
                  <w:tcW w:w="621" w:type="dxa"/>
                  <w:tcBorders>
                    <w:tl2br w:val="nil"/>
                    <w:tr2bl w:val="nil"/>
                  </w:tcBorders>
                  <w:shd w:val="clear" w:color="auto" w:fill="auto"/>
                  <w:noWrap w:val="0"/>
                  <w:vAlign w:val="center"/>
                </w:tcPr>
                <w:p w14:paraId="20ED8D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59.53</w:t>
                  </w:r>
                </w:p>
              </w:tc>
              <w:tc>
                <w:tcPr>
                  <w:tcW w:w="621" w:type="dxa"/>
                  <w:tcBorders>
                    <w:tl2br w:val="nil"/>
                    <w:tr2bl w:val="nil"/>
                  </w:tcBorders>
                  <w:shd w:val="clear" w:color="auto" w:fill="auto"/>
                  <w:noWrap w:val="0"/>
                  <w:vAlign w:val="center"/>
                </w:tcPr>
                <w:p w14:paraId="78574F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51.49</w:t>
                  </w:r>
                </w:p>
              </w:tc>
              <w:tc>
                <w:tcPr>
                  <w:tcW w:w="621" w:type="dxa"/>
                  <w:tcBorders>
                    <w:tl2br w:val="nil"/>
                    <w:tr2bl w:val="nil"/>
                  </w:tcBorders>
                  <w:shd w:val="clear" w:color="auto" w:fill="auto"/>
                  <w:noWrap w:val="0"/>
                  <w:vAlign w:val="center"/>
                </w:tcPr>
                <w:p w14:paraId="54E855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51.2</w:t>
                  </w:r>
                </w:p>
              </w:tc>
              <w:tc>
                <w:tcPr>
                  <w:tcW w:w="621" w:type="dxa"/>
                  <w:tcBorders>
                    <w:tl2br w:val="nil"/>
                    <w:tr2bl w:val="nil"/>
                  </w:tcBorders>
                  <w:shd w:val="clear" w:color="auto" w:fill="auto"/>
                  <w:noWrap w:val="0"/>
                  <w:vAlign w:val="center"/>
                </w:tcPr>
                <w:p w14:paraId="39F557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43.43</w:t>
                  </w:r>
                </w:p>
              </w:tc>
              <w:tc>
                <w:tcPr>
                  <w:tcW w:w="621" w:type="dxa"/>
                  <w:tcBorders>
                    <w:tl2br w:val="nil"/>
                    <w:tr2bl w:val="nil"/>
                  </w:tcBorders>
                  <w:shd w:val="clear" w:color="auto" w:fill="auto"/>
                  <w:noWrap w:val="0"/>
                  <w:vAlign w:val="center"/>
                </w:tcPr>
                <w:p w14:paraId="371253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39.36</w:t>
                  </w:r>
                </w:p>
              </w:tc>
              <w:tc>
                <w:tcPr>
                  <w:tcW w:w="442" w:type="dxa"/>
                  <w:vMerge w:val="continue"/>
                  <w:tcBorders>
                    <w:tl2br w:val="nil"/>
                    <w:tr2bl w:val="nil"/>
                  </w:tcBorders>
                  <w:noWrap w:val="0"/>
                  <w:vAlign w:val="center"/>
                </w:tcPr>
                <w:p w14:paraId="4051EC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439F3E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390092D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48AB36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3DA786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0479B2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15624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97" w:type="dxa"/>
                  <w:vMerge w:val="continue"/>
                  <w:tcBorders>
                    <w:tl2br w:val="nil"/>
                    <w:tr2bl w:val="nil"/>
                  </w:tcBorders>
                  <w:noWrap w:val="0"/>
                  <w:vAlign w:val="center"/>
                </w:tcPr>
                <w:p w14:paraId="4E9D8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16F43CB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筛分机1</w:t>
                  </w:r>
                </w:p>
              </w:tc>
              <w:tc>
                <w:tcPr>
                  <w:tcW w:w="708" w:type="dxa"/>
                  <w:tcBorders>
                    <w:tl2br w:val="nil"/>
                    <w:tr2bl w:val="nil"/>
                  </w:tcBorders>
                  <w:shd w:val="clear" w:color="auto" w:fill="auto"/>
                  <w:noWrap w:val="0"/>
                  <w:vAlign w:val="center"/>
                </w:tcPr>
                <w:p w14:paraId="6DFBEC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2048B7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2A35B7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59A460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-46.6</w:t>
                  </w:r>
                </w:p>
              </w:tc>
              <w:tc>
                <w:tcPr>
                  <w:tcW w:w="621" w:type="dxa"/>
                  <w:tcBorders>
                    <w:tl2br w:val="nil"/>
                    <w:tr2bl w:val="nil"/>
                  </w:tcBorders>
                  <w:shd w:val="clear" w:color="auto" w:fill="auto"/>
                  <w:noWrap w:val="0"/>
                  <w:vAlign w:val="center"/>
                </w:tcPr>
                <w:p w14:paraId="17EE7A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27.13</w:t>
                  </w:r>
                </w:p>
              </w:tc>
              <w:tc>
                <w:tcPr>
                  <w:tcW w:w="368" w:type="dxa"/>
                  <w:tcBorders>
                    <w:tl2br w:val="nil"/>
                    <w:tr2bl w:val="nil"/>
                  </w:tcBorders>
                  <w:shd w:val="clear" w:color="auto" w:fill="auto"/>
                  <w:noWrap w:val="0"/>
                  <w:vAlign w:val="center"/>
                </w:tcPr>
                <w:p w14:paraId="34F870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419005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11.78</w:t>
                  </w:r>
                </w:p>
              </w:tc>
              <w:tc>
                <w:tcPr>
                  <w:tcW w:w="641" w:type="dxa"/>
                  <w:tcBorders>
                    <w:tl2br w:val="nil"/>
                    <w:tr2bl w:val="nil"/>
                  </w:tcBorders>
                  <w:shd w:val="clear" w:color="auto" w:fill="auto"/>
                  <w:noWrap w:val="0"/>
                  <w:vAlign w:val="center"/>
                </w:tcPr>
                <w:p w14:paraId="18C440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38.3</w:t>
                  </w:r>
                </w:p>
              </w:tc>
              <w:tc>
                <w:tcPr>
                  <w:tcW w:w="621" w:type="dxa"/>
                  <w:tcBorders>
                    <w:tl2br w:val="nil"/>
                    <w:tr2bl w:val="nil"/>
                  </w:tcBorders>
                  <w:shd w:val="clear" w:color="auto" w:fill="auto"/>
                  <w:noWrap w:val="0"/>
                  <w:vAlign w:val="center"/>
                </w:tcPr>
                <w:p w14:paraId="47F12A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36.67</w:t>
                  </w:r>
                </w:p>
              </w:tc>
              <w:tc>
                <w:tcPr>
                  <w:tcW w:w="621" w:type="dxa"/>
                  <w:tcBorders>
                    <w:tl2br w:val="nil"/>
                    <w:tr2bl w:val="nil"/>
                  </w:tcBorders>
                  <w:shd w:val="clear" w:color="auto" w:fill="auto"/>
                  <w:noWrap w:val="0"/>
                  <w:vAlign w:val="center"/>
                </w:tcPr>
                <w:p w14:paraId="6AA5E8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35.15</w:t>
                  </w:r>
                </w:p>
              </w:tc>
              <w:tc>
                <w:tcPr>
                  <w:tcW w:w="621" w:type="dxa"/>
                  <w:tcBorders>
                    <w:tl2br w:val="nil"/>
                    <w:tr2bl w:val="nil"/>
                  </w:tcBorders>
                  <w:shd w:val="clear" w:color="auto" w:fill="auto"/>
                  <w:noWrap w:val="0"/>
                  <w:vAlign w:val="center"/>
                </w:tcPr>
                <w:p w14:paraId="2F04DD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52.62</w:t>
                  </w:r>
                </w:p>
              </w:tc>
              <w:tc>
                <w:tcPr>
                  <w:tcW w:w="621" w:type="dxa"/>
                  <w:tcBorders>
                    <w:tl2br w:val="nil"/>
                    <w:tr2bl w:val="nil"/>
                  </w:tcBorders>
                  <w:shd w:val="clear" w:color="auto" w:fill="auto"/>
                  <w:noWrap w:val="0"/>
                  <w:vAlign w:val="center"/>
                </w:tcPr>
                <w:p w14:paraId="2B8D4E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42.72</w:t>
                  </w:r>
                </w:p>
              </w:tc>
              <w:tc>
                <w:tcPr>
                  <w:tcW w:w="621" w:type="dxa"/>
                  <w:tcBorders>
                    <w:tl2br w:val="nil"/>
                    <w:tr2bl w:val="nil"/>
                  </w:tcBorders>
                  <w:shd w:val="clear" w:color="auto" w:fill="auto"/>
                  <w:noWrap w:val="0"/>
                  <w:vAlign w:val="center"/>
                </w:tcPr>
                <w:p w14:paraId="511CE2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43.06</w:t>
                  </w:r>
                </w:p>
              </w:tc>
              <w:tc>
                <w:tcPr>
                  <w:tcW w:w="621" w:type="dxa"/>
                  <w:tcBorders>
                    <w:tl2br w:val="nil"/>
                    <w:tr2bl w:val="nil"/>
                  </w:tcBorders>
                  <w:shd w:val="clear" w:color="auto" w:fill="auto"/>
                  <w:noWrap w:val="0"/>
                  <w:vAlign w:val="center"/>
                </w:tcPr>
                <w:p w14:paraId="2B44A3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43.4</w:t>
                  </w:r>
                </w:p>
              </w:tc>
              <w:tc>
                <w:tcPr>
                  <w:tcW w:w="442" w:type="dxa"/>
                  <w:vMerge w:val="continue"/>
                  <w:tcBorders>
                    <w:tl2br w:val="nil"/>
                    <w:tr2bl w:val="nil"/>
                  </w:tcBorders>
                  <w:noWrap w:val="0"/>
                  <w:vAlign w:val="center"/>
                </w:tcPr>
                <w:p w14:paraId="2B0C3B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284F35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28B589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86ABC5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8FAADE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E9F6CA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D1EB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Merge w:val="continue"/>
                  <w:tcBorders>
                    <w:tl2br w:val="nil"/>
                    <w:tr2bl w:val="nil"/>
                  </w:tcBorders>
                  <w:noWrap w:val="0"/>
                  <w:vAlign w:val="center"/>
                </w:tcPr>
                <w:p w14:paraId="51823A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5DF2BFD0">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筛分机2</w:t>
                  </w:r>
                </w:p>
              </w:tc>
              <w:tc>
                <w:tcPr>
                  <w:tcW w:w="708" w:type="dxa"/>
                  <w:tcBorders>
                    <w:tl2br w:val="nil"/>
                    <w:tr2bl w:val="nil"/>
                  </w:tcBorders>
                  <w:shd w:val="clear" w:color="auto" w:fill="auto"/>
                  <w:noWrap w:val="0"/>
                  <w:vAlign w:val="center"/>
                </w:tcPr>
                <w:p w14:paraId="467C3E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25D52A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177793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422C6E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-44.86</w:t>
                  </w:r>
                </w:p>
              </w:tc>
              <w:tc>
                <w:tcPr>
                  <w:tcW w:w="621" w:type="dxa"/>
                  <w:tcBorders>
                    <w:tl2br w:val="nil"/>
                    <w:tr2bl w:val="nil"/>
                  </w:tcBorders>
                  <w:shd w:val="clear" w:color="auto" w:fill="auto"/>
                  <w:noWrap w:val="0"/>
                  <w:vAlign w:val="center"/>
                </w:tcPr>
                <w:p w14:paraId="280901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23.45</w:t>
                  </w:r>
                </w:p>
              </w:tc>
              <w:tc>
                <w:tcPr>
                  <w:tcW w:w="368" w:type="dxa"/>
                  <w:tcBorders>
                    <w:tl2br w:val="nil"/>
                    <w:tr2bl w:val="nil"/>
                  </w:tcBorders>
                  <w:shd w:val="clear" w:color="auto" w:fill="auto"/>
                  <w:noWrap w:val="0"/>
                  <w:vAlign w:val="center"/>
                </w:tcPr>
                <w:p w14:paraId="00277F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47764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15.75</w:t>
                  </w:r>
                </w:p>
              </w:tc>
              <w:tc>
                <w:tcPr>
                  <w:tcW w:w="641" w:type="dxa"/>
                  <w:tcBorders>
                    <w:tl2br w:val="nil"/>
                    <w:tr2bl w:val="nil"/>
                  </w:tcBorders>
                  <w:shd w:val="clear" w:color="auto" w:fill="auto"/>
                  <w:noWrap w:val="0"/>
                  <w:vAlign w:val="center"/>
                </w:tcPr>
                <w:p w14:paraId="24A982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37.57</w:t>
                  </w:r>
                </w:p>
              </w:tc>
              <w:tc>
                <w:tcPr>
                  <w:tcW w:w="621" w:type="dxa"/>
                  <w:tcBorders>
                    <w:tl2br w:val="nil"/>
                    <w:tr2bl w:val="nil"/>
                  </w:tcBorders>
                  <w:shd w:val="clear" w:color="auto" w:fill="auto"/>
                  <w:noWrap w:val="0"/>
                  <w:vAlign w:val="center"/>
                </w:tcPr>
                <w:p w14:paraId="5BE9ED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32.69</w:t>
                  </w:r>
                </w:p>
              </w:tc>
              <w:tc>
                <w:tcPr>
                  <w:tcW w:w="621" w:type="dxa"/>
                  <w:tcBorders>
                    <w:tl2br w:val="nil"/>
                    <w:tr2bl w:val="nil"/>
                  </w:tcBorders>
                  <w:shd w:val="clear" w:color="auto" w:fill="auto"/>
                  <w:noWrap w:val="0"/>
                  <w:vAlign w:val="center"/>
                </w:tcPr>
                <w:p w14:paraId="7038FA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35.86</w:t>
                  </w:r>
                </w:p>
              </w:tc>
              <w:tc>
                <w:tcPr>
                  <w:tcW w:w="621" w:type="dxa"/>
                  <w:tcBorders>
                    <w:tl2br w:val="nil"/>
                    <w:tr2bl w:val="nil"/>
                  </w:tcBorders>
                  <w:shd w:val="clear" w:color="auto" w:fill="auto"/>
                  <w:noWrap w:val="0"/>
                  <w:vAlign w:val="center"/>
                </w:tcPr>
                <w:p w14:paraId="181A81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50.13</w:t>
                  </w:r>
                </w:p>
              </w:tc>
              <w:tc>
                <w:tcPr>
                  <w:tcW w:w="621" w:type="dxa"/>
                  <w:tcBorders>
                    <w:tl2br w:val="nil"/>
                    <w:tr2bl w:val="nil"/>
                  </w:tcBorders>
                  <w:shd w:val="clear" w:color="auto" w:fill="auto"/>
                  <w:noWrap w:val="0"/>
                  <w:vAlign w:val="center"/>
                </w:tcPr>
                <w:p w14:paraId="3227DC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42.87</w:t>
                  </w:r>
                </w:p>
              </w:tc>
              <w:tc>
                <w:tcPr>
                  <w:tcW w:w="621" w:type="dxa"/>
                  <w:tcBorders>
                    <w:tl2br w:val="nil"/>
                    <w:tr2bl w:val="nil"/>
                  </w:tcBorders>
                  <w:shd w:val="clear" w:color="auto" w:fill="auto"/>
                  <w:noWrap w:val="0"/>
                  <w:vAlign w:val="center"/>
                </w:tcPr>
                <w:p w14:paraId="26A3EF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43.99</w:t>
                  </w:r>
                </w:p>
              </w:tc>
              <w:tc>
                <w:tcPr>
                  <w:tcW w:w="621" w:type="dxa"/>
                  <w:tcBorders>
                    <w:tl2br w:val="nil"/>
                    <w:tr2bl w:val="nil"/>
                  </w:tcBorders>
                  <w:shd w:val="clear" w:color="auto" w:fill="auto"/>
                  <w:noWrap w:val="0"/>
                  <w:vAlign w:val="center"/>
                </w:tcPr>
                <w:p w14:paraId="5C3813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43.24</w:t>
                  </w:r>
                </w:p>
              </w:tc>
              <w:tc>
                <w:tcPr>
                  <w:tcW w:w="442" w:type="dxa"/>
                  <w:vMerge w:val="continue"/>
                  <w:tcBorders>
                    <w:tl2br w:val="nil"/>
                    <w:tr2bl w:val="nil"/>
                  </w:tcBorders>
                  <w:noWrap w:val="0"/>
                  <w:vAlign w:val="center"/>
                </w:tcPr>
                <w:p w14:paraId="2B3B47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69A40C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60455AE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E883B3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2D9F70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5E32BA8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52DB0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97" w:type="dxa"/>
                  <w:vMerge w:val="continue"/>
                  <w:tcBorders>
                    <w:tl2br w:val="nil"/>
                    <w:tr2bl w:val="nil"/>
                  </w:tcBorders>
                  <w:noWrap w:val="0"/>
                  <w:vAlign w:val="center"/>
                </w:tcPr>
                <w:p w14:paraId="52643B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48CE2C88">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自动打包机</w:t>
                  </w:r>
                </w:p>
              </w:tc>
              <w:tc>
                <w:tcPr>
                  <w:tcW w:w="708" w:type="dxa"/>
                  <w:tcBorders>
                    <w:tl2br w:val="nil"/>
                    <w:tr2bl w:val="nil"/>
                  </w:tcBorders>
                  <w:shd w:val="clear" w:color="auto" w:fill="auto"/>
                  <w:noWrap w:val="0"/>
                  <w:vAlign w:val="center"/>
                </w:tcPr>
                <w:p w14:paraId="548505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tcBorders>
                    <w:tl2br w:val="nil"/>
                    <w:tr2bl w:val="nil"/>
                  </w:tcBorders>
                  <w:noWrap w:val="0"/>
                  <w:vAlign w:val="center"/>
                </w:tcPr>
                <w:p w14:paraId="06A396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5FC99D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2A3322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-56.48</w:t>
                  </w:r>
                </w:p>
              </w:tc>
              <w:tc>
                <w:tcPr>
                  <w:tcW w:w="621" w:type="dxa"/>
                  <w:tcBorders>
                    <w:tl2br w:val="nil"/>
                    <w:tr2bl w:val="nil"/>
                  </w:tcBorders>
                  <w:shd w:val="clear" w:color="auto" w:fill="auto"/>
                  <w:noWrap w:val="0"/>
                  <w:vAlign w:val="center"/>
                </w:tcPr>
                <w:p w14:paraId="12077C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27.71</w:t>
                  </w:r>
                </w:p>
              </w:tc>
              <w:tc>
                <w:tcPr>
                  <w:tcW w:w="368" w:type="dxa"/>
                  <w:tcBorders>
                    <w:tl2br w:val="nil"/>
                    <w:tr2bl w:val="nil"/>
                  </w:tcBorders>
                  <w:shd w:val="clear" w:color="auto" w:fill="auto"/>
                  <w:noWrap w:val="0"/>
                  <w:vAlign w:val="center"/>
                </w:tcPr>
                <w:p w14:paraId="4F31BB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1CA49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w:t>
                  </w:r>
                </w:p>
              </w:tc>
              <w:tc>
                <w:tcPr>
                  <w:tcW w:w="641" w:type="dxa"/>
                  <w:tcBorders>
                    <w:tl2br w:val="nil"/>
                    <w:tr2bl w:val="nil"/>
                  </w:tcBorders>
                  <w:shd w:val="clear" w:color="auto" w:fill="auto"/>
                  <w:noWrap w:val="0"/>
                  <w:vAlign w:val="center"/>
                </w:tcPr>
                <w:p w14:paraId="6837B4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47.69</w:t>
                  </w:r>
                </w:p>
              </w:tc>
              <w:tc>
                <w:tcPr>
                  <w:tcW w:w="621" w:type="dxa"/>
                  <w:tcBorders>
                    <w:tl2br w:val="nil"/>
                    <w:tr2bl w:val="nil"/>
                  </w:tcBorders>
                  <w:shd w:val="clear" w:color="auto" w:fill="auto"/>
                  <w:noWrap w:val="0"/>
                  <w:vAlign w:val="center"/>
                </w:tcPr>
                <w:p w14:paraId="659EC7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39.43</w:t>
                  </w:r>
                </w:p>
              </w:tc>
              <w:tc>
                <w:tcPr>
                  <w:tcW w:w="621" w:type="dxa"/>
                  <w:tcBorders>
                    <w:tl2br w:val="nil"/>
                    <w:tr2bl w:val="nil"/>
                  </w:tcBorders>
                  <w:shd w:val="clear" w:color="auto" w:fill="auto"/>
                  <w:noWrap w:val="0"/>
                  <w:vAlign w:val="center"/>
                </w:tcPr>
                <w:p w14:paraId="389F24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25.77</w:t>
                  </w:r>
                </w:p>
              </w:tc>
              <w:tc>
                <w:tcPr>
                  <w:tcW w:w="621" w:type="dxa"/>
                  <w:tcBorders>
                    <w:tl2br w:val="nil"/>
                    <w:tr2bl w:val="nil"/>
                  </w:tcBorders>
                  <w:shd w:val="clear" w:color="auto" w:fill="auto"/>
                  <w:noWrap w:val="0"/>
                  <w:vAlign w:val="center"/>
                </w:tcPr>
                <w:p w14:paraId="2179E5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49.94</w:t>
                  </w:r>
                </w:p>
              </w:tc>
              <w:tc>
                <w:tcPr>
                  <w:tcW w:w="621" w:type="dxa"/>
                  <w:tcBorders>
                    <w:tl2br w:val="nil"/>
                    <w:tr2bl w:val="nil"/>
                  </w:tcBorders>
                  <w:shd w:val="clear" w:color="auto" w:fill="auto"/>
                  <w:noWrap w:val="0"/>
                  <w:vAlign w:val="center"/>
                </w:tcPr>
                <w:p w14:paraId="59F326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w:t>
                  </w:r>
                </w:p>
              </w:tc>
              <w:tc>
                <w:tcPr>
                  <w:tcW w:w="621" w:type="dxa"/>
                  <w:tcBorders>
                    <w:tl2br w:val="nil"/>
                    <w:tr2bl w:val="nil"/>
                  </w:tcBorders>
                  <w:shd w:val="clear" w:color="auto" w:fill="auto"/>
                  <w:noWrap w:val="0"/>
                  <w:vAlign w:val="center"/>
                </w:tcPr>
                <w:p w14:paraId="5FD56B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37.48</w:t>
                  </w:r>
                </w:p>
              </w:tc>
              <w:tc>
                <w:tcPr>
                  <w:tcW w:w="621" w:type="dxa"/>
                  <w:tcBorders>
                    <w:tl2br w:val="nil"/>
                    <w:tr2bl w:val="nil"/>
                  </w:tcBorders>
                  <w:shd w:val="clear" w:color="auto" w:fill="auto"/>
                  <w:noWrap w:val="0"/>
                  <w:vAlign w:val="center"/>
                </w:tcPr>
                <w:p w14:paraId="4885E0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40.96</w:t>
                  </w:r>
                </w:p>
              </w:tc>
              <w:tc>
                <w:tcPr>
                  <w:tcW w:w="442" w:type="dxa"/>
                  <w:vMerge w:val="continue"/>
                  <w:tcBorders>
                    <w:tl2br w:val="nil"/>
                    <w:tr2bl w:val="nil"/>
                  </w:tcBorders>
                  <w:noWrap w:val="0"/>
                  <w:vAlign w:val="center"/>
                </w:tcPr>
                <w:p w14:paraId="0784D0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2BD393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2FC3B8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4F880D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9492465">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324243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33B4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Borders>
                    <w:tl2br w:val="nil"/>
                    <w:tr2bl w:val="nil"/>
                  </w:tcBorders>
                  <w:noWrap w:val="0"/>
                  <w:vAlign w:val="center"/>
                </w:tcPr>
                <w:p w14:paraId="08E9F5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16BDBFA0">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叉车1</w:t>
                  </w:r>
                </w:p>
              </w:tc>
              <w:tc>
                <w:tcPr>
                  <w:tcW w:w="708" w:type="dxa"/>
                  <w:tcBorders>
                    <w:tl2br w:val="nil"/>
                    <w:tr2bl w:val="nil"/>
                  </w:tcBorders>
                  <w:shd w:val="clear" w:color="auto" w:fill="auto"/>
                  <w:noWrap w:val="0"/>
                  <w:vAlign w:val="center"/>
                </w:tcPr>
                <w:p w14:paraId="2FEC89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74EFCE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02F130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2D529C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-13.27</w:t>
                  </w:r>
                </w:p>
              </w:tc>
              <w:tc>
                <w:tcPr>
                  <w:tcW w:w="621" w:type="dxa"/>
                  <w:tcBorders>
                    <w:tl2br w:val="nil"/>
                    <w:tr2bl w:val="nil"/>
                  </w:tcBorders>
                  <w:shd w:val="clear" w:color="auto" w:fill="auto"/>
                  <w:noWrap w:val="0"/>
                  <w:vAlign w:val="center"/>
                </w:tcPr>
                <w:p w14:paraId="191607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14.15</w:t>
                  </w:r>
                </w:p>
              </w:tc>
              <w:tc>
                <w:tcPr>
                  <w:tcW w:w="368" w:type="dxa"/>
                  <w:tcBorders>
                    <w:tl2br w:val="nil"/>
                    <w:tr2bl w:val="nil"/>
                  </w:tcBorders>
                  <w:shd w:val="clear" w:color="auto" w:fill="auto"/>
                  <w:noWrap w:val="0"/>
                  <w:vAlign w:val="center"/>
                </w:tcPr>
                <w:p w14:paraId="5237A0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463E9C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31.89</w:t>
                  </w:r>
                </w:p>
              </w:tc>
              <w:tc>
                <w:tcPr>
                  <w:tcW w:w="641" w:type="dxa"/>
                  <w:tcBorders>
                    <w:tl2br w:val="nil"/>
                    <w:tr2bl w:val="nil"/>
                  </w:tcBorders>
                  <w:shd w:val="clear" w:color="auto" w:fill="auto"/>
                  <w:noWrap w:val="0"/>
                  <w:vAlign w:val="center"/>
                </w:tcPr>
                <w:p w14:paraId="7FC7B8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9.48</w:t>
                  </w:r>
                </w:p>
              </w:tc>
              <w:tc>
                <w:tcPr>
                  <w:tcW w:w="621" w:type="dxa"/>
                  <w:tcBorders>
                    <w:tl2br w:val="nil"/>
                    <w:tr2bl w:val="nil"/>
                  </w:tcBorders>
                  <w:shd w:val="clear" w:color="auto" w:fill="auto"/>
                  <w:noWrap w:val="0"/>
                  <w:vAlign w:val="center"/>
                </w:tcPr>
                <w:p w14:paraId="6EC267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16.61</w:t>
                  </w:r>
                </w:p>
              </w:tc>
              <w:tc>
                <w:tcPr>
                  <w:tcW w:w="621" w:type="dxa"/>
                  <w:tcBorders>
                    <w:tl2br w:val="nil"/>
                    <w:tr2bl w:val="nil"/>
                  </w:tcBorders>
                  <w:shd w:val="clear" w:color="auto" w:fill="auto"/>
                  <w:noWrap w:val="0"/>
                  <w:vAlign w:val="center"/>
                </w:tcPr>
                <w:p w14:paraId="667D03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63.87</w:t>
                  </w:r>
                </w:p>
              </w:tc>
              <w:tc>
                <w:tcPr>
                  <w:tcW w:w="621" w:type="dxa"/>
                  <w:tcBorders>
                    <w:tl2br w:val="nil"/>
                    <w:tr2bl w:val="nil"/>
                  </w:tcBorders>
                  <w:shd w:val="clear" w:color="auto" w:fill="auto"/>
                  <w:noWrap w:val="0"/>
                  <w:vAlign w:val="center"/>
                </w:tcPr>
                <w:p w14:paraId="3CF381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49.2</w:t>
                  </w:r>
                </w:p>
              </w:tc>
              <w:tc>
                <w:tcPr>
                  <w:tcW w:w="621" w:type="dxa"/>
                  <w:tcBorders>
                    <w:tl2br w:val="nil"/>
                    <w:tr2bl w:val="nil"/>
                  </w:tcBorders>
                  <w:shd w:val="clear" w:color="auto" w:fill="auto"/>
                  <w:noWrap w:val="0"/>
                  <w:vAlign w:val="center"/>
                </w:tcPr>
                <w:p w14:paraId="65AC8B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59.5</w:t>
                  </w:r>
                </w:p>
              </w:tc>
              <w:tc>
                <w:tcPr>
                  <w:tcW w:w="621" w:type="dxa"/>
                  <w:tcBorders>
                    <w:tl2br w:val="nil"/>
                    <w:tr2bl w:val="nil"/>
                  </w:tcBorders>
                  <w:shd w:val="clear" w:color="auto" w:fill="auto"/>
                  <w:noWrap w:val="0"/>
                  <w:vAlign w:val="center"/>
                </w:tcPr>
                <w:p w14:paraId="70CC0D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54.67</w:t>
                  </w:r>
                </w:p>
              </w:tc>
              <w:tc>
                <w:tcPr>
                  <w:tcW w:w="621" w:type="dxa"/>
                  <w:tcBorders>
                    <w:tl2br w:val="nil"/>
                    <w:tr2bl w:val="nil"/>
                  </w:tcBorders>
                  <w:shd w:val="clear" w:color="auto" w:fill="auto"/>
                  <w:noWrap w:val="0"/>
                  <w:vAlign w:val="center"/>
                </w:tcPr>
                <w:p w14:paraId="67B787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43.87</w:t>
                  </w:r>
                </w:p>
              </w:tc>
              <w:tc>
                <w:tcPr>
                  <w:tcW w:w="442" w:type="dxa"/>
                  <w:vMerge w:val="continue"/>
                  <w:tcBorders>
                    <w:tl2br w:val="nil"/>
                    <w:tr2bl w:val="nil"/>
                  </w:tcBorders>
                  <w:noWrap w:val="0"/>
                  <w:vAlign w:val="center"/>
                </w:tcPr>
                <w:p w14:paraId="5E7070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3F740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4830BB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13A30B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43D00C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7A22313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6C12B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Borders>
                    <w:tl2br w:val="nil"/>
                    <w:tr2bl w:val="nil"/>
                  </w:tcBorders>
                  <w:noWrap w:val="0"/>
                  <w:vAlign w:val="center"/>
                </w:tcPr>
                <w:p w14:paraId="7F416A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422A00A3">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叉车2</w:t>
                  </w:r>
                </w:p>
              </w:tc>
              <w:tc>
                <w:tcPr>
                  <w:tcW w:w="708" w:type="dxa"/>
                  <w:tcBorders>
                    <w:tl2br w:val="nil"/>
                    <w:tr2bl w:val="nil"/>
                  </w:tcBorders>
                  <w:shd w:val="clear" w:color="auto" w:fill="auto"/>
                  <w:noWrap w:val="0"/>
                  <w:vAlign w:val="center"/>
                </w:tcPr>
                <w:p w14:paraId="2329C8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5C6DFA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546E03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221D0B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-11.14</w:t>
                  </w:r>
                </w:p>
              </w:tc>
              <w:tc>
                <w:tcPr>
                  <w:tcW w:w="621" w:type="dxa"/>
                  <w:tcBorders>
                    <w:tl2br w:val="nil"/>
                    <w:tr2bl w:val="nil"/>
                  </w:tcBorders>
                  <w:shd w:val="clear" w:color="auto" w:fill="auto"/>
                  <w:noWrap w:val="0"/>
                  <w:vAlign w:val="center"/>
                </w:tcPr>
                <w:p w14:paraId="0BACB7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8.92</w:t>
                  </w:r>
                </w:p>
              </w:tc>
              <w:tc>
                <w:tcPr>
                  <w:tcW w:w="368" w:type="dxa"/>
                  <w:tcBorders>
                    <w:tl2br w:val="nil"/>
                    <w:tr2bl w:val="nil"/>
                  </w:tcBorders>
                  <w:shd w:val="clear" w:color="auto" w:fill="auto"/>
                  <w:noWrap w:val="0"/>
                  <w:vAlign w:val="center"/>
                </w:tcPr>
                <w:p w14:paraId="3420DA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E90B1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37.46</w:t>
                  </w:r>
                </w:p>
              </w:tc>
              <w:tc>
                <w:tcPr>
                  <w:tcW w:w="641" w:type="dxa"/>
                  <w:tcBorders>
                    <w:tl2br w:val="nil"/>
                    <w:tr2bl w:val="nil"/>
                  </w:tcBorders>
                  <w:shd w:val="clear" w:color="auto" w:fill="auto"/>
                  <w:noWrap w:val="0"/>
                  <w:vAlign w:val="center"/>
                </w:tcPr>
                <w:p w14:paraId="4CD182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8.78</w:t>
                  </w:r>
                </w:p>
              </w:tc>
              <w:tc>
                <w:tcPr>
                  <w:tcW w:w="621" w:type="dxa"/>
                  <w:tcBorders>
                    <w:tl2br w:val="nil"/>
                    <w:tr2bl w:val="nil"/>
                  </w:tcBorders>
                  <w:shd w:val="clear" w:color="auto" w:fill="auto"/>
                  <w:noWrap w:val="0"/>
                  <w:vAlign w:val="center"/>
                </w:tcPr>
                <w:p w14:paraId="61F902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11.04</w:t>
                  </w:r>
                </w:p>
              </w:tc>
              <w:tc>
                <w:tcPr>
                  <w:tcW w:w="621" w:type="dxa"/>
                  <w:tcBorders>
                    <w:tl2br w:val="nil"/>
                    <w:tr2bl w:val="nil"/>
                  </w:tcBorders>
                  <w:shd w:val="clear" w:color="auto" w:fill="auto"/>
                  <w:noWrap w:val="0"/>
                  <w:vAlign w:val="center"/>
                </w:tcPr>
                <w:p w14:paraId="07AD91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64.54</w:t>
                  </w:r>
                </w:p>
              </w:tc>
              <w:tc>
                <w:tcPr>
                  <w:tcW w:w="621" w:type="dxa"/>
                  <w:tcBorders>
                    <w:tl2br w:val="nil"/>
                    <w:tr2bl w:val="nil"/>
                  </w:tcBorders>
                  <w:shd w:val="clear" w:color="auto" w:fill="auto"/>
                  <w:noWrap w:val="0"/>
                  <w:vAlign w:val="center"/>
                </w:tcPr>
                <w:p w14:paraId="6A6460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47.89</w:t>
                  </w:r>
                </w:p>
              </w:tc>
              <w:tc>
                <w:tcPr>
                  <w:tcW w:w="621" w:type="dxa"/>
                  <w:tcBorders>
                    <w:tl2br w:val="nil"/>
                    <w:tr2bl w:val="nil"/>
                  </w:tcBorders>
                  <w:shd w:val="clear" w:color="auto" w:fill="auto"/>
                  <w:noWrap w:val="0"/>
                  <w:vAlign w:val="center"/>
                </w:tcPr>
                <w:p w14:paraId="38C8B3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60.16</w:t>
                  </w:r>
                </w:p>
              </w:tc>
              <w:tc>
                <w:tcPr>
                  <w:tcW w:w="621" w:type="dxa"/>
                  <w:tcBorders>
                    <w:tl2br w:val="nil"/>
                    <w:tr2bl w:val="nil"/>
                  </w:tcBorders>
                  <w:shd w:val="clear" w:color="auto" w:fill="auto"/>
                  <w:noWrap w:val="0"/>
                  <w:vAlign w:val="center"/>
                </w:tcPr>
                <w:p w14:paraId="56B99A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58.18</w:t>
                  </w:r>
                </w:p>
              </w:tc>
              <w:tc>
                <w:tcPr>
                  <w:tcW w:w="621" w:type="dxa"/>
                  <w:tcBorders>
                    <w:tl2br w:val="nil"/>
                    <w:tr2bl w:val="nil"/>
                  </w:tcBorders>
                  <w:shd w:val="clear" w:color="auto" w:fill="auto"/>
                  <w:noWrap w:val="0"/>
                  <w:vAlign w:val="center"/>
                </w:tcPr>
                <w:p w14:paraId="57F0B5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43.79</w:t>
                  </w:r>
                </w:p>
              </w:tc>
              <w:tc>
                <w:tcPr>
                  <w:tcW w:w="442" w:type="dxa"/>
                  <w:vMerge w:val="continue"/>
                  <w:tcBorders>
                    <w:tl2br w:val="nil"/>
                    <w:tr2bl w:val="nil"/>
                  </w:tcBorders>
                  <w:noWrap w:val="0"/>
                  <w:vAlign w:val="center"/>
                </w:tcPr>
                <w:p w14:paraId="752862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1AAE60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AD7819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05BA79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7985FA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72FB8FE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0C571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Borders>
                    <w:tl2br w:val="nil"/>
                    <w:tr2bl w:val="nil"/>
                  </w:tcBorders>
                  <w:noWrap w:val="0"/>
                  <w:vAlign w:val="center"/>
                </w:tcPr>
                <w:p w14:paraId="353D03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6C77E240">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叉车3</w:t>
                  </w:r>
                </w:p>
              </w:tc>
              <w:tc>
                <w:tcPr>
                  <w:tcW w:w="708" w:type="dxa"/>
                  <w:tcBorders>
                    <w:tl2br w:val="nil"/>
                    <w:tr2bl w:val="nil"/>
                  </w:tcBorders>
                  <w:shd w:val="clear" w:color="auto" w:fill="auto"/>
                  <w:noWrap w:val="0"/>
                  <w:vAlign w:val="center"/>
                </w:tcPr>
                <w:p w14:paraId="14F7CC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tcBorders>
                    <w:tl2br w:val="nil"/>
                    <w:tr2bl w:val="nil"/>
                  </w:tcBorders>
                  <w:noWrap w:val="0"/>
                  <w:vAlign w:val="center"/>
                </w:tcPr>
                <w:p w14:paraId="27A950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4544BD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7C07D4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-9.59</w:t>
                  </w:r>
                </w:p>
              </w:tc>
              <w:tc>
                <w:tcPr>
                  <w:tcW w:w="621" w:type="dxa"/>
                  <w:tcBorders>
                    <w:tl2br w:val="nil"/>
                    <w:tr2bl w:val="nil"/>
                  </w:tcBorders>
                  <w:shd w:val="clear" w:color="auto" w:fill="auto"/>
                  <w:noWrap w:val="0"/>
                  <w:vAlign w:val="center"/>
                </w:tcPr>
                <w:p w14:paraId="782099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3.49</w:t>
                  </w:r>
                </w:p>
              </w:tc>
              <w:tc>
                <w:tcPr>
                  <w:tcW w:w="368" w:type="dxa"/>
                  <w:tcBorders>
                    <w:tl2br w:val="nil"/>
                    <w:tr2bl w:val="nil"/>
                  </w:tcBorders>
                  <w:shd w:val="clear" w:color="auto" w:fill="auto"/>
                  <w:noWrap w:val="0"/>
                  <w:vAlign w:val="center"/>
                </w:tcPr>
                <w:p w14:paraId="44F837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43096D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43.1</w:t>
                  </w:r>
                </w:p>
              </w:tc>
              <w:tc>
                <w:tcPr>
                  <w:tcW w:w="641" w:type="dxa"/>
                  <w:tcBorders>
                    <w:tl2br w:val="nil"/>
                    <w:tr2bl w:val="nil"/>
                  </w:tcBorders>
                  <w:shd w:val="clear" w:color="auto" w:fill="auto"/>
                  <w:noWrap w:val="0"/>
                  <w:vAlign w:val="center"/>
                </w:tcPr>
                <w:p w14:paraId="1DEF13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8.69</w:t>
                  </w:r>
                </w:p>
              </w:tc>
              <w:tc>
                <w:tcPr>
                  <w:tcW w:w="621" w:type="dxa"/>
                  <w:tcBorders>
                    <w:tl2br w:val="nil"/>
                    <w:tr2bl w:val="nil"/>
                  </w:tcBorders>
                  <w:shd w:val="clear" w:color="auto" w:fill="auto"/>
                  <w:noWrap w:val="0"/>
                  <w:vAlign w:val="center"/>
                </w:tcPr>
                <w:p w14:paraId="31BB91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5.4</w:t>
                  </w:r>
                </w:p>
              </w:tc>
              <w:tc>
                <w:tcPr>
                  <w:tcW w:w="621" w:type="dxa"/>
                  <w:tcBorders>
                    <w:tl2br w:val="nil"/>
                    <w:tr2bl w:val="nil"/>
                  </w:tcBorders>
                  <w:shd w:val="clear" w:color="auto" w:fill="auto"/>
                  <w:noWrap w:val="0"/>
                  <w:vAlign w:val="center"/>
                </w:tcPr>
                <w:p w14:paraId="5F05FA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64.6</w:t>
                  </w:r>
                </w:p>
              </w:tc>
              <w:tc>
                <w:tcPr>
                  <w:tcW w:w="621" w:type="dxa"/>
                  <w:tcBorders>
                    <w:tl2br w:val="nil"/>
                    <w:tr2bl w:val="nil"/>
                  </w:tcBorders>
                  <w:shd w:val="clear" w:color="auto" w:fill="auto"/>
                  <w:noWrap w:val="0"/>
                  <w:vAlign w:val="center"/>
                </w:tcPr>
                <w:p w14:paraId="12B910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46.78</w:t>
                  </w:r>
                </w:p>
              </w:tc>
              <w:tc>
                <w:tcPr>
                  <w:tcW w:w="621" w:type="dxa"/>
                  <w:tcBorders>
                    <w:tl2br w:val="nil"/>
                    <w:tr2bl w:val="nil"/>
                  </w:tcBorders>
                  <w:shd w:val="clear" w:color="auto" w:fill="auto"/>
                  <w:noWrap w:val="0"/>
                  <w:vAlign w:val="center"/>
                </w:tcPr>
                <w:p w14:paraId="4B9BAD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60.25</w:t>
                  </w:r>
                </w:p>
              </w:tc>
              <w:tc>
                <w:tcPr>
                  <w:tcW w:w="621" w:type="dxa"/>
                  <w:tcBorders>
                    <w:tl2br w:val="nil"/>
                    <w:tr2bl w:val="nil"/>
                  </w:tcBorders>
                  <w:shd w:val="clear" w:color="auto" w:fill="auto"/>
                  <w:noWrap w:val="0"/>
                  <w:vAlign w:val="center"/>
                </w:tcPr>
                <w:p w14:paraId="644FEF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64.37</w:t>
                  </w:r>
                </w:p>
              </w:tc>
              <w:tc>
                <w:tcPr>
                  <w:tcW w:w="621" w:type="dxa"/>
                  <w:tcBorders>
                    <w:tl2br w:val="nil"/>
                    <w:tr2bl w:val="nil"/>
                  </w:tcBorders>
                  <w:shd w:val="clear" w:color="auto" w:fill="auto"/>
                  <w:noWrap w:val="0"/>
                  <w:vAlign w:val="center"/>
                </w:tcPr>
                <w:p w14:paraId="1D7E90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43.79</w:t>
                  </w:r>
                </w:p>
              </w:tc>
              <w:tc>
                <w:tcPr>
                  <w:tcW w:w="442" w:type="dxa"/>
                  <w:vMerge w:val="continue"/>
                  <w:tcBorders>
                    <w:tl2br w:val="nil"/>
                    <w:tr2bl w:val="nil"/>
                  </w:tcBorders>
                  <w:noWrap w:val="0"/>
                  <w:vAlign w:val="center"/>
                </w:tcPr>
                <w:p w14:paraId="66FCEE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071059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776CB015">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425131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97EA23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AEE40B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73D8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97" w:type="dxa"/>
                  <w:vMerge w:val="continue"/>
                  <w:tcBorders>
                    <w:tl2br w:val="nil"/>
                    <w:tr2bl w:val="nil"/>
                  </w:tcBorders>
                  <w:noWrap w:val="0"/>
                  <w:vAlign w:val="center"/>
                </w:tcPr>
                <w:p w14:paraId="51F876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7F3D5BD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抓机1</w:t>
                  </w:r>
                </w:p>
              </w:tc>
              <w:tc>
                <w:tcPr>
                  <w:tcW w:w="708" w:type="dxa"/>
                  <w:tcBorders>
                    <w:tl2br w:val="nil"/>
                    <w:tr2bl w:val="nil"/>
                  </w:tcBorders>
                  <w:shd w:val="clear" w:color="auto" w:fill="auto"/>
                  <w:noWrap w:val="0"/>
                  <w:vAlign w:val="center"/>
                </w:tcPr>
                <w:p w14:paraId="35BB07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4BAB81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3827B6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6FE64A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-24.51</w:t>
                  </w:r>
                </w:p>
              </w:tc>
              <w:tc>
                <w:tcPr>
                  <w:tcW w:w="621" w:type="dxa"/>
                  <w:tcBorders>
                    <w:tl2br w:val="nil"/>
                    <w:tr2bl w:val="nil"/>
                  </w:tcBorders>
                  <w:shd w:val="clear" w:color="auto" w:fill="auto"/>
                  <w:noWrap w:val="0"/>
                  <w:vAlign w:val="center"/>
                </w:tcPr>
                <w:p w14:paraId="583F86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11.63</w:t>
                  </w:r>
                </w:p>
              </w:tc>
              <w:tc>
                <w:tcPr>
                  <w:tcW w:w="368" w:type="dxa"/>
                  <w:tcBorders>
                    <w:tl2br w:val="nil"/>
                    <w:tr2bl w:val="nil"/>
                  </w:tcBorders>
                  <w:shd w:val="clear" w:color="auto" w:fill="auto"/>
                  <w:noWrap w:val="0"/>
                  <w:vAlign w:val="center"/>
                </w:tcPr>
                <w:p w14:paraId="519E80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57E95A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31.83</w:t>
                  </w:r>
                </w:p>
              </w:tc>
              <w:tc>
                <w:tcPr>
                  <w:tcW w:w="641" w:type="dxa"/>
                  <w:tcBorders>
                    <w:tl2br w:val="nil"/>
                    <w:tr2bl w:val="nil"/>
                  </w:tcBorders>
                  <w:shd w:val="clear" w:color="auto" w:fill="auto"/>
                  <w:noWrap w:val="0"/>
                  <w:vAlign w:val="center"/>
                </w:tcPr>
                <w:p w14:paraId="3C442D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20.98</w:t>
                  </w:r>
                </w:p>
              </w:tc>
              <w:tc>
                <w:tcPr>
                  <w:tcW w:w="621" w:type="dxa"/>
                  <w:tcBorders>
                    <w:tl2br w:val="nil"/>
                    <w:tr2bl w:val="nil"/>
                  </w:tcBorders>
                  <w:shd w:val="clear" w:color="auto" w:fill="auto"/>
                  <w:noWrap w:val="0"/>
                  <w:vAlign w:val="center"/>
                </w:tcPr>
                <w:p w14:paraId="75632E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16.65</w:t>
                  </w:r>
                </w:p>
              </w:tc>
              <w:tc>
                <w:tcPr>
                  <w:tcW w:w="621" w:type="dxa"/>
                  <w:tcBorders>
                    <w:tl2br w:val="nil"/>
                    <w:tr2bl w:val="nil"/>
                  </w:tcBorders>
                  <w:shd w:val="clear" w:color="auto" w:fill="auto"/>
                  <w:noWrap w:val="0"/>
                  <w:vAlign w:val="center"/>
                </w:tcPr>
                <w:p w14:paraId="708279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52.36</w:t>
                  </w:r>
                </w:p>
              </w:tc>
              <w:tc>
                <w:tcPr>
                  <w:tcW w:w="621" w:type="dxa"/>
                  <w:tcBorders>
                    <w:tl2br w:val="nil"/>
                    <w:tr2bl w:val="nil"/>
                  </w:tcBorders>
                  <w:shd w:val="clear" w:color="auto" w:fill="auto"/>
                  <w:noWrap w:val="0"/>
                  <w:vAlign w:val="center"/>
                </w:tcPr>
                <w:p w14:paraId="79069C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44.21</w:t>
                  </w:r>
                </w:p>
              </w:tc>
              <w:tc>
                <w:tcPr>
                  <w:tcW w:w="621" w:type="dxa"/>
                  <w:tcBorders>
                    <w:tl2br w:val="nil"/>
                    <w:tr2bl w:val="nil"/>
                  </w:tcBorders>
                  <w:shd w:val="clear" w:color="auto" w:fill="auto"/>
                  <w:noWrap w:val="0"/>
                  <w:vAlign w:val="center"/>
                </w:tcPr>
                <w:p w14:paraId="21ACED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47.69</w:t>
                  </w:r>
                </w:p>
              </w:tc>
              <w:tc>
                <w:tcPr>
                  <w:tcW w:w="621" w:type="dxa"/>
                  <w:tcBorders>
                    <w:tl2br w:val="nil"/>
                    <w:tr2bl w:val="nil"/>
                  </w:tcBorders>
                  <w:shd w:val="clear" w:color="auto" w:fill="auto"/>
                  <w:noWrap w:val="0"/>
                  <w:vAlign w:val="center"/>
                </w:tcPr>
                <w:p w14:paraId="62CB95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49.65</w:t>
                  </w:r>
                </w:p>
              </w:tc>
              <w:tc>
                <w:tcPr>
                  <w:tcW w:w="621" w:type="dxa"/>
                  <w:tcBorders>
                    <w:tl2br w:val="nil"/>
                    <w:tr2bl w:val="nil"/>
                  </w:tcBorders>
                  <w:shd w:val="clear" w:color="auto" w:fill="auto"/>
                  <w:noWrap w:val="0"/>
                  <w:vAlign w:val="center"/>
                </w:tcPr>
                <w:p w14:paraId="3A8881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40.3</w:t>
                  </w:r>
                </w:p>
              </w:tc>
              <w:tc>
                <w:tcPr>
                  <w:tcW w:w="442" w:type="dxa"/>
                  <w:vMerge w:val="continue"/>
                  <w:tcBorders>
                    <w:tl2br w:val="nil"/>
                    <w:tr2bl w:val="nil"/>
                  </w:tcBorders>
                  <w:noWrap w:val="0"/>
                  <w:vAlign w:val="center"/>
                </w:tcPr>
                <w:p w14:paraId="6F5975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66DD0D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73D609C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C38104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C43967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4B69BC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C85E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97" w:type="dxa"/>
                  <w:vMerge w:val="continue"/>
                  <w:tcBorders>
                    <w:tl2br w:val="nil"/>
                    <w:tr2bl w:val="nil"/>
                  </w:tcBorders>
                  <w:noWrap w:val="0"/>
                  <w:vAlign w:val="center"/>
                </w:tcPr>
                <w:p w14:paraId="65709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c>
                <w:tcPr>
                  <w:tcW w:w="1050" w:type="dxa"/>
                  <w:tcBorders>
                    <w:tl2br w:val="nil"/>
                    <w:tr2bl w:val="nil"/>
                  </w:tcBorders>
                  <w:shd w:val="clear" w:color="auto" w:fill="auto"/>
                  <w:noWrap w:val="0"/>
                  <w:vAlign w:val="center"/>
                </w:tcPr>
                <w:p w14:paraId="0ED0428C">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抓机2</w:t>
                  </w:r>
                </w:p>
              </w:tc>
              <w:tc>
                <w:tcPr>
                  <w:tcW w:w="708" w:type="dxa"/>
                  <w:tcBorders>
                    <w:tl2br w:val="nil"/>
                    <w:tr2bl w:val="nil"/>
                  </w:tcBorders>
                  <w:shd w:val="clear" w:color="auto" w:fill="auto"/>
                  <w:noWrap w:val="0"/>
                  <w:vAlign w:val="center"/>
                </w:tcPr>
                <w:p w14:paraId="08003E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0384E8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166E8F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669A51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-22.57</w:t>
                  </w:r>
                </w:p>
              </w:tc>
              <w:tc>
                <w:tcPr>
                  <w:tcW w:w="621" w:type="dxa"/>
                  <w:tcBorders>
                    <w:tl2br w:val="nil"/>
                    <w:tr2bl w:val="nil"/>
                  </w:tcBorders>
                  <w:shd w:val="clear" w:color="auto" w:fill="auto"/>
                  <w:noWrap w:val="0"/>
                  <w:vAlign w:val="center"/>
                </w:tcPr>
                <w:p w14:paraId="2FEF4D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6.98</w:t>
                  </w:r>
                </w:p>
              </w:tc>
              <w:tc>
                <w:tcPr>
                  <w:tcW w:w="368" w:type="dxa"/>
                  <w:tcBorders>
                    <w:tl2br w:val="nil"/>
                    <w:tr2bl w:val="nil"/>
                  </w:tcBorders>
                  <w:shd w:val="clear" w:color="auto" w:fill="auto"/>
                  <w:noWrap w:val="0"/>
                  <w:vAlign w:val="center"/>
                </w:tcPr>
                <w:p w14:paraId="40D9FE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B78ED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36.79</w:t>
                  </w:r>
                </w:p>
              </w:tc>
              <w:tc>
                <w:tcPr>
                  <w:tcW w:w="641" w:type="dxa"/>
                  <w:tcBorders>
                    <w:tl2br w:val="nil"/>
                    <w:tr2bl w:val="nil"/>
                  </w:tcBorders>
                  <w:shd w:val="clear" w:color="auto" w:fill="auto"/>
                  <w:noWrap w:val="0"/>
                  <w:vAlign w:val="center"/>
                </w:tcPr>
                <w:p w14:paraId="48B394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20.32</w:t>
                  </w:r>
                </w:p>
              </w:tc>
              <w:tc>
                <w:tcPr>
                  <w:tcW w:w="621" w:type="dxa"/>
                  <w:tcBorders>
                    <w:tl2br w:val="nil"/>
                    <w:tr2bl w:val="nil"/>
                  </w:tcBorders>
                  <w:shd w:val="clear" w:color="auto" w:fill="auto"/>
                  <w:noWrap w:val="0"/>
                  <w:vAlign w:val="center"/>
                </w:tcPr>
                <w:p w14:paraId="642920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11.69</w:t>
                  </w:r>
                </w:p>
              </w:tc>
              <w:tc>
                <w:tcPr>
                  <w:tcW w:w="621" w:type="dxa"/>
                  <w:tcBorders>
                    <w:tl2br w:val="nil"/>
                    <w:tr2bl w:val="nil"/>
                  </w:tcBorders>
                  <w:shd w:val="clear" w:color="auto" w:fill="auto"/>
                  <w:noWrap w:val="0"/>
                  <w:vAlign w:val="center"/>
                </w:tcPr>
                <w:p w14:paraId="11189A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w:t>
                  </w:r>
                </w:p>
              </w:tc>
              <w:tc>
                <w:tcPr>
                  <w:tcW w:w="621" w:type="dxa"/>
                  <w:tcBorders>
                    <w:tl2br w:val="nil"/>
                    <w:tr2bl w:val="nil"/>
                  </w:tcBorders>
                  <w:shd w:val="clear" w:color="auto" w:fill="auto"/>
                  <w:noWrap w:val="0"/>
                  <w:vAlign w:val="center"/>
                </w:tcPr>
                <w:p w14:paraId="554994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43.04</w:t>
                  </w:r>
                </w:p>
              </w:tc>
              <w:tc>
                <w:tcPr>
                  <w:tcW w:w="621" w:type="dxa"/>
                  <w:tcBorders>
                    <w:tl2br w:val="nil"/>
                    <w:tr2bl w:val="nil"/>
                  </w:tcBorders>
                  <w:shd w:val="clear" w:color="auto" w:fill="auto"/>
                  <w:noWrap w:val="0"/>
                  <w:vAlign w:val="center"/>
                </w:tcPr>
                <w:p w14:paraId="692615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47.96</w:t>
                  </w:r>
                </w:p>
              </w:tc>
              <w:tc>
                <w:tcPr>
                  <w:tcW w:w="621" w:type="dxa"/>
                  <w:tcBorders>
                    <w:tl2br w:val="nil"/>
                    <w:tr2bl w:val="nil"/>
                  </w:tcBorders>
                  <w:shd w:val="clear" w:color="auto" w:fill="auto"/>
                  <w:noWrap w:val="0"/>
                  <w:vAlign w:val="center"/>
                </w:tcPr>
                <w:p w14:paraId="2974E4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52.69</w:t>
                  </w:r>
                </w:p>
              </w:tc>
              <w:tc>
                <w:tcPr>
                  <w:tcW w:w="621" w:type="dxa"/>
                  <w:tcBorders>
                    <w:tl2br w:val="nil"/>
                    <w:tr2bl w:val="nil"/>
                  </w:tcBorders>
                  <w:shd w:val="clear" w:color="auto" w:fill="auto"/>
                  <w:noWrap w:val="0"/>
                  <w:vAlign w:val="center"/>
                </w:tcPr>
                <w:p w14:paraId="3D4B74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40.21</w:t>
                  </w:r>
                </w:p>
              </w:tc>
              <w:tc>
                <w:tcPr>
                  <w:tcW w:w="442" w:type="dxa"/>
                  <w:vMerge w:val="continue"/>
                  <w:tcBorders>
                    <w:tl2br w:val="nil"/>
                    <w:tr2bl w:val="nil"/>
                  </w:tcBorders>
                  <w:noWrap w:val="0"/>
                  <w:vAlign w:val="center"/>
                </w:tcPr>
                <w:p w14:paraId="6D780D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c>
                <w:tcPr>
                  <w:tcW w:w="711" w:type="dxa"/>
                  <w:tcBorders>
                    <w:tl2br w:val="nil"/>
                    <w:tr2bl w:val="nil"/>
                  </w:tcBorders>
                  <w:noWrap w:val="0"/>
                  <w:vAlign w:val="center"/>
                </w:tcPr>
                <w:p w14:paraId="38831D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7F347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c>
                <w:tcPr>
                  <w:tcW w:w="621" w:type="dxa"/>
                  <w:vMerge w:val="continue"/>
                  <w:tcBorders>
                    <w:tl2br w:val="nil"/>
                    <w:tr2bl w:val="nil"/>
                  </w:tcBorders>
                  <w:noWrap w:val="0"/>
                  <w:vAlign w:val="center"/>
                </w:tcPr>
                <w:p w14:paraId="2EB7C0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c>
                <w:tcPr>
                  <w:tcW w:w="621" w:type="dxa"/>
                  <w:vMerge w:val="continue"/>
                  <w:tcBorders>
                    <w:tl2br w:val="nil"/>
                    <w:tr2bl w:val="nil"/>
                  </w:tcBorders>
                  <w:noWrap w:val="0"/>
                  <w:vAlign w:val="center"/>
                </w:tcPr>
                <w:p w14:paraId="2B058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c>
                <w:tcPr>
                  <w:tcW w:w="621" w:type="dxa"/>
                  <w:vMerge w:val="continue"/>
                  <w:tcBorders>
                    <w:tl2br w:val="nil"/>
                    <w:tr2bl w:val="nil"/>
                  </w:tcBorders>
                  <w:noWrap w:val="0"/>
                  <w:vAlign w:val="center"/>
                </w:tcPr>
                <w:p w14:paraId="755CD0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u w:val="single" w:color="auto"/>
                      <w:lang w:val="en-US" w:eastAsia="zh-CN"/>
                    </w:rPr>
                  </w:pPr>
                </w:p>
              </w:tc>
            </w:tr>
            <w:tr w14:paraId="0B7CE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97" w:type="dxa"/>
                  <w:vMerge w:val="continue"/>
                  <w:tcBorders>
                    <w:tl2br w:val="nil"/>
                    <w:tr2bl w:val="nil"/>
                  </w:tcBorders>
                  <w:noWrap w:val="0"/>
                  <w:vAlign w:val="center"/>
                </w:tcPr>
                <w:p w14:paraId="77CCDF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616B9A2E">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抱机1</w:t>
                  </w:r>
                </w:p>
              </w:tc>
              <w:tc>
                <w:tcPr>
                  <w:tcW w:w="708" w:type="dxa"/>
                  <w:tcBorders>
                    <w:tl2br w:val="nil"/>
                    <w:tr2bl w:val="nil"/>
                  </w:tcBorders>
                  <w:shd w:val="clear" w:color="auto" w:fill="auto"/>
                  <w:noWrap w:val="0"/>
                  <w:vAlign w:val="center"/>
                </w:tcPr>
                <w:p w14:paraId="6C6867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5D8BA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1DA63D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0EC136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-29.94</w:t>
                  </w:r>
                </w:p>
              </w:tc>
              <w:tc>
                <w:tcPr>
                  <w:tcW w:w="621" w:type="dxa"/>
                  <w:tcBorders>
                    <w:tl2br w:val="nil"/>
                    <w:tr2bl w:val="nil"/>
                  </w:tcBorders>
                  <w:shd w:val="clear" w:color="auto" w:fill="auto"/>
                  <w:noWrap w:val="0"/>
                  <w:vAlign w:val="center"/>
                </w:tcPr>
                <w:p w14:paraId="4E9B8D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9.5</w:t>
                  </w:r>
                </w:p>
              </w:tc>
              <w:tc>
                <w:tcPr>
                  <w:tcW w:w="368" w:type="dxa"/>
                  <w:tcBorders>
                    <w:tl2br w:val="nil"/>
                    <w:tr2bl w:val="nil"/>
                  </w:tcBorders>
                  <w:shd w:val="clear" w:color="auto" w:fill="auto"/>
                  <w:noWrap w:val="0"/>
                  <w:vAlign w:val="center"/>
                </w:tcPr>
                <w:p w14:paraId="35913E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5AA19C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32.69</w:t>
                  </w:r>
                </w:p>
              </w:tc>
              <w:tc>
                <w:tcPr>
                  <w:tcW w:w="641" w:type="dxa"/>
                  <w:tcBorders>
                    <w:tl2br w:val="nil"/>
                    <w:tr2bl w:val="nil"/>
                  </w:tcBorders>
                  <w:shd w:val="clear" w:color="auto" w:fill="auto"/>
                  <w:noWrap w:val="0"/>
                  <w:vAlign w:val="center"/>
                </w:tcPr>
                <w:p w14:paraId="136AEF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26.78</w:t>
                  </w:r>
                </w:p>
              </w:tc>
              <w:tc>
                <w:tcPr>
                  <w:tcW w:w="621" w:type="dxa"/>
                  <w:tcBorders>
                    <w:tl2br w:val="nil"/>
                    <w:tr2bl w:val="nil"/>
                  </w:tcBorders>
                  <w:shd w:val="clear" w:color="auto" w:fill="auto"/>
                  <w:noWrap w:val="0"/>
                  <w:vAlign w:val="center"/>
                </w:tcPr>
                <w:p w14:paraId="24DC50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15.78</w:t>
                  </w:r>
                </w:p>
              </w:tc>
              <w:tc>
                <w:tcPr>
                  <w:tcW w:w="621" w:type="dxa"/>
                  <w:tcBorders>
                    <w:tl2br w:val="nil"/>
                    <w:tr2bl w:val="nil"/>
                  </w:tcBorders>
                  <w:shd w:val="clear" w:color="auto" w:fill="auto"/>
                  <w:noWrap w:val="0"/>
                  <w:vAlign w:val="center"/>
                </w:tcPr>
                <w:p w14:paraId="65E859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46.56</w:t>
                  </w:r>
                </w:p>
              </w:tc>
              <w:tc>
                <w:tcPr>
                  <w:tcW w:w="621" w:type="dxa"/>
                  <w:tcBorders>
                    <w:tl2br w:val="nil"/>
                    <w:tr2bl w:val="nil"/>
                  </w:tcBorders>
                  <w:shd w:val="clear" w:color="auto" w:fill="auto"/>
                  <w:noWrap w:val="0"/>
                  <w:vAlign w:val="center"/>
                </w:tcPr>
                <w:p w14:paraId="06FECB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43.99</w:t>
                  </w:r>
                </w:p>
              </w:tc>
              <w:tc>
                <w:tcPr>
                  <w:tcW w:w="621" w:type="dxa"/>
                  <w:tcBorders>
                    <w:tl2br w:val="nil"/>
                    <w:tr2bl w:val="nil"/>
                  </w:tcBorders>
                  <w:shd w:val="clear" w:color="auto" w:fill="auto"/>
                  <w:noWrap w:val="0"/>
                  <w:vAlign w:val="center"/>
                </w:tcPr>
                <w:p w14:paraId="3E77A7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45.64</w:t>
                  </w:r>
                </w:p>
              </w:tc>
              <w:tc>
                <w:tcPr>
                  <w:tcW w:w="621" w:type="dxa"/>
                  <w:tcBorders>
                    <w:tl2br w:val="nil"/>
                    <w:tr2bl w:val="nil"/>
                  </w:tcBorders>
                  <w:shd w:val="clear" w:color="auto" w:fill="auto"/>
                  <w:noWrap w:val="0"/>
                  <w:vAlign w:val="center"/>
                </w:tcPr>
                <w:p w14:paraId="3FFCDA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50.11</w:t>
                  </w:r>
                </w:p>
              </w:tc>
              <w:tc>
                <w:tcPr>
                  <w:tcW w:w="621" w:type="dxa"/>
                  <w:tcBorders>
                    <w:tl2br w:val="nil"/>
                    <w:tr2bl w:val="nil"/>
                  </w:tcBorders>
                  <w:shd w:val="clear" w:color="auto" w:fill="auto"/>
                  <w:noWrap w:val="0"/>
                  <w:vAlign w:val="center"/>
                </w:tcPr>
                <w:p w14:paraId="30A856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41.19</w:t>
                  </w:r>
                </w:p>
              </w:tc>
              <w:tc>
                <w:tcPr>
                  <w:tcW w:w="442" w:type="dxa"/>
                  <w:vMerge w:val="continue"/>
                  <w:tcBorders>
                    <w:tl2br w:val="nil"/>
                    <w:tr2bl w:val="nil"/>
                  </w:tcBorders>
                  <w:noWrap w:val="0"/>
                  <w:vAlign w:val="center"/>
                </w:tcPr>
                <w:p w14:paraId="523756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042509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6346264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B91A39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78BAC6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268B5D7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64A29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Merge w:val="continue"/>
                  <w:tcBorders>
                    <w:tl2br w:val="nil"/>
                    <w:tr2bl w:val="nil"/>
                  </w:tcBorders>
                  <w:noWrap w:val="0"/>
                  <w:vAlign w:val="center"/>
                </w:tcPr>
                <w:p w14:paraId="4B6EA3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14DBB585">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抱机2</w:t>
                  </w:r>
                </w:p>
              </w:tc>
              <w:tc>
                <w:tcPr>
                  <w:tcW w:w="708" w:type="dxa"/>
                  <w:tcBorders>
                    <w:tl2br w:val="nil"/>
                    <w:tr2bl w:val="nil"/>
                  </w:tcBorders>
                  <w:shd w:val="clear" w:color="auto" w:fill="auto"/>
                  <w:noWrap w:val="0"/>
                  <w:vAlign w:val="center"/>
                </w:tcPr>
                <w:p w14:paraId="797338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00C12F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39D55E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6289C0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-28.19</w:t>
                  </w:r>
                </w:p>
              </w:tc>
              <w:tc>
                <w:tcPr>
                  <w:tcW w:w="621" w:type="dxa"/>
                  <w:tcBorders>
                    <w:tl2br w:val="nil"/>
                    <w:tr2bl w:val="nil"/>
                  </w:tcBorders>
                  <w:shd w:val="clear" w:color="auto" w:fill="auto"/>
                  <w:noWrap w:val="0"/>
                  <w:vAlign w:val="center"/>
                </w:tcPr>
                <w:p w14:paraId="26F94A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5.23</w:t>
                  </w:r>
                </w:p>
              </w:tc>
              <w:tc>
                <w:tcPr>
                  <w:tcW w:w="368" w:type="dxa"/>
                  <w:tcBorders>
                    <w:tl2br w:val="nil"/>
                    <w:tr2bl w:val="nil"/>
                  </w:tcBorders>
                  <w:shd w:val="clear" w:color="auto" w:fill="auto"/>
                  <w:noWrap w:val="0"/>
                  <w:vAlign w:val="center"/>
                </w:tcPr>
                <w:p w14:paraId="08AE45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65AF4F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37.24</w:t>
                  </w:r>
                </w:p>
              </w:tc>
              <w:tc>
                <w:tcPr>
                  <w:tcW w:w="641" w:type="dxa"/>
                  <w:tcBorders>
                    <w:tl2br w:val="nil"/>
                    <w:tr2bl w:val="nil"/>
                  </w:tcBorders>
                  <w:shd w:val="clear" w:color="auto" w:fill="auto"/>
                  <w:noWrap w:val="0"/>
                  <w:vAlign w:val="center"/>
                </w:tcPr>
                <w:p w14:paraId="08DE80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26.2</w:t>
                  </w:r>
                </w:p>
              </w:tc>
              <w:tc>
                <w:tcPr>
                  <w:tcW w:w="621" w:type="dxa"/>
                  <w:tcBorders>
                    <w:tl2br w:val="nil"/>
                    <w:tr2bl w:val="nil"/>
                  </w:tcBorders>
                  <w:shd w:val="clear" w:color="auto" w:fill="auto"/>
                  <w:noWrap w:val="0"/>
                  <w:vAlign w:val="center"/>
                </w:tcPr>
                <w:p w14:paraId="29CA5F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11.23</w:t>
                  </w:r>
                </w:p>
              </w:tc>
              <w:tc>
                <w:tcPr>
                  <w:tcW w:w="621" w:type="dxa"/>
                  <w:tcBorders>
                    <w:tl2br w:val="nil"/>
                    <w:tr2bl w:val="nil"/>
                  </w:tcBorders>
                  <w:shd w:val="clear" w:color="auto" w:fill="auto"/>
                  <w:noWrap w:val="0"/>
                  <w:vAlign w:val="center"/>
                </w:tcPr>
                <w:p w14:paraId="3E91A5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47.12</w:t>
                  </w:r>
                </w:p>
              </w:tc>
              <w:tc>
                <w:tcPr>
                  <w:tcW w:w="621" w:type="dxa"/>
                  <w:tcBorders>
                    <w:tl2br w:val="nil"/>
                    <w:tr2bl w:val="nil"/>
                  </w:tcBorders>
                  <w:shd w:val="clear" w:color="auto" w:fill="auto"/>
                  <w:noWrap w:val="0"/>
                  <w:vAlign w:val="center"/>
                </w:tcPr>
                <w:p w14:paraId="5D2995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42.94</w:t>
                  </w:r>
                </w:p>
              </w:tc>
              <w:tc>
                <w:tcPr>
                  <w:tcW w:w="621" w:type="dxa"/>
                  <w:tcBorders>
                    <w:tl2br w:val="nil"/>
                    <w:tr2bl w:val="nil"/>
                  </w:tcBorders>
                  <w:shd w:val="clear" w:color="auto" w:fill="auto"/>
                  <w:noWrap w:val="0"/>
                  <w:vAlign w:val="center"/>
                </w:tcPr>
                <w:p w14:paraId="04A345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45.82</w:t>
                  </w:r>
                </w:p>
              </w:tc>
              <w:tc>
                <w:tcPr>
                  <w:tcW w:w="621" w:type="dxa"/>
                  <w:tcBorders>
                    <w:tl2br w:val="nil"/>
                    <w:tr2bl w:val="nil"/>
                  </w:tcBorders>
                  <w:shd w:val="clear" w:color="auto" w:fill="auto"/>
                  <w:noWrap w:val="0"/>
                  <w:vAlign w:val="center"/>
                </w:tcPr>
                <w:p w14:paraId="0D99A4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53.03</w:t>
                  </w:r>
                </w:p>
              </w:tc>
              <w:tc>
                <w:tcPr>
                  <w:tcW w:w="621" w:type="dxa"/>
                  <w:tcBorders>
                    <w:tl2br w:val="nil"/>
                    <w:tr2bl w:val="nil"/>
                  </w:tcBorders>
                  <w:shd w:val="clear" w:color="auto" w:fill="auto"/>
                  <w:noWrap w:val="0"/>
                  <w:vAlign w:val="center"/>
                </w:tcPr>
                <w:p w14:paraId="0C6050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41.09</w:t>
                  </w:r>
                </w:p>
              </w:tc>
              <w:tc>
                <w:tcPr>
                  <w:tcW w:w="442" w:type="dxa"/>
                  <w:vMerge w:val="continue"/>
                  <w:tcBorders>
                    <w:tl2br w:val="nil"/>
                    <w:tr2bl w:val="nil"/>
                  </w:tcBorders>
                  <w:noWrap w:val="0"/>
                  <w:vAlign w:val="center"/>
                </w:tcPr>
                <w:p w14:paraId="287254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565D66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4BA5484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59F789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803129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57D4B30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39041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97" w:type="dxa"/>
                  <w:vMerge w:val="continue"/>
                  <w:tcBorders>
                    <w:tl2br w:val="nil"/>
                    <w:tr2bl w:val="nil"/>
                  </w:tcBorders>
                  <w:noWrap w:val="0"/>
                  <w:vAlign w:val="center"/>
                </w:tcPr>
                <w:p w14:paraId="43EE77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4AFA3A98">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推机1</w:t>
                  </w:r>
                </w:p>
              </w:tc>
              <w:tc>
                <w:tcPr>
                  <w:tcW w:w="708" w:type="dxa"/>
                  <w:tcBorders>
                    <w:tl2br w:val="nil"/>
                    <w:tr2bl w:val="nil"/>
                  </w:tcBorders>
                  <w:shd w:val="clear" w:color="auto" w:fill="auto"/>
                  <w:noWrap w:val="0"/>
                  <w:vAlign w:val="center"/>
                </w:tcPr>
                <w:p w14:paraId="5057EB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noWrap w:val="0"/>
                  <w:vAlign w:val="center"/>
                </w:tcPr>
                <w:p w14:paraId="7EB63D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681996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0FABA1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-34.98</w:t>
                  </w:r>
                </w:p>
              </w:tc>
              <w:tc>
                <w:tcPr>
                  <w:tcW w:w="621" w:type="dxa"/>
                  <w:tcBorders>
                    <w:tl2br w:val="nil"/>
                    <w:tr2bl w:val="nil"/>
                  </w:tcBorders>
                  <w:shd w:val="clear" w:color="auto" w:fill="auto"/>
                  <w:noWrap w:val="0"/>
                  <w:vAlign w:val="center"/>
                </w:tcPr>
                <w:p w14:paraId="7FA330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8.53</w:t>
                  </w:r>
                </w:p>
              </w:tc>
              <w:tc>
                <w:tcPr>
                  <w:tcW w:w="368" w:type="dxa"/>
                  <w:tcBorders>
                    <w:tl2br w:val="nil"/>
                    <w:tr2bl w:val="nil"/>
                  </w:tcBorders>
                  <w:shd w:val="clear" w:color="auto" w:fill="auto"/>
                  <w:noWrap w:val="0"/>
                  <w:vAlign w:val="center"/>
                </w:tcPr>
                <w:p w14:paraId="56750B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631908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32.51</w:t>
                  </w:r>
                </w:p>
              </w:tc>
              <w:tc>
                <w:tcPr>
                  <w:tcW w:w="641" w:type="dxa"/>
                  <w:tcBorders>
                    <w:tl2br w:val="nil"/>
                    <w:tr2bl w:val="nil"/>
                  </w:tcBorders>
                  <w:shd w:val="clear" w:color="auto" w:fill="auto"/>
                  <w:noWrap w:val="0"/>
                  <w:vAlign w:val="center"/>
                </w:tcPr>
                <w:p w14:paraId="7D58FB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31.9</w:t>
                  </w:r>
                </w:p>
              </w:tc>
              <w:tc>
                <w:tcPr>
                  <w:tcW w:w="621" w:type="dxa"/>
                  <w:tcBorders>
                    <w:tl2br w:val="nil"/>
                    <w:tr2bl w:val="nil"/>
                  </w:tcBorders>
                  <w:shd w:val="clear" w:color="auto" w:fill="auto"/>
                  <w:noWrap w:val="0"/>
                  <w:vAlign w:val="center"/>
                </w:tcPr>
                <w:p w14:paraId="58093C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15.95</w:t>
                  </w:r>
                </w:p>
              </w:tc>
              <w:tc>
                <w:tcPr>
                  <w:tcW w:w="621" w:type="dxa"/>
                  <w:tcBorders>
                    <w:tl2br w:val="nil"/>
                    <w:tr2bl w:val="nil"/>
                  </w:tcBorders>
                  <w:shd w:val="clear" w:color="auto" w:fill="auto"/>
                  <w:noWrap w:val="0"/>
                  <w:vAlign w:val="center"/>
                </w:tcPr>
                <w:p w14:paraId="29D062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41.44</w:t>
                  </w:r>
                </w:p>
              </w:tc>
              <w:tc>
                <w:tcPr>
                  <w:tcW w:w="621" w:type="dxa"/>
                  <w:tcBorders>
                    <w:tl2br w:val="nil"/>
                    <w:tr2bl w:val="nil"/>
                  </w:tcBorders>
                  <w:shd w:val="clear" w:color="auto" w:fill="auto"/>
                  <w:noWrap w:val="0"/>
                  <w:vAlign w:val="center"/>
                </w:tcPr>
                <w:p w14:paraId="1BDEDD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44.04</w:t>
                  </w:r>
                </w:p>
              </w:tc>
              <w:tc>
                <w:tcPr>
                  <w:tcW w:w="621" w:type="dxa"/>
                  <w:tcBorders>
                    <w:tl2br w:val="nil"/>
                    <w:tr2bl w:val="nil"/>
                  </w:tcBorders>
                  <w:shd w:val="clear" w:color="auto" w:fill="auto"/>
                  <w:noWrap w:val="0"/>
                  <w:vAlign w:val="center"/>
                </w:tcPr>
                <w:p w14:paraId="732FDC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44.19</w:t>
                  </w:r>
                </w:p>
              </w:tc>
              <w:tc>
                <w:tcPr>
                  <w:tcW w:w="621" w:type="dxa"/>
                  <w:tcBorders>
                    <w:tl2br w:val="nil"/>
                    <w:tr2bl w:val="nil"/>
                  </w:tcBorders>
                  <w:shd w:val="clear" w:color="auto" w:fill="auto"/>
                  <w:noWrap w:val="0"/>
                  <w:vAlign w:val="center"/>
                </w:tcPr>
                <w:p w14:paraId="271C55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50.02</w:t>
                  </w:r>
                </w:p>
              </w:tc>
              <w:tc>
                <w:tcPr>
                  <w:tcW w:w="621" w:type="dxa"/>
                  <w:tcBorders>
                    <w:tl2br w:val="nil"/>
                    <w:tr2bl w:val="nil"/>
                  </w:tcBorders>
                  <w:shd w:val="clear" w:color="auto" w:fill="auto"/>
                  <w:noWrap w:val="0"/>
                  <w:vAlign w:val="center"/>
                </w:tcPr>
                <w:p w14:paraId="13FCCE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42.09</w:t>
                  </w:r>
                </w:p>
              </w:tc>
              <w:tc>
                <w:tcPr>
                  <w:tcW w:w="442" w:type="dxa"/>
                  <w:vMerge w:val="continue"/>
                  <w:tcBorders>
                    <w:tl2br w:val="nil"/>
                    <w:tr2bl w:val="nil"/>
                  </w:tcBorders>
                  <w:noWrap w:val="0"/>
                  <w:vAlign w:val="center"/>
                </w:tcPr>
                <w:p w14:paraId="25C33C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410396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5CBF489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5DBAB7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1F4499B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56DF35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7575D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Borders>
                    <w:tl2br w:val="nil"/>
                    <w:tr2bl w:val="nil"/>
                  </w:tcBorders>
                  <w:noWrap w:val="0"/>
                  <w:vAlign w:val="center"/>
                </w:tcPr>
                <w:p w14:paraId="40E59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6E88BA99">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推机2</w:t>
                  </w:r>
                </w:p>
              </w:tc>
              <w:tc>
                <w:tcPr>
                  <w:tcW w:w="708" w:type="dxa"/>
                  <w:tcBorders>
                    <w:tl2br w:val="nil"/>
                    <w:tr2bl w:val="nil"/>
                  </w:tcBorders>
                  <w:shd w:val="clear" w:color="auto" w:fill="auto"/>
                  <w:noWrap w:val="0"/>
                  <w:vAlign w:val="center"/>
                </w:tcPr>
                <w:p w14:paraId="5FB2B8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85</w:t>
                  </w:r>
                </w:p>
              </w:tc>
              <w:tc>
                <w:tcPr>
                  <w:tcW w:w="397" w:type="dxa"/>
                  <w:tcBorders>
                    <w:tl2br w:val="nil"/>
                    <w:tr2bl w:val="nil"/>
                  </w:tcBorders>
                  <w:shd w:val="clear" w:color="auto" w:fill="auto"/>
                  <w:noWrap w:val="0"/>
                  <w:vAlign w:val="center"/>
                </w:tcPr>
                <w:p w14:paraId="72E09E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4ECA3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668D77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-33.81</w:t>
                  </w:r>
                </w:p>
              </w:tc>
              <w:tc>
                <w:tcPr>
                  <w:tcW w:w="621" w:type="dxa"/>
                  <w:tcBorders>
                    <w:tl2br w:val="nil"/>
                    <w:tr2bl w:val="nil"/>
                  </w:tcBorders>
                  <w:shd w:val="clear" w:color="auto" w:fill="auto"/>
                  <w:noWrap w:val="0"/>
                  <w:vAlign w:val="center"/>
                </w:tcPr>
                <w:p w14:paraId="5C4064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3.49</w:t>
                  </w:r>
                </w:p>
              </w:tc>
              <w:tc>
                <w:tcPr>
                  <w:tcW w:w="368" w:type="dxa"/>
                  <w:tcBorders>
                    <w:tl2br w:val="nil"/>
                    <w:tr2bl w:val="nil"/>
                  </w:tcBorders>
                  <w:shd w:val="clear" w:color="auto" w:fill="auto"/>
                  <w:noWrap w:val="0"/>
                  <w:vAlign w:val="center"/>
                </w:tcPr>
                <w:p w14:paraId="7CB005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1FAD7D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37.68</w:t>
                  </w:r>
                </w:p>
              </w:tc>
              <w:tc>
                <w:tcPr>
                  <w:tcW w:w="641" w:type="dxa"/>
                  <w:tcBorders>
                    <w:tl2br w:val="nil"/>
                    <w:tr2bl w:val="nil"/>
                  </w:tcBorders>
                  <w:shd w:val="clear" w:color="auto" w:fill="auto"/>
                  <w:noWrap w:val="0"/>
                  <w:vAlign w:val="center"/>
                </w:tcPr>
                <w:p w14:paraId="3ED471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32.08</w:t>
                  </w:r>
                </w:p>
              </w:tc>
              <w:tc>
                <w:tcPr>
                  <w:tcW w:w="621" w:type="dxa"/>
                  <w:tcBorders>
                    <w:tl2br w:val="nil"/>
                    <w:tr2bl w:val="nil"/>
                  </w:tcBorders>
                  <w:shd w:val="clear" w:color="auto" w:fill="auto"/>
                  <w:noWrap w:val="0"/>
                  <w:vAlign w:val="center"/>
                </w:tcPr>
                <w:p w14:paraId="32C8BA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10.78</w:t>
                  </w:r>
                </w:p>
              </w:tc>
              <w:tc>
                <w:tcPr>
                  <w:tcW w:w="621" w:type="dxa"/>
                  <w:tcBorders>
                    <w:tl2br w:val="nil"/>
                    <w:tr2bl w:val="nil"/>
                  </w:tcBorders>
                  <w:shd w:val="clear" w:color="auto" w:fill="auto"/>
                  <w:noWrap w:val="0"/>
                  <w:vAlign w:val="center"/>
                </w:tcPr>
                <w:p w14:paraId="6578B8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41.24</w:t>
                  </w:r>
                </w:p>
              </w:tc>
              <w:tc>
                <w:tcPr>
                  <w:tcW w:w="621" w:type="dxa"/>
                  <w:tcBorders>
                    <w:tl2br w:val="nil"/>
                    <w:tr2bl w:val="nil"/>
                  </w:tcBorders>
                  <w:shd w:val="clear" w:color="auto" w:fill="auto"/>
                  <w:noWrap w:val="0"/>
                  <w:vAlign w:val="center"/>
                </w:tcPr>
                <w:p w14:paraId="1E4E62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42.85</w:t>
                  </w:r>
                </w:p>
              </w:tc>
              <w:tc>
                <w:tcPr>
                  <w:tcW w:w="621" w:type="dxa"/>
                  <w:tcBorders>
                    <w:tl2br w:val="nil"/>
                    <w:tr2bl w:val="nil"/>
                  </w:tcBorders>
                  <w:shd w:val="clear" w:color="auto" w:fill="auto"/>
                  <w:noWrap w:val="0"/>
                  <w:vAlign w:val="center"/>
                </w:tcPr>
                <w:p w14:paraId="7EB373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44.15</w:t>
                  </w:r>
                </w:p>
              </w:tc>
              <w:tc>
                <w:tcPr>
                  <w:tcW w:w="621" w:type="dxa"/>
                  <w:tcBorders>
                    <w:tl2br w:val="nil"/>
                    <w:tr2bl w:val="nil"/>
                  </w:tcBorders>
                  <w:shd w:val="clear" w:color="auto" w:fill="auto"/>
                  <w:noWrap w:val="0"/>
                  <w:vAlign w:val="center"/>
                </w:tcPr>
                <w:p w14:paraId="76D23D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53.39</w:t>
                  </w:r>
                </w:p>
              </w:tc>
              <w:tc>
                <w:tcPr>
                  <w:tcW w:w="621" w:type="dxa"/>
                  <w:tcBorders>
                    <w:tl2br w:val="nil"/>
                    <w:tr2bl w:val="nil"/>
                  </w:tcBorders>
                  <w:shd w:val="clear" w:color="auto" w:fill="auto"/>
                  <w:noWrap w:val="0"/>
                  <w:vAlign w:val="center"/>
                </w:tcPr>
                <w:p w14:paraId="4116FF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42.13</w:t>
                  </w:r>
                </w:p>
              </w:tc>
              <w:tc>
                <w:tcPr>
                  <w:tcW w:w="442" w:type="dxa"/>
                  <w:vMerge w:val="continue"/>
                  <w:tcBorders>
                    <w:tl2br w:val="nil"/>
                    <w:tr2bl w:val="nil"/>
                  </w:tcBorders>
                  <w:noWrap w:val="0"/>
                  <w:vAlign w:val="center"/>
                </w:tcPr>
                <w:p w14:paraId="190629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70665A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797D084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3A3EAA4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BB3F8B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4000D18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3CFDB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Borders>
                    <w:tl2br w:val="nil"/>
                    <w:tr2bl w:val="nil"/>
                  </w:tcBorders>
                  <w:noWrap w:val="0"/>
                  <w:vAlign w:val="center"/>
                </w:tcPr>
                <w:p w14:paraId="1480B1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tcBorders>
                    <w:tl2br w:val="nil"/>
                    <w:tr2bl w:val="nil"/>
                  </w:tcBorders>
                  <w:shd w:val="clear" w:color="auto" w:fill="auto"/>
                  <w:noWrap w:val="0"/>
                  <w:vAlign w:val="center"/>
                </w:tcPr>
                <w:p w14:paraId="6EC169F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磁选机</w:t>
                  </w:r>
                </w:p>
              </w:tc>
              <w:tc>
                <w:tcPr>
                  <w:tcW w:w="708" w:type="dxa"/>
                  <w:tcBorders>
                    <w:tl2br w:val="nil"/>
                    <w:tr2bl w:val="nil"/>
                  </w:tcBorders>
                  <w:shd w:val="clear" w:color="auto" w:fill="auto"/>
                  <w:noWrap w:val="0"/>
                  <w:vAlign w:val="center"/>
                </w:tcPr>
                <w:p w14:paraId="34E6EF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tcBorders>
                    <w:tl2br w:val="nil"/>
                    <w:tr2bl w:val="nil"/>
                  </w:tcBorders>
                  <w:shd w:val="clear" w:color="auto" w:fill="auto"/>
                  <w:noWrap w:val="0"/>
                  <w:vAlign w:val="center"/>
                </w:tcPr>
                <w:p w14:paraId="2E0BF9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tcBorders>
                    <w:tl2br w:val="nil"/>
                    <w:tr2bl w:val="nil"/>
                  </w:tcBorders>
                  <w:noWrap w:val="0"/>
                  <w:vAlign w:val="center"/>
                </w:tcPr>
                <w:p w14:paraId="024006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tcBorders>
                    <w:tl2br w:val="nil"/>
                    <w:tr2bl w:val="nil"/>
                  </w:tcBorders>
                  <w:shd w:val="clear" w:color="auto" w:fill="auto"/>
                  <w:noWrap w:val="0"/>
                  <w:vAlign w:val="center"/>
                </w:tcPr>
                <w:p w14:paraId="01DB7A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-53.77</w:t>
                  </w:r>
                </w:p>
              </w:tc>
              <w:tc>
                <w:tcPr>
                  <w:tcW w:w="621" w:type="dxa"/>
                  <w:tcBorders>
                    <w:tl2br w:val="nil"/>
                    <w:tr2bl w:val="nil"/>
                  </w:tcBorders>
                  <w:shd w:val="clear" w:color="auto" w:fill="auto"/>
                  <w:noWrap w:val="0"/>
                  <w:vAlign w:val="center"/>
                </w:tcPr>
                <w:p w14:paraId="002D0C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20.54</w:t>
                  </w:r>
                </w:p>
              </w:tc>
              <w:tc>
                <w:tcPr>
                  <w:tcW w:w="368" w:type="dxa"/>
                  <w:tcBorders>
                    <w:tl2br w:val="nil"/>
                    <w:tr2bl w:val="nil"/>
                  </w:tcBorders>
                  <w:shd w:val="clear" w:color="auto" w:fill="auto"/>
                  <w:noWrap w:val="0"/>
                  <w:vAlign w:val="center"/>
                </w:tcPr>
                <w:p w14:paraId="3CA2EC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tcBorders>
                    <w:tl2br w:val="nil"/>
                    <w:tr2bl w:val="nil"/>
                  </w:tcBorders>
                  <w:shd w:val="clear" w:color="auto" w:fill="auto"/>
                  <w:noWrap w:val="0"/>
                  <w:vAlign w:val="center"/>
                </w:tcPr>
                <w:p w14:paraId="7BE233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16.59</w:t>
                  </w:r>
                </w:p>
              </w:tc>
              <w:tc>
                <w:tcPr>
                  <w:tcW w:w="641" w:type="dxa"/>
                  <w:tcBorders>
                    <w:tl2br w:val="nil"/>
                    <w:tr2bl w:val="nil"/>
                  </w:tcBorders>
                  <w:shd w:val="clear" w:color="auto" w:fill="auto"/>
                  <w:noWrap w:val="0"/>
                  <w:vAlign w:val="center"/>
                </w:tcPr>
                <w:p w14:paraId="7CEA46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46.93</w:t>
                  </w:r>
                </w:p>
              </w:tc>
              <w:tc>
                <w:tcPr>
                  <w:tcW w:w="621" w:type="dxa"/>
                  <w:tcBorders>
                    <w:tl2br w:val="nil"/>
                    <w:tr2bl w:val="nil"/>
                  </w:tcBorders>
                  <w:shd w:val="clear" w:color="auto" w:fill="auto"/>
                  <w:noWrap w:val="0"/>
                  <w:vAlign w:val="center"/>
                </w:tcPr>
                <w:p w14:paraId="7DEC13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31.83</w:t>
                  </w:r>
                </w:p>
              </w:tc>
              <w:tc>
                <w:tcPr>
                  <w:tcW w:w="621" w:type="dxa"/>
                  <w:tcBorders>
                    <w:tl2br w:val="nil"/>
                    <w:tr2bl w:val="nil"/>
                  </w:tcBorders>
                  <w:shd w:val="clear" w:color="auto" w:fill="auto"/>
                  <w:noWrap w:val="0"/>
                  <w:vAlign w:val="center"/>
                </w:tcPr>
                <w:p w14:paraId="10F902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26.49</w:t>
                  </w:r>
                </w:p>
              </w:tc>
              <w:tc>
                <w:tcPr>
                  <w:tcW w:w="621" w:type="dxa"/>
                  <w:tcBorders>
                    <w:tl2br w:val="nil"/>
                    <w:tr2bl w:val="nil"/>
                  </w:tcBorders>
                  <w:shd w:val="clear" w:color="auto" w:fill="auto"/>
                  <w:noWrap w:val="0"/>
                  <w:vAlign w:val="center"/>
                </w:tcPr>
                <w:p w14:paraId="21FDB3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44.68</w:t>
                  </w:r>
                </w:p>
              </w:tc>
              <w:tc>
                <w:tcPr>
                  <w:tcW w:w="621" w:type="dxa"/>
                  <w:tcBorders>
                    <w:tl2br w:val="nil"/>
                    <w:tr2bl w:val="nil"/>
                  </w:tcBorders>
                  <w:shd w:val="clear" w:color="auto" w:fill="auto"/>
                  <w:noWrap w:val="0"/>
                  <w:vAlign w:val="center"/>
                </w:tcPr>
                <w:p w14:paraId="692289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36.13</w:t>
                  </w:r>
                </w:p>
              </w:tc>
              <w:tc>
                <w:tcPr>
                  <w:tcW w:w="621" w:type="dxa"/>
                  <w:tcBorders>
                    <w:tl2br w:val="nil"/>
                    <w:tr2bl w:val="nil"/>
                  </w:tcBorders>
                  <w:shd w:val="clear" w:color="auto" w:fill="auto"/>
                  <w:noWrap w:val="0"/>
                  <w:vAlign w:val="center"/>
                </w:tcPr>
                <w:p w14:paraId="25AB06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39.21</w:t>
                  </w:r>
                </w:p>
              </w:tc>
              <w:tc>
                <w:tcPr>
                  <w:tcW w:w="621" w:type="dxa"/>
                  <w:tcBorders>
                    <w:tl2br w:val="nil"/>
                    <w:tr2bl w:val="nil"/>
                  </w:tcBorders>
                  <w:shd w:val="clear" w:color="auto" w:fill="auto"/>
                  <w:noWrap w:val="0"/>
                  <w:vAlign w:val="center"/>
                </w:tcPr>
                <w:p w14:paraId="59A1AE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40.73</w:t>
                  </w:r>
                </w:p>
              </w:tc>
              <w:tc>
                <w:tcPr>
                  <w:tcW w:w="442" w:type="dxa"/>
                  <w:vMerge w:val="continue"/>
                  <w:tcBorders>
                    <w:tl2br w:val="nil"/>
                    <w:tr2bl w:val="nil"/>
                  </w:tcBorders>
                  <w:noWrap w:val="0"/>
                  <w:vAlign w:val="center"/>
                </w:tcPr>
                <w:p w14:paraId="3A244E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Borders>
                    <w:tl2br w:val="nil"/>
                    <w:tr2bl w:val="nil"/>
                  </w:tcBorders>
                  <w:noWrap w:val="0"/>
                  <w:vAlign w:val="center"/>
                </w:tcPr>
                <w:p w14:paraId="1129C1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Borders>
                    <w:tl2br w:val="nil"/>
                    <w:tr2bl w:val="nil"/>
                  </w:tcBorders>
                  <w:noWrap w:val="0"/>
                  <w:vAlign w:val="center"/>
                </w:tcPr>
                <w:p w14:paraId="1C5D177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0E3DC4D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7AACAA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Borders>
                    <w:tl2br w:val="nil"/>
                    <w:tr2bl w:val="nil"/>
                  </w:tcBorders>
                  <w:noWrap w:val="0"/>
                  <w:vAlign w:val="center"/>
                </w:tcPr>
                <w:p w14:paraId="605ECF2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21D8A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3E1B6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3452D81A">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风机1</w:t>
                  </w:r>
                </w:p>
              </w:tc>
              <w:tc>
                <w:tcPr>
                  <w:tcW w:w="708" w:type="dxa"/>
                  <w:shd w:val="clear" w:color="auto" w:fill="auto"/>
                  <w:vAlign w:val="center"/>
                </w:tcPr>
                <w:p w14:paraId="1D1844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vAlign w:val="center"/>
                </w:tcPr>
                <w:p w14:paraId="569A6B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3A048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715473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-45.83</w:t>
                  </w:r>
                </w:p>
              </w:tc>
              <w:tc>
                <w:tcPr>
                  <w:tcW w:w="621" w:type="dxa"/>
                  <w:shd w:val="clear" w:color="auto" w:fill="auto"/>
                  <w:vAlign w:val="center"/>
                </w:tcPr>
                <w:p w14:paraId="3B004B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36.82</w:t>
                  </w:r>
                </w:p>
              </w:tc>
              <w:tc>
                <w:tcPr>
                  <w:tcW w:w="368" w:type="dxa"/>
                  <w:shd w:val="clear" w:color="auto" w:fill="auto"/>
                  <w:vAlign w:val="center"/>
                </w:tcPr>
                <w:p w14:paraId="640AE4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4DF813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2.5</w:t>
                  </w:r>
                </w:p>
              </w:tc>
              <w:tc>
                <w:tcPr>
                  <w:tcW w:w="641" w:type="dxa"/>
                  <w:shd w:val="clear" w:color="auto" w:fill="auto"/>
                  <w:vAlign w:val="center"/>
                </w:tcPr>
                <w:p w14:paraId="7EE1CF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35.04</w:t>
                  </w:r>
                </w:p>
              </w:tc>
              <w:tc>
                <w:tcPr>
                  <w:tcW w:w="621" w:type="dxa"/>
                  <w:shd w:val="clear" w:color="auto" w:fill="auto"/>
                  <w:vAlign w:val="center"/>
                </w:tcPr>
                <w:p w14:paraId="3FF5EF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45.95</w:t>
                  </w:r>
                </w:p>
              </w:tc>
              <w:tc>
                <w:tcPr>
                  <w:tcW w:w="621" w:type="dxa"/>
                  <w:shd w:val="clear" w:color="auto" w:fill="auto"/>
                  <w:vAlign w:val="center"/>
                </w:tcPr>
                <w:p w14:paraId="0AA69D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38.45</w:t>
                  </w:r>
                </w:p>
              </w:tc>
              <w:tc>
                <w:tcPr>
                  <w:tcW w:w="621" w:type="dxa"/>
                  <w:shd w:val="clear" w:color="auto" w:fill="auto"/>
                  <w:vAlign w:val="center"/>
                </w:tcPr>
                <w:p w14:paraId="2638DD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71.05</w:t>
                  </w:r>
                </w:p>
              </w:tc>
              <w:tc>
                <w:tcPr>
                  <w:tcW w:w="621" w:type="dxa"/>
                  <w:shd w:val="clear" w:color="auto" w:fill="auto"/>
                  <w:vAlign w:val="center"/>
                </w:tcPr>
                <w:p w14:paraId="0AFB05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48.43</w:t>
                  </w:r>
                </w:p>
              </w:tc>
              <w:tc>
                <w:tcPr>
                  <w:tcW w:w="621" w:type="dxa"/>
                  <w:shd w:val="clear" w:color="auto" w:fill="auto"/>
                  <w:vAlign w:val="center"/>
                </w:tcPr>
                <w:p w14:paraId="6A1020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46.29</w:t>
                  </w:r>
                </w:p>
              </w:tc>
              <w:tc>
                <w:tcPr>
                  <w:tcW w:w="621" w:type="dxa"/>
                  <w:shd w:val="clear" w:color="auto" w:fill="auto"/>
                  <w:vAlign w:val="center"/>
                </w:tcPr>
                <w:p w14:paraId="302D05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47.68</w:t>
                  </w:r>
                </w:p>
              </w:tc>
              <w:tc>
                <w:tcPr>
                  <w:tcW w:w="442" w:type="dxa"/>
                  <w:vMerge w:val="continue"/>
                  <w:vAlign w:val="center"/>
                </w:tcPr>
                <w:p w14:paraId="38C45D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498728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6DC6E6F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155166D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5EAC657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0DA5175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50121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39840A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549F892C">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风机2</w:t>
                  </w:r>
                </w:p>
              </w:tc>
              <w:tc>
                <w:tcPr>
                  <w:tcW w:w="708" w:type="dxa"/>
                  <w:shd w:val="clear" w:color="auto" w:fill="auto"/>
                  <w:vAlign w:val="center"/>
                </w:tcPr>
                <w:p w14:paraId="742BA3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vAlign w:val="center"/>
                </w:tcPr>
                <w:p w14:paraId="6F0FA5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086045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5FFE5A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-39.24</w:t>
                  </w:r>
                </w:p>
              </w:tc>
              <w:tc>
                <w:tcPr>
                  <w:tcW w:w="621" w:type="dxa"/>
                  <w:shd w:val="clear" w:color="auto" w:fill="auto"/>
                  <w:vAlign w:val="center"/>
                </w:tcPr>
                <w:p w14:paraId="1178E0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37.78</w:t>
                  </w:r>
                </w:p>
              </w:tc>
              <w:tc>
                <w:tcPr>
                  <w:tcW w:w="368" w:type="dxa"/>
                  <w:shd w:val="clear" w:color="auto" w:fill="auto"/>
                  <w:vAlign w:val="center"/>
                </w:tcPr>
                <w:p w14:paraId="45CA67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2A0BAB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3.04</w:t>
                  </w:r>
                </w:p>
              </w:tc>
              <w:tc>
                <w:tcPr>
                  <w:tcW w:w="641" w:type="dxa"/>
                  <w:shd w:val="clear" w:color="auto" w:fill="auto"/>
                  <w:vAlign w:val="center"/>
                </w:tcPr>
                <w:p w14:paraId="707C92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28.42</w:t>
                  </w:r>
                </w:p>
              </w:tc>
              <w:tc>
                <w:tcPr>
                  <w:tcW w:w="621" w:type="dxa"/>
                  <w:shd w:val="clear" w:color="auto" w:fill="auto"/>
                  <w:vAlign w:val="center"/>
                </w:tcPr>
                <w:p w14:paraId="0C6EF1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45.42</w:t>
                  </w:r>
                </w:p>
              </w:tc>
              <w:tc>
                <w:tcPr>
                  <w:tcW w:w="621" w:type="dxa"/>
                  <w:shd w:val="clear" w:color="auto" w:fill="auto"/>
                  <w:vAlign w:val="center"/>
                </w:tcPr>
                <w:p w14:paraId="61AF79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45.06</w:t>
                  </w:r>
                </w:p>
              </w:tc>
              <w:tc>
                <w:tcPr>
                  <w:tcW w:w="621" w:type="dxa"/>
                  <w:shd w:val="clear" w:color="auto" w:fill="auto"/>
                  <w:vAlign w:val="center"/>
                </w:tcPr>
                <w:p w14:paraId="1A4095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69.35</w:t>
                  </w:r>
                </w:p>
              </w:tc>
              <w:tc>
                <w:tcPr>
                  <w:tcW w:w="621" w:type="dxa"/>
                  <w:shd w:val="clear" w:color="auto" w:fill="auto"/>
                  <w:vAlign w:val="center"/>
                </w:tcPr>
                <w:p w14:paraId="0282E3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50.14</w:t>
                  </w:r>
                </w:p>
              </w:tc>
              <w:tc>
                <w:tcPr>
                  <w:tcW w:w="621" w:type="dxa"/>
                  <w:shd w:val="clear" w:color="auto" w:fill="auto"/>
                  <w:vAlign w:val="center"/>
                </w:tcPr>
                <w:p w14:paraId="23A41C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46.38</w:t>
                  </w:r>
                </w:p>
              </w:tc>
              <w:tc>
                <w:tcPr>
                  <w:tcW w:w="621" w:type="dxa"/>
                  <w:shd w:val="clear" w:color="auto" w:fill="auto"/>
                  <w:vAlign w:val="center"/>
                </w:tcPr>
                <w:p w14:paraId="0BFBFB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46.44</w:t>
                  </w:r>
                </w:p>
              </w:tc>
              <w:tc>
                <w:tcPr>
                  <w:tcW w:w="442" w:type="dxa"/>
                  <w:vMerge w:val="continue"/>
                  <w:vAlign w:val="center"/>
                </w:tcPr>
                <w:p w14:paraId="102E09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6A90A9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31AAA1B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04AD2BD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4B1A6FC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7D4AFB7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60208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2C0862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642AB6A1">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风机3</w:t>
                  </w:r>
                </w:p>
              </w:tc>
              <w:tc>
                <w:tcPr>
                  <w:tcW w:w="708" w:type="dxa"/>
                  <w:shd w:val="clear" w:color="auto" w:fill="auto"/>
                  <w:vAlign w:val="center"/>
                </w:tcPr>
                <w:p w14:paraId="1B140C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90</w:t>
                  </w:r>
                </w:p>
              </w:tc>
              <w:tc>
                <w:tcPr>
                  <w:tcW w:w="397" w:type="dxa"/>
                  <w:vAlign w:val="center"/>
                </w:tcPr>
                <w:p w14:paraId="528B01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6BD467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71158F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-30.71</w:t>
                  </w:r>
                </w:p>
              </w:tc>
              <w:tc>
                <w:tcPr>
                  <w:tcW w:w="621" w:type="dxa"/>
                  <w:shd w:val="clear" w:color="auto" w:fill="auto"/>
                  <w:vAlign w:val="center"/>
                </w:tcPr>
                <w:p w14:paraId="4CA8C3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39.72</w:t>
                  </w:r>
                </w:p>
              </w:tc>
              <w:tc>
                <w:tcPr>
                  <w:tcW w:w="368" w:type="dxa"/>
                  <w:shd w:val="clear" w:color="auto" w:fill="auto"/>
                  <w:vAlign w:val="center"/>
                </w:tcPr>
                <w:p w14:paraId="48D83E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1329BF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3.06</w:t>
                  </w:r>
                </w:p>
              </w:tc>
              <w:tc>
                <w:tcPr>
                  <w:tcW w:w="641" w:type="dxa"/>
                  <w:shd w:val="clear" w:color="auto" w:fill="auto"/>
                  <w:vAlign w:val="center"/>
                </w:tcPr>
                <w:p w14:paraId="3C2FCE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19.68</w:t>
                  </w:r>
                </w:p>
              </w:tc>
              <w:tc>
                <w:tcPr>
                  <w:tcW w:w="621" w:type="dxa"/>
                  <w:shd w:val="clear" w:color="auto" w:fill="auto"/>
                  <w:vAlign w:val="center"/>
                </w:tcPr>
                <w:p w14:paraId="75AA37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45.42</w:t>
                  </w:r>
                </w:p>
              </w:tc>
              <w:tc>
                <w:tcPr>
                  <w:tcW w:w="621" w:type="dxa"/>
                  <w:shd w:val="clear" w:color="auto" w:fill="auto"/>
                  <w:vAlign w:val="center"/>
                </w:tcPr>
                <w:p w14:paraId="312CFD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53.8</w:t>
                  </w:r>
                </w:p>
              </w:tc>
              <w:tc>
                <w:tcPr>
                  <w:tcW w:w="621" w:type="dxa"/>
                  <w:shd w:val="clear" w:color="auto" w:fill="auto"/>
                  <w:vAlign w:val="center"/>
                </w:tcPr>
                <w:p w14:paraId="4FBE2F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69.3</w:t>
                  </w:r>
                </w:p>
              </w:tc>
              <w:tc>
                <w:tcPr>
                  <w:tcW w:w="621" w:type="dxa"/>
                  <w:shd w:val="clear" w:color="auto" w:fill="auto"/>
                  <w:vAlign w:val="center"/>
                </w:tcPr>
                <w:p w14:paraId="1D164C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53.23</w:t>
                  </w:r>
                </w:p>
              </w:tc>
              <w:tc>
                <w:tcPr>
                  <w:tcW w:w="621" w:type="dxa"/>
                  <w:shd w:val="clear" w:color="auto" w:fill="auto"/>
                  <w:vAlign w:val="center"/>
                </w:tcPr>
                <w:p w14:paraId="05BE2E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46.38</w:t>
                  </w:r>
                </w:p>
              </w:tc>
              <w:tc>
                <w:tcPr>
                  <w:tcW w:w="621" w:type="dxa"/>
                  <w:shd w:val="clear" w:color="auto" w:fill="auto"/>
                  <w:vAlign w:val="center"/>
                </w:tcPr>
                <w:p w14:paraId="58ADBA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45.1</w:t>
                  </w:r>
                </w:p>
              </w:tc>
              <w:tc>
                <w:tcPr>
                  <w:tcW w:w="442" w:type="dxa"/>
                  <w:vMerge w:val="continue"/>
                  <w:vAlign w:val="center"/>
                </w:tcPr>
                <w:p w14:paraId="6B3178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01D340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715D4EF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5F93E3FB">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374EF53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662CA05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74C9E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1D1550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20855F0F">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喷淋装置1</w:t>
                  </w:r>
                </w:p>
              </w:tc>
              <w:tc>
                <w:tcPr>
                  <w:tcW w:w="708" w:type="dxa"/>
                  <w:shd w:val="clear" w:color="auto" w:fill="auto"/>
                  <w:vAlign w:val="center"/>
                </w:tcPr>
                <w:p w14:paraId="6E8A9C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vAlign w:val="center"/>
                </w:tcPr>
                <w:p w14:paraId="6E4EB7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427387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38DC9B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-46.02</w:t>
                  </w:r>
                </w:p>
              </w:tc>
              <w:tc>
                <w:tcPr>
                  <w:tcW w:w="621" w:type="dxa"/>
                  <w:shd w:val="clear" w:color="auto" w:fill="auto"/>
                  <w:vAlign w:val="center"/>
                </w:tcPr>
                <w:p w14:paraId="44A139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6.01</w:t>
                  </w:r>
                </w:p>
              </w:tc>
              <w:tc>
                <w:tcPr>
                  <w:tcW w:w="368" w:type="dxa"/>
                  <w:shd w:val="clear" w:color="auto" w:fill="auto"/>
                  <w:vAlign w:val="center"/>
                </w:tcPr>
                <w:p w14:paraId="23D5AB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73AA4F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32.49</w:t>
                  </w:r>
                </w:p>
              </w:tc>
              <w:tc>
                <w:tcPr>
                  <w:tcW w:w="641" w:type="dxa"/>
                  <w:shd w:val="clear" w:color="auto" w:fill="auto"/>
                  <w:vAlign w:val="center"/>
                </w:tcPr>
                <w:p w14:paraId="7AF79D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43.22</w:t>
                  </w:r>
                </w:p>
              </w:tc>
              <w:tc>
                <w:tcPr>
                  <w:tcW w:w="621" w:type="dxa"/>
                  <w:shd w:val="clear" w:color="auto" w:fill="auto"/>
                  <w:vAlign w:val="center"/>
                </w:tcPr>
                <w:p w14:paraId="13CA3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15.95</w:t>
                  </w:r>
                </w:p>
              </w:tc>
              <w:tc>
                <w:tcPr>
                  <w:tcW w:w="621" w:type="dxa"/>
                  <w:shd w:val="clear" w:color="auto" w:fill="auto"/>
                  <w:vAlign w:val="center"/>
                </w:tcPr>
                <w:p w14:paraId="3FD8DC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30.13</w:t>
                  </w:r>
                </w:p>
              </w:tc>
              <w:tc>
                <w:tcPr>
                  <w:tcW w:w="621" w:type="dxa"/>
                  <w:shd w:val="clear" w:color="auto" w:fill="auto"/>
                  <w:vAlign w:val="center"/>
                </w:tcPr>
                <w:p w14:paraId="53059D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39.04</w:t>
                  </w:r>
                </w:p>
              </w:tc>
              <w:tc>
                <w:tcPr>
                  <w:tcW w:w="621" w:type="dxa"/>
                  <w:shd w:val="clear" w:color="auto" w:fill="auto"/>
                  <w:vAlign w:val="center"/>
                </w:tcPr>
                <w:p w14:paraId="667803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36.76</w:t>
                  </w:r>
                </w:p>
              </w:tc>
              <w:tc>
                <w:tcPr>
                  <w:tcW w:w="621" w:type="dxa"/>
                  <w:shd w:val="clear" w:color="auto" w:fill="auto"/>
                  <w:vAlign w:val="center"/>
                </w:tcPr>
                <w:p w14:paraId="3EB371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45.02</w:t>
                  </w:r>
                </w:p>
              </w:tc>
              <w:tc>
                <w:tcPr>
                  <w:tcW w:w="621" w:type="dxa"/>
                  <w:shd w:val="clear" w:color="auto" w:fill="auto"/>
                  <w:vAlign w:val="center"/>
                </w:tcPr>
                <w:p w14:paraId="6FF16F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39.66</w:t>
                  </w:r>
                </w:p>
              </w:tc>
              <w:tc>
                <w:tcPr>
                  <w:tcW w:w="442" w:type="dxa"/>
                  <w:vMerge w:val="continue"/>
                  <w:vAlign w:val="center"/>
                </w:tcPr>
                <w:p w14:paraId="5C1387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068B21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2D9A966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2A6775B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649FD25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22C715D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7DBE7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063237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381255C7">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喷淋装置2</w:t>
                  </w:r>
                </w:p>
              </w:tc>
              <w:tc>
                <w:tcPr>
                  <w:tcW w:w="708" w:type="dxa"/>
                  <w:shd w:val="clear" w:color="auto" w:fill="auto"/>
                  <w:vAlign w:val="center"/>
                </w:tcPr>
                <w:p w14:paraId="5AA4E4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vAlign w:val="center"/>
                </w:tcPr>
                <w:p w14:paraId="6BF251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1EDAF8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627E29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-44.66</w:t>
                  </w:r>
                </w:p>
              </w:tc>
              <w:tc>
                <w:tcPr>
                  <w:tcW w:w="621" w:type="dxa"/>
                  <w:shd w:val="clear" w:color="auto" w:fill="auto"/>
                  <w:vAlign w:val="center"/>
                </w:tcPr>
                <w:p w14:paraId="0F91F8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-0.58</w:t>
                  </w:r>
                </w:p>
              </w:tc>
              <w:tc>
                <w:tcPr>
                  <w:tcW w:w="368" w:type="dxa"/>
                  <w:shd w:val="clear" w:color="auto" w:fill="auto"/>
                  <w:vAlign w:val="center"/>
                </w:tcPr>
                <w:p w14:paraId="663B24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6F7C97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39.22</w:t>
                  </w:r>
                </w:p>
              </w:tc>
              <w:tc>
                <w:tcPr>
                  <w:tcW w:w="641" w:type="dxa"/>
                  <w:shd w:val="clear" w:color="auto" w:fill="auto"/>
                  <w:vAlign w:val="center"/>
                </w:tcPr>
                <w:p w14:paraId="4D5E6F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43.61</w:t>
                  </w:r>
                </w:p>
              </w:tc>
              <w:tc>
                <w:tcPr>
                  <w:tcW w:w="621" w:type="dxa"/>
                  <w:shd w:val="clear" w:color="auto" w:fill="auto"/>
                  <w:vAlign w:val="center"/>
                </w:tcPr>
                <w:p w14:paraId="7315FF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9.22</w:t>
                  </w:r>
                </w:p>
              </w:tc>
              <w:tc>
                <w:tcPr>
                  <w:tcW w:w="621" w:type="dxa"/>
                  <w:shd w:val="clear" w:color="auto" w:fill="auto"/>
                  <w:vAlign w:val="center"/>
                </w:tcPr>
                <w:p w14:paraId="2A01B6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29.7</w:t>
                  </w:r>
                </w:p>
              </w:tc>
              <w:tc>
                <w:tcPr>
                  <w:tcW w:w="621" w:type="dxa"/>
                  <w:shd w:val="clear" w:color="auto" w:fill="auto"/>
                  <w:vAlign w:val="center"/>
                </w:tcPr>
                <w:p w14:paraId="5B8D2A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37.53</w:t>
                  </w:r>
                </w:p>
              </w:tc>
              <w:tc>
                <w:tcPr>
                  <w:tcW w:w="621" w:type="dxa"/>
                  <w:shd w:val="clear" w:color="auto" w:fill="auto"/>
                  <w:vAlign w:val="center"/>
                </w:tcPr>
                <w:p w14:paraId="6B69F2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36.69</w:t>
                  </w:r>
                </w:p>
              </w:tc>
              <w:tc>
                <w:tcPr>
                  <w:tcW w:w="621" w:type="dxa"/>
                  <w:shd w:val="clear" w:color="auto" w:fill="auto"/>
                  <w:vAlign w:val="center"/>
                </w:tcPr>
                <w:p w14:paraId="611899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49.74</w:t>
                  </w:r>
                </w:p>
              </w:tc>
              <w:tc>
                <w:tcPr>
                  <w:tcW w:w="621" w:type="dxa"/>
                  <w:shd w:val="clear" w:color="auto" w:fill="auto"/>
                  <w:vAlign w:val="center"/>
                </w:tcPr>
                <w:p w14:paraId="0D35D3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39.78</w:t>
                  </w:r>
                </w:p>
              </w:tc>
              <w:tc>
                <w:tcPr>
                  <w:tcW w:w="442" w:type="dxa"/>
                  <w:vMerge w:val="continue"/>
                  <w:vAlign w:val="center"/>
                </w:tcPr>
                <w:p w14:paraId="02834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61B1CF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10E9347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2C4B2AF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0BBBBFF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4648A9E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6D0A7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vAlign w:val="center"/>
                </w:tcPr>
                <w:p w14:paraId="759E3A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493360DF">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喷淋装置3</w:t>
                  </w:r>
                </w:p>
              </w:tc>
              <w:tc>
                <w:tcPr>
                  <w:tcW w:w="708" w:type="dxa"/>
                  <w:shd w:val="clear" w:color="auto" w:fill="auto"/>
                  <w:vAlign w:val="center"/>
                </w:tcPr>
                <w:p w14:paraId="424B37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vAlign w:val="center"/>
                </w:tcPr>
                <w:p w14:paraId="6FB2EB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vAlign w:val="center"/>
                </w:tcPr>
                <w:p w14:paraId="081A60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473BD8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-60.16</w:t>
                  </w:r>
                </w:p>
              </w:tc>
              <w:tc>
                <w:tcPr>
                  <w:tcW w:w="621" w:type="dxa"/>
                  <w:shd w:val="clear" w:color="auto" w:fill="auto"/>
                  <w:vAlign w:val="center"/>
                </w:tcPr>
                <w:p w14:paraId="262938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-8.91</w:t>
                  </w:r>
                </w:p>
              </w:tc>
              <w:tc>
                <w:tcPr>
                  <w:tcW w:w="368" w:type="dxa"/>
                  <w:shd w:val="clear" w:color="auto" w:fill="auto"/>
                  <w:vAlign w:val="center"/>
                </w:tcPr>
                <w:p w14:paraId="39A741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05F391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43.86</w:t>
                  </w:r>
                </w:p>
              </w:tc>
              <w:tc>
                <w:tcPr>
                  <w:tcW w:w="641" w:type="dxa"/>
                  <w:shd w:val="clear" w:color="auto" w:fill="auto"/>
                  <w:vAlign w:val="center"/>
                </w:tcPr>
                <w:p w14:paraId="230D69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60.74</w:t>
                  </w:r>
                </w:p>
              </w:tc>
              <w:tc>
                <w:tcPr>
                  <w:tcW w:w="621" w:type="dxa"/>
                  <w:shd w:val="clear" w:color="auto" w:fill="auto"/>
                  <w:vAlign w:val="center"/>
                </w:tcPr>
                <w:p w14:paraId="61D8B1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4.54</w:t>
                  </w:r>
                </w:p>
              </w:tc>
              <w:tc>
                <w:tcPr>
                  <w:tcW w:w="621" w:type="dxa"/>
                  <w:shd w:val="clear" w:color="auto" w:fill="auto"/>
                  <w:vAlign w:val="center"/>
                </w:tcPr>
                <w:p w14:paraId="494305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12.55</w:t>
                  </w:r>
                </w:p>
              </w:tc>
              <w:tc>
                <w:tcPr>
                  <w:tcW w:w="621" w:type="dxa"/>
                  <w:shd w:val="clear" w:color="auto" w:fill="auto"/>
                  <w:vAlign w:val="center"/>
                </w:tcPr>
                <w:p w14:paraId="5CFBBC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36.65</w:t>
                  </w:r>
                </w:p>
              </w:tc>
              <w:tc>
                <w:tcPr>
                  <w:tcW w:w="621" w:type="dxa"/>
                  <w:shd w:val="clear" w:color="auto" w:fill="auto"/>
                  <w:vAlign w:val="center"/>
                </w:tcPr>
                <w:p w14:paraId="61DB83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34.22</w:t>
                  </w:r>
                </w:p>
              </w:tc>
              <w:tc>
                <w:tcPr>
                  <w:tcW w:w="621" w:type="dxa"/>
                  <w:shd w:val="clear" w:color="auto" w:fill="auto"/>
                  <w:vAlign w:val="center"/>
                </w:tcPr>
                <w:p w14:paraId="773E87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55.87</w:t>
                  </w:r>
                </w:p>
              </w:tc>
              <w:tc>
                <w:tcPr>
                  <w:tcW w:w="621" w:type="dxa"/>
                  <w:shd w:val="clear" w:color="auto" w:fill="auto"/>
                  <w:vAlign w:val="center"/>
                </w:tcPr>
                <w:p w14:paraId="5A30C4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47.08</w:t>
                  </w:r>
                </w:p>
              </w:tc>
              <w:tc>
                <w:tcPr>
                  <w:tcW w:w="442" w:type="dxa"/>
                  <w:vMerge w:val="continue"/>
                  <w:vAlign w:val="center"/>
                </w:tcPr>
                <w:p w14:paraId="3AE385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vAlign w:val="center"/>
                </w:tcPr>
                <w:p w14:paraId="4E4A7A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vAlign w:val="center"/>
                </w:tcPr>
                <w:p w14:paraId="17C307B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660BA5B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6E401DD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vAlign w:val="center"/>
                </w:tcPr>
                <w:p w14:paraId="141B527B">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09E63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Pr>
                <w:p w14:paraId="1C4718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6265CAB8">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喷淋装置4</w:t>
                  </w:r>
                </w:p>
              </w:tc>
              <w:tc>
                <w:tcPr>
                  <w:tcW w:w="708" w:type="dxa"/>
                  <w:shd w:val="clear" w:color="auto" w:fill="auto"/>
                  <w:vAlign w:val="center"/>
                </w:tcPr>
                <w:p w14:paraId="6B7ADF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shd w:val="clear" w:color="auto" w:fill="auto"/>
                  <w:vAlign w:val="center"/>
                </w:tcPr>
                <w:p w14:paraId="05F45A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shd w:val="clear" w:color="auto" w:fill="auto"/>
                  <w:vAlign w:val="center"/>
                </w:tcPr>
                <w:p w14:paraId="5BCA1F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479E91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-71.59</w:t>
                  </w:r>
                </w:p>
              </w:tc>
              <w:tc>
                <w:tcPr>
                  <w:tcW w:w="621" w:type="dxa"/>
                  <w:shd w:val="clear" w:color="auto" w:fill="auto"/>
                  <w:vAlign w:val="center"/>
                </w:tcPr>
                <w:p w14:paraId="156951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20.54</w:t>
                  </w:r>
                </w:p>
              </w:tc>
              <w:tc>
                <w:tcPr>
                  <w:tcW w:w="368" w:type="dxa"/>
                  <w:shd w:val="clear" w:color="auto" w:fill="auto"/>
                  <w:vAlign w:val="center"/>
                </w:tcPr>
                <w:p w14:paraId="141BC9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440169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12.6</w:t>
                  </w:r>
                </w:p>
              </w:tc>
              <w:tc>
                <w:tcPr>
                  <w:tcW w:w="641" w:type="dxa"/>
                  <w:shd w:val="clear" w:color="auto" w:fill="auto"/>
                  <w:vAlign w:val="center"/>
                </w:tcPr>
                <w:p w14:paraId="3F9FD0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64.14</w:t>
                  </w:r>
                </w:p>
              </w:tc>
              <w:tc>
                <w:tcPr>
                  <w:tcW w:w="621" w:type="dxa"/>
                  <w:shd w:val="clear" w:color="auto" w:fill="auto"/>
                  <w:vAlign w:val="center"/>
                </w:tcPr>
                <w:p w14:paraId="11AFEC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35.79</w:t>
                  </w:r>
                </w:p>
              </w:tc>
              <w:tc>
                <w:tcPr>
                  <w:tcW w:w="621" w:type="dxa"/>
                  <w:shd w:val="clear" w:color="auto" w:fill="auto"/>
                  <w:vAlign w:val="center"/>
                </w:tcPr>
                <w:p w14:paraId="352105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9.31</w:t>
                  </w:r>
                </w:p>
              </w:tc>
              <w:tc>
                <w:tcPr>
                  <w:tcW w:w="621" w:type="dxa"/>
                  <w:shd w:val="clear" w:color="auto" w:fill="auto"/>
                  <w:vAlign w:val="center"/>
                </w:tcPr>
                <w:p w14:paraId="13286D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47.04</w:t>
                  </w:r>
                </w:p>
              </w:tc>
              <w:tc>
                <w:tcPr>
                  <w:tcW w:w="621" w:type="dxa"/>
                  <w:shd w:val="clear" w:color="auto" w:fill="auto"/>
                  <w:vAlign w:val="center"/>
                </w:tcPr>
                <w:p w14:paraId="2B07C2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33.84</w:t>
                  </w:r>
                </w:p>
              </w:tc>
              <w:tc>
                <w:tcPr>
                  <w:tcW w:w="621" w:type="dxa"/>
                  <w:shd w:val="clear" w:color="auto" w:fill="auto"/>
                  <w:vAlign w:val="center"/>
                </w:tcPr>
                <w:p w14:paraId="65B096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38.26</w:t>
                  </w:r>
                </w:p>
              </w:tc>
              <w:tc>
                <w:tcPr>
                  <w:tcW w:w="621" w:type="dxa"/>
                  <w:shd w:val="clear" w:color="auto" w:fill="auto"/>
                  <w:vAlign w:val="center"/>
                </w:tcPr>
                <w:p w14:paraId="67148D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49.65</w:t>
                  </w:r>
                </w:p>
              </w:tc>
              <w:tc>
                <w:tcPr>
                  <w:tcW w:w="442" w:type="dxa"/>
                  <w:vMerge w:val="continue"/>
                </w:tcPr>
                <w:p w14:paraId="273A25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Pr>
                <w:p w14:paraId="02854E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Pr>
                <w:p w14:paraId="279C8A57">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6A7FA05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27A722F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1DD6BD0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1BDF2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Pr>
                <w:p w14:paraId="6526A3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612C0E64">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喷淋装置5</w:t>
                  </w:r>
                </w:p>
              </w:tc>
              <w:tc>
                <w:tcPr>
                  <w:tcW w:w="708" w:type="dxa"/>
                  <w:shd w:val="clear" w:color="auto" w:fill="auto"/>
                  <w:vAlign w:val="center"/>
                </w:tcPr>
                <w:p w14:paraId="552447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shd w:val="clear" w:color="auto" w:fill="auto"/>
                  <w:vAlign w:val="center"/>
                </w:tcPr>
                <w:p w14:paraId="5DE269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shd w:val="clear" w:color="auto" w:fill="auto"/>
                  <w:vAlign w:val="center"/>
                </w:tcPr>
                <w:p w14:paraId="3347F0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44ECB4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-69.46</w:t>
                  </w:r>
                </w:p>
              </w:tc>
              <w:tc>
                <w:tcPr>
                  <w:tcW w:w="621" w:type="dxa"/>
                  <w:shd w:val="clear" w:color="auto" w:fill="auto"/>
                  <w:vAlign w:val="center"/>
                </w:tcPr>
                <w:p w14:paraId="02FF8B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14.34</w:t>
                  </w:r>
                </w:p>
              </w:tc>
              <w:tc>
                <w:tcPr>
                  <w:tcW w:w="368" w:type="dxa"/>
                  <w:shd w:val="clear" w:color="auto" w:fill="auto"/>
                  <w:vAlign w:val="center"/>
                </w:tcPr>
                <w:p w14:paraId="36B749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2542ED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19.12</w:t>
                  </w:r>
                </w:p>
              </w:tc>
              <w:tc>
                <w:tcPr>
                  <w:tcW w:w="641" w:type="dxa"/>
                  <w:shd w:val="clear" w:color="auto" w:fill="auto"/>
                  <w:vAlign w:val="center"/>
                </w:tcPr>
                <w:p w14:paraId="5EA09B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63.69</w:t>
                  </w:r>
                </w:p>
              </w:tc>
              <w:tc>
                <w:tcPr>
                  <w:tcW w:w="621" w:type="dxa"/>
                  <w:shd w:val="clear" w:color="auto" w:fill="auto"/>
                  <w:vAlign w:val="center"/>
                </w:tcPr>
                <w:p w14:paraId="17B792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29.27</w:t>
                  </w:r>
                </w:p>
              </w:tc>
              <w:tc>
                <w:tcPr>
                  <w:tcW w:w="621" w:type="dxa"/>
                  <w:shd w:val="clear" w:color="auto" w:fill="auto"/>
                  <w:vAlign w:val="center"/>
                </w:tcPr>
                <w:p w14:paraId="172669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9.72</w:t>
                  </w:r>
                </w:p>
              </w:tc>
              <w:tc>
                <w:tcPr>
                  <w:tcW w:w="621" w:type="dxa"/>
                  <w:shd w:val="clear" w:color="auto" w:fill="auto"/>
                  <w:vAlign w:val="center"/>
                </w:tcPr>
                <w:p w14:paraId="5076BC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43.47</w:t>
                  </w:r>
                </w:p>
              </w:tc>
              <w:tc>
                <w:tcPr>
                  <w:tcW w:w="621" w:type="dxa"/>
                  <w:shd w:val="clear" w:color="auto" w:fill="auto"/>
                  <w:vAlign w:val="center"/>
                </w:tcPr>
                <w:p w14:paraId="329693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33.89</w:t>
                  </w:r>
                </w:p>
              </w:tc>
              <w:tc>
                <w:tcPr>
                  <w:tcW w:w="621" w:type="dxa"/>
                  <w:shd w:val="clear" w:color="auto" w:fill="auto"/>
                  <w:vAlign w:val="center"/>
                </w:tcPr>
                <w:p w14:paraId="509157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39.9</w:t>
                  </w:r>
                </w:p>
              </w:tc>
              <w:tc>
                <w:tcPr>
                  <w:tcW w:w="621" w:type="dxa"/>
                  <w:shd w:val="clear" w:color="auto" w:fill="auto"/>
                  <w:vAlign w:val="center"/>
                </w:tcPr>
                <w:p w14:paraId="35C6F7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49.28</w:t>
                  </w:r>
                </w:p>
              </w:tc>
              <w:tc>
                <w:tcPr>
                  <w:tcW w:w="442" w:type="dxa"/>
                  <w:vMerge w:val="continue"/>
                </w:tcPr>
                <w:p w14:paraId="5C1E81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Pr>
                <w:p w14:paraId="79B2A9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Pr>
                <w:p w14:paraId="031FDE2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4783CA6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1CEBB8A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5F461DA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r w14:paraId="7DD25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97" w:type="dxa"/>
                  <w:vMerge w:val="continue"/>
                </w:tcPr>
                <w:p w14:paraId="0F6FB8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1050" w:type="dxa"/>
                  <w:shd w:val="clear" w:color="auto" w:fill="auto"/>
                  <w:vAlign w:val="center"/>
                </w:tcPr>
                <w:p w14:paraId="130535A3">
                  <w:pPr>
                    <w:keepNext w:val="0"/>
                    <w:keepLines w:val="0"/>
                    <w:widowControl/>
                    <w:suppressLineNumbers w:val="0"/>
                    <w:jc w:val="center"/>
                    <w:textAlignment w:val="center"/>
                    <w:rPr>
                      <w:rFonts w:hint="default" w:ascii="Times New Roman" w:hAnsi="Times New Roman" w:eastAsia="宋体" w:cs="Times New Roman"/>
                      <w:i w:val="0"/>
                      <w:iCs w:val="0"/>
                      <w:color w:val="3D3D3D"/>
                      <w:kern w:val="2"/>
                      <w:sz w:val="18"/>
                      <w:szCs w:val="18"/>
                      <w:u w:val="single" w:color="auto"/>
                      <w:lang w:val="en-US" w:eastAsia="zh-CN" w:bidi="ar-SA"/>
                    </w:rPr>
                  </w:pPr>
                  <w:r>
                    <w:rPr>
                      <w:rFonts w:hint="default" w:ascii="Times New Roman" w:hAnsi="Times New Roman" w:eastAsia="宋体" w:cs="Times New Roman"/>
                      <w:i w:val="0"/>
                      <w:iCs w:val="0"/>
                      <w:color w:val="3D3D3D"/>
                      <w:kern w:val="0"/>
                      <w:sz w:val="18"/>
                      <w:szCs w:val="18"/>
                      <w:u w:val="single" w:color="auto"/>
                      <w:lang w:val="en-US" w:eastAsia="zh-CN" w:bidi="ar"/>
                    </w:rPr>
                    <w:t>喷淋装置6</w:t>
                  </w:r>
                </w:p>
              </w:tc>
              <w:tc>
                <w:tcPr>
                  <w:tcW w:w="708" w:type="dxa"/>
                  <w:shd w:val="clear" w:color="auto" w:fill="auto"/>
                  <w:vAlign w:val="center"/>
                </w:tcPr>
                <w:p w14:paraId="62ED64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80</w:t>
                  </w:r>
                </w:p>
              </w:tc>
              <w:tc>
                <w:tcPr>
                  <w:tcW w:w="397" w:type="dxa"/>
                  <w:shd w:val="clear" w:color="auto" w:fill="auto"/>
                  <w:vAlign w:val="center"/>
                </w:tcPr>
                <w:p w14:paraId="282B81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45" w:type="dxa"/>
                  <w:shd w:val="clear" w:color="auto" w:fill="auto"/>
                  <w:vAlign w:val="center"/>
                </w:tcPr>
                <w:p w14:paraId="154F51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基础减振</w:t>
                  </w:r>
                </w:p>
              </w:tc>
              <w:tc>
                <w:tcPr>
                  <w:tcW w:w="641" w:type="dxa"/>
                  <w:shd w:val="clear" w:color="auto" w:fill="auto"/>
                  <w:vAlign w:val="center"/>
                </w:tcPr>
                <w:p w14:paraId="714A5C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-66.17</w:t>
                  </w:r>
                </w:p>
              </w:tc>
              <w:tc>
                <w:tcPr>
                  <w:tcW w:w="621" w:type="dxa"/>
                  <w:shd w:val="clear" w:color="auto" w:fill="auto"/>
                  <w:vAlign w:val="center"/>
                </w:tcPr>
                <w:p w14:paraId="3CC3A4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7.56</w:t>
                  </w:r>
                </w:p>
              </w:tc>
              <w:tc>
                <w:tcPr>
                  <w:tcW w:w="368" w:type="dxa"/>
                  <w:shd w:val="clear" w:color="auto" w:fill="auto"/>
                  <w:vAlign w:val="center"/>
                </w:tcPr>
                <w:p w14:paraId="27337C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w:t>
                  </w:r>
                </w:p>
              </w:tc>
              <w:tc>
                <w:tcPr>
                  <w:tcW w:w="621" w:type="dxa"/>
                  <w:shd w:val="clear" w:color="auto" w:fill="auto"/>
                  <w:vAlign w:val="center"/>
                </w:tcPr>
                <w:p w14:paraId="635CCC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26.47</w:t>
                  </w:r>
                </w:p>
              </w:tc>
              <w:tc>
                <w:tcPr>
                  <w:tcW w:w="641" w:type="dxa"/>
                  <w:shd w:val="clear" w:color="auto" w:fill="auto"/>
                  <w:vAlign w:val="center"/>
                </w:tcPr>
                <w:p w14:paraId="2217AD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62.27</w:t>
                  </w:r>
                </w:p>
              </w:tc>
              <w:tc>
                <w:tcPr>
                  <w:tcW w:w="621" w:type="dxa"/>
                  <w:shd w:val="clear" w:color="auto" w:fill="auto"/>
                  <w:vAlign w:val="center"/>
                </w:tcPr>
                <w:p w14:paraId="6F25FB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21.93</w:t>
                  </w:r>
                </w:p>
              </w:tc>
              <w:tc>
                <w:tcPr>
                  <w:tcW w:w="621" w:type="dxa"/>
                  <w:shd w:val="clear" w:color="auto" w:fill="auto"/>
                  <w:vAlign w:val="center"/>
                </w:tcPr>
                <w:p w14:paraId="4CE0C2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11.11</w:t>
                  </w:r>
                </w:p>
              </w:tc>
              <w:tc>
                <w:tcPr>
                  <w:tcW w:w="621" w:type="dxa"/>
                  <w:shd w:val="clear" w:color="auto" w:fill="auto"/>
                  <w:vAlign w:val="center"/>
                </w:tcPr>
                <w:p w14:paraId="0C4C34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40.73</w:t>
                  </w:r>
                </w:p>
              </w:tc>
              <w:tc>
                <w:tcPr>
                  <w:tcW w:w="621" w:type="dxa"/>
                  <w:shd w:val="clear" w:color="auto" w:fill="auto"/>
                  <w:vAlign w:val="center"/>
                </w:tcPr>
                <w:p w14:paraId="6AE96D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34.04</w:t>
                  </w:r>
                </w:p>
              </w:tc>
              <w:tc>
                <w:tcPr>
                  <w:tcW w:w="621" w:type="dxa"/>
                  <w:shd w:val="clear" w:color="auto" w:fill="auto"/>
                  <w:vAlign w:val="center"/>
                </w:tcPr>
                <w:p w14:paraId="1D8294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42.31</w:t>
                  </w:r>
                </w:p>
              </w:tc>
              <w:tc>
                <w:tcPr>
                  <w:tcW w:w="621" w:type="dxa"/>
                  <w:shd w:val="clear" w:color="auto" w:fill="auto"/>
                  <w:vAlign w:val="center"/>
                </w:tcPr>
                <w:p w14:paraId="3A24DA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single" w:color="auto"/>
                      <w:lang w:val="en-US" w:eastAsia="zh-CN" w:bidi="ar-SA"/>
                    </w:rPr>
                  </w:pPr>
                  <w:r>
                    <w:rPr>
                      <w:rFonts w:hint="default" w:ascii="Times New Roman" w:hAnsi="Times New Roman" w:eastAsia="宋体" w:cs="Times New Roman"/>
                      <w:i w:val="0"/>
                      <w:iCs w:val="0"/>
                      <w:color w:val="000000"/>
                      <w:kern w:val="0"/>
                      <w:sz w:val="18"/>
                      <w:szCs w:val="18"/>
                      <w:u w:val="single" w:color="auto"/>
                      <w:lang w:val="en-US" w:eastAsia="zh-CN" w:bidi="ar"/>
                    </w:rPr>
                    <w:t>48.13</w:t>
                  </w:r>
                </w:p>
              </w:tc>
              <w:tc>
                <w:tcPr>
                  <w:tcW w:w="442" w:type="dxa"/>
                  <w:vMerge w:val="continue"/>
                </w:tcPr>
                <w:p w14:paraId="720563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18"/>
                      <w:szCs w:val="18"/>
                      <w:u w:val="single" w:color="auto"/>
                    </w:rPr>
                  </w:pPr>
                </w:p>
              </w:tc>
              <w:tc>
                <w:tcPr>
                  <w:tcW w:w="711" w:type="dxa"/>
                </w:tcPr>
                <w:p w14:paraId="34E898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kern w:val="0"/>
                      <w:sz w:val="18"/>
                      <w:szCs w:val="18"/>
                      <w:u w:val="single" w:color="auto"/>
                      <w:lang w:bidi="ar"/>
                    </w:rPr>
                  </w:pPr>
                  <w:r>
                    <w:rPr>
                      <w:rFonts w:hint="default" w:ascii="Times New Roman" w:hAnsi="Times New Roman" w:cs="Times New Roman"/>
                      <w:color w:val="auto"/>
                      <w:kern w:val="0"/>
                      <w:sz w:val="18"/>
                      <w:szCs w:val="18"/>
                      <w:u w:val="single" w:color="auto"/>
                      <w:lang w:bidi="ar"/>
                    </w:rPr>
                    <w:t>20</w:t>
                  </w:r>
                </w:p>
              </w:tc>
              <w:tc>
                <w:tcPr>
                  <w:tcW w:w="621" w:type="dxa"/>
                  <w:vMerge w:val="continue"/>
                </w:tcPr>
                <w:p w14:paraId="11401D2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5CDE213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1854D73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c>
                <w:tcPr>
                  <w:tcW w:w="621" w:type="dxa"/>
                  <w:vMerge w:val="continue"/>
                </w:tcPr>
                <w:p w14:paraId="499361E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cs="Times New Roman"/>
                      <w:color w:val="auto"/>
                      <w:sz w:val="18"/>
                      <w:szCs w:val="18"/>
                      <w:u w:val="single" w:color="auto"/>
                    </w:rPr>
                  </w:pPr>
                </w:p>
              </w:tc>
            </w:tr>
          </w:tbl>
          <w:p w14:paraId="5E6A2D73">
            <w:pPr>
              <w:numPr>
                <w:ilvl w:val="0"/>
                <w:numId w:val="0"/>
              </w:numPr>
              <w:rPr>
                <w:rFonts w:hint="eastAsia"/>
                <w:vertAlign w:val="baseline"/>
                <w:lang w:val="en-US" w:eastAsia="zh-CN"/>
              </w:rPr>
            </w:pPr>
            <w:r>
              <w:rPr>
                <w:rFonts w:hint="eastAsia"/>
                <w:vertAlign w:val="baseline"/>
                <w:lang w:val="en-US" w:eastAsia="zh-CN"/>
              </w:rPr>
              <w:t xml:space="preserve"> </w:t>
            </w:r>
          </w:p>
          <w:p w14:paraId="739E293D">
            <w:pPr>
              <w:numPr>
                <w:ilvl w:val="0"/>
                <w:numId w:val="0"/>
              </w:numPr>
              <w:rPr>
                <w:rFonts w:hint="eastAsia"/>
                <w:vertAlign w:val="baseline"/>
                <w:lang w:val="en-US" w:eastAsia="zh-CN"/>
              </w:rPr>
            </w:pPr>
          </w:p>
          <w:p w14:paraId="5B9D0874">
            <w:pPr>
              <w:numPr>
                <w:ilvl w:val="0"/>
                <w:numId w:val="0"/>
              </w:numPr>
              <w:rPr>
                <w:rFonts w:hint="eastAsia"/>
                <w:vertAlign w:val="baseline"/>
                <w:lang w:val="en-US" w:eastAsia="zh-CN"/>
              </w:rPr>
            </w:pPr>
          </w:p>
          <w:p w14:paraId="745FA367">
            <w:pPr>
              <w:numPr>
                <w:ilvl w:val="0"/>
                <w:numId w:val="0"/>
              </w:numPr>
              <w:rPr>
                <w:rFonts w:hint="eastAsia"/>
                <w:vertAlign w:val="baseline"/>
                <w:lang w:val="en-US" w:eastAsia="zh-CN"/>
              </w:rPr>
            </w:pPr>
          </w:p>
          <w:p w14:paraId="499DDF08">
            <w:pPr>
              <w:numPr>
                <w:ilvl w:val="0"/>
                <w:numId w:val="0"/>
              </w:numPr>
              <w:rPr>
                <w:rFonts w:hint="eastAsia"/>
                <w:vertAlign w:val="baseline"/>
                <w:lang w:val="en-US" w:eastAsia="zh-CN"/>
              </w:rPr>
            </w:pPr>
          </w:p>
          <w:p w14:paraId="7063F1DB">
            <w:pPr>
              <w:numPr>
                <w:ilvl w:val="0"/>
                <w:numId w:val="0"/>
              </w:numPr>
              <w:rPr>
                <w:rFonts w:hint="eastAsia"/>
                <w:vertAlign w:val="baseline"/>
                <w:lang w:val="en-US" w:eastAsia="zh-CN"/>
              </w:rPr>
            </w:pPr>
          </w:p>
          <w:p w14:paraId="3AB84CA3">
            <w:pPr>
              <w:numPr>
                <w:ilvl w:val="0"/>
                <w:numId w:val="0"/>
              </w:numPr>
              <w:rPr>
                <w:rFonts w:hint="eastAsia"/>
                <w:vertAlign w:val="baseline"/>
                <w:lang w:val="en-US" w:eastAsia="zh-CN"/>
              </w:rPr>
            </w:pPr>
          </w:p>
          <w:p w14:paraId="03A3489B">
            <w:pPr>
              <w:numPr>
                <w:ilvl w:val="0"/>
                <w:numId w:val="0"/>
              </w:numPr>
              <w:rPr>
                <w:rFonts w:hint="eastAsia"/>
                <w:vertAlign w:val="baseline"/>
                <w:lang w:val="en-US" w:eastAsia="zh-CN"/>
              </w:rPr>
            </w:pPr>
          </w:p>
          <w:p w14:paraId="4A39F2E4">
            <w:pPr>
              <w:numPr>
                <w:ilvl w:val="0"/>
                <w:numId w:val="0"/>
              </w:numPr>
              <w:rPr>
                <w:rFonts w:hint="default"/>
                <w:vertAlign w:val="baseline"/>
                <w:lang w:val="en-US" w:eastAsia="zh-CN"/>
              </w:rPr>
            </w:pPr>
          </w:p>
        </w:tc>
      </w:tr>
    </w:tbl>
    <w:p w14:paraId="31D54431">
      <w:pPr>
        <w:numPr>
          <w:ilvl w:val="0"/>
          <w:numId w:val="0"/>
        </w:numP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861"/>
      </w:tblGrid>
      <w:tr w14:paraId="37FB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tcPr>
          <w:p w14:paraId="17AE9769">
            <w:pPr>
              <w:numPr>
                <w:ilvl w:val="0"/>
                <w:numId w:val="0"/>
              </w:numPr>
              <w:rPr>
                <w:rFonts w:hint="eastAsia"/>
                <w:vertAlign w:val="baseline"/>
                <w:lang w:val="en-US" w:eastAsia="zh-CN"/>
              </w:rPr>
            </w:pPr>
          </w:p>
        </w:tc>
        <w:tc>
          <w:tcPr>
            <w:tcW w:w="7861" w:type="dxa"/>
          </w:tcPr>
          <w:p w14:paraId="5621834E">
            <w:pPr>
              <w:pStyle w:val="3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4、</w:t>
            </w:r>
            <w:r>
              <w:rPr>
                <w:rFonts w:hint="default" w:ascii="Times New Roman" w:hAnsi="Times New Roman" w:eastAsia="宋体" w:cs="Times New Roman"/>
                <w:b/>
                <w:bCs/>
                <w:color w:val="auto"/>
                <w:sz w:val="24"/>
                <w:szCs w:val="24"/>
                <w:u w:val="single" w:color="auto"/>
                <w:lang w:eastAsia="zh-CN"/>
              </w:rPr>
              <w:t>噪声</w:t>
            </w:r>
            <w:r>
              <w:rPr>
                <w:rFonts w:hint="default" w:ascii="Times New Roman" w:hAnsi="Times New Roman" w:cs="Times New Roman"/>
                <w:b/>
                <w:bCs/>
                <w:color w:val="000000" w:themeColor="text1"/>
                <w:sz w:val="24"/>
                <w:szCs w:val="24"/>
                <w:highlight w:val="none"/>
                <w:u w:val="single" w:color="auto"/>
                <w:lang w:val="en-US" w:eastAsia="zh-CN"/>
                <w14:textFill>
                  <w14:solidFill>
                    <w14:schemeClr w14:val="tx1"/>
                  </w14:solidFill>
                </w14:textFill>
              </w:rPr>
              <w:t>预测结果</w:t>
            </w:r>
          </w:p>
          <w:p w14:paraId="78B2D1D7">
            <w:pPr>
              <w:pStyle w:val="3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本项目租赁</w:t>
            </w:r>
            <w:r>
              <w:rPr>
                <w:rFonts w:hint="eastAsia" w:ascii="Times New Roman" w:hAnsi="Times New Roman" w:eastAsia="宋体" w:cs="Times New Roman"/>
                <w:color w:val="000000"/>
                <w:sz w:val="24"/>
                <w:szCs w:val="24"/>
                <w:highlight w:val="none"/>
                <w:u w:val="single" w:color="auto"/>
                <w:lang w:val="en-US" w:eastAsia="zh-CN"/>
              </w:rPr>
              <w:t>龙昶厂</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区内现有标准厂房作为生产厂房。由此表明，本项目营运期厂界噪声即为生产厂房边界噪声。</w:t>
            </w:r>
          </w:p>
          <w:p w14:paraId="357C67DC">
            <w:pPr>
              <w:pStyle w:val="3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因此，本次评价对项目</w:t>
            </w:r>
            <w:r>
              <w:rPr>
                <w:rFonts w:hint="default" w:ascii="Times New Roman" w:hAnsi="Times New Roman" w:eastAsia="宋体" w:cs="Times New Roman"/>
                <w:color w:val="000000" w:themeColor="text1"/>
                <w:sz w:val="24"/>
                <w:szCs w:val="24"/>
                <w:u w:val="single" w:color="auto"/>
                <w:lang w:val="en-US" w:eastAsia="zh-CN"/>
                <w14:textFill>
                  <w14:solidFill>
                    <w14:schemeClr w14:val="tx1"/>
                  </w14:solidFill>
                </w14:textFill>
              </w:rPr>
              <w:t>生产厂房的东、南、</w:t>
            </w:r>
            <w:r>
              <w:rPr>
                <w:rFonts w:hint="eastAsia" w:ascii="Times New Roman" w:hAnsi="Times New Roman" w:eastAsia="宋体" w:cs="Times New Roman"/>
                <w:color w:val="000000" w:themeColor="text1"/>
                <w:sz w:val="24"/>
                <w:szCs w:val="24"/>
                <w:u w:val="single" w:color="auto"/>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u w:val="single" w:color="auto"/>
                <w:lang w:val="en-US" w:eastAsia="zh-CN"/>
                <w14:textFill>
                  <w14:solidFill>
                    <w14:schemeClr w14:val="tx1"/>
                  </w14:solidFill>
                </w14:textFill>
              </w:rPr>
              <w:t>北侧边界噪声贡献值进行预测并评价。</w:t>
            </w:r>
          </w:p>
          <w:p w14:paraId="1CF36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本项目主要生产设备均位于厂房内，即属于室内声源。根据表</w:t>
            </w:r>
            <w:r>
              <w:rPr>
                <w:rFonts w:hint="eastAsia" w:ascii="Times New Roman" w:hAnsi="Times New Roman" w:cs="Times New Roman"/>
                <w:color w:val="000000" w:themeColor="text1"/>
                <w:sz w:val="24"/>
                <w:szCs w:val="24"/>
                <w:highlight w:val="none"/>
                <w:u w:val="single" w:color="auto"/>
                <w:lang w:val="en-US" w:eastAsia="zh-CN"/>
                <w14:textFill>
                  <w14:solidFill>
                    <w14:schemeClr w14:val="tx1"/>
                  </w14:solidFill>
                </w14:textFill>
              </w:rPr>
              <w:t>4-13</w:t>
            </w:r>
            <w:r>
              <w:rPr>
                <w:rFonts w:hint="default" w:ascii="Times New Roman" w:hAnsi="Times New Roman" w:cs="Times New Roman"/>
                <w:color w:val="000000" w:themeColor="text1"/>
                <w:sz w:val="24"/>
                <w:szCs w:val="24"/>
                <w:highlight w:val="none"/>
                <w:u w:val="single" w:color="auto"/>
                <w:lang w:val="en-US" w:eastAsia="zh-CN"/>
                <w14:textFill>
                  <w14:solidFill>
                    <w14:schemeClr w14:val="tx1"/>
                  </w14:solidFill>
                </w14:textFill>
              </w:rPr>
              <w:t>项目室内噪声源调查清单可知：</w:t>
            </w:r>
            <w:r>
              <w:rPr>
                <w:rFonts w:hint="default" w:ascii="Times New Roman" w:hAnsi="Times New Roman" w:eastAsia="宋体" w:cs="Times New Roman"/>
                <w:color w:val="000000" w:themeColor="text1"/>
                <w:sz w:val="24"/>
                <w:szCs w:val="24"/>
                <w:u w:val="single" w:color="auto"/>
                <w:lang w:val="en-US" w:eastAsia="zh-CN"/>
                <w14:textFill>
                  <w14:solidFill>
                    <w14:schemeClr w14:val="tx1"/>
                  </w14:solidFill>
                </w14:textFill>
              </w:rPr>
              <w:t>项目生产厂房的东、南、西</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、北侧边界建筑外声压级即为噪声贡献值</w:t>
            </w:r>
            <w:r>
              <w:rPr>
                <w:rFonts w:hint="eastAsia"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w:t>
            </w:r>
            <w:r>
              <w:rPr>
                <w:rFonts w:ascii="Times New Roman" w:hAnsi="Times New Roman" w:cs="Times New Roman"/>
                <w:color w:val="auto"/>
                <w:spacing w:val="2"/>
                <w:sz w:val="24"/>
                <w:szCs w:val="24"/>
                <w:u w:val="single" w:color="auto"/>
              </w:rPr>
              <w:t>本项目厂</w:t>
            </w:r>
            <w:r>
              <w:rPr>
                <w:rFonts w:hint="eastAsia" w:ascii="Times New Roman" w:hAnsi="Times New Roman" w:cs="Times New Roman"/>
                <w:color w:val="auto"/>
                <w:spacing w:val="2"/>
                <w:sz w:val="24"/>
                <w:szCs w:val="24"/>
                <w:u w:val="single" w:color="auto"/>
                <w:lang w:val="en-US" w:eastAsia="zh-CN"/>
              </w:rPr>
              <w:t>房边</w:t>
            </w:r>
            <w:r>
              <w:rPr>
                <w:rFonts w:ascii="Times New Roman" w:hAnsi="Times New Roman" w:cs="Times New Roman"/>
                <w:color w:val="auto"/>
                <w:spacing w:val="2"/>
                <w:sz w:val="24"/>
                <w:szCs w:val="24"/>
                <w:u w:val="single" w:color="auto"/>
              </w:rPr>
              <w:t>界昼</w:t>
            </w:r>
            <w:r>
              <w:rPr>
                <w:rFonts w:hint="eastAsia" w:ascii="Times New Roman" w:hAnsi="Times New Roman" w:cs="Times New Roman"/>
                <w:color w:val="auto"/>
                <w:spacing w:val="2"/>
                <w:sz w:val="24"/>
                <w:szCs w:val="24"/>
                <w:u w:val="single" w:color="auto"/>
                <w:lang w:val="en-US" w:eastAsia="zh-CN"/>
              </w:rPr>
              <w:t>夜</w:t>
            </w:r>
            <w:r>
              <w:rPr>
                <w:rFonts w:ascii="Times New Roman" w:hAnsi="Times New Roman" w:cs="Times New Roman"/>
                <w:color w:val="auto"/>
                <w:spacing w:val="2"/>
                <w:sz w:val="24"/>
                <w:szCs w:val="24"/>
                <w:u w:val="single" w:color="auto"/>
              </w:rPr>
              <w:t>间噪声预测结果及达标情况</w:t>
            </w:r>
            <w:r>
              <w:rPr>
                <w:rFonts w:hint="default" w:ascii="Times New Roman" w:hAnsi="Times New Roman" w:eastAsia="宋体" w:cs="Times New Roman"/>
                <w:color w:val="000000" w:themeColor="text1"/>
                <w:sz w:val="24"/>
                <w:szCs w:val="24"/>
                <w:highlight w:val="none"/>
                <w:u w:val="single" w:color="auto"/>
                <w:lang w:val="en-US" w:eastAsia="zh-CN"/>
                <w14:textFill>
                  <w14:solidFill>
                    <w14:schemeClr w14:val="tx1"/>
                  </w14:solidFill>
                </w14:textFill>
              </w:rPr>
              <w:t>详见下表。</w:t>
            </w:r>
          </w:p>
          <w:p w14:paraId="22A5A45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b/>
                <w:bCs/>
                <w:u w:val="single" w:color="auto"/>
                <w:lang w:eastAsia="zh-CN"/>
              </w:rPr>
            </w:pPr>
            <w:r>
              <w:rPr>
                <w:rFonts w:hint="default" w:ascii="Times New Roman" w:hAnsi="Times New Roman" w:eastAsia="宋体" w:cs="Times New Roman"/>
                <w:b/>
                <w:bCs/>
                <w:sz w:val="21"/>
                <w:szCs w:val="21"/>
                <w:u w:val="single" w:color="auto"/>
                <w:lang w:eastAsia="zh-CN"/>
              </w:rPr>
              <w:t>表4-</w:t>
            </w:r>
            <w:r>
              <w:rPr>
                <w:rFonts w:hint="default" w:ascii="Times New Roman" w:hAnsi="Times New Roman" w:cs="Times New Roman"/>
                <w:b/>
                <w:bCs/>
                <w:sz w:val="21"/>
                <w:szCs w:val="21"/>
                <w:u w:val="single" w:color="auto"/>
                <w:lang w:val="en-US" w:eastAsia="zh-CN"/>
              </w:rPr>
              <w:t>1</w:t>
            </w:r>
            <w:r>
              <w:rPr>
                <w:rFonts w:hint="eastAsia" w:cs="Times New Roman"/>
                <w:b/>
                <w:bCs/>
                <w:sz w:val="21"/>
                <w:szCs w:val="21"/>
                <w:u w:val="single" w:color="auto"/>
                <w:lang w:val="en-US" w:eastAsia="zh-CN"/>
              </w:rPr>
              <w:t>3</w:t>
            </w:r>
            <w:r>
              <w:rPr>
                <w:rFonts w:hint="default" w:ascii="Times New Roman" w:hAnsi="Times New Roman" w:eastAsia="宋体" w:cs="Times New Roman"/>
                <w:b/>
                <w:bCs/>
                <w:sz w:val="21"/>
                <w:szCs w:val="21"/>
                <w:u w:val="single" w:color="auto"/>
                <w:lang w:eastAsia="zh-CN"/>
              </w:rPr>
              <w:t xml:space="preserve">  项目厂界噪声预测结果  单位：dB（A）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649"/>
              <w:gridCol w:w="830"/>
              <w:gridCol w:w="830"/>
              <w:gridCol w:w="830"/>
              <w:gridCol w:w="830"/>
              <w:gridCol w:w="830"/>
              <w:gridCol w:w="832"/>
            </w:tblGrid>
            <w:tr w14:paraId="360EB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33" w:type="dxa"/>
                  <w:gridSpan w:val="2"/>
                  <w:tcBorders>
                    <w:tl2br w:val="nil"/>
                    <w:tr2bl w:val="nil"/>
                  </w:tcBorders>
                  <w:noWrap w:val="0"/>
                  <w:vAlign w:val="center"/>
                </w:tcPr>
                <w:p w14:paraId="1B8A5D0A">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7"/>
                      <w:sz w:val="21"/>
                      <w:szCs w:val="21"/>
                      <w:u w:val="single" w:color="auto"/>
                    </w:rPr>
                    <w:t>预测点</w:t>
                  </w:r>
                  <w:r>
                    <w:rPr>
                      <w:rFonts w:hint="default" w:ascii="Times New Roman" w:hAnsi="Times New Roman" w:cs="Times New Roman"/>
                      <w:b/>
                      <w:bCs/>
                      <w:color w:val="auto"/>
                      <w:spacing w:val="7"/>
                      <w:sz w:val="21"/>
                      <w:szCs w:val="21"/>
                      <w:u w:val="single" w:color="auto"/>
                      <w:lang w:eastAsia="zh-CN"/>
                    </w:rPr>
                    <w:t>预测结果</w:t>
                  </w:r>
                </w:p>
              </w:tc>
              <w:tc>
                <w:tcPr>
                  <w:tcW w:w="830" w:type="dxa"/>
                  <w:tcBorders>
                    <w:tl2br w:val="nil"/>
                    <w:tr2bl w:val="nil"/>
                  </w:tcBorders>
                  <w:noWrap w:val="0"/>
                  <w:vAlign w:val="center"/>
                </w:tcPr>
                <w:p w14:paraId="5FC8BE20">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7"/>
                      <w:sz w:val="21"/>
                      <w:szCs w:val="21"/>
                      <w:u w:val="single" w:color="auto"/>
                    </w:rPr>
                    <w:t>厂</w:t>
                  </w:r>
                  <w:r>
                    <w:rPr>
                      <w:rFonts w:hint="eastAsia" w:ascii="Times New Roman" w:hAnsi="Times New Roman" w:cs="Times New Roman"/>
                      <w:b/>
                      <w:bCs/>
                      <w:color w:val="auto"/>
                      <w:spacing w:val="7"/>
                      <w:sz w:val="21"/>
                      <w:szCs w:val="21"/>
                      <w:u w:val="single" w:color="auto"/>
                      <w:lang w:val="en-US" w:eastAsia="zh-CN"/>
                    </w:rPr>
                    <w:t>房</w:t>
                  </w:r>
                  <w:r>
                    <w:rPr>
                      <w:rFonts w:hint="default" w:ascii="Times New Roman" w:hAnsi="Times New Roman" w:cs="Times New Roman"/>
                      <w:b/>
                      <w:bCs/>
                      <w:color w:val="auto"/>
                      <w:spacing w:val="7"/>
                      <w:sz w:val="21"/>
                      <w:szCs w:val="21"/>
                      <w:u w:val="single" w:color="auto"/>
                      <w:lang w:eastAsia="zh-CN"/>
                    </w:rPr>
                    <w:t>东</w:t>
                  </w:r>
                  <w:r>
                    <w:rPr>
                      <w:rFonts w:hint="default" w:ascii="Times New Roman" w:hAnsi="Times New Roman" w:cs="Times New Roman"/>
                      <w:b/>
                      <w:bCs/>
                      <w:color w:val="auto"/>
                      <w:spacing w:val="7"/>
                      <w:sz w:val="21"/>
                      <w:szCs w:val="21"/>
                      <w:u w:val="single" w:color="auto"/>
                    </w:rPr>
                    <w:t>侧</w:t>
                  </w:r>
                </w:p>
              </w:tc>
              <w:tc>
                <w:tcPr>
                  <w:tcW w:w="830" w:type="dxa"/>
                  <w:tcBorders>
                    <w:tl2br w:val="nil"/>
                    <w:tr2bl w:val="nil"/>
                  </w:tcBorders>
                  <w:noWrap w:val="0"/>
                  <w:vAlign w:val="center"/>
                </w:tcPr>
                <w:p w14:paraId="47CE970A">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7"/>
                      <w:sz w:val="21"/>
                      <w:szCs w:val="21"/>
                      <w:u w:val="single" w:color="auto"/>
                    </w:rPr>
                    <w:t>厂</w:t>
                  </w:r>
                  <w:r>
                    <w:rPr>
                      <w:rFonts w:hint="eastAsia" w:ascii="Times New Roman" w:hAnsi="Times New Roman" w:cs="Times New Roman"/>
                      <w:b/>
                      <w:bCs/>
                      <w:color w:val="auto"/>
                      <w:spacing w:val="7"/>
                      <w:sz w:val="21"/>
                      <w:szCs w:val="21"/>
                      <w:u w:val="single" w:color="auto"/>
                      <w:lang w:val="en-US" w:eastAsia="zh-CN"/>
                    </w:rPr>
                    <w:t>房</w:t>
                  </w:r>
                  <w:r>
                    <w:rPr>
                      <w:rFonts w:hint="default" w:ascii="Times New Roman" w:hAnsi="Times New Roman" w:cs="Times New Roman"/>
                      <w:b/>
                      <w:bCs/>
                      <w:color w:val="auto"/>
                      <w:spacing w:val="7"/>
                      <w:sz w:val="21"/>
                      <w:szCs w:val="21"/>
                      <w:u w:val="single" w:color="auto"/>
                    </w:rPr>
                    <w:t>南侧</w:t>
                  </w:r>
                </w:p>
              </w:tc>
              <w:tc>
                <w:tcPr>
                  <w:tcW w:w="830" w:type="dxa"/>
                  <w:tcBorders>
                    <w:tl2br w:val="nil"/>
                    <w:tr2bl w:val="nil"/>
                  </w:tcBorders>
                  <w:noWrap w:val="0"/>
                  <w:vAlign w:val="center"/>
                </w:tcPr>
                <w:p w14:paraId="0E168BED">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7"/>
                      <w:sz w:val="21"/>
                      <w:szCs w:val="21"/>
                      <w:u w:val="single" w:color="auto"/>
                    </w:rPr>
                    <w:t>厂</w:t>
                  </w:r>
                  <w:r>
                    <w:rPr>
                      <w:rFonts w:hint="eastAsia" w:ascii="Times New Roman" w:hAnsi="Times New Roman" w:cs="Times New Roman"/>
                      <w:b/>
                      <w:bCs/>
                      <w:color w:val="auto"/>
                      <w:spacing w:val="7"/>
                      <w:sz w:val="21"/>
                      <w:szCs w:val="21"/>
                      <w:u w:val="single" w:color="auto"/>
                      <w:lang w:val="en-US" w:eastAsia="zh-CN"/>
                    </w:rPr>
                    <w:t>房</w:t>
                  </w:r>
                  <w:r>
                    <w:rPr>
                      <w:rFonts w:hint="default" w:ascii="Times New Roman" w:hAnsi="Times New Roman" w:cs="Times New Roman"/>
                      <w:b/>
                      <w:bCs/>
                      <w:color w:val="auto"/>
                      <w:spacing w:val="7"/>
                      <w:sz w:val="21"/>
                      <w:szCs w:val="21"/>
                      <w:u w:val="single" w:color="auto"/>
                      <w:lang w:eastAsia="zh-CN"/>
                    </w:rPr>
                    <w:t>西</w:t>
                  </w:r>
                  <w:r>
                    <w:rPr>
                      <w:rFonts w:hint="default" w:ascii="Times New Roman" w:hAnsi="Times New Roman" w:cs="Times New Roman"/>
                      <w:b/>
                      <w:bCs/>
                      <w:color w:val="auto"/>
                      <w:spacing w:val="7"/>
                      <w:sz w:val="21"/>
                      <w:szCs w:val="21"/>
                      <w:u w:val="single" w:color="auto"/>
                    </w:rPr>
                    <w:t>侧</w:t>
                  </w:r>
                </w:p>
              </w:tc>
              <w:tc>
                <w:tcPr>
                  <w:tcW w:w="830" w:type="dxa"/>
                  <w:tcBorders>
                    <w:tl2br w:val="nil"/>
                    <w:tr2bl w:val="nil"/>
                  </w:tcBorders>
                  <w:noWrap w:val="0"/>
                  <w:vAlign w:val="center"/>
                </w:tcPr>
                <w:p w14:paraId="0AD6A1DC">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7"/>
                      <w:sz w:val="21"/>
                      <w:szCs w:val="21"/>
                      <w:u w:val="single" w:color="auto"/>
                    </w:rPr>
                    <w:t>厂</w:t>
                  </w:r>
                  <w:r>
                    <w:rPr>
                      <w:rFonts w:hint="eastAsia" w:ascii="Times New Roman" w:hAnsi="Times New Roman" w:cs="Times New Roman"/>
                      <w:b/>
                      <w:bCs/>
                      <w:color w:val="auto"/>
                      <w:spacing w:val="7"/>
                      <w:sz w:val="21"/>
                      <w:szCs w:val="21"/>
                      <w:u w:val="single" w:color="auto"/>
                      <w:lang w:val="en-US" w:eastAsia="zh-CN"/>
                    </w:rPr>
                    <w:t>房</w:t>
                  </w:r>
                  <w:r>
                    <w:rPr>
                      <w:rFonts w:hint="default" w:ascii="Times New Roman" w:hAnsi="Times New Roman" w:cs="Times New Roman"/>
                      <w:b/>
                      <w:bCs/>
                      <w:color w:val="auto"/>
                      <w:spacing w:val="7"/>
                      <w:sz w:val="21"/>
                      <w:szCs w:val="21"/>
                      <w:u w:val="single" w:color="auto"/>
                    </w:rPr>
                    <w:t>北侧</w:t>
                  </w:r>
                </w:p>
              </w:tc>
              <w:tc>
                <w:tcPr>
                  <w:tcW w:w="830" w:type="dxa"/>
                  <w:tcBorders>
                    <w:tl2br w:val="nil"/>
                    <w:tr2bl w:val="nil"/>
                  </w:tcBorders>
                  <w:noWrap w:val="0"/>
                  <w:vAlign w:val="center"/>
                </w:tcPr>
                <w:p w14:paraId="65D6E8D3">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8"/>
                      <w:sz w:val="21"/>
                      <w:szCs w:val="21"/>
                      <w:u w:val="single" w:color="auto"/>
                    </w:rPr>
                    <w:t>标准限值</w:t>
                  </w:r>
                </w:p>
              </w:tc>
              <w:tc>
                <w:tcPr>
                  <w:tcW w:w="832" w:type="dxa"/>
                  <w:tcBorders>
                    <w:tl2br w:val="nil"/>
                    <w:tr2bl w:val="nil"/>
                  </w:tcBorders>
                  <w:noWrap w:val="0"/>
                  <w:vAlign w:val="center"/>
                </w:tcPr>
                <w:p w14:paraId="5B3D1673">
                  <w:pPr>
                    <w:pStyle w:val="33"/>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sz w:val="21"/>
                      <w:szCs w:val="21"/>
                      <w:u w:val="single" w:color="auto"/>
                      <w:vertAlign w:val="baseline"/>
                      <w:lang w:eastAsia="zh-CN"/>
                    </w:rPr>
                  </w:pPr>
                  <w:r>
                    <w:rPr>
                      <w:rFonts w:hint="default" w:ascii="Times New Roman" w:hAnsi="Times New Roman" w:cs="Times New Roman"/>
                      <w:b/>
                      <w:bCs/>
                      <w:color w:val="auto"/>
                      <w:spacing w:val="8"/>
                      <w:sz w:val="21"/>
                      <w:szCs w:val="21"/>
                      <w:u w:val="single" w:color="auto"/>
                    </w:rPr>
                    <w:t>达标情况</w:t>
                  </w:r>
                </w:p>
              </w:tc>
            </w:tr>
            <w:tr w14:paraId="09812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4" w:type="dxa"/>
                  <w:vMerge w:val="restart"/>
                  <w:tcBorders>
                    <w:tl2br w:val="nil"/>
                    <w:tr2bl w:val="nil"/>
                  </w:tcBorders>
                  <w:noWrap w:val="0"/>
                  <w:vAlign w:val="center"/>
                </w:tcPr>
                <w:p w14:paraId="408EEE76">
                  <w:pPr>
                    <w:pStyle w:val="33"/>
                    <w:keepNext w:val="0"/>
                    <w:keepLines w:val="0"/>
                    <w:pageBreakBefore w:val="0"/>
                    <w:wordWrap/>
                    <w:overflowPunct/>
                    <w:topLinePunct w:val="0"/>
                    <w:bidi w:val="0"/>
                    <w:spacing w:line="240" w:lineRule="auto"/>
                    <w:ind w:left="0" w:leftChars="0"/>
                    <w:jc w:val="center"/>
                    <w:rPr>
                      <w:rFonts w:hint="default" w:ascii="Times New Roman" w:hAnsi="Times New Roman" w:cs="Times New Roman"/>
                      <w:b w:val="0"/>
                      <w:bCs w:val="0"/>
                      <w:sz w:val="21"/>
                      <w:szCs w:val="21"/>
                      <w:u w:val="single" w:color="auto"/>
                      <w:vertAlign w:val="baseline"/>
                      <w:lang w:eastAsia="zh-CN"/>
                    </w:rPr>
                  </w:pPr>
                  <w:r>
                    <w:rPr>
                      <w:rFonts w:hint="default" w:ascii="Times New Roman" w:hAnsi="Times New Roman" w:cs="Times New Roman"/>
                      <w:b w:val="0"/>
                      <w:bCs w:val="0"/>
                      <w:color w:val="auto"/>
                      <w:spacing w:val="7"/>
                      <w:sz w:val="21"/>
                      <w:szCs w:val="21"/>
                      <w:u w:val="single" w:color="auto"/>
                      <w:lang w:eastAsia="zh-CN"/>
                    </w:rPr>
                    <w:t>贡献值</w:t>
                  </w:r>
                </w:p>
              </w:tc>
              <w:tc>
                <w:tcPr>
                  <w:tcW w:w="1649" w:type="dxa"/>
                  <w:tcBorders>
                    <w:tl2br w:val="nil"/>
                    <w:tr2bl w:val="nil"/>
                  </w:tcBorders>
                  <w:noWrap w:val="0"/>
                  <w:vAlign w:val="center"/>
                </w:tcPr>
                <w:p w14:paraId="72B61038">
                  <w:pPr>
                    <w:pStyle w:val="33"/>
                    <w:keepNext w:val="0"/>
                    <w:keepLines w:val="0"/>
                    <w:pageBreakBefore w:val="0"/>
                    <w:wordWrap/>
                    <w:overflowPunct/>
                    <w:topLinePunct w:val="0"/>
                    <w:bidi w:val="0"/>
                    <w:spacing w:line="240" w:lineRule="auto"/>
                    <w:ind w:left="0" w:leftChars="0"/>
                    <w:jc w:val="center"/>
                    <w:rPr>
                      <w:rFonts w:hint="default" w:ascii="Times New Roman" w:hAnsi="Times New Roman" w:cs="Times New Roman"/>
                      <w:b w:val="0"/>
                      <w:bCs w:val="0"/>
                      <w:sz w:val="21"/>
                      <w:szCs w:val="21"/>
                      <w:u w:val="single" w:color="auto"/>
                      <w:vertAlign w:val="baseline"/>
                      <w:lang w:eastAsia="zh-CN"/>
                    </w:rPr>
                  </w:pPr>
                  <w:r>
                    <w:rPr>
                      <w:rFonts w:hint="default" w:ascii="Times New Roman" w:hAnsi="Times New Roman" w:cs="Times New Roman"/>
                      <w:b w:val="0"/>
                      <w:bCs w:val="0"/>
                      <w:color w:val="auto"/>
                      <w:spacing w:val="5"/>
                      <w:sz w:val="21"/>
                      <w:szCs w:val="21"/>
                      <w:u w:val="single" w:color="auto"/>
                    </w:rPr>
                    <w:t>昼间</w:t>
                  </w:r>
                </w:p>
              </w:tc>
              <w:tc>
                <w:tcPr>
                  <w:tcW w:w="830" w:type="dxa"/>
                  <w:tcBorders>
                    <w:tl2br w:val="nil"/>
                    <w:tr2bl w:val="nil"/>
                  </w:tcBorders>
                  <w:noWrap w:val="0"/>
                  <w:vAlign w:val="center"/>
                </w:tcPr>
                <w:p w14:paraId="384994A8">
                  <w:pPr>
                    <w:keepNext w:val="0"/>
                    <w:keepLines w:val="0"/>
                    <w:widowControl/>
                    <w:suppressLineNumbers w:val="0"/>
                    <w:jc w:val="center"/>
                    <w:textAlignment w:val="center"/>
                    <w:rPr>
                      <w:rFonts w:hint="default" w:ascii="Times New Roman" w:hAnsi="Times New Roman" w:cs="Times New Roman"/>
                      <w:b w:val="0"/>
                      <w:bCs w:val="0"/>
                      <w:sz w:val="21"/>
                      <w:szCs w:val="21"/>
                      <w:u w:val="single" w:color="auto"/>
                      <w:vertAlign w:val="baseline"/>
                      <w:lang w:val="en-US" w:eastAsia="zh-CN"/>
                    </w:rPr>
                  </w:pPr>
                  <w:r>
                    <w:rPr>
                      <w:rFonts w:hint="eastAsia" w:cs="Times New Roman"/>
                      <w:b w:val="0"/>
                      <w:bCs w:val="0"/>
                      <w:sz w:val="21"/>
                      <w:szCs w:val="21"/>
                      <w:u w:val="single" w:color="auto"/>
                      <w:vertAlign w:val="baseline"/>
                      <w:lang w:val="en-US" w:eastAsia="zh-CN"/>
                    </w:rPr>
                    <w:t>48.32</w:t>
                  </w:r>
                </w:p>
              </w:tc>
              <w:tc>
                <w:tcPr>
                  <w:tcW w:w="830" w:type="dxa"/>
                  <w:tcBorders>
                    <w:tl2br w:val="nil"/>
                    <w:tr2bl w:val="nil"/>
                  </w:tcBorders>
                  <w:noWrap w:val="0"/>
                  <w:vAlign w:val="center"/>
                </w:tcPr>
                <w:p w14:paraId="29EBF4C7">
                  <w:pPr>
                    <w:keepNext w:val="0"/>
                    <w:keepLines w:val="0"/>
                    <w:widowControl/>
                    <w:suppressLineNumbers w:val="0"/>
                    <w:jc w:val="center"/>
                    <w:textAlignment w:val="center"/>
                    <w:rPr>
                      <w:rFonts w:hint="default" w:ascii="Times New Roman" w:hAnsi="Times New Roman" w:cs="Times New Roman"/>
                      <w:sz w:val="21"/>
                      <w:szCs w:val="21"/>
                      <w:u w:val="single" w:color="auto"/>
                      <w:lang w:val="en-US" w:eastAsia="zh-CN"/>
                    </w:rPr>
                  </w:pPr>
                  <w:r>
                    <w:rPr>
                      <w:rFonts w:hint="eastAsia" w:cs="Times New Roman"/>
                      <w:sz w:val="21"/>
                      <w:szCs w:val="21"/>
                      <w:u w:val="single" w:color="auto"/>
                      <w:lang w:val="en-US" w:eastAsia="zh-CN"/>
                    </w:rPr>
                    <w:t>40.71</w:t>
                  </w:r>
                </w:p>
              </w:tc>
              <w:tc>
                <w:tcPr>
                  <w:tcW w:w="830" w:type="dxa"/>
                  <w:tcBorders>
                    <w:tl2br w:val="nil"/>
                    <w:tr2bl w:val="nil"/>
                  </w:tcBorders>
                  <w:noWrap w:val="0"/>
                  <w:vAlign w:val="center"/>
                </w:tcPr>
                <w:p w14:paraId="59A97B1B">
                  <w:pPr>
                    <w:keepNext w:val="0"/>
                    <w:keepLines w:val="0"/>
                    <w:widowControl/>
                    <w:suppressLineNumbers w:val="0"/>
                    <w:jc w:val="center"/>
                    <w:textAlignment w:val="center"/>
                    <w:rPr>
                      <w:rFonts w:hint="default" w:ascii="Times New Roman" w:hAnsi="Times New Roman" w:cs="Times New Roman"/>
                      <w:b w:val="0"/>
                      <w:bCs w:val="0"/>
                      <w:sz w:val="21"/>
                      <w:szCs w:val="21"/>
                      <w:u w:val="single" w:color="auto"/>
                      <w:vertAlign w:val="baseline"/>
                      <w:lang w:val="en-US" w:eastAsia="zh-CN"/>
                    </w:rPr>
                  </w:pPr>
                  <w:r>
                    <w:rPr>
                      <w:rFonts w:hint="eastAsia" w:cs="Times New Roman"/>
                      <w:b w:val="0"/>
                      <w:bCs w:val="0"/>
                      <w:sz w:val="21"/>
                      <w:szCs w:val="21"/>
                      <w:u w:val="single" w:color="auto"/>
                      <w:vertAlign w:val="baseline"/>
                      <w:lang w:val="en-US" w:eastAsia="zh-CN"/>
                    </w:rPr>
                    <w:t>43.61</w:t>
                  </w:r>
                </w:p>
              </w:tc>
              <w:tc>
                <w:tcPr>
                  <w:tcW w:w="830" w:type="dxa"/>
                  <w:tcBorders>
                    <w:tl2br w:val="nil"/>
                    <w:tr2bl w:val="nil"/>
                  </w:tcBorders>
                  <w:noWrap w:val="0"/>
                  <w:vAlign w:val="center"/>
                </w:tcPr>
                <w:p w14:paraId="6D184F94">
                  <w:pPr>
                    <w:keepNext w:val="0"/>
                    <w:keepLines w:val="0"/>
                    <w:widowControl/>
                    <w:suppressLineNumbers w:val="0"/>
                    <w:jc w:val="center"/>
                    <w:textAlignment w:val="center"/>
                    <w:rPr>
                      <w:rFonts w:hint="default" w:ascii="Times New Roman" w:hAnsi="Times New Roman" w:cs="Times New Roman"/>
                      <w:b w:val="0"/>
                      <w:bCs w:val="0"/>
                      <w:sz w:val="21"/>
                      <w:szCs w:val="21"/>
                      <w:u w:val="single" w:color="auto"/>
                      <w:vertAlign w:val="baseline"/>
                      <w:lang w:val="en-US" w:eastAsia="zh-CN"/>
                    </w:rPr>
                  </w:pPr>
                  <w:r>
                    <w:rPr>
                      <w:rFonts w:hint="eastAsia" w:cs="Times New Roman"/>
                      <w:b w:val="0"/>
                      <w:bCs w:val="0"/>
                      <w:sz w:val="21"/>
                      <w:szCs w:val="21"/>
                      <w:u w:val="single" w:color="auto"/>
                      <w:vertAlign w:val="baseline"/>
                      <w:lang w:val="en-US" w:eastAsia="zh-CN"/>
                    </w:rPr>
                    <w:t>46.89</w:t>
                  </w:r>
                </w:p>
              </w:tc>
              <w:tc>
                <w:tcPr>
                  <w:tcW w:w="830" w:type="dxa"/>
                  <w:tcBorders>
                    <w:tl2br w:val="nil"/>
                    <w:tr2bl w:val="nil"/>
                  </w:tcBorders>
                  <w:noWrap w:val="0"/>
                  <w:vAlign w:val="center"/>
                </w:tcPr>
                <w:p w14:paraId="296335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val="0"/>
                      <w:bCs w:val="0"/>
                      <w:sz w:val="21"/>
                      <w:szCs w:val="21"/>
                      <w:u w:val="single" w:color="auto"/>
                      <w:vertAlign w:val="baseline"/>
                      <w:lang w:val="en-US" w:eastAsia="zh-CN"/>
                    </w:rPr>
                  </w:pPr>
                  <w:r>
                    <w:rPr>
                      <w:rFonts w:hint="default" w:ascii="Times New Roman" w:hAnsi="Times New Roman" w:cs="Times New Roman"/>
                      <w:b w:val="0"/>
                      <w:bCs w:val="0"/>
                      <w:sz w:val="21"/>
                      <w:szCs w:val="21"/>
                      <w:u w:val="single" w:color="auto"/>
                      <w:vertAlign w:val="baseline"/>
                      <w:lang w:val="en-US" w:eastAsia="zh-CN"/>
                    </w:rPr>
                    <w:t>65</w:t>
                  </w:r>
                </w:p>
              </w:tc>
              <w:tc>
                <w:tcPr>
                  <w:tcW w:w="832" w:type="dxa"/>
                  <w:tcBorders>
                    <w:tl2br w:val="nil"/>
                    <w:tr2bl w:val="nil"/>
                  </w:tcBorders>
                  <w:noWrap w:val="0"/>
                  <w:vAlign w:val="center"/>
                </w:tcPr>
                <w:p w14:paraId="6CAAAD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val="0"/>
                      <w:bCs w:val="0"/>
                      <w:sz w:val="21"/>
                      <w:szCs w:val="21"/>
                      <w:u w:val="single" w:color="auto"/>
                      <w:vertAlign w:val="baseline"/>
                      <w:lang w:eastAsia="zh-CN"/>
                    </w:rPr>
                  </w:pPr>
                  <w:r>
                    <w:rPr>
                      <w:rFonts w:hint="default" w:ascii="Times New Roman" w:hAnsi="Times New Roman" w:cs="Times New Roman"/>
                      <w:b w:val="0"/>
                      <w:bCs w:val="0"/>
                      <w:color w:val="auto"/>
                      <w:spacing w:val="8"/>
                      <w:sz w:val="21"/>
                      <w:szCs w:val="21"/>
                      <w:u w:val="single" w:color="auto"/>
                    </w:rPr>
                    <w:t>达标</w:t>
                  </w:r>
                </w:p>
              </w:tc>
            </w:tr>
            <w:tr w14:paraId="554F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4" w:type="dxa"/>
                  <w:vMerge w:val="continue"/>
                  <w:tcBorders>
                    <w:tl2br w:val="nil"/>
                    <w:tr2bl w:val="nil"/>
                  </w:tcBorders>
                  <w:noWrap w:val="0"/>
                  <w:vAlign w:val="center"/>
                </w:tcPr>
                <w:p w14:paraId="494724EE">
                  <w:pPr>
                    <w:pStyle w:val="33"/>
                    <w:keepNext w:val="0"/>
                    <w:keepLines w:val="0"/>
                    <w:pageBreakBefore w:val="0"/>
                    <w:wordWrap/>
                    <w:overflowPunct/>
                    <w:topLinePunct w:val="0"/>
                    <w:bidi w:val="0"/>
                    <w:spacing w:line="240" w:lineRule="auto"/>
                    <w:ind w:left="0" w:leftChars="0"/>
                    <w:jc w:val="center"/>
                    <w:rPr>
                      <w:rFonts w:hint="default" w:ascii="Times New Roman" w:hAnsi="Times New Roman" w:cs="Times New Roman"/>
                      <w:b w:val="0"/>
                      <w:bCs w:val="0"/>
                      <w:sz w:val="21"/>
                      <w:szCs w:val="21"/>
                      <w:u w:val="single" w:color="auto"/>
                      <w:vertAlign w:val="baseline"/>
                      <w:lang w:eastAsia="zh-CN"/>
                    </w:rPr>
                  </w:pPr>
                </w:p>
              </w:tc>
              <w:tc>
                <w:tcPr>
                  <w:tcW w:w="1649" w:type="dxa"/>
                  <w:tcBorders>
                    <w:tl2br w:val="nil"/>
                    <w:tr2bl w:val="nil"/>
                  </w:tcBorders>
                  <w:noWrap w:val="0"/>
                  <w:vAlign w:val="center"/>
                </w:tcPr>
                <w:p w14:paraId="701A4A8A">
                  <w:pPr>
                    <w:pStyle w:val="33"/>
                    <w:keepNext w:val="0"/>
                    <w:keepLines w:val="0"/>
                    <w:pageBreakBefore w:val="0"/>
                    <w:wordWrap/>
                    <w:overflowPunct/>
                    <w:topLinePunct w:val="0"/>
                    <w:bidi w:val="0"/>
                    <w:spacing w:line="240" w:lineRule="auto"/>
                    <w:ind w:left="0" w:leftChars="0"/>
                    <w:jc w:val="center"/>
                    <w:rPr>
                      <w:rFonts w:hint="default" w:ascii="Times New Roman" w:hAnsi="Times New Roman" w:cs="Times New Roman"/>
                      <w:b w:val="0"/>
                      <w:bCs w:val="0"/>
                      <w:sz w:val="21"/>
                      <w:szCs w:val="21"/>
                      <w:u w:val="single" w:color="auto"/>
                      <w:vertAlign w:val="baseline"/>
                      <w:lang w:eastAsia="zh-CN"/>
                    </w:rPr>
                  </w:pPr>
                  <w:r>
                    <w:rPr>
                      <w:rFonts w:hint="default" w:ascii="Times New Roman" w:hAnsi="Times New Roman" w:cs="Times New Roman"/>
                      <w:b w:val="0"/>
                      <w:bCs w:val="0"/>
                      <w:color w:val="auto"/>
                      <w:spacing w:val="7"/>
                      <w:sz w:val="21"/>
                      <w:szCs w:val="21"/>
                      <w:u w:val="single" w:color="auto"/>
                      <w:lang w:eastAsia="zh-CN"/>
                    </w:rPr>
                    <w:t>夜间</w:t>
                  </w:r>
                </w:p>
              </w:tc>
              <w:tc>
                <w:tcPr>
                  <w:tcW w:w="830" w:type="dxa"/>
                  <w:tcBorders>
                    <w:tl2br w:val="nil"/>
                    <w:tr2bl w:val="nil"/>
                  </w:tcBorders>
                  <w:shd w:val="clear" w:color="auto" w:fill="auto"/>
                  <w:noWrap w:val="0"/>
                  <w:vAlign w:val="center"/>
                </w:tcPr>
                <w:p w14:paraId="0B302003">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single" w:color="auto"/>
                      <w:vertAlign w:val="baseline"/>
                      <w:lang w:val="en-US" w:eastAsia="zh-CN" w:bidi="ar-SA"/>
                    </w:rPr>
                  </w:pPr>
                  <w:r>
                    <w:rPr>
                      <w:rFonts w:hint="eastAsia" w:cs="Times New Roman"/>
                      <w:b w:val="0"/>
                      <w:bCs w:val="0"/>
                      <w:sz w:val="21"/>
                      <w:szCs w:val="21"/>
                      <w:u w:val="single" w:color="auto"/>
                      <w:vertAlign w:val="baseline"/>
                      <w:lang w:val="en-US" w:eastAsia="zh-CN"/>
                    </w:rPr>
                    <w:t>48.32</w:t>
                  </w:r>
                </w:p>
              </w:tc>
              <w:tc>
                <w:tcPr>
                  <w:tcW w:w="830" w:type="dxa"/>
                  <w:tcBorders>
                    <w:tl2br w:val="nil"/>
                    <w:tr2bl w:val="nil"/>
                  </w:tcBorders>
                  <w:shd w:val="clear" w:color="auto" w:fill="auto"/>
                  <w:noWrap w:val="0"/>
                  <w:vAlign w:val="center"/>
                </w:tcPr>
                <w:p w14:paraId="1ED9F2A4">
                  <w:pPr>
                    <w:keepNext w:val="0"/>
                    <w:keepLines w:val="0"/>
                    <w:widowControl/>
                    <w:suppressLineNumbers w:val="0"/>
                    <w:jc w:val="center"/>
                    <w:textAlignment w:val="center"/>
                    <w:rPr>
                      <w:rFonts w:hint="default" w:ascii="Times New Roman" w:hAnsi="Times New Roman" w:eastAsia="宋体" w:cs="Times New Roman"/>
                      <w:kern w:val="2"/>
                      <w:sz w:val="21"/>
                      <w:szCs w:val="21"/>
                      <w:u w:val="single" w:color="auto"/>
                      <w:lang w:val="en-US" w:eastAsia="zh-CN" w:bidi="ar-SA"/>
                    </w:rPr>
                  </w:pPr>
                  <w:r>
                    <w:rPr>
                      <w:rFonts w:hint="eastAsia" w:cs="Times New Roman"/>
                      <w:sz w:val="21"/>
                      <w:szCs w:val="21"/>
                      <w:u w:val="single" w:color="auto"/>
                      <w:lang w:val="en-US" w:eastAsia="zh-CN"/>
                    </w:rPr>
                    <w:t>40.71</w:t>
                  </w:r>
                </w:p>
              </w:tc>
              <w:tc>
                <w:tcPr>
                  <w:tcW w:w="830" w:type="dxa"/>
                  <w:tcBorders>
                    <w:tl2br w:val="nil"/>
                    <w:tr2bl w:val="nil"/>
                  </w:tcBorders>
                  <w:shd w:val="clear" w:color="auto" w:fill="auto"/>
                  <w:noWrap w:val="0"/>
                  <w:vAlign w:val="center"/>
                </w:tcPr>
                <w:p w14:paraId="20AC71A6">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single" w:color="auto"/>
                      <w:vertAlign w:val="baseline"/>
                      <w:lang w:val="en-US" w:eastAsia="zh-CN" w:bidi="ar-SA"/>
                    </w:rPr>
                  </w:pPr>
                  <w:r>
                    <w:rPr>
                      <w:rFonts w:hint="eastAsia" w:cs="Times New Roman"/>
                      <w:b w:val="0"/>
                      <w:bCs w:val="0"/>
                      <w:sz w:val="21"/>
                      <w:szCs w:val="21"/>
                      <w:u w:val="single" w:color="auto"/>
                      <w:vertAlign w:val="baseline"/>
                      <w:lang w:val="en-US" w:eastAsia="zh-CN"/>
                    </w:rPr>
                    <w:t>43.61</w:t>
                  </w:r>
                </w:p>
              </w:tc>
              <w:tc>
                <w:tcPr>
                  <w:tcW w:w="830" w:type="dxa"/>
                  <w:tcBorders>
                    <w:tl2br w:val="nil"/>
                    <w:tr2bl w:val="nil"/>
                  </w:tcBorders>
                  <w:shd w:val="clear" w:color="auto" w:fill="auto"/>
                  <w:noWrap w:val="0"/>
                  <w:vAlign w:val="center"/>
                </w:tcPr>
                <w:p w14:paraId="17ECF0F6">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u w:val="single" w:color="auto"/>
                      <w:vertAlign w:val="baseline"/>
                      <w:lang w:val="en-US" w:eastAsia="zh-CN" w:bidi="ar-SA"/>
                    </w:rPr>
                  </w:pPr>
                  <w:r>
                    <w:rPr>
                      <w:rFonts w:hint="eastAsia" w:cs="Times New Roman"/>
                      <w:b w:val="0"/>
                      <w:bCs w:val="0"/>
                      <w:sz w:val="21"/>
                      <w:szCs w:val="21"/>
                      <w:u w:val="single" w:color="auto"/>
                      <w:vertAlign w:val="baseline"/>
                      <w:lang w:val="en-US" w:eastAsia="zh-CN"/>
                    </w:rPr>
                    <w:t>46.89</w:t>
                  </w:r>
                </w:p>
              </w:tc>
              <w:tc>
                <w:tcPr>
                  <w:tcW w:w="830" w:type="dxa"/>
                  <w:tcBorders>
                    <w:tl2br w:val="nil"/>
                    <w:tr2bl w:val="nil"/>
                  </w:tcBorders>
                  <w:noWrap w:val="0"/>
                  <w:vAlign w:val="center"/>
                </w:tcPr>
                <w:p w14:paraId="23F11C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val="0"/>
                      <w:bCs w:val="0"/>
                      <w:sz w:val="21"/>
                      <w:szCs w:val="21"/>
                      <w:u w:val="single" w:color="auto"/>
                      <w:vertAlign w:val="baseline"/>
                      <w:lang w:val="en-US" w:eastAsia="zh-CN"/>
                    </w:rPr>
                  </w:pPr>
                  <w:r>
                    <w:rPr>
                      <w:rFonts w:hint="default" w:ascii="Times New Roman" w:hAnsi="Times New Roman" w:cs="Times New Roman"/>
                      <w:b w:val="0"/>
                      <w:bCs w:val="0"/>
                      <w:sz w:val="21"/>
                      <w:szCs w:val="21"/>
                      <w:u w:val="single" w:color="auto"/>
                      <w:vertAlign w:val="baseline"/>
                      <w:lang w:val="en-US" w:eastAsia="zh-CN"/>
                    </w:rPr>
                    <w:t>55</w:t>
                  </w:r>
                </w:p>
              </w:tc>
              <w:tc>
                <w:tcPr>
                  <w:tcW w:w="832" w:type="dxa"/>
                  <w:tcBorders>
                    <w:tl2br w:val="nil"/>
                    <w:tr2bl w:val="nil"/>
                  </w:tcBorders>
                  <w:noWrap w:val="0"/>
                  <w:vAlign w:val="center"/>
                </w:tcPr>
                <w:p w14:paraId="49AA0E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eastAsia" w:ascii="Times New Roman" w:hAnsi="Times New Roman" w:cs="Times New Roman" w:eastAsiaTheme="minorEastAsia"/>
                      <w:b w:val="0"/>
                      <w:bCs w:val="0"/>
                      <w:sz w:val="21"/>
                      <w:szCs w:val="21"/>
                      <w:u w:val="single" w:color="auto"/>
                      <w:vertAlign w:val="baseline"/>
                      <w:lang w:val="en-US" w:eastAsia="zh-CN"/>
                    </w:rPr>
                  </w:pPr>
                  <w:r>
                    <w:rPr>
                      <w:rFonts w:hint="default" w:ascii="Times New Roman" w:hAnsi="Times New Roman" w:cs="Times New Roman"/>
                      <w:b w:val="0"/>
                      <w:bCs w:val="0"/>
                      <w:color w:val="auto"/>
                      <w:spacing w:val="8"/>
                      <w:sz w:val="21"/>
                      <w:szCs w:val="21"/>
                      <w:u w:val="single" w:color="auto"/>
                    </w:rPr>
                    <w:t>达标</w:t>
                  </w:r>
                </w:p>
              </w:tc>
            </w:tr>
          </w:tbl>
          <w:p w14:paraId="541A142B">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u w:val="single" w:color="auto"/>
                <w:lang w:val="en-US" w:eastAsia="zh-CN"/>
              </w:rPr>
            </w:pPr>
            <w:r>
              <w:rPr>
                <w:rFonts w:hint="eastAsia" w:ascii="Times New Roman" w:hAnsi="Times New Roman" w:eastAsia="宋体" w:cs="Times New Roman"/>
                <w:snapToGrid w:val="0"/>
                <w:color w:val="auto"/>
                <w:kern w:val="0"/>
                <w:sz w:val="24"/>
                <w:szCs w:val="24"/>
                <w:u w:val="single" w:color="auto"/>
                <w:lang w:val="en-US" w:eastAsia="zh-CN"/>
              </w:rPr>
              <w:t xml:space="preserve"> </w:t>
            </w:r>
            <w:r>
              <w:rPr>
                <w:rFonts w:hint="default" w:ascii="Times New Roman" w:hAnsi="Times New Roman" w:eastAsia="宋体" w:cs="Times New Roman"/>
                <w:snapToGrid w:val="0"/>
                <w:color w:val="auto"/>
                <w:kern w:val="0"/>
                <w:sz w:val="24"/>
                <w:szCs w:val="24"/>
                <w:u w:val="single" w:color="auto"/>
                <w:lang w:val="en-US" w:eastAsia="zh-CN"/>
              </w:rPr>
              <w:t>由上表可知：本项目运营期各设备运行经采取低噪声设备、消声、基础减震隔声，以及厂房隔声等措施后，项目生产厂房的东、南、西、北侧边界昼</w:t>
            </w:r>
            <w:r>
              <w:rPr>
                <w:rFonts w:hint="eastAsia" w:ascii="Times New Roman" w:hAnsi="Times New Roman" w:eastAsia="宋体" w:cs="Times New Roman"/>
                <w:snapToGrid w:val="0"/>
                <w:color w:val="auto"/>
                <w:kern w:val="0"/>
                <w:sz w:val="24"/>
                <w:szCs w:val="24"/>
                <w:u w:val="single" w:color="auto"/>
                <w:lang w:val="en-US" w:eastAsia="zh-CN"/>
              </w:rPr>
              <w:t>夜</w:t>
            </w:r>
            <w:r>
              <w:rPr>
                <w:rFonts w:hint="default" w:ascii="Times New Roman" w:hAnsi="Times New Roman" w:eastAsia="宋体" w:cs="Times New Roman"/>
                <w:snapToGrid w:val="0"/>
                <w:color w:val="auto"/>
                <w:kern w:val="0"/>
                <w:sz w:val="24"/>
                <w:szCs w:val="24"/>
                <w:u w:val="single" w:color="auto"/>
                <w:lang w:val="en-US" w:eastAsia="zh-CN"/>
              </w:rPr>
              <w:t>间噪声贡献值的预测结果可达到《工业企业厂界环境噪声排放标准》（GB12348-2008）中3类噪声标准要求，对周边声环境产生的影响较小。</w:t>
            </w:r>
          </w:p>
          <w:p w14:paraId="338FBAC8">
            <w:pPr>
              <w:keepNext w:val="0"/>
              <w:keepLines w:val="0"/>
              <w:pageBreakBefore w:val="0"/>
              <w:widowControl w:val="0"/>
              <w:tabs>
                <w:tab w:val="left" w:pos="3780"/>
              </w:tabs>
              <w:kinsoku/>
              <w:wordWrap/>
              <w:overflowPunct/>
              <w:topLinePunct w:val="0"/>
              <w:bidi w:val="0"/>
              <w:adjustRightInd w:val="0"/>
              <w:snapToGrid/>
              <w:spacing w:line="360" w:lineRule="auto"/>
              <w:ind w:firstLine="480" w:firstLineChars="200"/>
              <w:textAlignment w:val="auto"/>
              <w:rPr>
                <w:rFonts w:hint="default" w:ascii="Times New Roman" w:hAnsi="Times New Roman" w:cs="Times New Roman"/>
                <w:color w:val="auto"/>
                <w:sz w:val="24"/>
                <w:u w:val="single" w:color="auto"/>
              </w:rPr>
            </w:pPr>
            <w:r>
              <w:rPr>
                <w:rFonts w:ascii="Times New Roman" w:hAnsi="Times New Roman" w:cs="Times New Roman"/>
                <w:color w:val="auto"/>
                <w:sz w:val="24"/>
                <w:u w:val="single" w:color="auto"/>
              </w:rPr>
              <w:t>因此，本项目建成投运后，生产设备噪声对周围环境不会产生明显影响。</w:t>
            </w:r>
          </w:p>
          <w:p w14:paraId="66115731">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cs="Times New Roman"/>
                <w:snapToGrid w:val="0"/>
                <w:color w:val="auto"/>
                <w:kern w:val="0"/>
                <w:sz w:val="24"/>
                <w:szCs w:val="24"/>
                <w:u w:val="single" w:color="auto"/>
              </w:rPr>
            </w:pPr>
            <w:r>
              <w:rPr>
                <w:rFonts w:hint="default" w:ascii="Times New Roman" w:hAnsi="Times New Roman" w:cs="Times New Roman"/>
                <w:snapToGrid w:val="0"/>
                <w:color w:val="auto"/>
                <w:kern w:val="0"/>
                <w:sz w:val="24"/>
                <w:szCs w:val="24"/>
                <w:u w:val="single" w:color="auto"/>
              </w:rPr>
              <w:t>为了进一步减小噪声对周围声环境的影响，本项目拟采取的相关噪声治理措施有：</w:t>
            </w:r>
          </w:p>
          <w:p w14:paraId="6211E906">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ascii="Times New Roman" w:hAnsi="Times New Roman" w:cs="Times New Roman"/>
                <w:snapToGrid w:val="0"/>
                <w:color w:val="auto"/>
                <w:kern w:val="0"/>
                <w:sz w:val="24"/>
                <w:szCs w:val="24"/>
                <w:u w:val="single" w:color="auto"/>
              </w:rPr>
            </w:pPr>
            <w:r>
              <w:rPr>
                <w:rFonts w:hint="default" w:ascii="Times New Roman" w:hAnsi="Times New Roman" w:cs="Times New Roman"/>
                <w:snapToGrid w:val="0"/>
                <w:color w:val="auto"/>
                <w:kern w:val="0"/>
                <w:sz w:val="24"/>
                <w:szCs w:val="24"/>
                <w:u w:val="single" w:color="auto"/>
              </w:rPr>
              <w:t>①</w:t>
            </w:r>
            <w:r>
              <w:rPr>
                <w:rFonts w:ascii="Times New Roman" w:hAnsi="Times New Roman" w:cs="Times New Roman"/>
                <w:snapToGrid w:val="0"/>
                <w:color w:val="auto"/>
                <w:kern w:val="0"/>
                <w:sz w:val="24"/>
                <w:szCs w:val="24"/>
                <w:u w:val="single" w:color="auto"/>
              </w:rPr>
              <w:t>各类生产设备选用高性能，高效率、低噪声的设备，置于车间内并采取相应的隔音措施</w:t>
            </w:r>
            <w:r>
              <w:rPr>
                <w:rFonts w:hint="default" w:ascii="Times New Roman" w:hAnsi="Times New Roman" w:cs="Times New Roman"/>
                <w:snapToGrid w:val="0"/>
                <w:color w:val="auto"/>
                <w:kern w:val="0"/>
                <w:sz w:val="24"/>
                <w:szCs w:val="24"/>
                <w:u w:val="single" w:color="auto"/>
              </w:rPr>
              <w:t>；</w:t>
            </w:r>
          </w:p>
          <w:p w14:paraId="09DDE236">
            <w:pPr>
              <w:keepNext w:val="0"/>
              <w:keepLines w:val="0"/>
              <w:pageBreakBefore w:val="0"/>
              <w:widowControl w:val="0"/>
              <w:numPr>
                <w:ilvl w:val="0"/>
                <w:numId w:val="0"/>
              </w:numPr>
              <w:kinsoku/>
              <w:wordWrap/>
              <w:overflowPunct/>
              <w:topLinePunct w:val="0"/>
              <w:bidi w:val="0"/>
              <w:adjustRightInd w:val="0"/>
              <w:snapToGrid/>
              <w:spacing w:line="360" w:lineRule="auto"/>
              <w:ind w:firstLine="480" w:firstLineChars="200"/>
              <w:textAlignment w:val="auto"/>
              <w:rPr>
                <w:rFonts w:ascii="Times New Roman" w:hAnsi="Times New Roman" w:cs="Times New Roman"/>
                <w:snapToGrid w:val="0"/>
                <w:color w:val="auto"/>
                <w:kern w:val="0"/>
                <w:sz w:val="24"/>
                <w:szCs w:val="24"/>
                <w:u w:val="single" w:color="auto"/>
              </w:rPr>
            </w:pPr>
            <w:r>
              <w:rPr>
                <w:rFonts w:hint="eastAsia" w:ascii="Times New Roman" w:hAnsi="Times New Roman" w:eastAsia="宋体" w:cs="Times New Roman"/>
                <w:snapToGrid w:val="0"/>
                <w:color w:val="auto"/>
                <w:kern w:val="0"/>
                <w:sz w:val="24"/>
                <w:szCs w:val="24"/>
                <w:u w:val="single" w:color="auto"/>
                <w:lang w:val="en-US" w:eastAsia="zh-CN" w:bidi="ar-SA"/>
              </w:rPr>
              <w:t>②</w:t>
            </w:r>
            <w:r>
              <w:rPr>
                <w:rFonts w:ascii="Times New Roman" w:hAnsi="Times New Roman" w:cs="Times New Roman"/>
                <w:snapToGrid w:val="0"/>
                <w:color w:val="auto"/>
                <w:kern w:val="0"/>
                <w:sz w:val="24"/>
                <w:szCs w:val="24"/>
                <w:u w:val="single" w:color="auto"/>
              </w:rPr>
              <w:t>用隔声法降低噪声：采用适当的隔声</w:t>
            </w:r>
            <w:r>
              <w:rPr>
                <w:rFonts w:hint="eastAsia" w:ascii="Times New Roman" w:hAnsi="Times New Roman" w:cs="Times New Roman"/>
                <w:snapToGrid w:val="0"/>
                <w:color w:val="auto"/>
                <w:kern w:val="0"/>
                <w:sz w:val="24"/>
                <w:szCs w:val="24"/>
                <w:u w:val="single" w:color="auto"/>
                <w:lang w:eastAsia="zh-CN"/>
              </w:rPr>
              <w:t>、</w:t>
            </w:r>
            <w:r>
              <w:rPr>
                <w:rFonts w:hint="eastAsia" w:ascii="Times New Roman" w:hAnsi="Times New Roman" w:cs="Times New Roman"/>
                <w:snapToGrid w:val="0"/>
                <w:color w:val="auto"/>
                <w:kern w:val="0"/>
                <w:sz w:val="24"/>
                <w:szCs w:val="24"/>
                <w:u w:val="single" w:color="auto"/>
                <w:lang w:val="en-US" w:eastAsia="zh-CN"/>
              </w:rPr>
              <w:t>减振</w:t>
            </w:r>
            <w:r>
              <w:rPr>
                <w:rFonts w:ascii="Times New Roman" w:hAnsi="Times New Roman" w:cs="Times New Roman"/>
                <w:snapToGrid w:val="0"/>
                <w:color w:val="auto"/>
                <w:kern w:val="0"/>
                <w:sz w:val="24"/>
                <w:szCs w:val="24"/>
                <w:u w:val="single" w:color="auto"/>
              </w:rPr>
              <w:t>等</w:t>
            </w:r>
            <w:r>
              <w:rPr>
                <w:rFonts w:hint="eastAsia" w:ascii="Times New Roman" w:hAnsi="Times New Roman" w:cs="Times New Roman"/>
                <w:snapToGrid w:val="0"/>
                <w:color w:val="auto"/>
                <w:kern w:val="0"/>
                <w:sz w:val="24"/>
                <w:szCs w:val="24"/>
                <w:u w:val="single" w:color="auto"/>
                <w:lang w:val="en-US" w:eastAsia="zh-CN"/>
              </w:rPr>
              <w:t>措施</w:t>
            </w:r>
            <w:r>
              <w:rPr>
                <w:rFonts w:ascii="Times New Roman" w:hAnsi="Times New Roman" w:cs="Times New Roman"/>
                <w:snapToGrid w:val="0"/>
                <w:color w:val="auto"/>
                <w:kern w:val="0"/>
                <w:sz w:val="24"/>
                <w:szCs w:val="24"/>
                <w:u w:val="single" w:color="auto"/>
              </w:rPr>
              <w:t>；</w:t>
            </w:r>
          </w:p>
          <w:p w14:paraId="1253BF0D">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Times New Roman" w:hAnsi="Times New Roman" w:cs="Times New Roman"/>
                <w:snapToGrid w:val="0"/>
                <w:color w:val="auto"/>
                <w:kern w:val="0"/>
                <w:sz w:val="24"/>
                <w:szCs w:val="24"/>
                <w:u w:val="single" w:color="auto"/>
              </w:rPr>
            </w:pPr>
            <w:r>
              <w:rPr>
                <w:rFonts w:hint="default" w:ascii="Times New Roman" w:hAnsi="Times New Roman" w:cs="Times New Roman"/>
                <w:snapToGrid w:val="0"/>
                <w:color w:val="auto"/>
                <w:kern w:val="0"/>
                <w:sz w:val="24"/>
                <w:szCs w:val="24"/>
                <w:u w:val="single" w:color="auto"/>
              </w:rPr>
              <w:t>③</w:t>
            </w:r>
            <w:r>
              <w:rPr>
                <w:rFonts w:ascii="Times New Roman" w:hAnsi="Times New Roman" w:cs="Times New Roman"/>
                <w:color w:val="auto"/>
                <w:sz w:val="24"/>
                <w:szCs w:val="24"/>
                <w:u w:val="single" w:color="auto"/>
              </w:rPr>
              <w:t>在厂区总平面布置时，将产生强噪声的设备与厂界保持一定的距离，以降低本项目噪声对厂界外的影响；对除尘器风机等排气所产生的强大高频噪声，在设计施工时，把它们的出风口朝向避开环境敏感点</w:t>
            </w:r>
            <w:r>
              <w:rPr>
                <w:rFonts w:hint="default" w:ascii="Times New Roman" w:hAnsi="Times New Roman" w:cs="Times New Roman"/>
                <w:color w:val="auto"/>
                <w:sz w:val="24"/>
                <w:szCs w:val="24"/>
                <w:u w:val="single" w:color="auto"/>
              </w:rPr>
              <w:t>，</w:t>
            </w:r>
            <w:r>
              <w:rPr>
                <w:rFonts w:ascii="Times New Roman" w:hAnsi="Times New Roman" w:cs="Times New Roman"/>
                <w:color w:val="auto"/>
                <w:sz w:val="24"/>
                <w:szCs w:val="24"/>
                <w:u w:val="single" w:color="auto"/>
              </w:rPr>
              <w:t>并且在主机安装隔声罩，</w:t>
            </w:r>
            <w:r>
              <w:rPr>
                <w:rFonts w:hint="eastAsia" w:ascii="Times New Roman" w:hAnsi="Times New Roman" w:cs="Times New Roman"/>
                <w:color w:val="auto"/>
                <w:sz w:val="24"/>
                <w:szCs w:val="24"/>
                <w:u w:val="single" w:color="auto"/>
                <w:lang w:val="en-US" w:eastAsia="zh-CN"/>
              </w:rPr>
              <w:t>风机进口设消声器等措施</w:t>
            </w:r>
            <w:r>
              <w:rPr>
                <w:rFonts w:hint="default" w:ascii="Times New Roman" w:hAnsi="Times New Roman" w:cs="Times New Roman"/>
                <w:color w:val="auto"/>
                <w:sz w:val="24"/>
                <w:szCs w:val="24"/>
                <w:u w:val="single" w:color="auto"/>
              </w:rPr>
              <w:t>；</w:t>
            </w:r>
          </w:p>
          <w:p w14:paraId="5DA107E9">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ascii="Times New Roman" w:hAnsi="Times New Roman" w:cs="Times New Roman"/>
                <w:snapToGrid w:val="0"/>
                <w:color w:val="auto"/>
                <w:kern w:val="0"/>
                <w:sz w:val="24"/>
                <w:szCs w:val="24"/>
                <w:u w:val="single" w:color="auto"/>
              </w:rPr>
            </w:pPr>
            <w:r>
              <w:rPr>
                <w:rFonts w:hint="default" w:ascii="Times New Roman" w:hAnsi="Times New Roman" w:cs="Times New Roman"/>
                <w:color w:val="auto"/>
                <w:sz w:val="24"/>
                <w:szCs w:val="24"/>
                <w:u w:val="single" w:color="auto"/>
              </w:rPr>
              <w:t>④</w:t>
            </w:r>
            <w:r>
              <w:rPr>
                <w:rFonts w:ascii="Times New Roman" w:hAnsi="Times New Roman" w:cs="Times New Roman"/>
                <w:snapToGrid w:val="0"/>
                <w:color w:val="auto"/>
                <w:kern w:val="0"/>
                <w:sz w:val="24"/>
                <w:szCs w:val="24"/>
                <w:u w:val="single" w:color="auto"/>
              </w:rPr>
              <w:t>加强噪声设备的维护管理，避免因不正常运行所导致的噪声增大；</w:t>
            </w:r>
          </w:p>
          <w:p w14:paraId="1198279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hAnsi="Times New Roman" w:cs="Times New Roman"/>
                <w:color w:val="auto"/>
                <w:sz w:val="24"/>
                <w:u w:val="single" w:color="auto"/>
              </w:rPr>
            </w:pPr>
            <w:r>
              <w:rPr>
                <w:rFonts w:hint="default" w:ascii="Times New Roman" w:hAnsi="Times New Roman" w:cs="Times New Roman"/>
                <w:snapToGrid w:val="0"/>
                <w:color w:val="auto"/>
                <w:kern w:val="0"/>
                <w:sz w:val="24"/>
                <w:szCs w:val="24"/>
                <w:u w:val="single" w:color="auto"/>
              </w:rPr>
              <w:t>⑤</w:t>
            </w:r>
            <w:r>
              <w:rPr>
                <w:rFonts w:ascii="Times New Roman" w:hAnsi="Times New Roman" w:cs="Times New Roman"/>
                <w:color w:val="auto"/>
                <w:sz w:val="24"/>
                <w:u w:val="single" w:color="auto"/>
              </w:rPr>
              <w:t>加强管理，降低人为噪声；</w:t>
            </w:r>
          </w:p>
          <w:p w14:paraId="0E7152B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sz w:val="24"/>
                <w:u w:val="single" w:color="auto"/>
              </w:rPr>
            </w:pPr>
            <w:r>
              <w:rPr>
                <w:rFonts w:hint="default" w:ascii="Times New Roman" w:hAnsi="Times New Roman" w:cs="Times New Roman"/>
                <w:color w:val="auto"/>
                <w:sz w:val="24"/>
                <w:u w:val="single" w:color="auto"/>
              </w:rPr>
              <w:t>⑥</w:t>
            </w:r>
            <w:r>
              <w:rPr>
                <w:rFonts w:ascii="Times New Roman" w:hAnsi="Times New Roman" w:cs="Times New Roman"/>
                <w:color w:val="auto"/>
                <w:sz w:val="24"/>
                <w:u w:val="single" w:color="auto"/>
              </w:rPr>
              <w:t>对于厂区流动声源（运输车辆），要强化行车管理制度，设置降噪标准，严禁鸣号，进入厂区低速行驶，最大限度减少流动噪声源；</w:t>
            </w:r>
          </w:p>
          <w:p w14:paraId="74C4E4A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hAnsi="Times New Roman" w:cs="Times New Roman"/>
                <w:snapToGrid w:val="0"/>
                <w:color w:val="auto"/>
                <w:kern w:val="0"/>
                <w:sz w:val="24"/>
                <w:szCs w:val="24"/>
                <w:u w:val="single" w:color="auto"/>
              </w:rPr>
            </w:pPr>
            <w:r>
              <w:rPr>
                <w:rFonts w:ascii="Times New Roman" w:hAnsi="Times New Roman" w:cs="Times New Roman"/>
                <w:snapToGrid w:val="0"/>
                <w:color w:val="auto"/>
                <w:kern w:val="0"/>
                <w:sz w:val="24"/>
                <w:szCs w:val="24"/>
                <w:u w:val="single" w:color="auto"/>
              </w:rPr>
              <w:t>通过采取上述各项减振、隔声、吸声、消声等综合治理措施后，项目厂界噪声可满足《工业企业厂界环境噪声排放标准》（GB12348-2008）中的</w:t>
            </w:r>
            <w:r>
              <w:rPr>
                <w:rFonts w:hint="eastAsia" w:cs="Times New Roman"/>
                <w:snapToGrid w:val="0"/>
                <w:color w:val="auto"/>
                <w:kern w:val="0"/>
                <w:sz w:val="24"/>
                <w:szCs w:val="24"/>
                <w:u w:val="single" w:color="auto"/>
                <w:lang w:val="en-US" w:eastAsia="zh-CN"/>
              </w:rPr>
              <w:t>3</w:t>
            </w:r>
            <w:r>
              <w:rPr>
                <w:rFonts w:ascii="Times New Roman" w:hAnsi="Times New Roman" w:cs="Times New Roman"/>
                <w:snapToGrid w:val="0"/>
                <w:color w:val="auto"/>
                <w:kern w:val="0"/>
                <w:sz w:val="24"/>
                <w:szCs w:val="24"/>
                <w:u w:val="single" w:color="auto"/>
              </w:rPr>
              <w:t>类标准</w:t>
            </w:r>
            <w:r>
              <w:rPr>
                <w:rFonts w:hint="default" w:ascii="Times New Roman" w:hAnsi="Times New Roman" w:cs="Times New Roman"/>
                <w:snapToGrid w:val="0"/>
                <w:color w:val="auto"/>
                <w:kern w:val="0"/>
                <w:sz w:val="24"/>
                <w:szCs w:val="24"/>
                <w:u w:val="single" w:color="auto"/>
              </w:rPr>
              <w:t>。</w:t>
            </w:r>
          </w:p>
          <w:p w14:paraId="33D4ACAF">
            <w:pPr>
              <w:pStyle w:val="44"/>
              <w:spacing w:line="360" w:lineRule="auto"/>
              <w:ind w:firstLine="482" w:firstLineChars="200"/>
              <w:jc w:val="both"/>
              <w:rPr>
                <w:rFonts w:hint="default" w:ascii="Times New Roman" w:hAnsi="Times New Roman" w:eastAsia="宋体" w:cs="Times New Roman"/>
                <w:b w:val="0"/>
                <w:bCs w:val="0"/>
                <w:color w:val="000000" w:themeColor="text1"/>
                <w:kern w:val="0"/>
                <w:sz w:val="24"/>
                <w:szCs w:val="24"/>
                <w:u w:val="none" w:color="auto"/>
                <w:lang w:eastAsia="zh-CN"/>
                <w14:textFill>
                  <w14:solidFill>
                    <w14:schemeClr w14:val="tx1"/>
                  </w14:solidFill>
                </w14:textFill>
              </w:rPr>
            </w:pPr>
            <w:r>
              <w:rPr>
                <w:rFonts w:hint="default" w:ascii="Times New Roman" w:hAnsi="Times New Roman" w:cs="Times New Roman"/>
                <w:b/>
                <w:bCs/>
                <w:color w:val="000000" w:themeColor="text1"/>
                <w:kern w:val="0"/>
                <w:sz w:val="24"/>
                <w:szCs w:val="24"/>
                <w:u w:val="none" w:color="auto"/>
                <w:lang w:val="en-US" w:eastAsia="zh-CN"/>
                <w14:textFill>
                  <w14:solidFill>
                    <w14:schemeClr w14:val="tx1"/>
                  </w14:solidFill>
                </w14:textFill>
              </w:rPr>
              <w:t>5、</w:t>
            </w:r>
            <w:r>
              <w:rPr>
                <w:rFonts w:hint="default" w:ascii="Times New Roman" w:hAnsi="Times New Roman" w:cs="Times New Roman"/>
                <w:b/>
                <w:bCs/>
                <w:color w:val="000000" w:themeColor="text1"/>
                <w:kern w:val="0"/>
                <w:sz w:val="24"/>
                <w:szCs w:val="24"/>
                <w:u w:val="none" w:color="auto"/>
                <w:lang w:eastAsia="zh-CN"/>
                <w14:textFill>
                  <w14:solidFill>
                    <w14:schemeClr w14:val="tx1"/>
                  </w14:solidFill>
                </w14:textFill>
              </w:rPr>
              <w:t>噪声监测计划</w:t>
            </w:r>
          </w:p>
          <w:p w14:paraId="30526D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highlight w:val="none"/>
                <w:u w:val="none" w:color="auto"/>
                <w:lang w:val="en-US" w:eastAsia="zh-CN"/>
              </w:rPr>
            </w:pPr>
            <w:r>
              <w:rPr>
                <w:rFonts w:hint="default" w:ascii="Times New Roman" w:hAnsi="Times New Roman" w:eastAsia="宋体" w:cs="Times New Roman"/>
                <w:sz w:val="24"/>
                <w:highlight w:val="none"/>
                <w:u w:val="none" w:color="auto"/>
                <w:lang w:val="en-US" w:eastAsia="zh-CN"/>
              </w:rPr>
              <w:t>根据</w:t>
            </w:r>
            <w:r>
              <w:rPr>
                <w:rFonts w:hint="default" w:ascii="Times New Roman" w:hAnsi="Times New Roman" w:eastAsia="宋体" w:cs="Times New Roman"/>
                <w:sz w:val="24"/>
                <w:highlight w:val="none"/>
                <w:u w:val="none" w:color="auto"/>
              </w:rPr>
              <w:t>《排污单位自行监测技术指南 总则》（HJ819-2017）</w:t>
            </w:r>
            <w:r>
              <w:rPr>
                <w:rFonts w:hint="default" w:ascii="Times New Roman" w:hAnsi="Times New Roman" w:eastAsia="宋体" w:cs="Times New Roman"/>
                <w:sz w:val="24"/>
                <w:highlight w:val="none"/>
                <w:u w:val="none" w:color="auto"/>
                <w:lang w:val="en-US" w:eastAsia="zh-CN"/>
              </w:rPr>
              <w:t>中自行监测管理要求，对本项目噪声监测要求见下表：</w:t>
            </w:r>
          </w:p>
          <w:p w14:paraId="3F4082BF">
            <w:pPr>
              <w:keepNext w:val="0"/>
              <w:keepLines w:val="0"/>
              <w:widowControl/>
              <w:suppressLineNumbers w:val="0"/>
              <w:spacing w:line="240" w:lineRule="auto"/>
              <w:jc w:val="center"/>
              <w:rPr>
                <w:rFonts w:hint="default" w:ascii="Times New Roman" w:hAnsi="Times New Roman" w:eastAsia="宋体" w:cs="Times New Roman"/>
                <w:b/>
                <w:bCs/>
                <w:color w:val="FF0000"/>
                <w:kern w:val="2"/>
                <w:sz w:val="21"/>
                <w:szCs w:val="21"/>
                <w:highlight w:val="none"/>
                <w:u w:val="none" w:color="auto"/>
                <w:lang w:val="en-US" w:eastAsia="zh-CN" w:bidi="ar-SA"/>
              </w:rPr>
            </w:pPr>
            <w:r>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t>表4-</w:t>
            </w:r>
            <w:r>
              <w:rPr>
                <w:rFonts w:hint="default" w:ascii="Times New Roman" w:hAnsi="Times New Roman" w:cs="Times New Roman"/>
                <w:b/>
                <w:bCs/>
                <w:color w:val="000000" w:themeColor="text1"/>
                <w:kern w:val="2"/>
                <w:sz w:val="21"/>
                <w:szCs w:val="21"/>
                <w:highlight w:val="none"/>
                <w:u w:val="none" w:color="auto"/>
                <w:lang w:val="en-US" w:eastAsia="zh-CN" w:bidi="ar-SA"/>
                <w14:textFill>
                  <w14:solidFill>
                    <w14:schemeClr w14:val="tx1"/>
                  </w14:solidFill>
                </w14:textFill>
              </w:rPr>
              <w:t>1</w:t>
            </w:r>
            <w:r>
              <w:rPr>
                <w:rFonts w:hint="eastAsia" w:cs="Times New Roman"/>
                <w:b/>
                <w:bCs/>
                <w:color w:val="000000" w:themeColor="text1"/>
                <w:kern w:val="2"/>
                <w:sz w:val="21"/>
                <w:szCs w:val="21"/>
                <w:highlight w:val="none"/>
                <w:u w:val="none" w:color="auto"/>
                <w:lang w:val="en-US" w:eastAsia="zh-CN" w:bidi="ar-SA"/>
                <w14:textFill>
                  <w14:solidFill>
                    <w14:schemeClr w14:val="tx1"/>
                  </w14:solidFill>
                </w14:textFill>
              </w:rPr>
              <w:t>4</w:t>
            </w:r>
            <w:r>
              <w:rPr>
                <w:rFonts w:hint="default" w:ascii="Times New Roman" w:hAnsi="Times New Roman" w:cs="Times New Roman"/>
                <w:b/>
                <w:bCs/>
                <w:color w:val="000000" w:themeColor="text1"/>
                <w:kern w:val="2"/>
                <w:sz w:val="21"/>
                <w:szCs w:val="21"/>
                <w:highlight w:val="none"/>
                <w:u w:val="none" w:color="auto"/>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highlight w:val="none"/>
                <w:u w:val="none" w:color="auto"/>
                <w:lang w:val="en-US" w:eastAsia="zh-CN" w:bidi="ar-SA"/>
                <w14:textFill>
                  <w14:solidFill>
                    <w14:schemeClr w14:val="tx1"/>
                  </w14:solidFill>
                </w14:textFill>
              </w:rPr>
              <w:t>噪声监测计划</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96"/>
              <w:gridCol w:w="1355"/>
              <w:gridCol w:w="1127"/>
              <w:gridCol w:w="3263"/>
            </w:tblGrid>
            <w:tr w14:paraId="2CB7D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noWrap w:val="0"/>
                  <w:vAlign w:val="center"/>
                </w:tcPr>
                <w:p w14:paraId="3E14DD98">
                  <w:pPr>
                    <w:pStyle w:val="39"/>
                    <w:keepNext w:val="0"/>
                    <w:keepLines w:val="0"/>
                    <w:pageBreakBefore w:val="0"/>
                    <w:kinsoku/>
                    <w:wordWrap/>
                    <w:topLinePunct w:val="0"/>
                    <w:autoSpaceDE/>
                    <w:bidi w:val="0"/>
                    <w:adjustRightInd/>
                    <w:snapToGrid/>
                    <w:spacing w:line="240" w:lineRule="auto"/>
                    <w:jc w:val="center"/>
                    <w:rPr>
                      <w:rFonts w:hint="default" w:ascii="Times New Roman" w:hAnsi="Times New Roman" w:cs="Times New Roman"/>
                      <w:b/>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u w:val="none" w:color="auto"/>
                      <w:lang w:val="en-US" w:eastAsia="zh-CN"/>
                      <w14:textFill>
                        <w14:solidFill>
                          <w14:schemeClr w14:val="tx1"/>
                        </w14:solidFill>
                      </w14:textFill>
                    </w:rPr>
                    <w:t>监测类别</w:t>
                  </w:r>
                </w:p>
              </w:tc>
              <w:tc>
                <w:tcPr>
                  <w:tcW w:w="1178" w:type="dxa"/>
                  <w:tcBorders>
                    <w:tl2br w:val="nil"/>
                    <w:tr2bl w:val="nil"/>
                  </w:tcBorders>
                  <w:noWrap w:val="0"/>
                  <w:vAlign w:val="center"/>
                </w:tcPr>
                <w:p w14:paraId="29797A29">
                  <w:pPr>
                    <w:pStyle w:val="39"/>
                    <w:keepNext w:val="0"/>
                    <w:keepLines w:val="0"/>
                    <w:pageBreakBefore w:val="0"/>
                    <w:kinsoku/>
                    <w:wordWrap/>
                    <w:topLinePunct w:val="0"/>
                    <w:autoSpaceDE/>
                    <w:bidi w:val="0"/>
                    <w:adjustRightInd/>
                    <w:snapToGrid/>
                    <w:spacing w:line="240" w:lineRule="auto"/>
                    <w:jc w:val="center"/>
                    <w:rPr>
                      <w:rFonts w:hint="default" w:ascii="Times New Roman" w:hAnsi="Times New Roman" w:eastAsia="宋体" w:cs="Times New Roman"/>
                      <w:b/>
                      <w:bCs w:val="0"/>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u w:val="none" w:color="auto"/>
                      <w:lang w:eastAsia="zh-CN"/>
                      <w14:textFill>
                        <w14:solidFill>
                          <w14:schemeClr w14:val="tx1"/>
                        </w14:solidFill>
                      </w14:textFill>
                    </w:rPr>
                    <w:t>监测点位</w:t>
                  </w:r>
                </w:p>
              </w:tc>
              <w:tc>
                <w:tcPr>
                  <w:tcW w:w="1335" w:type="dxa"/>
                  <w:tcBorders>
                    <w:tl2br w:val="nil"/>
                    <w:tr2bl w:val="nil"/>
                  </w:tcBorders>
                  <w:noWrap w:val="0"/>
                  <w:vAlign w:val="center"/>
                </w:tcPr>
                <w:p w14:paraId="4A4E6834">
                  <w:pPr>
                    <w:pStyle w:val="39"/>
                    <w:keepNext w:val="0"/>
                    <w:keepLines w:val="0"/>
                    <w:pageBreakBefore w:val="0"/>
                    <w:kinsoku/>
                    <w:wordWrap/>
                    <w:topLinePunct w:val="0"/>
                    <w:autoSpaceDE/>
                    <w:bidi w:val="0"/>
                    <w:adjustRightInd/>
                    <w:snapToGrid/>
                    <w:spacing w:line="240" w:lineRule="auto"/>
                    <w:jc w:val="center"/>
                    <w:rPr>
                      <w:rFonts w:hint="default" w:ascii="Times New Roman" w:hAnsi="Times New Roman" w:eastAsia="宋体" w:cs="Times New Roman"/>
                      <w:b/>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u w:val="none" w:color="auto"/>
                      <w:lang w:val="en-US" w:eastAsia="zh-CN"/>
                      <w14:textFill>
                        <w14:solidFill>
                          <w14:schemeClr w14:val="tx1"/>
                        </w14:solidFill>
                      </w14:textFill>
                    </w:rPr>
                    <w:t>监测因子</w:t>
                  </w:r>
                </w:p>
              </w:tc>
              <w:tc>
                <w:tcPr>
                  <w:tcW w:w="1110" w:type="dxa"/>
                  <w:tcBorders>
                    <w:tl2br w:val="nil"/>
                    <w:tr2bl w:val="nil"/>
                  </w:tcBorders>
                  <w:noWrap w:val="0"/>
                  <w:vAlign w:val="center"/>
                </w:tcPr>
                <w:p w14:paraId="309626E6">
                  <w:pPr>
                    <w:pStyle w:val="39"/>
                    <w:keepNext w:val="0"/>
                    <w:keepLines w:val="0"/>
                    <w:pageBreakBefore w:val="0"/>
                    <w:kinsoku/>
                    <w:wordWrap/>
                    <w:topLinePunct w:val="0"/>
                    <w:autoSpaceDE/>
                    <w:bidi w:val="0"/>
                    <w:adjustRightInd/>
                    <w:snapToGrid/>
                    <w:spacing w:line="240" w:lineRule="auto"/>
                    <w:jc w:val="center"/>
                    <w:rPr>
                      <w:rFonts w:hint="default" w:ascii="Times New Roman" w:hAnsi="Times New Roman" w:eastAsia="宋体" w:cs="Times New Roman"/>
                      <w:b/>
                      <w:bCs w:val="0"/>
                      <w:color w:val="000000" w:themeColor="text1"/>
                      <w:sz w:val="21"/>
                      <w:szCs w:val="21"/>
                      <w:highlight w:val="none"/>
                      <w:u w:val="none" w:color="auto"/>
                      <w:lang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u w:val="none" w:color="auto"/>
                      <w:lang w:eastAsia="zh-CN"/>
                      <w14:textFill>
                        <w14:solidFill>
                          <w14:schemeClr w14:val="tx1"/>
                        </w14:solidFill>
                      </w14:textFill>
                    </w:rPr>
                    <w:t>监测频次</w:t>
                  </w:r>
                </w:p>
              </w:tc>
              <w:tc>
                <w:tcPr>
                  <w:tcW w:w="3215" w:type="dxa"/>
                  <w:tcBorders>
                    <w:tl2br w:val="nil"/>
                    <w:tr2bl w:val="nil"/>
                  </w:tcBorders>
                  <w:noWrap w:val="0"/>
                  <w:vAlign w:val="center"/>
                </w:tcPr>
                <w:p w14:paraId="3ADC1B57">
                  <w:pPr>
                    <w:pStyle w:val="39"/>
                    <w:keepNext w:val="0"/>
                    <w:keepLines w:val="0"/>
                    <w:pageBreakBefore w:val="0"/>
                    <w:kinsoku/>
                    <w:wordWrap/>
                    <w:topLinePunct w:val="0"/>
                    <w:autoSpaceDE/>
                    <w:bidi w:val="0"/>
                    <w:adjustRightInd/>
                    <w:snapToGrid/>
                    <w:spacing w:line="240" w:lineRule="auto"/>
                    <w:jc w:val="center"/>
                    <w:rPr>
                      <w:rFonts w:hint="default" w:ascii="Times New Roman" w:hAnsi="Times New Roman" w:cs="Times New Roman"/>
                      <w:b/>
                      <w:bCs w:val="0"/>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u w:val="none" w:color="auto"/>
                      <w:lang w:val="en-US" w:eastAsia="zh-CN"/>
                      <w14:textFill>
                        <w14:solidFill>
                          <w14:schemeClr w14:val="tx1"/>
                        </w14:solidFill>
                      </w14:textFill>
                    </w:rPr>
                    <w:t>执行标准</w:t>
                  </w:r>
                </w:p>
              </w:tc>
            </w:tr>
            <w:tr w14:paraId="23CDD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noWrap w:val="0"/>
                  <w:vAlign w:val="center"/>
                </w:tcPr>
                <w:p w14:paraId="284A7033">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噪声</w:t>
                  </w:r>
                </w:p>
              </w:tc>
              <w:tc>
                <w:tcPr>
                  <w:tcW w:w="1178" w:type="dxa"/>
                  <w:tcBorders>
                    <w:tl2br w:val="nil"/>
                    <w:tr2bl w:val="nil"/>
                  </w:tcBorders>
                  <w:noWrap w:val="0"/>
                  <w:vAlign w:val="center"/>
                </w:tcPr>
                <w:p w14:paraId="0E8D5518">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厂界四周</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外1m处</w:t>
                  </w:r>
                </w:p>
              </w:tc>
              <w:tc>
                <w:tcPr>
                  <w:tcW w:w="1335" w:type="dxa"/>
                  <w:tcBorders>
                    <w:tl2br w:val="nil"/>
                    <w:tr2bl w:val="nil"/>
                  </w:tcBorders>
                  <w:noWrap w:val="0"/>
                  <w:vAlign w:val="center"/>
                </w:tcPr>
                <w:p w14:paraId="7AAB10EE">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Leq[dB</w:t>
                  </w:r>
                  <w:r>
                    <w:rPr>
                      <w:rFonts w:hint="eastAsia"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A</w:t>
                  </w:r>
                  <w:r>
                    <w:rPr>
                      <w:rFonts w:hint="eastAsia" w:cs="Times New Roman"/>
                      <w:color w:val="000000" w:themeColor="text1"/>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lang w:eastAsia="zh-CN"/>
                      <w14:textFill>
                        <w14:solidFill>
                          <w14:schemeClr w14:val="tx1"/>
                        </w14:solidFill>
                      </w14:textFill>
                    </w:rPr>
                    <w:t>]</w:t>
                  </w:r>
                </w:p>
              </w:tc>
              <w:tc>
                <w:tcPr>
                  <w:tcW w:w="1110" w:type="dxa"/>
                  <w:tcBorders>
                    <w:tl2br w:val="nil"/>
                    <w:tr2bl w:val="nil"/>
                  </w:tcBorders>
                  <w:noWrap w:val="0"/>
                  <w:tcMar>
                    <w:top w:w="0" w:type="dxa"/>
                    <w:left w:w="28" w:type="dxa"/>
                    <w:bottom w:w="0" w:type="dxa"/>
                    <w:right w:w="28" w:type="dxa"/>
                  </w:tcMar>
                  <w:vAlign w:val="center"/>
                </w:tcPr>
                <w:p w14:paraId="6F3B5187">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t>1次/季度</w:t>
                  </w:r>
                </w:p>
              </w:tc>
              <w:tc>
                <w:tcPr>
                  <w:tcW w:w="3215" w:type="dxa"/>
                  <w:tcBorders>
                    <w:tl2br w:val="nil"/>
                    <w:tr2bl w:val="nil"/>
                  </w:tcBorders>
                  <w:noWrap w:val="0"/>
                  <w:tcMar>
                    <w:top w:w="0" w:type="dxa"/>
                    <w:left w:w="28" w:type="dxa"/>
                    <w:bottom w:w="0" w:type="dxa"/>
                    <w:right w:w="28" w:type="dxa"/>
                  </w:tcMar>
                  <w:vAlign w:val="center"/>
                </w:tcPr>
                <w:p w14:paraId="0D0653AC">
                  <w:pPr>
                    <w:keepNext w:val="0"/>
                    <w:keepLines w:val="0"/>
                    <w:pageBreakBefore w:val="0"/>
                    <w:widowControl/>
                    <w:kinsoku/>
                    <w:wordWrap/>
                    <w:topLinePunct w:val="0"/>
                    <w:autoSpaceDE/>
                    <w:bidi w:val="0"/>
                    <w:adjustRightInd/>
                    <w:snapToGrid/>
                    <w:spacing w:line="240" w:lineRule="auto"/>
                    <w:jc w:val="center"/>
                    <w:rPr>
                      <w:rFonts w:hint="default" w:ascii="Times New Roman" w:hAnsi="Times New Roman" w:eastAsia="宋体" w:cs="Times New Roman"/>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none" w:color="auto"/>
                      <w14:textFill>
                        <w14:solidFill>
                          <w14:schemeClr w14:val="tx1"/>
                        </w14:solidFill>
                      </w14:textFill>
                    </w:rPr>
                    <w:t>《工业企业厂界环境噪声排放标准》（GB12348-2008）的</w:t>
                  </w:r>
                  <w:r>
                    <w:rPr>
                      <w:rFonts w:hint="default" w:ascii="Times New Roman" w:hAnsi="Times New Roman" w:cs="Times New Roman"/>
                      <w:color w:val="000000" w:themeColor="text1"/>
                      <w:sz w:val="21"/>
                      <w:szCs w:val="21"/>
                      <w:highlight w:val="none"/>
                      <w:u w:val="none" w:color="auto"/>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u w:val="none" w:color="auto"/>
                      <w14:textFill>
                        <w14:solidFill>
                          <w14:schemeClr w14:val="tx1"/>
                        </w14:solidFill>
                      </w14:textFill>
                    </w:rPr>
                    <w:t>类标准</w:t>
                  </w:r>
                </w:p>
              </w:tc>
            </w:tr>
          </w:tbl>
          <w:p w14:paraId="45A1E345">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四、</w:t>
            </w:r>
            <w:r>
              <w:rPr>
                <w:rFonts w:hint="default" w:ascii="Times New Roman" w:hAnsi="Times New Roman" w:eastAsia="宋体" w:cs="Times New Roman"/>
                <w:b/>
                <w:bCs/>
                <w:color w:val="auto"/>
                <w:sz w:val="24"/>
                <w:szCs w:val="24"/>
                <w:u w:val="none" w:color="auto"/>
                <w:lang w:val="en-US" w:eastAsia="zh-CN"/>
              </w:rPr>
              <w:t>运营期</w:t>
            </w:r>
            <w:r>
              <w:rPr>
                <w:rFonts w:hint="eastAsia" w:ascii="Times New Roman" w:hAnsi="Times New Roman" w:eastAsia="宋体" w:cs="Times New Roman"/>
                <w:b/>
                <w:bCs/>
                <w:color w:val="auto"/>
                <w:sz w:val="24"/>
                <w:szCs w:val="24"/>
                <w:u w:val="none" w:color="auto"/>
                <w:lang w:val="en-US" w:eastAsia="zh-CN"/>
              </w:rPr>
              <w:t>固体废物</w:t>
            </w:r>
            <w:r>
              <w:rPr>
                <w:rFonts w:hint="default" w:ascii="Times New Roman" w:hAnsi="Times New Roman" w:eastAsia="宋体" w:cs="Times New Roman"/>
                <w:b/>
                <w:bCs/>
                <w:color w:val="auto"/>
                <w:sz w:val="24"/>
                <w:szCs w:val="24"/>
                <w:u w:val="none" w:color="auto"/>
                <w:lang w:val="en-US" w:eastAsia="zh-CN"/>
              </w:rPr>
              <w:t>环境影响和保护措施</w:t>
            </w:r>
            <w:r>
              <w:rPr>
                <w:rFonts w:hint="eastAsia" w:ascii="Times New Roman" w:hAnsi="Times New Roman" w:eastAsia="宋体" w:cs="Times New Roman"/>
                <w:b/>
                <w:bCs/>
                <w:color w:val="auto"/>
                <w:sz w:val="24"/>
                <w:szCs w:val="24"/>
                <w:u w:val="none" w:color="auto"/>
                <w:lang w:val="en-US" w:eastAsia="zh-CN"/>
              </w:rPr>
              <w:t xml:space="preserve"> </w:t>
            </w:r>
          </w:p>
          <w:p w14:paraId="7A65D935">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outlineLvl w:val="9"/>
              <w:rPr>
                <w:rFonts w:hint="eastAsia" w:ascii="Times New Roman" w:hAnsi="Times New Roman" w:eastAsia="宋体" w:cs="Times New Roman"/>
                <w:color w:val="000000"/>
                <w:kern w:val="0"/>
                <w:sz w:val="24"/>
                <w:szCs w:val="24"/>
                <w:highlight w:val="none"/>
                <w:u w:val="none" w:color="auto"/>
                <w:lang w:val="en-US" w:eastAsia="zh-CN"/>
              </w:rPr>
            </w:pPr>
            <w:r>
              <w:rPr>
                <w:rFonts w:hint="default" w:ascii="Times New Roman" w:hAnsi="Times New Roman" w:eastAsia="宋体" w:cs="Times New Roman"/>
                <w:b/>
                <w:bCs/>
                <w:color w:val="auto"/>
                <w:sz w:val="24"/>
                <w:szCs w:val="24"/>
                <w:u w:val="none" w:color="auto"/>
                <w:lang w:eastAsia="zh-CN"/>
              </w:rPr>
              <w:t>1 、</w:t>
            </w:r>
            <w:r>
              <w:rPr>
                <w:rFonts w:hint="eastAsia" w:ascii="Times New Roman" w:hAnsi="Times New Roman" w:eastAsia="宋体" w:cs="Times New Roman"/>
                <w:b/>
                <w:bCs/>
                <w:color w:val="auto"/>
                <w:sz w:val="24"/>
                <w:szCs w:val="24"/>
                <w:u w:val="none" w:color="auto"/>
                <w:lang w:eastAsia="zh-CN"/>
              </w:rPr>
              <w:t>固废产生情况及去向</w:t>
            </w:r>
          </w:p>
          <w:p w14:paraId="179DAECF">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Times New Roman"/>
                <w:bCs/>
                <w:color w:val="000000"/>
                <w:sz w:val="24"/>
                <w:u w:val="none" w:color="auto"/>
                <w:lang w:val="en-US" w:eastAsia="zh-CN"/>
              </w:rPr>
            </w:pPr>
            <w:r>
              <w:rPr>
                <w:rFonts w:ascii="Times New Roman" w:hAnsi="Times New Roman" w:cs="Times New Roman"/>
                <w:color w:val="000000"/>
                <w:sz w:val="24"/>
                <w:szCs w:val="24"/>
                <w:u w:val="none" w:color="auto"/>
              </w:rPr>
              <w:t>本项目</w:t>
            </w:r>
            <w:r>
              <w:rPr>
                <w:rFonts w:hint="eastAsia" w:ascii="Times New Roman" w:hAnsi="Times New Roman" w:cs="Times New Roman"/>
                <w:color w:val="000000"/>
                <w:sz w:val="24"/>
                <w:szCs w:val="24"/>
                <w:u w:val="none" w:color="auto"/>
                <w:lang w:eastAsia="zh-CN"/>
              </w:rPr>
              <w:t>营运期</w:t>
            </w:r>
            <w:r>
              <w:rPr>
                <w:rFonts w:ascii="Times New Roman" w:hAnsi="Times New Roman" w:cs="Times New Roman"/>
                <w:color w:val="000000"/>
                <w:sz w:val="24"/>
                <w:szCs w:val="24"/>
                <w:u w:val="none" w:color="auto"/>
              </w:rPr>
              <w:t>产生的固体废物主要为</w:t>
            </w:r>
            <w:r>
              <w:rPr>
                <w:rFonts w:hint="eastAsia" w:ascii="Times New Roman" w:hAnsi="Times New Roman" w:cs="Times New Roman"/>
                <w:color w:val="000000"/>
                <w:sz w:val="24"/>
                <w:szCs w:val="24"/>
                <w:u w:val="none" w:color="auto"/>
                <w:lang w:eastAsia="zh-CN"/>
              </w:rPr>
              <w:t>生活垃圾、一般工业固废和危险废物</w:t>
            </w:r>
            <w:r>
              <w:rPr>
                <w:rFonts w:ascii="Times New Roman" w:hAnsi="Times New Roman" w:cs="Times New Roman"/>
                <w:color w:val="000000"/>
                <w:sz w:val="24"/>
                <w:szCs w:val="24"/>
                <w:u w:val="none" w:color="auto"/>
              </w:rPr>
              <w:t>。</w:t>
            </w:r>
          </w:p>
          <w:p w14:paraId="774EBD7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Times New Roman"/>
                <w:bCs/>
                <w:color w:val="000000"/>
                <w:sz w:val="24"/>
                <w:u w:val="none" w:color="auto"/>
                <w:lang w:val="en-US" w:eastAsia="zh-CN"/>
              </w:rPr>
            </w:pPr>
            <w:r>
              <w:rPr>
                <w:rFonts w:hint="eastAsia" w:ascii="Times New Roman" w:hAnsi="Times New Roman" w:eastAsia="宋体" w:cs="Times New Roman"/>
                <w:bCs/>
                <w:color w:val="000000"/>
                <w:sz w:val="24"/>
                <w:u w:val="none" w:color="auto"/>
                <w:lang w:val="en-US" w:eastAsia="zh-CN"/>
              </w:rPr>
              <w:t>（1）生活垃圾</w:t>
            </w:r>
          </w:p>
          <w:p w14:paraId="6DD5E4B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000000"/>
                <w:kern w:val="0"/>
                <w:sz w:val="24"/>
                <w:szCs w:val="24"/>
                <w:u w:val="none" w:color="auto"/>
                <w:lang w:val="en-US" w:eastAsia="zh-CN"/>
              </w:rPr>
            </w:pPr>
            <w:r>
              <w:rPr>
                <w:rFonts w:hint="eastAsia" w:ascii="Times New Roman" w:hAnsi="Times New Roman" w:eastAsia="宋体" w:cs="Times New Roman"/>
                <w:color w:val="000000"/>
                <w:spacing w:val="0"/>
                <w:sz w:val="24"/>
                <w:szCs w:val="24"/>
                <w:u w:val="none" w:color="auto"/>
                <w:lang w:val="en-US" w:eastAsia="zh-CN"/>
              </w:rPr>
              <w:t>本</w:t>
            </w:r>
            <w:r>
              <w:rPr>
                <w:rFonts w:hint="default" w:ascii="Times New Roman" w:hAnsi="Times New Roman" w:eastAsia="宋体" w:cs="Times New Roman"/>
                <w:color w:val="000000"/>
                <w:spacing w:val="0"/>
                <w:sz w:val="24"/>
                <w:szCs w:val="24"/>
                <w:u w:val="none" w:color="auto"/>
              </w:rPr>
              <w:t>项目职工定员</w:t>
            </w:r>
            <w:r>
              <w:rPr>
                <w:rFonts w:hint="eastAsia" w:cs="Times New Roman"/>
                <w:color w:val="000000"/>
                <w:spacing w:val="0"/>
                <w:sz w:val="24"/>
                <w:szCs w:val="24"/>
                <w:u w:val="none" w:color="auto"/>
                <w:lang w:val="en-US" w:eastAsia="zh-CN"/>
              </w:rPr>
              <w:t>10</w:t>
            </w:r>
            <w:r>
              <w:rPr>
                <w:rFonts w:hint="default" w:ascii="Times New Roman" w:hAnsi="Times New Roman" w:eastAsia="宋体" w:cs="Times New Roman"/>
                <w:color w:val="000000"/>
                <w:spacing w:val="0"/>
                <w:sz w:val="24"/>
                <w:szCs w:val="24"/>
                <w:u w:val="none" w:color="auto"/>
              </w:rPr>
              <w:t>人，</w:t>
            </w:r>
            <w:r>
              <w:rPr>
                <w:rFonts w:hint="default" w:ascii="Times New Roman" w:hAnsi="Times New Roman" w:eastAsia="宋体" w:cs="Times New Roman"/>
                <w:spacing w:val="0"/>
                <w:sz w:val="24"/>
                <w:szCs w:val="24"/>
                <w:u w:val="none" w:color="auto"/>
              </w:rPr>
              <w:t>年工作天数为</w:t>
            </w:r>
            <w:r>
              <w:rPr>
                <w:rFonts w:hint="eastAsia" w:ascii="Times New Roman" w:hAnsi="Times New Roman" w:eastAsia="宋体" w:cs="Times New Roman"/>
                <w:spacing w:val="0"/>
                <w:sz w:val="24"/>
                <w:szCs w:val="24"/>
                <w:u w:val="none" w:color="auto"/>
                <w:lang w:val="en-US" w:eastAsia="zh-CN"/>
              </w:rPr>
              <w:t>300</w:t>
            </w:r>
            <w:r>
              <w:rPr>
                <w:rFonts w:hint="default" w:ascii="Times New Roman" w:hAnsi="Times New Roman" w:eastAsia="宋体" w:cs="Times New Roman"/>
                <w:spacing w:val="0"/>
                <w:sz w:val="24"/>
                <w:szCs w:val="24"/>
                <w:u w:val="none" w:color="auto"/>
              </w:rPr>
              <w:t>天，在生产营运期间生活垃圾产生系数取0.5kg/人·d，因此，项目生活垃圾产生量为</w:t>
            </w:r>
            <w:r>
              <w:rPr>
                <w:rFonts w:hint="eastAsia" w:cs="Times New Roman"/>
                <w:spacing w:val="0"/>
                <w:sz w:val="24"/>
                <w:szCs w:val="24"/>
                <w:u w:val="none" w:color="auto"/>
                <w:lang w:val="en-US" w:eastAsia="zh-CN"/>
              </w:rPr>
              <w:t>0.005t</w:t>
            </w:r>
            <w:r>
              <w:rPr>
                <w:rFonts w:hint="default" w:ascii="Times New Roman" w:hAnsi="Times New Roman" w:eastAsia="宋体" w:cs="Times New Roman"/>
                <w:spacing w:val="0"/>
                <w:sz w:val="24"/>
                <w:szCs w:val="24"/>
                <w:u w:val="none" w:color="auto"/>
              </w:rPr>
              <w:t>/d</w:t>
            </w:r>
            <w:r>
              <w:rPr>
                <w:rFonts w:hint="default" w:ascii="Times New Roman" w:hAnsi="Times New Roman" w:eastAsia="宋体" w:cs="Times New Roman"/>
                <w:spacing w:val="0"/>
                <w:sz w:val="24"/>
                <w:szCs w:val="24"/>
                <w:u w:val="none" w:color="auto"/>
                <w:lang w:eastAsia="zh-CN"/>
              </w:rPr>
              <w:t>（</w:t>
            </w:r>
            <w:r>
              <w:rPr>
                <w:rFonts w:hint="eastAsia" w:cs="Times New Roman"/>
                <w:spacing w:val="0"/>
                <w:sz w:val="24"/>
                <w:szCs w:val="24"/>
                <w:u w:val="none" w:color="auto"/>
                <w:lang w:val="en-US" w:eastAsia="zh-CN"/>
              </w:rPr>
              <w:t>1.5</w:t>
            </w:r>
            <w:r>
              <w:rPr>
                <w:rFonts w:hint="default" w:ascii="Times New Roman" w:hAnsi="Times New Roman" w:eastAsia="宋体" w:cs="Times New Roman"/>
                <w:spacing w:val="0"/>
                <w:sz w:val="24"/>
                <w:szCs w:val="24"/>
                <w:u w:val="none" w:color="auto"/>
              </w:rPr>
              <w:t>t/a</w:t>
            </w:r>
            <w:r>
              <w:rPr>
                <w:rFonts w:hint="default" w:ascii="Times New Roman" w:hAnsi="Times New Roman" w:eastAsia="宋体" w:cs="Times New Roman"/>
                <w:spacing w:val="0"/>
                <w:sz w:val="24"/>
                <w:szCs w:val="24"/>
                <w:u w:val="none" w:color="auto"/>
                <w:lang w:eastAsia="zh-CN"/>
              </w:rPr>
              <w:t>）</w:t>
            </w:r>
            <w:r>
              <w:rPr>
                <w:rFonts w:hint="default" w:ascii="Times New Roman" w:hAnsi="Times New Roman" w:eastAsia="宋体" w:cs="Times New Roman"/>
                <w:spacing w:val="0"/>
                <w:sz w:val="24"/>
                <w:szCs w:val="24"/>
                <w:u w:val="none" w:color="auto"/>
              </w:rPr>
              <w:t>。</w:t>
            </w:r>
            <w:r>
              <w:rPr>
                <w:rFonts w:hint="default" w:ascii="Times New Roman" w:hAnsi="Times New Roman" w:eastAsia="宋体" w:cs="Times New Roman"/>
                <w:color w:val="000000"/>
                <w:spacing w:val="0"/>
                <w:sz w:val="24"/>
                <w:szCs w:val="24"/>
                <w:u w:val="none" w:color="auto"/>
              </w:rPr>
              <w:t>对生活垃圾均采用分类收集，由地方环卫部门</w:t>
            </w:r>
            <w:r>
              <w:rPr>
                <w:rFonts w:hint="eastAsia" w:ascii="Times New Roman" w:hAnsi="Times New Roman" w:cs="Times New Roman"/>
                <w:color w:val="auto"/>
                <w:spacing w:val="0"/>
                <w:sz w:val="24"/>
                <w:szCs w:val="24"/>
                <w:u w:val="none" w:color="auto"/>
                <w:lang w:val="en-US" w:eastAsia="zh-CN"/>
              </w:rPr>
              <w:t>统一清运</w:t>
            </w:r>
            <w:r>
              <w:rPr>
                <w:rFonts w:ascii="Times New Roman" w:hAnsi="Times New Roman" w:cs="Times New Roman"/>
                <w:color w:val="auto"/>
                <w:spacing w:val="0"/>
                <w:sz w:val="24"/>
                <w:szCs w:val="24"/>
                <w:u w:val="none" w:color="auto"/>
              </w:rPr>
              <w:t>处理</w:t>
            </w:r>
            <w:r>
              <w:rPr>
                <w:rFonts w:hint="default" w:ascii="Times New Roman" w:hAnsi="Times New Roman" w:eastAsia="宋体" w:cs="Times New Roman"/>
                <w:color w:val="000000"/>
                <w:spacing w:val="0"/>
                <w:sz w:val="24"/>
                <w:szCs w:val="24"/>
                <w:u w:val="none" w:color="auto"/>
              </w:rPr>
              <w:t>。</w:t>
            </w:r>
          </w:p>
          <w:p w14:paraId="00B066B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u w:val="none" w:color="auto"/>
                <w:lang w:val="en-US" w:eastAsia="zh-CN"/>
              </w:rPr>
            </w:pPr>
            <w:r>
              <w:rPr>
                <w:rFonts w:hint="eastAsia" w:ascii="Times New Roman" w:hAnsi="Times New Roman" w:eastAsia="宋体" w:cs="Times New Roman"/>
                <w:color w:val="000000"/>
                <w:kern w:val="0"/>
                <w:sz w:val="24"/>
                <w:szCs w:val="24"/>
                <w:highlight w:val="none"/>
                <w:u w:val="none" w:color="auto"/>
                <w:lang w:val="en-US" w:eastAsia="zh-CN"/>
              </w:rPr>
              <w:t>（2）一般工业固废</w:t>
            </w:r>
          </w:p>
          <w:p w14:paraId="793CD8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szCs w:val="24"/>
                <w:u w:val="none" w:color="auto"/>
                <w:lang w:val="en-US" w:eastAsia="zh-CN"/>
              </w:rPr>
            </w:pPr>
            <w:r>
              <w:rPr>
                <w:rFonts w:hint="default" w:ascii="Times New Roman" w:hAnsi="Times New Roman" w:eastAsia="宋体" w:cs="Times New Roman"/>
                <w:color w:val="000000"/>
                <w:kern w:val="0"/>
                <w:sz w:val="24"/>
                <w:szCs w:val="24"/>
                <w:u w:val="none" w:color="auto"/>
                <w:lang w:val="en-US" w:eastAsia="zh-CN"/>
              </w:rPr>
              <w:t>①</w:t>
            </w:r>
            <w:r>
              <w:rPr>
                <w:rFonts w:hint="eastAsia" w:ascii="Times New Roman" w:hAnsi="Times New Roman" w:eastAsia="宋体" w:cs="Times New Roman"/>
                <w:color w:val="000000"/>
                <w:kern w:val="0"/>
                <w:sz w:val="24"/>
                <w:szCs w:val="24"/>
                <w:u w:val="none" w:color="auto"/>
                <w:lang w:val="en-US" w:eastAsia="zh-CN"/>
              </w:rPr>
              <w:t>分拣废料</w:t>
            </w:r>
          </w:p>
          <w:p w14:paraId="78FAC29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pacing w:val="0"/>
                <w:sz w:val="24"/>
                <w:szCs w:val="24"/>
                <w:highlight w:val="none"/>
                <w:u w:val="none" w:color="auto"/>
                <w:lang w:val="en-US" w:eastAsia="zh-CN"/>
              </w:rPr>
            </w:pPr>
            <w:r>
              <w:rPr>
                <w:rFonts w:hint="default" w:ascii="Times New Roman" w:hAnsi="Times New Roman" w:eastAsia="宋体" w:cs="Times New Roman"/>
                <w:color w:val="auto"/>
                <w:spacing w:val="0"/>
                <w:sz w:val="24"/>
                <w:szCs w:val="24"/>
                <w:u w:val="none" w:color="auto"/>
              </w:rPr>
              <w:t>本项目原料</w:t>
            </w:r>
            <w:r>
              <w:rPr>
                <w:rFonts w:hint="eastAsia" w:eastAsia="宋体" w:cs="Times New Roman"/>
                <w:color w:val="auto"/>
                <w:spacing w:val="0"/>
                <w:sz w:val="24"/>
                <w:szCs w:val="24"/>
                <w:u w:val="none" w:color="auto"/>
                <w:lang w:val="en-US" w:eastAsia="zh-CN"/>
              </w:rPr>
              <w:t>在人工分拣</w:t>
            </w:r>
            <w:r>
              <w:rPr>
                <w:rFonts w:hint="default" w:ascii="Times New Roman" w:hAnsi="Times New Roman" w:eastAsia="宋体" w:cs="Times New Roman"/>
                <w:color w:val="auto"/>
                <w:spacing w:val="0"/>
                <w:sz w:val="24"/>
                <w:szCs w:val="24"/>
                <w:u w:val="none" w:color="auto"/>
              </w:rPr>
              <w:t>过程产生少量</w:t>
            </w:r>
            <w:r>
              <w:rPr>
                <w:rFonts w:hint="eastAsia" w:eastAsia="宋体" w:cs="Times New Roman"/>
                <w:color w:val="auto"/>
                <w:spacing w:val="0"/>
                <w:sz w:val="24"/>
                <w:szCs w:val="24"/>
                <w:u w:val="none" w:color="auto"/>
                <w:lang w:eastAsia="zh-CN"/>
              </w:rPr>
              <w:t>的</w:t>
            </w:r>
            <w:r>
              <w:rPr>
                <w:rFonts w:hint="eastAsia" w:ascii="Times New Roman" w:hAnsi="Times New Roman" w:eastAsia="宋体" w:cs="Times New Roman"/>
                <w:color w:val="000000"/>
                <w:kern w:val="0"/>
                <w:sz w:val="24"/>
                <w:szCs w:val="24"/>
                <w:u w:val="none" w:color="auto"/>
                <w:lang w:val="en-US" w:eastAsia="zh-CN"/>
              </w:rPr>
              <w:t>分拣废料</w:t>
            </w:r>
            <w:r>
              <w:rPr>
                <w:rFonts w:hint="eastAsia" w:eastAsia="宋体" w:cs="Times New Roman"/>
                <w:snapToGrid w:val="0"/>
                <w:color w:val="auto"/>
                <w:spacing w:val="0"/>
                <w:kern w:val="2"/>
                <w:sz w:val="24"/>
                <w:szCs w:val="24"/>
                <w:u w:val="none" w:color="auto"/>
                <w:lang w:val="en-US" w:eastAsia="zh-CN" w:bidi="ar-SA"/>
              </w:rPr>
              <w:t>，</w:t>
            </w:r>
            <w:r>
              <w:rPr>
                <w:rFonts w:hint="eastAsia" w:ascii="Times New Roman" w:hAnsi="Times New Roman" w:eastAsia="宋体" w:cs="Times New Roman"/>
                <w:snapToGrid w:val="0"/>
                <w:color w:val="auto"/>
                <w:spacing w:val="0"/>
                <w:kern w:val="2"/>
                <w:sz w:val="24"/>
                <w:szCs w:val="24"/>
                <w:u w:val="none" w:color="auto"/>
                <w:lang w:val="en-US" w:eastAsia="zh-CN" w:bidi="ar-SA"/>
              </w:rPr>
              <w:t>为</w:t>
            </w:r>
            <w:r>
              <w:rPr>
                <w:rFonts w:hint="eastAsia" w:eastAsia="宋体" w:cs="Times New Roman"/>
                <w:snapToGrid w:val="0"/>
                <w:color w:val="auto"/>
                <w:spacing w:val="0"/>
                <w:kern w:val="2"/>
                <w:sz w:val="24"/>
                <w:szCs w:val="24"/>
                <w:u w:val="none" w:color="auto"/>
                <w:lang w:val="en-US" w:eastAsia="zh-CN" w:bidi="ar-SA"/>
              </w:rPr>
              <w:t>原料</w:t>
            </w:r>
            <w:r>
              <w:rPr>
                <w:rFonts w:hint="default" w:ascii="Times New Roman" w:hAnsi="Times New Roman" w:eastAsia="宋体" w:cs="Times New Roman"/>
                <w:bCs/>
                <w:color w:val="auto"/>
                <w:sz w:val="24"/>
                <w:u w:val="none" w:color="auto"/>
                <w:lang w:val="en-US" w:eastAsia="zh-CN"/>
              </w:rPr>
              <w:t>废纺织布料、废鞋材料、废箱包材料、废塑胶、废塑料、废纸/纸箱、废旧整衣服</w:t>
            </w:r>
            <w:r>
              <w:rPr>
                <w:rFonts w:hint="eastAsia" w:ascii="Times New Roman" w:hAnsi="Times New Roman" w:eastAsia="宋体" w:cs="Times New Roman"/>
                <w:bCs/>
                <w:color w:val="auto"/>
                <w:sz w:val="24"/>
                <w:u w:val="none" w:color="auto"/>
                <w:lang w:val="en-US" w:eastAsia="zh-CN"/>
              </w:rPr>
              <w:t>的不合格品</w:t>
            </w:r>
            <w:r>
              <w:rPr>
                <w:rFonts w:hint="default" w:ascii="Times New Roman" w:hAnsi="Times New Roman" w:eastAsia="宋体" w:cs="Times New Roman"/>
                <w:color w:val="auto"/>
                <w:spacing w:val="0"/>
                <w:sz w:val="24"/>
                <w:szCs w:val="24"/>
                <w:u w:val="none" w:color="auto"/>
              </w:rPr>
              <w:t>，</w:t>
            </w:r>
            <w:r>
              <w:rPr>
                <w:rFonts w:hint="eastAsia" w:eastAsia="宋体" w:cs="Times New Roman"/>
                <w:color w:val="auto"/>
                <w:spacing w:val="0"/>
                <w:sz w:val="24"/>
                <w:szCs w:val="24"/>
                <w:u w:val="none" w:color="auto"/>
                <w:lang w:val="en-US" w:eastAsia="zh-CN"/>
              </w:rPr>
              <w:t>根据建设单位提供的资料，</w:t>
            </w:r>
            <w:r>
              <w:rPr>
                <w:rFonts w:hint="eastAsia" w:ascii="Times New Roman" w:hAnsi="Times New Roman" w:eastAsia="宋体" w:cs="Times New Roman"/>
                <w:color w:val="auto"/>
                <w:spacing w:val="0"/>
                <w:sz w:val="24"/>
                <w:szCs w:val="24"/>
                <w:u w:val="none" w:color="auto"/>
                <w:lang w:val="en-US" w:eastAsia="zh-CN"/>
              </w:rPr>
              <w:t>其</w:t>
            </w:r>
            <w:r>
              <w:rPr>
                <w:rFonts w:hint="default" w:ascii="Times New Roman" w:hAnsi="Times New Roman" w:eastAsia="宋体" w:cs="Times New Roman"/>
                <w:color w:val="auto"/>
                <w:spacing w:val="0"/>
                <w:sz w:val="24"/>
                <w:szCs w:val="24"/>
                <w:u w:val="none" w:color="auto"/>
              </w:rPr>
              <w:t>年产生量约为</w:t>
            </w:r>
            <w:r>
              <w:rPr>
                <w:rFonts w:hint="eastAsia" w:eastAsia="宋体" w:cs="Times New Roman"/>
                <w:color w:val="auto"/>
                <w:spacing w:val="0"/>
                <w:sz w:val="24"/>
                <w:szCs w:val="24"/>
                <w:u w:val="none" w:color="auto"/>
                <w:lang w:val="en-US" w:eastAsia="zh-CN"/>
              </w:rPr>
              <w:t>5</w:t>
            </w:r>
            <w:r>
              <w:rPr>
                <w:rFonts w:hint="default" w:ascii="Times New Roman" w:hAnsi="Times New Roman" w:eastAsia="宋体" w:cs="Times New Roman"/>
                <w:color w:val="auto"/>
                <w:spacing w:val="0"/>
                <w:sz w:val="24"/>
                <w:szCs w:val="24"/>
                <w:u w:val="none" w:color="auto"/>
              </w:rPr>
              <w:t>t/a，</w:t>
            </w:r>
            <w:r>
              <w:rPr>
                <w:rFonts w:hint="eastAsia" w:ascii="Times New Roman" w:hAnsi="Times New Roman" w:eastAsia="宋体" w:cs="Times New Roman"/>
                <w:color w:val="000000"/>
                <w:kern w:val="0"/>
                <w:sz w:val="24"/>
                <w:szCs w:val="24"/>
                <w:u w:val="none" w:color="auto"/>
                <w:lang w:val="en-US" w:eastAsia="zh-CN"/>
              </w:rPr>
              <w:t>分拣废料</w:t>
            </w:r>
            <w:r>
              <w:rPr>
                <w:rFonts w:hint="default" w:ascii="Times New Roman" w:hAnsi="Times New Roman" w:eastAsia="宋体" w:cs="Times New Roman"/>
                <w:color w:val="auto"/>
                <w:spacing w:val="0"/>
                <w:sz w:val="24"/>
                <w:szCs w:val="24"/>
                <w:u w:val="none" w:color="auto"/>
                <w:lang w:val="en-US" w:eastAsia="zh-CN"/>
              </w:rPr>
              <w:t>为一般固废，</w:t>
            </w:r>
            <w:r>
              <w:rPr>
                <w:rFonts w:hint="default" w:ascii="Times New Roman" w:hAnsi="Times New Roman" w:eastAsia="宋体" w:cs="Times New Roman"/>
                <w:color w:val="auto"/>
                <w:spacing w:val="0"/>
                <w:sz w:val="24"/>
                <w:szCs w:val="24"/>
                <w:u w:val="none" w:color="auto"/>
              </w:rPr>
              <w:t>收集后交由生产销售企业回收</w:t>
            </w:r>
            <w:r>
              <w:rPr>
                <w:rFonts w:hint="default" w:ascii="Times New Roman" w:hAnsi="Times New Roman" w:eastAsia="宋体" w:cs="Times New Roman"/>
                <w:color w:val="auto"/>
                <w:spacing w:val="0"/>
                <w:sz w:val="24"/>
                <w:szCs w:val="24"/>
                <w:u w:val="none" w:color="auto"/>
                <w:lang w:val="en-US" w:eastAsia="zh-CN"/>
              </w:rPr>
              <w:t>再利用</w:t>
            </w:r>
            <w:r>
              <w:rPr>
                <w:rFonts w:hint="default" w:ascii="Times New Roman" w:hAnsi="Times New Roman" w:eastAsia="宋体" w:cs="Times New Roman"/>
                <w:color w:val="auto"/>
                <w:spacing w:val="0"/>
                <w:sz w:val="24"/>
                <w:szCs w:val="24"/>
                <w:u w:val="none" w:color="auto"/>
              </w:rPr>
              <w:t>。</w:t>
            </w:r>
            <w:r>
              <w:rPr>
                <w:rFonts w:hint="eastAsia" w:ascii="Times New Roman" w:hAnsi="Times New Roman" w:eastAsia="宋体" w:cs="Times New Roman"/>
                <w:color w:val="auto"/>
                <w:spacing w:val="0"/>
                <w:sz w:val="24"/>
                <w:szCs w:val="24"/>
                <w:highlight w:val="none"/>
                <w:u w:val="none" w:color="auto"/>
                <w:lang w:val="en-US" w:eastAsia="zh-CN"/>
              </w:rPr>
              <w:t>根据《固体废物分类与代码目录》（</w:t>
            </w:r>
            <w:r>
              <w:rPr>
                <w:rFonts w:hint="eastAsia" w:cs="Times New Roman"/>
                <w:color w:val="auto"/>
                <w:spacing w:val="0"/>
                <w:sz w:val="24"/>
                <w:szCs w:val="24"/>
                <w:highlight w:val="none"/>
                <w:u w:val="none" w:color="auto"/>
                <w:lang w:val="en-US" w:eastAsia="zh-CN"/>
              </w:rPr>
              <w:t>生态环境部2024年第4号</w:t>
            </w:r>
            <w:r>
              <w:rPr>
                <w:rFonts w:hint="eastAsia" w:ascii="Times New Roman" w:hAnsi="Times New Roman" w:eastAsia="宋体" w:cs="Times New Roman"/>
                <w:color w:val="auto"/>
                <w:spacing w:val="0"/>
                <w:sz w:val="24"/>
                <w:szCs w:val="24"/>
                <w:highlight w:val="none"/>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rPr>
              <w:t>分拣废料</w:t>
            </w:r>
            <w:r>
              <w:rPr>
                <w:rFonts w:hint="eastAsia" w:ascii="Times New Roman" w:hAnsi="Times New Roman" w:eastAsia="宋体" w:cs="Times New Roman"/>
                <w:color w:val="auto"/>
                <w:spacing w:val="0"/>
                <w:sz w:val="24"/>
                <w:szCs w:val="24"/>
                <w:highlight w:val="none"/>
                <w:u w:val="none" w:color="auto"/>
                <w:lang w:val="en-US" w:eastAsia="zh-CN"/>
              </w:rPr>
              <w:t>属于</w:t>
            </w:r>
            <w:r>
              <w:rPr>
                <w:rFonts w:hint="eastAsia" w:cs="Times New Roman"/>
                <w:color w:val="auto"/>
                <w:spacing w:val="0"/>
                <w:sz w:val="24"/>
                <w:szCs w:val="24"/>
                <w:highlight w:val="none"/>
                <w:u w:val="none" w:color="auto"/>
                <w:lang w:val="en-US" w:eastAsia="zh-CN"/>
              </w:rPr>
              <w:t>SW17可再生类废物</w:t>
            </w:r>
            <w:r>
              <w:rPr>
                <w:rFonts w:hint="eastAsia" w:ascii="Times New Roman" w:hAnsi="Times New Roman" w:eastAsia="宋体" w:cs="Times New Roman"/>
                <w:color w:val="auto"/>
                <w:spacing w:val="0"/>
                <w:sz w:val="24"/>
                <w:szCs w:val="24"/>
                <w:highlight w:val="none"/>
                <w:u w:val="none" w:color="auto"/>
                <w:lang w:val="en-US" w:eastAsia="zh-CN"/>
              </w:rPr>
              <w:t>，分类代码</w:t>
            </w:r>
            <w:r>
              <w:rPr>
                <w:rFonts w:hint="eastAsia" w:cs="Times New Roman"/>
                <w:color w:val="auto"/>
                <w:spacing w:val="0"/>
                <w:sz w:val="24"/>
                <w:szCs w:val="24"/>
                <w:highlight w:val="none"/>
                <w:u w:val="none" w:color="auto"/>
                <w:lang w:val="en-US" w:eastAsia="zh-CN"/>
              </w:rPr>
              <w:t>900</w:t>
            </w:r>
            <w:r>
              <w:rPr>
                <w:rFonts w:hint="default" w:ascii="Times New Roman" w:hAnsi="Times New Roman" w:eastAsia="宋体" w:cs="Times New Roman"/>
                <w:color w:val="auto"/>
                <w:spacing w:val="0"/>
                <w:sz w:val="24"/>
                <w:szCs w:val="24"/>
                <w:highlight w:val="none"/>
                <w:u w:val="none" w:color="auto"/>
                <w:lang w:val="en-US" w:eastAsia="zh-CN"/>
              </w:rPr>
              <w:t>-0</w:t>
            </w:r>
            <w:r>
              <w:rPr>
                <w:rFonts w:hint="eastAsia" w:cs="Times New Roman"/>
                <w:color w:val="auto"/>
                <w:spacing w:val="0"/>
                <w:sz w:val="24"/>
                <w:szCs w:val="24"/>
                <w:highlight w:val="none"/>
                <w:u w:val="none" w:color="auto"/>
                <w:lang w:val="en-US" w:eastAsia="zh-CN"/>
              </w:rPr>
              <w:t>99</w:t>
            </w:r>
            <w:r>
              <w:rPr>
                <w:rFonts w:hint="default" w:ascii="Times New Roman" w:hAnsi="Times New Roman" w:eastAsia="宋体" w:cs="Times New Roman"/>
                <w:color w:val="auto"/>
                <w:spacing w:val="0"/>
                <w:sz w:val="24"/>
                <w:szCs w:val="24"/>
                <w:highlight w:val="none"/>
                <w:u w:val="none" w:color="auto"/>
                <w:lang w:val="en-US" w:eastAsia="zh-CN"/>
              </w:rPr>
              <w:t>-</w:t>
            </w:r>
            <w:r>
              <w:rPr>
                <w:rFonts w:hint="eastAsia" w:cs="Times New Roman"/>
                <w:color w:val="auto"/>
                <w:spacing w:val="0"/>
                <w:sz w:val="24"/>
                <w:szCs w:val="24"/>
                <w:highlight w:val="none"/>
                <w:u w:val="none" w:color="auto"/>
                <w:lang w:val="en-US" w:eastAsia="zh-CN"/>
              </w:rPr>
              <w:t>S17。</w:t>
            </w:r>
          </w:p>
          <w:p w14:paraId="5352090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0"/>
                <w:sz w:val="24"/>
                <w:szCs w:val="24"/>
                <w:u w:val="none" w:color="auto"/>
                <w:lang w:val="en-US" w:eastAsia="zh-CN"/>
              </w:rPr>
            </w:pPr>
            <w:r>
              <w:rPr>
                <w:rFonts w:hint="default" w:ascii="Times New Roman" w:hAnsi="Times New Roman" w:eastAsia="宋体" w:cs="Times New Roman"/>
                <w:color w:val="000000"/>
                <w:kern w:val="0"/>
                <w:sz w:val="24"/>
                <w:szCs w:val="24"/>
                <w:u w:val="none" w:color="auto"/>
                <w:lang w:val="en-US" w:eastAsia="zh-CN"/>
              </w:rPr>
              <w:t>②含铁杂质</w:t>
            </w:r>
          </w:p>
          <w:p w14:paraId="0741A75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pacing w:val="0"/>
                <w:sz w:val="24"/>
                <w:szCs w:val="24"/>
                <w:highlight w:val="none"/>
                <w:u w:val="none" w:color="auto"/>
                <w:lang w:val="en-US" w:eastAsia="zh-CN"/>
              </w:rPr>
            </w:pPr>
            <w:r>
              <w:rPr>
                <w:rFonts w:hint="default" w:ascii="Times New Roman" w:hAnsi="Times New Roman" w:eastAsia="宋体" w:cs="Times New Roman"/>
                <w:color w:val="auto"/>
                <w:spacing w:val="0"/>
                <w:sz w:val="24"/>
                <w:szCs w:val="24"/>
                <w:u w:val="none" w:color="auto"/>
              </w:rPr>
              <w:t>本项目原料</w:t>
            </w:r>
            <w:r>
              <w:rPr>
                <w:rFonts w:hint="eastAsia" w:ascii="Times New Roman" w:hAnsi="Times New Roman" w:eastAsia="宋体" w:cs="Times New Roman"/>
                <w:color w:val="auto"/>
                <w:spacing w:val="0"/>
                <w:sz w:val="24"/>
                <w:szCs w:val="24"/>
                <w:u w:val="none" w:color="auto"/>
                <w:lang w:val="en-US" w:eastAsia="zh-CN"/>
              </w:rPr>
              <w:t>在</w:t>
            </w:r>
            <w:r>
              <w:rPr>
                <w:rFonts w:hint="default" w:ascii="Times New Roman" w:hAnsi="Times New Roman" w:eastAsia="宋体" w:cs="Times New Roman"/>
                <w:color w:val="auto"/>
                <w:spacing w:val="0"/>
                <w:sz w:val="24"/>
                <w:szCs w:val="24"/>
                <w:u w:val="none" w:color="auto"/>
              </w:rPr>
              <w:t>磁选工序</w:t>
            </w:r>
            <w:r>
              <w:rPr>
                <w:rFonts w:hint="eastAsia" w:ascii="Times New Roman" w:hAnsi="Times New Roman" w:eastAsia="宋体" w:cs="Times New Roman"/>
                <w:color w:val="auto"/>
                <w:spacing w:val="0"/>
                <w:sz w:val="24"/>
                <w:szCs w:val="24"/>
                <w:u w:val="none" w:color="auto"/>
                <w:lang w:val="en-US" w:eastAsia="zh-CN"/>
              </w:rPr>
              <w:t>中</w:t>
            </w:r>
            <w:r>
              <w:rPr>
                <w:rFonts w:hint="default" w:ascii="Times New Roman" w:hAnsi="Times New Roman" w:eastAsia="宋体" w:cs="Times New Roman"/>
                <w:color w:val="auto"/>
                <w:spacing w:val="0"/>
                <w:sz w:val="24"/>
                <w:szCs w:val="24"/>
                <w:u w:val="none" w:color="auto"/>
              </w:rPr>
              <w:t>会产生</w:t>
            </w:r>
            <w:r>
              <w:rPr>
                <w:rFonts w:hint="eastAsia" w:ascii="Times New Roman" w:hAnsi="Times New Roman" w:eastAsia="宋体" w:cs="Times New Roman"/>
                <w:color w:val="auto"/>
                <w:spacing w:val="0"/>
                <w:sz w:val="24"/>
                <w:szCs w:val="24"/>
                <w:u w:val="none" w:color="auto"/>
                <w:lang w:val="en-US" w:eastAsia="zh-CN"/>
              </w:rPr>
              <w:t>少量的</w:t>
            </w:r>
            <w:r>
              <w:rPr>
                <w:rFonts w:hint="default" w:ascii="Times New Roman" w:hAnsi="Times New Roman" w:eastAsia="宋体" w:cs="Times New Roman"/>
                <w:color w:val="000000"/>
                <w:kern w:val="0"/>
                <w:sz w:val="24"/>
                <w:szCs w:val="24"/>
                <w:u w:val="none" w:color="auto"/>
                <w:lang w:val="en-US" w:eastAsia="zh-CN"/>
              </w:rPr>
              <w:t>含铁杂质</w:t>
            </w:r>
            <w:r>
              <w:rPr>
                <w:rFonts w:hint="eastAsia" w:ascii="Times New Roman" w:hAnsi="Times New Roman" w:eastAsia="宋体" w:cs="Times New Roman"/>
                <w:color w:val="000000"/>
                <w:kern w:val="0"/>
                <w:sz w:val="24"/>
                <w:szCs w:val="24"/>
                <w:u w:val="none" w:color="auto"/>
                <w:lang w:val="en-US" w:eastAsia="zh-CN"/>
              </w:rPr>
              <w:t>，</w:t>
            </w:r>
            <w:r>
              <w:rPr>
                <w:rFonts w:hint="eastAsia" w:eastAsia="宋体" w:cs="Times New Roman"/>
                <w:color w:val="auto"/>
                <w:spacing w:val="0"/>
                <w:sz w:val="24"/>
                <w:szCs w:val="24"/>
                <w:u w:val="none" w:color="auto"/>
                <w:lang w:val="en-US" w:eastAsia="zh-CN"/>
              </w:rPr>
              <w:t>根据建设单位提供的资料，</w:t>
            </w:r>
            <w:r>
              <w:rPr>
                <w:rFonts w:hint="eastAsia" w:ascii="Times New Roman" w:hAnsi="Times New Roman" w:eastAsia="宋体" w:cs="Times New Roman"/>
                <w:color w:val="auto"/>
                <w:spacing w:val="0"/>
                <w:sz w:val="24"/>
                <w:szCs w:val="24"/>
                <w:u w:val="none" w:color="auto"/>
                <w:lang w:val="en-US" w:eastAsia="zh-CN"/>
              </w:rPr>
              <w:t>其</w:t>
            </w:r>
            <w:r>
              <w:rPr>
                <w:rFonts w:hint="default" w:ascii="Times New Roman" w:hAnsi="Times New Roman" w:eastAsia="宋体" w:cs="Times New Roman"/>
                <w:color w:val="auto"/>
                <w:spacing w:val="0"/>
                <w:sz w:val="24"/>
                <w:szCs w:val="24"/>
                <w:u w:val="none" w:color="auto"/>
              </w:rPr>
              <w:t>年产生量约为</w:t>
            </w:r>
            <w:r>
              <w:rPr>
                <w:rFonts w:hint="eastAsia" w:eastAsia="宋体" w:cs="Times New Roman"/>
                <w:color w:val="auto"/>
                <w:spacing w:val="0"/>
                <w:sz w:val="24"/>
                <w:szCs w:val="24"/>
                <w:u w:val="none" w:color="auto"/>
                <w:lang w:val="en-US" w:eastAsia="zh-CN"/>
              </w:rPr>
              <w:t>0.8</w:t>
            </w:r>
            <w:r>
              <w:rPr>
                <w:rFonts w:hint="default" w:ascii="Times New Roman" w:hAnsi="Times New Roman" w:eastAsia="宋体" w:cs="Times New Roman"/>
                <w:color w:val="auto"/>
                <w:spacing w:val="0"/>
                <w:sz w:val="24"/>
                <w:szCs w:val="24"/>
                <w:u w:val="none" w:color="auto"/>
              </w:rPr>
              <w:t>t/a，</w:t>
            </w:r>
            <w:r>
              <w:rPr>
                <w:rFonts w:hint="default" w:ascii="Times New Roman" w:hAnsi="Times New Roman" w:eastAsia="宋体" w:cs="Times New Roman"/>
                <w:color w:val="000000"/>
                <w:kern w:val="0"/>
                <w:sz w:val="24"/>
                <w:szCs w:val="24"/>
                <w:u w:val="none" w:color="auto"/>
                <w:lang w:val="en-US" w:eastAsia="zh-CN"/>
              </w:rPr>
              <w:t>含铁杂质</w:t>
            </w:r>
            <w:r>
              <w:rPr>
                <w:rFonts w:hint="default" w:ascii="Times New Roman" w:hAnsi="Times New Roman" w:eastAsia="宋体" w:cs="Times New Roman"/>
                <w:color w:val="auto"/>
                <w:spacing w:val="0"/>
                <w:sz w:val="24"/>
                <w:szCs w:val="24"/>
                <w:u w:val="none" w:color="auto"/>
                <w:lang w:val="en-US" w:eastAsia="zh-CN"/>
              </w:rPr>
              <w:t>为一般固废，</w:t>
            </w:r>
            <w:r>
              <w:rPr>
                <w:rFonts w:hint="default" w:ascii="Times New Roman" w:hAnsi="Times New Roman" w:eastAsia="宋体" w:cs="Times New Roman"/>
                <w:color w:val="auto"/>
                <w:spacing w:val="0"/>
                <w:sz w:val="24"/>
                <w:szCs w:val="24"/>
                <w:u w:val="none" w:color="auto"/>
              </w:rPr>
              <w:t>收集后交由生产销售企业回收</w:t>
            </w:r>
            <w:r>
              <w:rPr>
                <w:rFonts w:hint="default" w:ascii="Times New Roman" w:hAnsi="Times New Roman" w:eastAsia="宋体" w:cs="Times New Roman"/>
                <w:color w:val="auto"/>
                <w:spacing w:val="0"/>
                <w:sz w:val="24"/>
                <w:szCs w:val="24"/>
                <w:u w:val="none" w:color="auto"/>
                <w:lang w:val="en-US" w:eastAsia="zh-CN"/>
              </w:rPr>
              <w:t>再利用</w:t>
            </w:r>
            <w:r>
              <w:rPr>
                <w:rFonts w:hint="default" w:ascii="Times New Roman" w:hAnsi="Times New Roman" w:eastAsia="宋体" w:cs="Times New Roman"/>
                <w:color w:val="auto"/>
                <w:spacing w:val="0"/>
                <w:sz w:val="24"/>
                <w:szCs w:val="24"/>
                <w:u w:val="none" w:color="auto"/>
              </w:rPr>
              <w:t>。</w:t>
            </w:r>
            <w:r>
              <w:rPr>
                <w:rFonts w:hint="eastAsia" w:ascii="Times New Roman" w:hAnsi="Times New Roman" w:eastAsia="宋体" w:cs="Times New Roman"/>
                <w:color w:val="auto"/>
                <w:spacing w:val="0"/>
                <w:sz w:val="24"/>
                <w:szCs w:val="24"/>
                <w:highlight w:val="none"/>
                <w:u w:val="none" w:color="auto"/>
                <w:lang w:val="en-US" w:eastAsia="zh-CN"/>
              </w:rPr>
              <w:t>根据《固体废物分类与代码目录》（</w:t>
            </w:r>
            <w:r>
              <w:rPr>
                <w:rFonts w:hint="eastAsia" w:cs="Times New Roman"/>
                <w:color w:val="auto"/>
                <w:spacing w:val="0"/>
                <w:sz w:val="24"/>
                <w:szCs w:val="24"/>
                <w:highlight w:val="none"/>
                <w:u w:val="none" w:color="auto"/>
                <w:lang w:val="en-US" w:eastAsia="zh-CN"/>
              </w:rPr>
              <w:t>生态环境部2024年第4号</w:t>
            </w:r>
            <w:r>
              <w:rPr>
                <w:rFonts w:hint="eastAsia" w:ascii="Times New Roman" w:hAnsi="Times New Roman" w:eastAsia="宋体" w:cs="Times New Roman"/>
                <w:color w:val="auto"/>
                <w:spacing w:val="0"/>
                <w:sz w:val="24"/>
                <w:szCs w:val="24"/>
                <w:highlight w:val="none"/>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rPr>
              <w:t>分拣废料</w:t>
            </w:r>
            <w:r>
              <w:rPr>
                <w:rFonts w:hint="eastAsia" w:ascii="Times New Roman" w:hAnsi="Times New Roman" w:eastAsia="宋体" w:cs="Times New Roman"/>
                <w:color w:val="auto"/>
                <w:spacing w:val="0"/>
                <w:sz w:val="24"/>
                <w:szCs w:val="24"/>
                <w:highlight w:val="none"/>
                <w:u w:val="none" w:color="auto"/>
                <w:lang w:val="en-US" w:eastAsia="zh-CN"/>
              </w:rPr>
              <w:t>属于</w:t>
            </w:r>
            <w:r>
              <w:rPr>
                <w:rFonts w:hint="eastAsia" w:cs="Times New Roman"/>
                <w:color w:val="auto"/>
                <w:spacing w:val="0"/>
                <w:sz w:val="24"/>
                <w:szCs w:val="24"/>
                <w:highlight w:val="none"/>
                <w:u w:val="none" w:color="auto"/>
                <w:lang w:val="en-US" w:eastAsia="zh-CN"/>
              </w:rPr>
              <w:t>SW17可再生类废物</w:t>
            </w:r>
            <w:r>
              <w:rPr>
                <w:rFonts w:hint="eastAsia" w:ascii="Times New Roman" w:hAnsi="Times New Roman" w:eastAsia="宋体" w:cs="Times New Roman"/>
                <w:color w:val="auto"/>
                <w:spacing w:val="0"/>
                <w:sz w:val="24"/>
                <w:szCs w:val="24"/>
                <w:highlight w:val="none"/>
                <w:u w:val="none" w:color="auto"/>
                <w:lang w:val="en-US" w:eastAsia="zh-CN"/>
              </w:rPr>
              <w:t>，分类代码</w:t>
            </w:r>
            <w:r>
              <w:rPr>
                <w:rFonts w:hint="eastAsia" w:cs="Times New Roman"/>
                <w:color w:val="auto"/>
                <w:spacing w:val="0"/>
                <w:sz w:val="24"/>
                <w:szCs w:val="24"/>
                <w:highlight w:val="none"/>
                <w:u w:val="none" w:color="auto"/>
                <w:lang w:val="en-US" w:eastAsia="zh-CN"/>
              </w:rPr>
              <w:t>900-002-S17。</w:t>
            </w:r>
          </w:p>
          <w:p w14:paraId="3D5CA9F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kern w:val="0"/>
                <w:sz w:val="24"/>
                <w:szCs w:val="24"/>
                <w:u w:val="none" w:color="auto"/>
                <w:lang w:val="en-US" w:eastAsia="zh-CN"/>
              </w:rPr>
            </w:pPr>
            <w:r>
              <w:rPr>
                <w:rFonts w:hint="default" w:ascii="Times New Roman" w:hAnsi="Times New Roman" w:eastAsia="宋体" w:cs="Times New Roman"/>
                <w:color w:val="000000"/>
                <w:kern w:val="0"/>
                <w:sz w:val="24"/>
                <w:szCs w:val="24"/>
                <w:u w:val="none" w:color="auto"/>
                <w:lang w:val="en-US" w:eastAsia="zh-CN"/>
              </w:rPr>
              <w:t>③</w:t>
            </w:r>
            <w:r>
              <w:rPr>
                <w:rFonts w:hint="eastAsia" w:eastAsia="宋体" w:cs="Times New Roman"/>
                <w:color w:val="000000"/>
                <w:kern w:val="0"/>
                <w:sz w:val="24"/>
                <w:szCs w:val="24"/>
                <w:u w:val="none" w:color="auto"/>
                <w:lang w:val="en-US" w:eastAsia="zh-CN"/>
              </w:rPr>
              <w:t>废布袋</w:t>
            </w:r>
          </w:p>
          <w:p w14:paraId="193B3C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cs="Times New Roman"/>
                <w:color w:val="auto"/>
                <w:sz w:val="24"/>
                <w:szCs w:val="24"/>
                <w:u w:val="none" w:color="auto"/>
                <w:lang w:val="en-US" w:eastAsia="zh-CN"/>
              </w:rPr>
              <w:t>本项目破碎废气</w:t>
            </w:r>
            <w:r>
              <w:rPr>
                <w:rFonts w:hint="eastAsia" w:ascii="Times New Roman" w:hAnsi="Times New Roman" w:eastAsia="宋体" w:cs="Times New Roman"/>
                <w:color w:val="auto"/>
                <w:sz w:val="24"/>
                <w:szCs w:val="24"/>
                <w:u w:val="none" w:color="auto"/>
                <w:lang w:val="en-US" w:eastAsia="zh-CN"/>
              </w:rPr>
              <w:t>所采取的废气处理设施（</w:t>
            </w:r>
            <w:r>
              <w:rPr>
                <w:rFonts w:hint="eastAsia" w:cs="Times New Roman"/>
                <w:bCs/>
                <w:color w:val="000000"/>
                <w:sz w:val="24"/>
                <w:u w:val="none" w:color="auto"/>
                <w:lang w:val="en-US" w:eastAsia="zh-CN"/>
              </w:rPr>
              <w:t>袋式除尘器</w:t>
            </w:r>
            <w:r>
              <w:rPr>
                <w:rFonts w:hint="default" w:ascii="Times New Roman" w:hAnsi="Times New Roman" w:eastAsia="宋体" w:cs="Times New Roman"/>
                <w:bCs/>
                <w:color w:val="000000"/>
                <w:sz w:val="24"/>
                <w:u w:val="none" w:color="auto"/>
                <w:lang w:val="en-US" w:eastAsia="zh-CN"/>
              </w:rPr>
              <w:t>装置</w:t>
            </w:r>
            <w:r>
              <w:rPr>
                <w:rFonts w:hint="eastAsia" w:ascii="Times New Roman" w:hAnsi="Times New Roman"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袋式除尘器废气处理布袋循环使用，需定期更换保证处理效果，根据建设单位提供资料，半年更换一次，更换量为</w:t>
            </w:r>
            <w:r>
              <w:rPr>
                <w:rFonts w:hint="default" w:ascii="Times New Roman" w:hAnsi="Times New Roman" w:eastAsia="宋体" w:cs="Times New Roman"/>
                <w:color w:val="auto"/>
                <w:sz w:val="24"/>
                <w:szCs w:val="24"/>
                <w:highlight w:val="none"/>
                <w:u w:val="none" w:color="auto"/>
                <w:lang w:val="en-US" w:eastAsia="zh-CN"/>
              </w:rPr>
              <w:t>0.</w:t>
            </w:r>
            <w:r>
              <w:rPr>
                <w:rFonts w:hint="eastAsia" w:ascii="Times New Roman" w:hAnsi="Times New Roman" w:eastAsia="宋体" w:cs="Times New Roman"/>
                <w:color w:val="auto"/>
                <w:sz w:val="24"/>
                <w:szCs w:val="24"/>
                <w:highlight w:val="none"/>
                <w:u w:val="none" w:color="auto"/>
                <w:lang w:val="en-US" w:eastAsia="zh-CN"/>
              </w:rPr>
              <w:t>5</w:t>
            </w:r>
            <w:r>
              <w:rPr>
                <w:rFonts w:hint="default" w:ascii="Times New Roman" w:hAnsi="Times New Roman" w:eastAsia="宋体" w:cs="Times New Roman"/>
                <w:color w:val="auto"/>
                <w:sz w:val="24"/>
                <w:szCs w:val="24"/>
                <w:highlight w:val="none"/>
                <w:u w:val="none" w:color="auto"/>
                <w:lang w:val="en-US" w:eastAsia="zh-CN"/>
              </w:rPr>
              <w:t>t/a</w:t>
            </w:r>
            <w:r>
              <w:rPr>
                <w:rFonts w:hint="eastAsia"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pacing w:val="0"/>
                <w:sz w:val="24"/>
                <w:szCs w:val="24"/>
                <w:highlight w:val="none"/>
                <w:u w:val="none" w:color="auto"/>
                <w:lang w:val="en-US" w:eastAsia="zh-CN"/>
              </w:rPr>
              <w:t>根据《固体废物分类与代码目录》（</w:t>
            </w:r>
            <w:r>
              <w:rPr>
                <w:rFonts w:hint="eastAsia" w:cs="Times New Roman"/>
                <w:color w:val="auto"/>
                <w:spacing w:val="0"/>
                <w:sz w:val="24"/>
                <w:szCs w:val="24"/>
                <w:highlight w:val="none"/>
                <w:u w:val="none" w:color="auto"/>
                <w:lang w:val="en-US" w:eastAsia="zh-CN"/>
              </w:rPr>
              <w:t>生态环境部2024年第4号</w:t>
            </w:r>
            <w:r>
              <w:rPr>
                <w:rFonts w:hint="eastAsia" w:ascii="Times New Roman" w:hAnsi="Times New Roman" w:eastAsia="宋体" w:cs="Times New Roman"/>
                <w:color w:val="auto"/>
                <w:spacing w:val="0"/>
                <w:sz w:val="24"/>
                <w:szCs w:val="24"/>
                <w:highlight w:val="none"/>
                <w:u w:val="none" w:color="auto"/>
                <w:lang w:val="en-US" w:eastAsia="zh-CN"/>
              </w:rPr>
              <w:t>），属于</w:t>
            </w:r>
            <w:r>
              <w:rPr>
                <w:rFonts w:hint="eastAsia" w:cs="Times New Roman"/>
                <w:color w:val="auto"/>
                <w:spacing w:val="0"/>
                <w:sz w:val="24"/>
                <w:szCs w:val="24"/>
                <w:highlight w:val="none"/>
                <w:u w:val="none" w:color="auto"/>
                <w:lang w:val="en-US" w:eastAsia="zh-CN"/>
              </w:rPr>
              <w:t>SW17可再生类废物</w:t>
            </w:r>
            <w:r>
              <w:rPr>
                <w:rFonts w:hint="eastAsia" w:ascii="Times New Roman" w:hAnsi="Times New Roman" w:eastAsia="宋体" w:cs="Times New Roman"/>
                <w:color w:val="auto"/>
                <w:spacing w:val="0"/>
                <w:sz w:val="24"/>
                <w:szCs w:val="24"/>
                <w:highlight w:val="none"/>
                <w:u w:val="none" w:color="auto"/>
                <w:lang w:val="en-US" w:eastAsia="zh-CN"/>
              </w:rPr>
              <w:t>，分类代码</w:t>
            </w:r>
            <w:r>
              <w:rPr>
                <w:rFonts w:hint="eastAsia" w:cs="Times New Roman"/>
                <w:color w:val="auto"/>
                <w:spacing w:val="0"/>
                <w:sz w:val="24"/>
                <w:szCs w:val="24"/>
                <w:highlight w:val="none"/>
                <w:u w:val="none" w:color="auto"/>
                <w:lang w:val="en-US" w:eastAsia="zh-CN"/>
              </w:rPr>
              <w:t>900</w:t>
            </w:r>
            <w:r>
              <w:rPr>
                <w:rFonts w:hint="default" w:ascii="Times New Roman" w:hAnsi="Times New Roman" w:eastAsia="宋体" w:cs="Times New Roman"/>
                <w:color w:val="auto"/>
                <w:spacing w:val="0"/>
                <w:sz w:val="24"/>
                <w:szCs w:val="24"/>
                <w:highlight w:val="none"/>
                <w:u w:val="none" w:color="auto"/>
                <w:lang w:val="en-US" w:eastAsia="zh-CN"/>
              </w:rPr>
              <w:t>-0</w:t>
            </w:r>
            <w:r>
              <w:rPr>
                <w:rFonts w:hint="eastAsia" w:cs="Times New Roman"/>
                <w:color w:val="auto"/>
                <w:spacing w:val="0"/>
                <w:sz w:val="24"/>
                <w:szCs w:val="24"/>
                <w:highlight w:val="none"/>
                <w:u w:val="none" w:color="auto"/>
                <w:lang w:val="en-US" w:eastAsia="zh-CN"/>
              </w:rPr>
              <w:t>99</w:t>
            </w:r>
            <w:r>
              <w:rPr>
                <w:rFonts w:hint="default" w:ascii="Times New Roman" w:hAnsi="Times New Roman" w:eastAsia="宋体" w:cs="Times New Roman"/>
                <w:color w:val="auto"/>
                <w:spacing w:val="0"/>
                <w:sz w:val="24"/>
                <w:szCs w:val="24"/>
                <w:highlight w:val="none"/>
                <w:u w:val="none" w:color="auto"/>
                <w:lang w:val="en-US" w:eastAsia="zh-CN"/>
              </w:rPr>
              <w:t>-</w:t>
            </w:r>
            <w:r>
              <w:rPr>
                <w:rFonts w:hint="eastAsia" w:cs="Times New Roman"/>
                <w:color w:val="auto"/>
                <w:spacing w:val="0"/>
                <w:sz w:val="24"/>
                <w:szCs w:val="24"/>
                <w:highlight w:val="none"/>
                <w:u w:val="none" w:color="auto"/>
                <w:lang w:val="en-US" w:eastAsia="zh-CN"/>
              </w:rPr>
              <w:t>S17，</w:t>
            </w:r>
            <w:r>
              <w:rPr>
                <w:rFonts w:hint="eastAsia" w:ascii="Times New Roman" w:hAnsi="Times New Roman" w:eastAsia="宋体" w:cs="Times New Roman"/>
                <w:color w:val="auto"/>
                <w:sz w:val="24"/>
                <w:szCs w:val="24"/>
                <w:highlight w:val="none"/>
                <w:u w:val="none" w:color="auto"/>
                <w:lang w:val="en-US" w:eastAsia="zh-CN"/>
              </w:rPr>
              <w:t>经收集后外售处理。</w:t>
            </w:r>
          </w:p>
          <w:p w14:paraId="7710C9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ascii="Times New Roman" w:hAnsi="Times New Roman" w:eastAsia="宋体" w:cs="Times New Roman"/>
                <w:color w:val="000000"/>
                <w:kern w:val="0"/>
                <w:sz w:val="24"/>
                <w:szCs w:val="24"/>
                <w:u w:val="none" w:color="auto"/>
                <w:lang w:val="en-US" w:eastAsia="zh-CN"/>
              </w:rPr>
              <w:t>④</w:t>
            </w:r>
            <w:r>
              <w:rPr>
                <w:rFonts w:hint="eastAsia" w:ascii="Times New Roman" w:hAnsi="Times New Roman" w:eastAsia="宋体" w:cs="Times New Roman"/>
                <w:color w:val="auto"/>
                <w:sz w:val="24"/>
                <w:szCs w:val="24"/>
                <w:highlight w:val="none"/>
                <w:u w:val="none" w:color="auto"/>
                <w:lang w:val="en-US" w:eastAsia="zh-CN"/>
              </w:rPr>
              <w:t>袋式除尘器</w:t>
            </w:r>
            <w:r>
              <w:rPr>
                <w:rFonts w:hint="default" w:ascii="Times New Roman" w:hAnsi="Times New Roman" w:eastAsia="宋体" w:cs="Times New Roman"/>
                <w:color w:val="auto"/>
                <w:sz w:val="24"/>
                <w:szCs w:val="24"/>
                <w:u w:val="none" w:color="auto"/>
              </w:rPr>
              <w:t>收集粉尘</w:t>
            </w:r>
          </w:p>
          <w:p w14:paraId="5A56818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Cs/>
                <w:color w:val="000000"/>
                <w:sz w:val="24"/>
                <w:szCs w:val="24"/>
                <w:highlight w:val="none"/>
                <w:u w:val="none" w:color="auto"/>
                <w:lang w:val="en-US" w:eastAsia="zh-CN"/>
              </w:rPr>
            </w:pPr>
            <w:r>
              <w:rPr>
                <w:rFonts w:hint="default" w:ascii="Times New Roman" w:hAnsi="Times New Roman" w:eastAsia="宋体" w:cs="Times New Roman"/>
                <w:color w:val="auto"/>
                <w:sz w:val="24"/>
                <w:szCs w:val="24"/>
                <w:u w:val="none" w:color="auto"/>
              </w:rPr>
              <w:t>项目</w:t>
            </w:r>
            <w:r>
              <w:rPr>
                <w:rFonts w:hint="eastAsia" w:ascii="Times New Roman" w:hAnsi="Times New Roman" w:cs="Times New Roman"/>
                <w:color w:val="auto"/>
                <w:sz w:val="24"/>
                <w:szCs w:val="24"/>
                <w:u w:val="none" w:color="auto"/>
                <w:lang w:val="en-US" w:eastAsia="zh-CN"/>
              </w:rPr>
              <w:t>破碎废气</w:t>
            </w:r>
            <w:r>
              <w:rPr>
                <w:rFonts w:hint="default" w:ascii="Times New Roman" w:hAnsi="Times New Roman" w:eastAsia="宋体" w:cs="Times New Roman"/>
                <w:color w:val="auto"/>
                <w:sz w:val="24"/>
                <w:szCs w:val="24"/>
                <w:u w:val="none" w:color="auto"/>
              </w:rPr>
              <w:t>采用布袋除尘器收集，根据废气源强分析可知，粉尘收集量约为</w:t>
            </w:r>
            <w:r>
              <w:rPr>
                <w:rFonts w:hint="eastAsia" w:eastAsia="宋体" w:cs="Times New Roman"/>
                <w:color w:val="auto"/>
                <w:sz w:val="24"/>
                <w:szCs w:val="24"/>
                <w:u w:val="none" w:color="auto"/>
                <w:lang w:val="en-US" w:eastAsia="zh-CN"/>
              </w:rPr>
              <w:t>14.428</w:t>
            </w:r>
            <w:r>
              <w:rPr>
                <w:rFonts w:hint="default" w:cs="Times New Roman"/>
                <w:color w:val="auto"/>
                <w:sz w:val="24"/>
                <w:szCs w:val="24"/>
                <w:u w:val="none" w:color="auto"/>
              </w:rPr>
              <w:t>t/a</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highlight w:val="none"/>
                <w:u w:val="none" w:color="auto"/>
                <w:lang w:val="en-US" w:eastAsia="zh-CN"/>
              </w:rPr>
              <w:t>根据</w:t>
            </w:r>
            <w:r>
              <w:rPr>
                <w:rFonts w:hint="eastAsia" w:ascii="Times New Roman" w:hAnsi="Times New Roman" w:eastAsia="宋体" w:cs="Times New Roman"/>
                <w:color w:val="auto"/>
                <w:spacing w:val="0"/>
                <w:sz w:val="24"/>
                <w:szCs w:val="24"/>
                <w:highlight w:val="none"/>
                <w:u w:val="none" w:color="auto"/>
                <w:lang w:val="en-US" w:eastAsia="zh-CN"/>
              </w:rPr>
              <w:t>《固体废物分类与代码目录》（</w:t>
            </w:r>
            <w:r>
              <w:rPr>
                <w:rFonts w:hint="eastAsia" w:cs="Times New Roman"/>
                <w:color w:val="auto"/>
                <w:spacing w:val="0"/>
                <w:sz w:val="24"/>
                <w:szCs w:val="24"/>
                <w:highlight w:val="none"/>
                <w:u w:val="none" w:color="auto"/>
                <w:lang w:val="en-US" w:eastAsia="zh-CN"/>
              </w:rPr>
              <w:t>生态环境部2024年第4号</w:t>
            </w:r>
            <w:r>
              <w:rPr>
                <w:rFonts w:hint="eastAsia" w:ascii="Times New Roman" w:hAnsi="Times New Roman" w:eastAsia="宋体" w:cs="Times New Roman"/>
                <w:color w:val="auto"/>
                <w:spacing w:val="0"/>
                <w:sz w:val="24"/>
                <w:szCs w:val="24"/>
                <w:highlight w:val="none"/>
                <w:u w:val="none" w:color="auto"/>
                <w:lang w:val="en-US" w:eastAsia="zh-CN"/>
              </w:rPr>
              <w:t>），属于</w:t>
            </w:r>
            <w:r>
              <w:rPr>
                <w:rFonts w:hint="eastAsia" w:cs="Times New Roman"/>
                <w:color w:val="auto"/>
                <w:spacing w:val="0"/>
                <w:sz w:val="24"/>
                <w:szCs w:val="24"/>
                <w:highlight w:val="none"/>
                <w:u w:val="none" w:color="auto"/>
                <w:lang w:val="en-US" w:eastAsia="zh-CN"/>
              </w:rPr>
              <w:t>SW59其他工业固体废物</w:t>
            </w:r>
            <w:r>
              <w:rPr>
                <w:rFonts w:hint="eastAsia" w:ascii="Times New Roman" w:hAnsi="Times New Roman" w:eastAsia="宋体" w:cs="Times New Roman"/>
                <w:color w:val="auto"/>
                <w:spacing w:val="0"/>
                <w:sz w:val="24"/>
                <w:szCs w:val="24"/>
                <w:highlight w:val="none"/>
                <w:u w:val="none" w:color="auto"/>
                <w:lang w:val="en-US" w:eastAsia="zh-CN"/>
              </w:rPr>
              <w:t>，分类代码</w:t>
            </w:r>
            <w:r>
              <w:rPr>
                <w:rFonts w:hint="eastAsia" w:cs="Times New Roman"/>
                <w:color w:val="auto"/>
                <w:spacing w:val="0"/>
                <w:sz w:val="24"/>
                <w:szCs w:val="24"/>
                <w:highlight w:val="none"/>
                <w:u w:val="none" w:color="auto"/>
                <w:lang w:val="en-US" w:eastAsia="zh-CN"/>
              </w:rPr>
              <w:t>900-099-S59，</w:t>
            </w:r>
            <w:r>
              <w:rPr>
                <w:rFonts w:hint="eastAsia" w:ascii="Times New Roman" w:hAnsi="Times New Roman" w:cs="Times New Roman"/>
                <w:bCs/>
                <w:color w:val="000000"/>
                <w:sz w:val="24"/>
                <w:szCs w:val="24"/>
                <w:highlight w:val="none"/>
                <w:u w:val="none" w:color="auto"/>
                <w:lang w:val="en-US" w:eastAsia="zh-CN"/>
              </w:rPr>
              <w:t>经收集后交由相关单位处理</w:t>
            </w:r>
            <w:r>
              <w:rPr>
                <w:rFonts w:hint="eastAsia" w:cs="Times New Roman"/>
                <w:bCs/>
                <w:color w:val="000000"/>
                <w:sz w:val="24"/>
                <w:szCs w:val="24"/>
                <w:highlight w:val="none"/>
                <w:u w:val="none" w:color="auto"/>
                <w:lang w:val="en-US" w:eastAsia="zh-CN"/>
              </w:rPr>
              <w:t>。</w:t>
            </w:r>
          </w:p>
          <w:p w14:paraId="7306EF9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color="auto"/>
                <w:lang w:val="en-US" w:eastAsia="zh-CN"/>
              </w:rPr>
            </w:pPr>
            <w:r>
              <w:rPr>
                <w:rFonts w:hint="default" w:ascii="Times New Roman" w:hAnsi="Times New Roman" w:eastAsia="宋体" w:cs="Times New Roman"/>
                <w:color w:val="auto"/>
                <w:spacing w:val="0"/>
                <w:kern w:val="2"/>
                <w:sz w:val="24"/>
                <w:szCs w:val="24"/>
                <w:u w:color="auto"/>
                <w:lang w:val="en-US" w:eastAsia="zh-CN" w:bidi="ar-SA"/>
              </w:rPr>
              <w:t>（3）</w:t>
            </w:r>
            <w:r>
              <w:rPr>
                <w:rFonts w:hint="default" w:ascii="Times New Roman" w:hAnsi="Times New Roman" w:eastAsia="宋体" w:cs="Times New Roman"/>
                <w:color w:val="auto"/>
                <w:spacing w:val="0"/>
                <w:sz w:val="24"/>
                <w:szCs w:val="24"/>
                <w:u w:val="none" w:color="auto"/>
                <w:lang w:val="en-US" w:eastAsia="zh-CN"/>
              </w:rPr>
              <w:t>危险废物</w:t>
            </w:r>
          </w:p>
          <w:p w14:paraId="2A2A65E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sz w:val="24"/>
                <w:u w:val="none" w:color="auto"/>
              </w:rPr>
            </w:pPr>
            <w:r>
              <w:rPr>
                <w:rFonts w:hint="default" w:ascii="Times New Roman" w:hAnsi="Times New Roman" w:eastAsia="宋体" w:cs="Times New Roman"/>
                <w:color w:val="000000"/>
                <w:kern w:val="0"/>
                <w:sz w:val="24"/>
                <w:szCs w:val="24"/>
                <w:u w:val="none" w:color="auto"/>
                <w:lang w:val="en-US" w:eastAsia="zh-CN"/>
              </w:rPr>
              <w:t>①</w:t>
            </w:r>
            <w:r>
              <w:rPr>
                <w:rFonts w:hint="eastAsia" w:ascii="Times New Roman" w:hAnsi="Times New Roman" w:eastAsia="宋体" w:cs="Times New Roman"/>
                <w:snapToGrid w:val="0"/>
                <w:sz w:val="24"/>
                <w:u w:val="none" w:color="auto"/>
              </w:rPr>
              <w:t>废</w:t>
            </w:r>
            <w:r>
              <w:rPr>
                <w:rFonts w:hint="eastAsia" w:ascii="Times New Roman" w:hAnsi="Times New Roman" w:eastAsia="宋体" w:cs="Times New Roman"/>
                <w:snapToGrid w:val="0"/>
                <w:sz w:val="24"/>
                <w:u w:val="none" w:color="auto"/>
                <w:lang w:val="en-US" w:eastAsia="zh-CN"/>
              </w:rPr>
              <w:t>润滑</w:t>
            </w:r>
            <w:r>
              <w:rPr>
                <w:rFonts w:hint="eastAsia" w:ascii="Times New Roman" w:hAnsi="Times New Roman" w:eastAsia="宋体" w:cs="Times New Roman"/>
                <w:snapToGrid w:val="0"/>
                <w:sz w:val="24"/>
                <w:u w:val="none" w:color="auto"/>
              </w:rPr>
              <w:t>油</w:t>
            </w:r>
          </w:p>
          <w:p w14:paraId="228806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u w:val="none" w:color="auto"/>
              </w:rPr>
            </w:pPr>
            <w:r>
              <w:rPr>
                <w:rFonts w:hint="default" w:ascii="Times New Roman" w:hAnsi="Times New Roman" w:eastAsia="宋体" w:cs="Times New Roman"/>
                <w:color w:val="auto"/>
                <w:spacing w:val="0"/>
                <w:sz w:val="24"/>
                <w:szCs w:val="24"/>
                <w:u w:val="none" w:color="auto"/>
              </w:rPr>
              <w:t>项目设备维修过程有</w:t>
            </w:r>
            <w:r>
              <w:rPr>
                <w:rFonts w:hint="eastAsia" w:ascii="Times New Roman" w:hAnsi="Times New Roman" w:eastAsia="宋体" w:cs="Times New Roman"/>
                <w:snapToGrid w:val="0"/>
                <w:sz w:val="24"/>
                <w:u w:val="none" w:color="auto"/>
              </w:rPr>
              <w:t>废</w:t>
            </w:r>
            <w:r>
              <w:rPr>
                <w:rFonts w:hint="eastAsia" w:ascii="Times New Roman" w:hAnsi="Times New Roman" w:eastAsia="宋体" w:cs="Times New Roman"/>
                <w:snapToGrid w:val="0"/>
                <w:sz w:val="24"/>
                <w:u w:val="none" w:color="auto"/>
                <w:lang w:val="en-US" w:eastAsia="zh-CN"/>
              </w:rPr>
              <w:t>润滑</w:t>
            </w:r>
            <w:r>
              <w:rPr>
                <w:rFonts w:hint="eastAsia" w:ascii="Times New Roman" w:hAnsi="Times New Roman" w:eastAsia="宋体" w:cs="Times New Roman"/>
                <w:snapToGrid w:val="0"/>
                <w:sz w:val="24"/>
                <w:u w:val="none" w:color="auto"/>
              </w:rPr>
              <w:t>油</w:t>
            </w:r>
            <w:r>
              <w:rPr>
                <w:rFonts w:hint="default" w:ascii="Times New Roman" w:hAnsi="Times New Roman" w:eastAsia="宋体" w:cs="Times New Roman"/>
                <w:color w:val="auto"/>
                <w:spacing w:val="0"/>
                <w:sz w:val="24"/>
                <w:szCs w:val="24"/>
                <w:u w:val="none" w:color="auto"/>
              </w:rPr>
              <w:t>产生，</w:t>
            </w:r>
            <w:r>
              <w:rPr>
                <w:rFonts w:hint="eastAsia" w:ascii="Times New Roman" w:hAnsi="Times New Roman" w:eastAsia="宋体" w:cs="Times New Roman"/>
                <w:snapToGrid w:val="0"/>
                <w:sz w:val="24"/>
                <w:u w:val="none" w:color="auto"/>
              </w:rPr>
              <w:t>废</w:t>
            </w:r>
            <w:r>
              <w:rPr>
                <w:rFonts w:hint="eastAsia" w:ascii="Times New Roman" w:hAnsi="Times New Roman" w:eastAsia="宋体" w:cs="Times New Roman"/>
                <w:snapToGrid w:val="0"/>
                <w:sz w:val="24"/>
                <w:u w:val="none" w:color="auto"/>
                <w:lang w:val="en-US" w:eastAsia="zh-CN"/>
              </w:rPr>
              <w:t>润滑</w:t>
            </w:r>
            <w:r>
              <w:rPr>
                <w:rFonts w:hint="eastAsia" w:ascii="Times New Roman" w:hAnsi="Times New Roman" w:eastAsia="宋体" w:cs="Times New Roman"/>
                <w:snapToGrid w:val="0"/>
                <w:sz w:val="24"/>
                <w:u w:val="none" w:color="auto"/>
              </w:rPr>
              <w:t>油</w:t>
            </w:r>
            <w:r>
              <w:rPr>
                <w:rFonts w:hint="default" w:ascii="Times New Roman" w:hAnsi="Times New Roman" w:eastAsia="宋体" w:cs="Times New Roman"/>
                <w:color w:val="auto"/>
                <w:spacing w:val="0"/>
                <w:sz w:val="24"/>
                <w:szCs w:val="24"/>
                <w:u w:val="none" w:color="auto"/>
              </w:rPr>
              <w:t>产生量约为0.</w:t>
            </w:r>
            <w:r>
              <w:rPr>
                <w:rFonts w:hint="eastAsia" w:ascii="Times New Roman" w:hAnsi="Times New Roman" w:eastAsia="宋体" w:cs="Times New Roman"/>
                <w:color w:val="auto"/>
                <w:spacing w:val="0"/>
                <w:sz w:val="24"/>
                <w:szCs w:val="24"/>
                <w:u w:val="none" w:color="auto"/>
                <w:lang w:val="en-US" w:eastAsia="zh-CN"/>
              </w:rPr>
              <w:t>6</w:t>
            </w:r>
            <w:r>
              <w:rPr>
                <w:rFonts w:hint="default" w:ascii="Times New Roman" w:hAnsi="Times New Roman" w:eastAsia="宋体" w:cs="Times New Roman"/>
                <w:color w:val="auto"/>
                <w:spacing w:val="0"/>
                <w:sz w:val="24"/>
                <w:szCs w:val="24"/>
                <w:u w:val="none" w:color="auto"/>
              </w:rPr>
              <w:t>t/a，对照《国家危险废物名录》（2021年版）</w:t>
            </w:r>
            <w:r>
              <w:rPr>
                <w:rFonts w:hint="eastAsia" w:ascii="Times New Roman" w:hAnsi="Times New Roman" w:eastAsia="宋体" w:cs="Times New Roman"/>
                <w:color w:val="auto"/>
                <w:spacing w:val="0"/>
                <w:sz w:val="24"/>
                <w:szCs w:val="24"/>
                <w:u w:val="none" w:color="auto"/>
                <w:lang w:eastAsia="zh-CN"/>
              </w:rPr>
              <w:t>：</w:t>
            </w:r>
            <w:r>
              <w:rPr>
                <w:rFonts w:hint="eastAsia" w:ascii="Times New Roman" w:hAnsi="Times New Roman" w:eastAsia="宋体" w:cs="Times New Roman"/>
                <w:snapToGrid w:val="0"/>
                <w:sz w:val="24"/>
                <w:u w:val="none" w:color="auto"/>
              </w:rPr>
              <w:t>废</w:t>
            </w:r>
            <w:r>
              <w:rPr>
                <w:rFonts w:hint="eastAsia" w:ascii="Times New Roman" w:hAnsi="Times New Roman" w:eastAsia="宋体" w:cs="Times New Roman"/>
                <w:snapToGrid w:val="0"/>
                <w:sz w:val="24"/>
                <w:u w:val="none" w:color="auto"/>
                <w:lang w:val="en-US" w:eastAsia="zh-CN"/>
              </w:rPr>
              <w:t>润滑</w:t>
            </w:r>
            <w:r>
              <w:rPr>
                <w:rFonts w:hint="eastAsia" w:ascii="Times New Roman" w:hAnsi="Times New Roman" w:eastAsia="宋体" w:cs="Times New Roman"/>
                <w:snapToGrid w:val="0"/>
                <w:sz w:val="24"/>
                <w:u w:val="none" w:color="auto"/>
              </w:rPr>
              <w:t>油</w:t>
            </w:r>
            <w:r>
              <w:rPr>
                <w:rFonts w:hint="default" w:ascii="Times New Roman" w:hAnsi="Times New Roman" w:eastAsia="宋体" w:cs="Times New Roman"/>
                <w:color w:val="auto"/>
                <w:spacing w:val="0"/>
                <w:sz w:val="24"/>
                <w:szCs w:val="24"/>
                <w:u w:val="none" w:color="auto"/>
              </w:rPr>
              <w:t>属于危险废物名录中的</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HW08废矿物油与含矿物油废物</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类，废物代码为900-214-08</w:t>
            </w:r>
            <w:r>
              <w:rPr>
                <w:rFonts w:hint="eastAsia" w:ascii="Times New Roman" w:hAnsi="Times New Roman" w:eastAsia="宋体"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经危废暂存间暂存后，须委托有资质单位处理及处置。</w:t>
            </w:r>
          </w:p>
          <w:p w14:paraId="03B963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000000"/>
                <w:kern w:val="0"/>
                <w:sz w:val="24"/>
                <w:szCs w:val="24"/>
                <w:u w:val="none" w:color="auto"/>
                <w:lang w:val="en-US" w:eastAsia="zh-CN"/>
              </w:rPr>
            </w:pPr>
            <w:r>
              <w:rPr>
                <w:rFonts w:hint="default" w:ascii="Times New Roman" w:hAnsi="Times New Roman" w:eastAsia="宋体" w:cs="Times New Roman"/>
                <w:color w:val="000000"/>
                <w:kern w:val="0"/>
                <w:sz w:val="24"/>
                <w:szCs w:val="24"/>
                <w:u w:val="none" w:color="auto"/>
                <w:lang w:val="en-US" w:eastAsia="zh-CN"/>
              </w:rPr>
              <w:t>②</w:t>
            </w:r>
            <w:r>
              <w:rPr>
                <w:rFonts w:hint="eastAsia" w:eastAsia="宋体" w:cs="Times New Roman"/>
                <w:color w:val="000000"/>
                <w:kern w:val="0"/>
                <w:sz w:val="24"/>
                <w:szCs w:val="24"/>
                <w:u w:val="none" w:color="auto"/>
                <w:lang w:val="en-US" w:eastAsia="zh-CN"/>
              </w:rPr>
              <w:t>废液压油</w:t>
            </w:r>
          </w:p>
          <w:p w14:paraId="60E7ADA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000000"/>
                <w:kern w:val="0"/>
                <w:sz w:val="24"/>
                <w:szCs w:val="24"/>
                <w:u w:val="none" w:color="auto"/>
                <w:lang w:val="en-US" w:eastAsia="zh-CN"/>
              </w:rPr>
            </w:pPr>
            <w:r>
              <w:rPr>
                <w:rFonts w:hint="eastAsia" w:eastAsia="宋体" w:cs="Times New Roman"/>
                <w:color w:val="000000"/>
                <w:kern w:val="0"/>
                <w:sz w:val="24"/>
                <w:szCs w:val="24"/>
                <w:u w:val="none" w:color="auto"/>
                <w:lang w:val="en-US" w:eastAsia="zh-CN"/>
              </w:rPr>
              <w:t>项目破碎机使用液压驱动，在生产过程中会产生少量的废液压油，产生量约为0.025</w:t>
            </w:r>
            <w:r>
              <w:rPr>
                <w:rFonts w:hint="default" w:ascii="Times New Roman" w:hAnsi="Times New Roman" w:eastAsia="宋体" w:cs="Times New Roman"/>
                <w:color w:val="auto"/>
                <w:spacing w:val="0"/>
                <w:sz w:val="24"/>
                <w:szCs w:val="24"/>
                <w:u w:val="none" w:color="auto"/>
              </w:rPr>
              <w:t>t/a，对照《国家危险废物名录》（2021年版）</w:t>
            </w:r>
            <w:r>
              <w:rPr>
                <w:rFonts w:hint="eastAsia" w:ascii="Times New Roman" w:hAnsi="Times New Roman" w:eastAsia="宋体" w:cs="Times New Roman"/>
                <w:color w:val="auto"/>
                <w:spacing w:val="0"/>
                <w:sz w:val="24"/>
                <w:szCs w:val="24"/>
                <w:u w:val="none" w:color="auto"/>
                <w:lang w:eastAsia="zh-CN"/>
              </w:rPr>
              <w:t>：</w:t>
            </w:r>
            <w:r>
              <w:rPr>
                <w:rFonts w:hint="eastAsia" w:eastAsia="宋体" w:cs="Times New Roman"/>
                <w:color w:val="000000"/>
                <w:kern w:val="0"/>
                <w:sz w:val="24"/>
                <w:szCs w:val="24"/>
                <w:u w:val="none" w:color="auto"/>
                <w:lang w:val="en-US" w:eastAsia="zh-CN"/>
              </w:rPr>
              <w:t>废液压油</w:t>
            </w:r>
            <w:r>
              <w:rPr>
                <w:rFonts w:hint="default" w:ascii="Times New Roman" w:hAnsi="Times New Roman" w:eastAsia="宋体" w:cs="Times New Roman"/>
                <w:color w:val="auto"/>
                <w:spacing w:val="0"/>
                <w:sz w:val="24"/>
                <w:szCs w:val="24"/>
                <w:u w:val="none" w:color="auto"/>
              </w:rPr>
              <w:t>属于危险废物名录中的</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HW08废矿物油与含矿物油废物</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类，废物代码为900-21</w:t>
            </w:r>
            <w:r>
              <w:rPr>
                <w:rFonts w:hint="eastAsia" w:ascii="Times New Roman" w:hAnsi="Times New Roman" w:eastAsia="宋体" w:cs="Times New Roman"/>
                <w:color w:val="auto"/>
                <w:spacing w:val="0"/>
                <w:sz w:val="24"/>
                <w:szCs w:val="24"/>
                <w:u w:val="none" w:color="auto"/>
                <w:lang w:val="en-US" w:eastAsia="zh-CN"/>
              </w:rPr>
              <w:t>8</w:t>
            </w:r>
            <w:r>
              <w:rPr>
                <w:rFonts w:hint="default" w:ascii="Times New Roman" w:hAnsi="Times New Roman" w:eastAsia="宋体" w:cs="Times New Roman"/>
                <w:color w:val="auto"/>
                <w:spacing w:val="0"/>
                <w:sz w:val="24"/>
                <w:szCs w:val="24"/>
                <w:u w:val="none" w:color="auto"/>
              </w:rPr>
              <w:t>-08</w:t>
            </w:r>
            <w:r>
              <w:rPr>
                <w:rFonts w:hint="eastAsia" w:ascii="Times New Roman" w:hAnsi="Times New Roman" w:eastAsia="宋体"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经危废暂存间暂存后，须委托有资质单位处理及处置。</w:t>
            </w:r>
          </w:p>
          <w:p w14:paraId="7E1F35D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sz w:val="24"/>
                <w:u w:val="none" w:color="auto"/>
                <w:lang w:val="en-US" w:eastAsia="zh-CN"/>
              </w:rPr>
            </w:pPr>
            <w:r>
              <w:rPr>
                <w:rFonts w:hint="default" w:ascii="Times New Roman" w:hAnsi="Times New Roman" w:eastAsia="宋体" w:cs="Times New Roman"/>
                <w:color w:val="000000"/>
                <w:kern w:val="0"/>
                <w:sz w:val="24"/>
                <w:szCs w:val="24"/>
                <w:u w:val="none" w:color="auto"/>
                <w:lang w:val="en-US" w:eastAsia="zh-CN"/>
              </w:rPr>
              <w:t>③</w:t>
            </w:r>
            <w:r>
              <w:rPr>
                <w:rFonts w:hint="eastAsia" w:ascii="Times New Roman" w:hAnsi="Times New Roman" w:eastAsia="宋体" w:cs="Times New Roman"/>
                <w:snapToGrid w:val="0"/>
                <w:sz w:val="24"/>
                <w:u w:val="none" w:color="auto"/>
              </w:rPr>
              <w:t>废含油抹布手套</w:t>
            </w:r>
            <w:r>
              <w:rPr>
                <w:rFonts w:hint="eastAsia" w:cs="Times New Roman"/>
                <w:snapToGrid w:val="0"/>
                <w:sz w:val="24"/>
                <w:u w:val="none" w:color="auto"/>
                <w:lang w:val="en-US" w:eastAsia="zh-CN"/>
              </w:rPr>
              <w:t>及废油桶</w:t>
            </w:r>
          </w:p>
          <w:p w14:paraId="1E67A114">
            <w:pPr>
              <w:pStyle w:val="1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u w:val="none" w:color="auto"/>
              </w:rPr>
            </w:pPr>
            <w:r>
              <w:rPr>
                <w:rFonts w:hint="default" w:ascii="Times New Roman" w:hAnsi="Times New Roman" w:eastAsia="宋体" w:cs="Times New Roman"/>
                <w:color w:val="auto"/>
                <w:spacing w:val="0"/>
                <w:sz w:val="24"/>
                <w:szCs w:val="24"/>
                <w:u w:val="none" w:color="auto"/>
              </w:rPr>
              <w:t>项目</w:t>
            </w:r>
            <w:r>
              <w:rPr>
                <w:rFonts w:hint="eastAsia" w:eastAsia="宋体" w:cs="Times New Roman"/>
                <w:color w:val="auto"/>
                <w:spacing w:val="0"/>
                <w:sz w:val="24"/>
                <w:szCs w:val="24"/>
                <w:u w:val="none" w:color="auto"/>
                <w:lang w:val="en-US" w:eastAsia="zh-CN"/>
              </w:rPr>
              <w:t>使用的润滑油和液压油会产生少量的</w:t>
            </w:r>
            <w:r>
              <w:rPr>
                <w:rFonts w:hint="default" w:ascii="Times New Roman" w:hAnsi="Times New Roman" w:eastAsia="宋体" w:cs="Times New Roman"/>
                <w:snapToGrid w:val="0"/>
                <w:color w:val="auto"/>
                <w:spacing w:val="0"/>
                <w:sz w:val="24"/>
                <w:szCs w:val="24"/>
                <w:u w:val="none" w:color="auto"/>
              </w:rPr>
              <w:t>废弃含油抹布手套</w:t>
            </w:r>
            <w:r>
              <w:rPr>
                <w:rFonts w:hint="eastAsia" w:cs="Times New Roman"/>
                <w:snapToGrid w:val="0"/>
                <w:color w:val="auto"/>
                <w:spacing w:val="0"/>
                <w:sz w:val="24"/>
                <w:szCs w:val="24"/>
                <w:u w:val="none" w:color="auto"/>
                <w:lang w:val="en-US" w:eastAsia="zh-CN"/>
              </w:rPr>
              <w:t>及废油桶</w:t>
            </w:r>
            <w:r>
              <w:rPr>
                <w:rFonts w:hint="default" w:ascii="Times New Roman" w:hAnsi="Times New Roman" w:eastAsia="宋体" w:cs="Times New Roman"/>
                <w:color w:val="auto"/>
                <w:spacing w:val="0"/>
                <w:sz w:val="24"/>
                <w:szCs w:val="24"/>
                <w:u w:val="none" w:color="auto"/>
              </w:rPr>
              <w:t>，</w:t>
            </w:r>
            <w:r>
              <w:rPr>
                <w:rFonts w:hint="default" w:ascii="Times New Roman" w:hAnsi="Times New Roman" w:eastAsia="宋体" w:cs="Times New Roman"/>
                <w:snapToGrid w:val="0"/>
                <w:color w:val="auto"/>
                <w:spacing w:val="0"/>
                <w:sz w:val="24"/>
                <w:szCs w:val="24"/>
                <w:u w:val="none" w:color="auto"/>
              </w:rPr>
              <w:t>废弃含油抹布手套产生量约为0</w:t>
            </w:r>
            <w:r>
              <w:rPr>
                <w:rFonts w:hint="eastAsia" w:eastAsia="宋体" w:cs="Times New Roman"/>
                <w:snapToGrid w:val="0"/>
                <w:color w:val="auto"/>
                <w:spacing w:val="0"/>
                <w:sz w:val="24"/>
                <w:szCs w:val="24"/>
                <w:u w:val="none" w:color="auto"/>
                <w:lang w:val="en-US" w:eastAsia="zh-CN"/>
              </w:rPr>
              <w:t>.1</w:t>
            </w:r>
            <w:r>
              <w:rPr>
                <w:rFonts w:hint="default" w:ascii="Times New Roman" w:hAnsi="Times New Roman" w:eastAsia="宋体" w:cs="Times New Roman"/>
                <w:snapToGrid w:val="0"/>
                <w:color w:val="auto"/>
                <w:spacing w:val="0"/>
                <w:sz w:val="24"/>
                <w:szCs w:val="24"/>
                <w:u w:val="none" w:color="auto"/>
              </w:rPr>
              <w:t>t/a，</w:t>
            </w:r>
            <w:r>
              <w:rPr>
                <w:rFonts w:hint="eastAsia" w:cs="Times New Roman"/>
                <w:snapToGrid w:val="0"/>
                <w:color w:val="auto"/>
                <w:spacing w:val="0"/>
                <w:sz w:val="24"/>
                <w:szCs w:val="24"/>
                <w:u w:val="none" w:color="auto"/>
                <w:lang w:val="en-US" w:eastAsia="zh-CN"/>
              </w:rPr>
              <w:t>废油桶产生量约为0.15t/a，</w:t>
            </w:r>
            <w:r>
              <w:rPr>
                <w:rFonts w:hint="default" w:ascii="Times New Roman" w:hAnsi="Times New Roman" w:eastAsia="宋体" w:cs="Times New Roman"/>
                <w:color w:val="auto"/>
                <w:spacing w:val="0"/>
                <w:sz w:val="24"/>
                <w:szCs w:val="24"/>
                <w:u w:val="none" w:color="auto"/>
              </w:rPr>
              <w:t>对照《国家危险废物名录》（2021年版）</w:t>
            </w:r>
            <w:r>
              <w:rPr>
                <w:rFonts w:hint="eastAsia" w:eastAsia="宋体" w:cs="Times New Roman"/>
                <w:color w:val="auto"/>
                <w:spacing w:val="0"/>
                <w:sz w:val="24"/>
                <w:szCs w:val="24"/>
                <w:u w:val="none" w:color="auto"/>
                <w:lang w:eastAsia="zh-CN"/>
              </w:rPr>
              <w:t>：</w:t>
            </w:r>
            <w:r>
              <w:rPr>
                <w:rFonts w:hint="default" w:ascii="Times New Roman" w:hAnsi="Times New Roman" w:eastAsia="宋体" w:cs="Times New Roman"/>
                <w:snapToGrid w:val="0"/>
                <w:color w:val="auto"/>
                <w:spacing w:val="0"/>
                <w:sz w:val="24"/>
                <w:szCs w:val="24"/>
                <w:u w:val="none" w:color="auto"/>
              </w:rPr>
              <w:t>废弃含油抹布手套</w:t>
            </w:r>
            <w:r>
              <w:rPr>
                <w:rFonts w:hint="eastAsia" w:cs="Times New Roman"/>
                <w:snapToGrid w:val="0"/>
                <w:color w:val="auto"/>
                <w:spacing w:val="0"/>
                <w:sz w:val="24"/>
                <w:szCs w:val="24"/>
                <w:u w:val="none" w:color="auto"/>
                <w:lang w:val="en-US" w:eastAsia="zh-CN"/>
              </w:rPr>
              <w:t>和废油桶</w:t>
            </w:r>
            <w:r>
              <w:rPr>
                <w:rFonts w:hint="default" w:ascii="Times New Roman" w:hAnsi="Times New Roman" w:eastAsia="宋体" w:cs="Times New Roman"/>
                <w:color w:val="auto"/>
                <w:spacing w:val="0"/>
                <w:sz w:val="24"/>
                <w:szCs w:val="24"/>
                <w:u w:val="none" w:color="auto"/>
              </w:rPr>
              <w:t>属于危险废物名录中的</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HW49其他废物</w:t>
            </w:r>
            <w:r>
              <w:rPr>
                <w:rFonts w:hint="eastAsia"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类，废物代码为900-041-49</w:t>
            </w:r>
            <w:r>
              <w:rPr>
                <w:rFonts w:hint="eastAsia" w:ascii="Times New Roman" w:hAnsi="Times New Roman" w:eastAsia="宋体" w:cs="Times New Roman"/>
                <w:color w:val="auto"/>
                <w:spacing w:val="0"/>
                <w:sz w:val="24"/>
                <w:szCs w:val="24"/>
                <w:u w:val="none" w:color="auto"/>
                <w:lang w:eastAsia="zh-CN"/>
              </w:rPr>
              <w:t>；</w:t>
            </w:r>
            <w:r>
              <w:rPr>
                <w:rFonts w:hint="default" w:ascii="Times New Roman" w:hAnsi="Times New Roman" w:eastAsia="宋体" w:cs="Times New Roman"/>
                <w:color w:val="auto"/>
                <w:spacing w:val="0"/>
                <w:sz w:val="24"/>
                <w:szCs w:val="24"/>
                <w:u w:val="none" w:color="auto"/>
              </w:rPr>
              <w:t>废机油</w:t>
            </w:r>
            <w:r>
              <w:rPr>
                <w:rFonts w:hint="eastAsia" w:cs="Times New Roman"/>
                <w:color w:val="auto"/>
                <w:spacing w:val="0"/>
                <w:sz w:val="24"/>
                <w:szCs w:val="24"/>
                <w:u w:val="none" w:color="auto"/>
                <w:lang w:eastAsia="zh-CN"/>
              </w:rPr>
              <w:t>、</w:t>
            </w:r>
            <w:r>
              <w:rPr>
                <w:rFonts w:hint="default" w:ascii="Times New Roman" w:hAnsi="Times New Roman" w:eastAsia="宋体" w:cs="Times New Roman"/>
                <w:snapToGrid w:val="0"/>
                <w:color w:val="auto"/>
                <w:spacing w:val="0"/>
                <w:sz w:val="24"/>
                <w:szCs w:val="24"/>
                <w:u w:val="none" w:color="auto"/>
              </w:rPr>
              <w:t>废弃含油抹布手套</w:t>
            </w:r>
            <w:r>
              <w:rPr>
                <w:rFonts w:hint="eastAsia" w:cs="Times New Roman"/>
                <w:snapToGrid w:val="0"/>
                <w:color w:val="auto"/>
                <w:spacing w:val="0"/>
                <w:sz w:val="24"/>
                <w:szCs w:val="24"/>
                <w:u w:val="none" w:color="auto"/>
                <w:lang w:val="en-US" w:eastAsia="zh-CN"/>
              </w:rPr>
              <w:t>及废油桶</w:t>
            </w:r>
            <w:r>
              <w:rPr>
                <w:rFonts w:hint="default" w:ascii="Times New Roman" w:hAnsi="Times New Roman" w:eastAsia="宋体" w:cs="Times New Roman"/>
                <w:color w:val="auto"/>
                <w:spacing w:val="0"/>
                <w:sz w:val="24"/>
                <w:szCs w:val="24"/>
                <w:u w:val="none" w:color="auto"/>
              </w:rPr>
              <w:t>经危废暂存间暂存后，须委托有资质单位处理及处置。</w:t>
            </w:r>
          </w:p>
          <w:p w14:paraId="24B12CD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u w:val="none" w:color="auto"/>
              </w:rPr>
            </w:pPr>
            <w:r>
              <w:rPr>
                <w:rFonts w:ascii="Times New Roman" w:hAnsi="Times New Roman" w:eastAsia="宋体" w:cs="Times New Roman"/>
                <w:color w:val="auto"/>
                <w:sz w:val="24"/>
                <w:szCs w:val="24"/>
                <w:u w:val="none" w:color="auto"/>
              </w:rPr>
              <w:t>本项目固体废物产生及处置情况见下表。</w:t>
            </w:r>
          </w:p>
          <w:p w14:paraId="7EF9626C">
            <w:pPr>
              <w:pStyle w:val="26"/>
              <w:numPr>
                <w:ilvl w:val="0"/>
                <w:numId w:val="0"/>
              </w:numPr>
              <w:spacing w:before="0" w:beforeAutospacing="0" w:after="0" w:afterAutospacing="0" w:line="240" w:lineRule="auto"/>
              <w:ind w:leftChars="0"/>
              <w:jc w:val="center"/>
              <w:rPr>
                <w:rFonts w:hint="default" w:ascii="Times New Roman" w:hAnsi="Times New Roman" w:eastAsia="宋体" w:cs="Times New Roman"/>
                <w:b/>
                <w:bCs/>
                <w:color w:val="000000"/>
                <w:kern w:val="2"/>
                <w:sz w:val="21"/>
                <w:szCs w:val="21"/>
                <w:u w:val="none" w:color="auto"/>
                <w:lang w:val="en-US" w:eastAsia="zh-CN" w:bidi="ar-SA"/>
              </w:rPr>
            </w:pPr>
            <w:r>
              <w:rPr>
                <w:rFonts w:hint="default" w:ascii="Times New Roman" w:hAnsi="Times New Roman" w:eastAsia="宋体" w:cs="Times New Roman"/>
                <w:b/>
                <w:bCs/>
                <w:color w:val="000000"/>
                <w:kern w:val="2"/>
                <w:sz w:val="21"/>
                <w:szCs w:val="21"/>
                <w:u w:val="none" w:color="auto"/>
                <w:lang w:val="en-US" w:eastAsia="zh-CN" w:bidi="ar-SA"/>
              </w:rPr>
              <w:t>表4-</w:t>
            </w:r>
            <w:r>
              <w:rPr>
                <w:rFonts w:hint="eastAsia" w:ascii="Times New Roman" w:hAnsi="Times New Roman" w:eastAsia="宋体" w:cs="Times New Roman"/>
                <w:b/>
                <w:bCs/>
                <w:color w:val="000000"/>
                <w:kern w:val="2"/>
                <w:sz w:val="21"/>
                <w:szCs w:val="21"/>
                <w:u w:val="none" w:color="auto"/>
                <w:lang w:val="en-US" w:eastAsia="zh-CN" w:bidi="ar-SA"/>
              </w:rPr>
              <w:t>1</w:t>
            </w:r>
            <w:r>
              <w:rPr>
                <w:rFonts w:hint="eastAsia" w:ascii="Times New Roman" w:hAnsi="Times New Roman" w:cs="Times New Roman"/>
                <w:b/>
                <w:bCs/>
                <w:color w:val="000000"/>
                <w:kern w:val="2"/>
                <w:sz w:val="21"/>
                <w:szCs w:val="21"/>
                <w:u w:val="none" w:color="auto"/>
                <w:lang w:val="en-US" w:eastAsia="zh-CN" w:bidi="ar-SA"/>
              </w:rPr>
              <w:t>4</w:t>
            </w:r>
            <w:r>
              <w:rPr>
                <w:rFonts w:hint="eastAsia" w:ascii="Times New Roman" w:hAnsi="Times New Roman" w:eastAsia="宋体" w:cs="Times New Roman"/>
                <w:b/>
                <w:bCs/>
                <w:color w:val="000000"/>
                <w:kern w:val="2"/>
                <w:sz w:val="21"/>
                <w:szCs w:val="21"/>
                <w:u w:val="none" w:color="auto"/>
                <w:lang w:val="en-US" w:eastAsia="zh-CN" w:bidi="ar-SA"/>
              </w:rPr>
              <w:t xml:space="preserve">  </w:t>
            </w:r>
            <w:r>
              <w:rPr>
                <w:rFonts w:hint="default" w:ascii="Times New Roman" w:hAnsi="Times New Roman" w:eastAsia="宋体" w:cs="Times New Roman"/>
                <w:b/>
                <w:bCs/>
                <w:color w:val="000000"/>
                <w:kern w:val="2"/>
                <w:sz w:val="21"/>
                <w:szCs w:val="21"/>
                <w:u w:val="none" w:color="auto"/>
                <w:lang w:val="en-US" w:eastAsia="zh-CN" w:bidi="ar-SA"/>
              </w:rPr>
              <w:t>固体废物产生及处置情况表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087"/>
              <w:gridCol w:w="917"/>
              <w:gridCol w:w="2199"/>
              <w:gridCol w:w="1203"/>
              <w:gridCol w:w="654"/>
              <w:gridCol w:w="1130"/>
            </w:tblGrid>
            <w:tr w14:paraId="6FDAE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79" w:type="pct"/>
                  <w:tcBorders>
                    <w:tl2br w:val="nil"/>
                    <w:tr2bl w:val="nil"/>
                  </w:tcBorders>
                  <w:noWrap w:val="0"/>
                  <w:vAlign w:val="center"/>
                </w:tcPr>
                <w:p w14:paraId="09B4E9C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序号</w:t>
                  </w:r>
                </w:p>
              </w:tc>
              <w:tc>
                <w:tcPr>
                  <w:tcW w:w="713" w:type="pct"/>
                  <w:tcBorders>
                    <w:tl2br w:val="nil"/>
                    <w:tr2bl w:val="nil"/>
                  </w:tcBorders>
                  <w:noWrap w:val="0"/>
                  <w:vAlign w:val="center"/>
                </w:tcPr>
                <w:p w14:paraId="1C87C51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名称</w:t>
                  </w:r>
                </w:p>
              </w:tc>
              <w:tc>
                <w:tcPr>
                  <w:tcW w:w="602" w:type="pct"/>
                  <w:tcBorders>
                    <w:tl2br w:val="nil"/>
                    <w:tr2bl w:val="nil"/>
                  </w:tcBorders>
                  <w:noWrap w:val="0"/>
                  <w:vAlign w:val="center"/>
                </w:tcPr>
                <w:p w14:paraId="2F253A2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产生量t/a</w:t>
                  </w:r>
                </w:p>
              </w:tc>
              <w:tc>
                <w:tcPr>
                  <w:tcW w:w="1443" w:type="pct"/>
                  <w:tcBorders>
                    <w:tl2br w:val="nil"/>
                    <w:tr2bl w:val="nil"/>
                  </w:tcBorders>
                  <w:noWrap w:val="0"/>
                  <w:vAlign w:val="center"/>
                </w:tcPr>
                <w:p w14:paraId="7D33178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属性</w:t>
                  </w:r>
                </w:p>
              </w:tc>
              <w:tc>
                <w:tcPr>
                  <w:tcW w:w="789" w:type="pct"/>
                  <w:tcBorders>
                    <w:tl2br w:val="nil"/>
                    <w:tr2bl w:val="nil"/>
                  </w:tcBorders>
                  <w:noWrap w:val="0"/>
                  <w:vAlign w:val="center"/>
                </w:tcPr>
                <w:p w14:paraId="3615CB9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危废代码</w:t>
                  </w:r>
                </w:p>
              </w:tc>
              <w:tc>
                <w:tcPr>
                  <w:tcW w:w="429" w:type="pct"/>
                  <w:tcBorders>
                    <w:tl2br w:val="nil"/>
                    <w:tr2bl w:val="nil"/>
                  </w:tcBorders>
                  <w:noWrap w:val="0"/>
                  <w:vAlign w:val="center"/>
                </w:tcPr>
                <w:p w14:paraId="03A27EC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形态</w:t>
                  </w:r>
                </w:p>
              </w:tc>
              <w:tc>
                <w:tcPr>
                  <w:tcW w:w="741" w:type="pct"/>
                  <w:tcBorders>
                    <w:tl2br w:val="nil"/>
                    <w:tr2bl w:val="nil"/>
                  </w:tcBorders>
                  <w:noWrap w:val="0"/>
                  <w:vAlign w:val="center"/>
                </w:tcPr>
                <w:p w14:paraId="79E9CA6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处理处置措施</w:t>
                  </w:r>
                </w:p>
              </w:tc>
            </w:tr>
            <w:tr w14:paraId="6019A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68B9734A">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1</w:t>
                  </w:r>
                </w:p>
              </w:tc>
              <w:tc>
                <w:tcPr>
                  <w:tcW w:w="713" w:type="pct"/>
                  <w:tcBorders>
                    <w:tl2br w:val="nil"/>
                    <w:tr2bl w:val="nil"/>
                  </w:tcBorders>
                  <w:noWrap w:val="0"/>
                  <w:vAlign w:val="center"/>
                </w:tcPr>
                <w:p w14:paraId="6EC9988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生活垃圾</w:t>
                  </w:r>
                </w:p>
              </w:tc>
              <w:tc>
                <w:tcPr>
                  <w:tcW w:w="602" w:type="pct"/>
                  <w:tcBorders>
                    <w:tl2br w:val="nil"/>
                    <w:tr2bl w:val="nil"/>
                  </w:tcBorders>
                  <w:noWrap w:val="0"/>
                  <w:vAlign w:val="center"/>
                </w:tcPr>
                <w:p w14:paraId="49A10ED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1.5</w:t>
                  </w:r>
                </w:p>
              </w:tc>
              <w:tc>
                <w:tcPr>
                  <w:tcW w:w="1443" w:type="pct"/>
                  <w:tcBorders>
                    <w:tl2br w:val="nil"/>
                    <w:tr2bl w:val="nil"/>
                  </w:tcBorders>
                  <w:noWrap w:val="0"/>
                  <w:vAlign w:val="center"/>
                </w:tcPr>
                <w:p w14:paraId="3FF266B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生活垃圾</w:t>
                  </w:r>
                </w:p>
              </w:tc>
              <w:tc>
                <w:tcPr>
                  <w:tcW w:w="789" w:type="pct"/>
                  <w:tcBorders>
                    <w:tl2br w:val="nil"/>
                    <w:tr2bl w:val="nil"/>
                  </w:tcBorders>
                  <w:noWrap w:val="0"/>
                  <w:vAlign w:val="center"/>
                </w:tcPr>
                <w:p w14:paraId="67CEF04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w:t>
                  </w:r>
                </w:p>
              </w:tc>
              <w:tc>
                <w:tcPr>
                  <w:tcW w:w="429" w:type="pct"/>
                  <w:tcBorders>
                    <w:tl2br w:val="nil"/>
                    <w:tr2bl w:val="nil"/>
                  </w:tcBorders>
                  <w:noWrap w:val="0"/>
                  <w:vAlign w:val="center"/>
                </w:tcPr>
                <w:p w14:paraId="55383F2A">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固态</w:t>
                  </w:r>
                </w:p>
              </w:tc>
              <w:tc>
                <w:tcPr>
                  <w:tcW w:w="741" w:type="pct"/>
                  <w:tcBorders>
                    <w:tl2br w:val="nil"/>
                    <w:tr2bl w:val="nil"/>
                  </w:tcBorders>
                  <w:noWrap w:val="0"/>
                  <w:vAlign w:val="center"/>
                </w:tcPr>
                <w:p w14:paraId="6EB3FCA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交环卫处理</w:t>
                  </w:r>
                </w:p>
              </w:tc>
            </w:tr>
            <w:tr w14:paraId="778CC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3699943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2</w:t>
                  </w:r>
                </w:p>
              </w:tc>
              <w:tc>
                <w:tcPr>
                  <w:tcW w:w="713" w:type="pct"/>
                  <w:tcBorders>
                    <w:tl2br w:val="nil"/>
                    <w:tr2bl w:val="nil"/>
                  </w:tcBorders>
                  <w:noWrap w:val="0"/>
                  <w:vAlign w:val="center"/>
                </w:tcPr>
                <w:p w14:paraId="0CEE2B9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eastAsia" w:ascii="Times New Roman" w:hAnsi="Times New Roman" w:eastAsia="宋体" w:cs="Times New Roman"/>
                      <w:b w:val="0"/>
                      <w:bCs/>
                      <w:color w:val="000000"/>
                      <w:sz w:val="21"/>
                      <w:szCs w:val="21"/>
                      <w:u w:val="none" w:color="auto"/>
                      <w:lang w:val="en-US" w:eastAsia="zh-CN"/>
                    </w:rPr>
                    <w:t>分拣废料</w:t>
                  </w:r>
                </w:p>
              </w:tc>
              <w:tc>
                <w:tcPr>
                  <w:tcW w:w="602" w:type="pct"/>
                  <w:tcBorders>
                    <w:tl2br w:val="nil"/>
                    <w:tr2bl w:val="nil"/>
                  </w:tcBorders>
                  <w:noWrap w:val="0"/>
                  <w:vAlign w:val="center"/>
                </w:tcPr>
                <w:p w14:paraId="075FACC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5</w:t>
                  </w:r>
                </w:p>
              </w:tc>
              <w:tc>
                <w:tcPr>
                  <w:tcW w:w="1443" w:type="pct"/>
                  <w:tcBorders>
                    <w:tl2br w:val="nil"/>
                    <w:tr2bl w:val="nil"/>
                  </w:tcBorders>
                  <w:noWrap w:val="0"/>
                  <w:vAlign w:val="center"/>
                </w:tcPr>
                <w:p w14:paraId="075E368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SW17可再生类废物</w:t>
                  </w:r>
                </w:p>
                <w:p w14:paraId="124CF4B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eastAsia" w:cs="Times New Roman"/>
                      <w:b w:val="0"/>
                      <w:bCs/>
                      <w:color w:val="000000"/>
                      <w:sz w:val="21"/>
                      <w:szCs w:val="21"/>
                      <w:u w:val="none" w:color="auto"/>
                      <w:lang w:eastAsia="zh-CN"/>
                    </w:rPr>
                    <w:t>（</w:t>
                  </w:r>
                  <w:r>
                    <w:rPr>
                      <w:rFonts w:hint="default" w:ascii="Times New Roman" w:hAnsi="Times New Roman" w:eastAsia="宋体" w:cs="Times New Roman"/>
                      <w:b w:val="0"/>
                      <w:bCs/>
                      <w:color w:val="000000"/>
                      <w:sz w:val="21"/>
                      <w:szCs w:val="21"/>
                      <w:u w:val="none" w:color="auto"/>
                    </w:rPr>
                    <w:t>900-099-S17</w:t>
                  </w:r>
                  <w:r>
                    <w:rPr>
                      <w:rFonts w:hint="eastAsia" w:cs="Times New Roman"/>
                      <w:b w:val="0"/>
                      <w:bCs/>
                      <w:color w:val="000000"/>
                      <w:sz w:val="21"/>
                      <w:szCs w:val="21"/>
                      <w:u w:val="none" w:color="auto"/>
                      <w:lang w:eastAsia="zh-CN"/>
                    </w:rPr>
                    <w:t>）</w:t>
                  </w:r>
                </w:p>
              </w:tc>
              <w:tc>
                <w:tcPr>
                  <w:tcW w:w="789" w:type="pct"/>
                  <w:tcBorders>
                    <w:tl2br w:val="nil"/>
                    <w:tr2bl w:val="nil"/>
                  </w:tcBorders>
                  <w:noWrap w:val="0"/>
                  <w:vAlign w:val="center"/>
                </w:tcPr>
                <w:p w14:paraId="7FCC9E7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w:t>
                  </w:r>
                </w:p>
              </w:tc>
              <w:tc>
                <w:tcPr>
                  <w:tcW w:w="429" w:type="pct"/>
                  <w:tcBorders>
                    <w:tl2br w:val="nil"/>
                    <w:tr2bl w:val="nil"/>
                  </w:tcBorders>
                  <w:noWrap w:val="0"/>
                  <w:vAlign w:val="center"/>
                </w:tcPr>
                <w:p w14:paraId="565D392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固态</w:t>
                  </w:r>
                </w:p>
              </w:tc>
              <w:tc>
                <w:tcPr>
                  <w:tcW w:w="741" w:type="pct"/>
                  <w:vMerge w:val="restart"/>
                  <w:tcBorders>
                    <w:tl2br w:val="nil"/>
                    <w:tr2bl w:val="nil"/>
                  </w:tcBorders>
                  <w:noWrap w:val="0"/>
                  <w:vAlign w:val="center"/>
                </w:tcPr>
                <w:p w14:paraId="06DAAE9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eastAsia" w:cs="Times New Roman"/>
                      <w:b w:val="0"/>
                      <w:bCs/>
                      <w:color w:val="000000"/>
                      <w:sz w:val="21"/>
                      <w:szCs w:val="21"/>
                      <w:u w:val="none" w:color="auto"/>
                      <w:lang w:val="en-US" w:eastAsia="zh-CN"/>
                    </w:rPr>
                    <w:t>定期外售综合利用</w:t>
                  </w:r>
                </w:p>
              </w:tc>
            </w:tr>
            <w:tr w14:paraId="704E1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39B0471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cs="Times New Roman"/>
                      <w:b w:val="0"/>
                      <w:bCs/>
                      <w:color w:val="000000"/>
                      <w:sz w:val="21"/>
                      <w:szCs w:val="21"/>
                      <w:u w:val="none" w:color="auto"/>
                      <w:lang w:val="en-US" w:eastAsia="zh-CN"/>
                    </w:rPr>
                    <w:t>3</w:t>
                  </w:r>
                </w:p>
              </w:tc>
              <w:tc>
                <w:tcPr>
                  <w:tcW w:w="713" w:type="pct"/>
                  <w:tcBorders>
                    <w:tl2br w:val="nil"/>
                    <w:tr2bl w:val="nil"/>
                  </w:tcBorders>
                  <w:noWrap w:val="0"/>
                  <w:vAlign w:val="center"/>
                </w:tcPr>
                <w:p w14:paraId="2155EC7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含铁杂质</w:t>
                  </w:r>
                </w:p>
              </w:tc>
              <w:tc>
                <w:tcPr>
                  <w:tcW w:w="602" w:type="pct"/>
                  <w:tcBorders>
                    <w:tl2br w:val="nil"/>
                    <w:tr2bl w:val="nil"/>
                  </w:tcBorders>
                  <w:noWrap w:val="0"/>
                  <w:vAlign w:val="center"/>
                </w:tcPr>
                <w:p w14:paraId="059FB16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0.8</w:t>
                  </w:r>
                </w:p>
              </w:tc>
              <w:tc>
                <w:tcPr>
                  <w:tcW w:w="1443" w:type="pct"/>
                  <w:tcBorders>
                    <w:tl2br w:val="nil"/>
                    <w:tr2bl w:val="nil"/>
                  </w:tcBorders>
                  <w:noWrap w:val="0"/>
                  <w:vAlign w:val="center"/>
                </w:tcPr>
                <w:p w14:paraId="7D4E9D4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SW17可再生类废物</w:t>
                  </w:r>
                </w:p>
                <w:p w14:paraId="6311295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eastAsia="zh-CN"/>
                    </w:rPr>
                  </w:pPr>
                  <w:r>
                    <w:rPr>
                      <w:rFonts w:hint="eastAsia" w:cs="Times New Roman"/>
                      <w:b w:val="0"/>
                      <w:bCs/>
                      <w:color w:val="000000"/>
                      <w:sz w:val="21"/>
                      <w:szCs w:val="21"/>
                      <w:u w:val="none" w:color="auto"/>
                      <w:lang w:eastAsia="zh-CN"/>
                    </w:rPr>
                    <w:t>（</w:t>
                  </w:r>
                  <w:r>
                    <w:rPr>
                      <w:rFonts w:hint="eastAsia" w:ascii="Times New Roman" w:hAnsi="Times New Roman" w:eastAsia="宋体" w:cs="Times New Roman"/>
                      <w:b w:val="0"/>
                      <w:bCs/>
                      <w:color w:val="000000"/>
                      <w:sz w:val="21"/>
                      <w:szCs w:val="21"/>
                      <w:u w:val="none" w:color="auto"/>
                      <w:lang w:val="en-US" w:eastAsia="zh-CN"/>
                    </w:rPr>
                    <w:t>900-002-S17</w:t>
                  </w:r>
                  <w:r>
                    <w:rPr>
                      <w:rFonts w:hint="eastAsia" w:cs="Times New Roman"/>
                      <w:b w:val="0"/>
                      <w:bCs/>
                      <w:color w:val="000000"/>
                      <w:sz w:val="21"/>
                      <w:szCs w:val="21"/>
                      <w:u w:val="none" w:color="auto"/>
                      <w:lang w:eastAsia="zh-CN"/>
                    </w:rPr>
                    <w:t>）</w:t>
                  </w:r>
                </w:p>
              </w:tc>
              <w:tc>
                <w:tcPr>
                  <w:tcW w:w="789" w:type="pct"/>
                  <w:tcBorders>
                    <w:tl2br w:val="nil"/>
                    <w:tr2bl w:val="nil"/>
                  </w:tcBorders>
                  <w:noWrap w:val="0"/>
                  <w:vAlign w:val="center"/>
                </w:tcPr>
                <w:p w14:paraId="2008C76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w:t>
                  </w:r>
                </w:p>
              </w:tc>
              <w:tc>
                <w:tcPr>
                  <w:tcW w:w="429" w:type="pct"/>
                  <w:tcBorders>
                    <w:tl2br w:val="nil"/>
                    <w:tr2bl w:val="nil"/>
                  </w:tcBorders>
                  <w:noWrap w:val="0"/>
                  <w:vAlign w:val="center"/>
                </w:tcPr>
                <w:p w14:paraId="57B31EB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固态</w:t>
                  </w:r>
                </w:p>
              </w:tc>
              <w:tc>
                <w:tcPr>
                  <w:tcW w:w="741" w:type="pct"/>
                  <w:vMerge w:val="continue"/>
                  <w:tcBorders>
                    <w:tl2br w:val="nil"/>
                    <w:tr2bl w:val="nil"/>
                  </w:tcBorders>
                  <w:noWrap w:val="0"/>
                  <w:vAlign w:val="center"/>
                </w:tcPr>
                <w:p w14:paraId="291B28B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p>
              </w:tc>
            </w:tr>
            <w:tr w14:paraId="09F90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3E8ABDC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eastAsia="宋体" w:cs="Times New Roman"/>
                      <w:b w:val="0"/>
                      <w:bCs/>
                      <w:color w:val="000000"/>
                      <w:sz w:val="21"/>
                      <w:szCs w:val="21"/>
                      <w:u w:val="none" w:color="auto"/>
                      <w:lang w:val="en-US" w:eastAsia="zh-CN"/>
                    </w:rPr>
                    <w:t>4</w:t>
                  </w:r>
                </w:p>
              </w:tc>
              <w:tc>
                <w:tcPr>
                  <w:tcW w:w="713" w:type="pct"/>
                  <w:tcBorders>
                    <w:tl2br w:val="nil"/>
                    <w:tr2bl w:val="nil"/>
                  </w:tcBorders>
                  <w:noWrap w:val="0"/>
                  <w:vAlign w:val="center"/>
                </w:tcPr>
                <w:p w14:paraId="71FD9FB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废布袋</w:t>
                  </w:r>
                </w:p>
              </w:tc>
              <w:tc>
                <w:tcPr>
                  <w:tcW w:w="602" w:type="pct"/>
                  <w:tcBorders>
                    <w:tl2br w:val="nil"/>
                    <w:tr2bl w:val="nil"/>
                  </w:tcBorders>
                  <w:noWrap w:val="0"/>
                  <w:vAlign w:val="center"/>
                </w:tcPr>
                <w:p w14:paraId="4EEB9B6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5</w:t>
                  </w:r>
                </w:p>
              </w:tc>
              <w:tc>
                <w:tcPr>
                  <w:tcW w:w="1443" w:type="pct"/>
                  <w:tcBorders>
                    <w:tl2br w:val="nil"/>
                    <w:tr2bl w:val="nil"/>
                  </w:tcBorders>
                  <w:noWrap w:val="0"/>
                  <w:vAlign w:val="center"/>
                </w:tcPr>
                <w:p w14:paraId="00BAF20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rPr>
                    <w:t>SW17可再生类废物</w:t>
                  </w:r>
                </w:p>
                <w:p w14:paraId="08BE860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eastAsia="zh-CN"/>
                    </w:rPr>
                  </w:pPr>
                  <w:r>
                    <w:rPr>
                      <w:rFonts w:hint="eastAsia" w:cs="Times New Roman"/>
                      <w:b w:val="0"/>
                      <w:bCs/>
                      <w:color w:val="000000"/>
                      <w:sz w:val="21"/>
                      <w:szCs w:val="21"/>
                      <w:u w:val="none" w:color="auto"/>
                      <w:lang w:eastAsia="zh-CN"/>
                    </w:rPr>
                    <w:t>（</w:t>
                  </w:r>
                  <w:r>
                    <w:rPr>
                      <w:rFonts w:hint="default" w:ascii="Times New Roman" w:hAnsi="Times New Roman" w:eastAsia="宋体" w:cs="Times New Roman"/>
                      <w:b w:val="0"/>
                      <w:bCs/>
                      <w:color w:val="000000"/>
                      <w:sz w:val="21"/>
                      <w:szCs w:val="21"/>
                      <w:u w:val="none" w:color="auto"/>
                    </w:rPr>
                    <w:t>900-099-S17</w:t>
                  </w:r>
                  <w:r>
                    <w:rPr>
                      <w:rFonts w:hint="eastAsia" w:cs="Times New Roman"/>
                      <w:b w:val="0"/>
                      <w:bCs/>
                      <w:color w:val="000000"/>
                      <w:sz w:val="21"/>
                      <w:szCs w:val="21"/>
                      <w:u w:val="none" w:color="auto"/>
                      <w:lang w:eastAsia="zh-CN"/>
                    </w:rPr>
                    <w:t>）</w:t>
                  </w:r>
                </w:p>
              </w:tc>
              <w:tc>
                <w:tcPr>
                  <w:tcW w:w="789" w:type="pct"/>
                  <w:tcBorders>
                    <w:tl2br w:val="nil"/>
                    <w:tr2bl w:val="nil"/>
                  </w:tcBorders>
                  <w:noWrap w:val="0"/>
                  <w:vAlign w:val="center"/>
                </w:tcPr>
                <w:p w14:paraId="7DD7853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w:t>
                  </w:r>
                </w:p>
              </w:tc>
              <w:tc>
                <w:tcPr>
                  <w:tcW w:w="429" w:type="pct"/>
                  <w:tcBorders>
                    <w:tl2br w:val="nil"/>
                    <w:tr2bl w:val="nil"/>
                  </w:tcBorders>
                  <w:noWrap w:val="0"/>
                  <w:vAlign w:val="center"/>
                </w:tcPr>
                <w:p w14:paraId="5A8951F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固态</w:t>
                  </w:r>
                </w:p>
              </w:tc>
              <w:tc>
                <w:tcPr>
                  <w:tcW w:w="741" w:type="pct"/>
                  <w:vMerge w:val="continue"/>
                  <w:tcBorders>
                    <w:tl2br w:val="nil"/>
                    <w:tr2bl w:val="nil"/>
                  </w:tcBorders>
                  <w:noWrap w:val="0"/>
                  <w:vAlign w:val="center"/>
                </w:tcPr>
                <w:p w14:paraId="57360C8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p>
              </w:tc>
            </w:tr>
            <w:tr w14:paraId="42404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6EF97CE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cs="Times New Roman"/>
                      <w:b w:val="0"/>
                      <w:bCs/>
                      <w:color w:val="000000"/>
                      <w:sz w:val="21"/>
                      <w:szCs w:val="21"/>
                      <w:u w:val="none" w:color="auto"/>
                      <w:lang w:val="en-US" w:eastAsia="zh-CN"/>
                    </w:rPr>
                    <w:t>5</w:t>
                  </w:r>
                </w:p>
              </w:tc>
              <w:tc>
                <w:tcPr>
                  <w:tcW w:w="713" w:type="pct"/>
                  <w:tcBorders>
                    <w:tl2br w:val="nil"/>
                    <w:tr2bl w:val="nil"/>
                  </w:tcBorders>
                  <w:noWrap w:val="0"/>
                  <w:vAlign w:val="center"/>
                </w:tcPr>
                <w:p w14:paraId="45D2B6C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袋式除尘器</w:t>
                  </w:r>
                  <w:r>
                    <w:rPr>
                      <w:rFonts w:hint="default" w:ascii="Times New Roman" w:hAnsi="Times New Roman" w:eastAsia="宋体" w:cs="Times New Roman"/>
                      <w:b w:val="0"/>
                      <w:bCs/>
                      <w:color w:val="000000"/>
                      <w:sz w:val="21"/>
                      <w:szCs w:val="21"/>
                      <w:u w:val="none" w:color="auto"/>
                    </w:rPr>
                    <w:t>收集粉尘</w:t>
                  </w:r>
                </w:p>
              </w:tc>
              <w:tc>
                <w:tcPr>
                  <w:tcW w:w="602" w:type="pct"/>
                  <w:tcBorders>
                    <w:tl2br w:val="nil"/>
                    <w:tr2bl w:val="nil"/>
                  </w:tcBorders>
                  <w:noWrap w:val="0"/>
                  <w:vAlign w:val="center"/>
                </w:tcPr>
                <w:p w14:paraId="001103B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14.428</w:t>
                  </w:r>
                </w:p>
              </w:tc>
              <w:tc>
                <w:tcPr>
                  <w:tcW w:w="1443" w:type="pct"/>
                  <w:tcBorders>
                    <w:tl2br w:val="nil"/>
                    <w:tr2bl w:val="nil"/>
                  </w:tcBorders>
                  <w:noWrap w:val="0"/>
                  <w:vAlign w:val="center"/>
                </w:tcPr>
                <w:p w14:paraId="52F67D1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eastAsia="zh-CN"/>
                    </w:rPr>
                  </w:pPr>
                  <w:r>
                    <w:rPr>
                      <w:rFonts w:hint="default" w:ascii="Times New Roman" w:hAnsi="Times New Roman" w:eastAsia="宋体" w:cs="Times New Roman"/>
                      <w:b w:val="0"/>
                      <w:bCs/>
                      <w:color w:val="000000"/>
                      <w:sz w:val="21"/>
                      <w:szCs w:val="21"/>
                      <w:u w:val="none" w:color="auto"/>
                    </w:rPr>
                    <w:t>SW59其他工业固体废物</w:t>
                  </w:r>
                  <w:r>
                    <w:rPr>
                      <w:rFonts w:hint="eastAsia" w:ascii="Times New Roman" w:hAnsi="Times New Roman" w:eastAsia="宋体" w:cs="Times New Roman"/>
                      <w:b w:val="0"/>
                      <w:bCs/>
                      <w:color w:val="000000"/>
                      <w:sz w:val="21"/>
                      <w:szCs w:val="21"/>
                      <w:u w:val="none" w:color="auto"/>
                      <w:lang w:eastAsia="zh-CN"/>
                    </w:rPr>
                    <w:t>（</w:t>
                  </w:r>
                  <w:r>
                    <w:rPr>
                      <w:rFonts w:hint="eastAsia" w:ascii="Times New Roman" w:hAnsi="Times New Roman" w:eastAsia="宋体" w:cs="Times New Roman"/>
                      <w:b w:val="0"/>
                      <w:bCs/>
                      <w:color w:val="000000"/>
                      <w:sz w:val="21"/>
                      <w:szCs w:val="21"/>
                      <w:u w:val="none" w:color="auto"/>
                    </w:rPr>
                    <w:t>900-099-S59</w:t>
                  </w:r>
                  <w:r>
                    <w:rPr>
                      <w:rFonts w:hint="eastAsia" w:ascii="Times New Roman" w:hAnsi="Times New Roman" w:eastAsia="宋体" w:cs="Times New Roman"/>
                      <w:b w:val="0"/>
                      <w:bCs/>
                      <w:color w:val="000000"/>
                      <w:sz w:val="21"/>
                      <w:szCs w:val="21"/>
                      <w:u w:val="none" w:color="auto"/>
                      <w:lang w:eastAsia="zh-CN"/>
                    </w:rPr>
                    <w:t>）</w:t>
                  </w:r>
                </w:p>
              </w:tc>
              <w:tc>
                <w:tcPr>
                  <w:tcW w:w="789" w:type="pct"/>
                  <w:tcBorders>
                    <w:tl2br w:val="nil"/>
                    <w:tr2bl w:val="nil"/>
                  </w:tcBorders>
                  <w:noWrap w:val="0"/>
                  <w:vAlign w:val="center"/>
                </w:tcPr>
                <w:p w14:paraId="7CAA1BFF">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w:t>
                  </w:r>
                </w:p>
              </w:tc>
              <w:tc>
                <w:tcPr>
                  <w:tcW w:w="429" w:type="pct"/>
                  <w:tcBorders>
                    <w:tl2br w:val="nil"/>
                    <w:tr2bl w:val="nil"/>
                  </w:tcBorders>
                  <w:noWrap w:val="0"/>
                  <w:vAlign w:val="center"/>
                </w:tcPr>
                <w:p w14:paraId="5FA4F86F">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固态</w:t>
                  </w:r>
                </w:p>
              </w:tc>
              <w:tc>
                <w:tcPr>
                  <w:tcW w:w="741" w:type="pct"/>
                  <w:tcBorders>
                    <w:tl2br w:val="nil"/>
                    <w:tr2bl w:val="nil"/>
                  </w:tcBorders>
                  <w:noWrap w:val="0"/>
                  <w:vAlign w:val="center"/>
                </w:tcPr>
                <w:p w14:paraId="347060E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eastAsia" w:cs="Times New Roman"/>
                      <w:b w:val="0"/>
                      <w:bCs/>
                      <w:color w:val="000000"/>
                      <w:sz w:val="21"/>
                      <w:szCs w:val="21"/>
                      <w:u w:val="none" w:color="auto"/>
                      <w:lang w:val="en-US" w:eastAsia="zh-CN"/>
                    </w:rPr>
                    <w:t>定期</w:t>
                  </w:r>
                  <w:r>
                    <w:rPr>
                      <w:rFonts w:hint="default" w:ascii="Times New Roman" w:hAnsi="Times New Roman" w:eastAsia="宋体" w:cs="Times New Roman"/>
                      <w:bCs/>
                      <w:color w:val="000000"/>
                      <w:szCs w:val="21"/>
                      <w:u w:val="none" w:color="auto"/>
                    </w:rPr>
                    <w:t>外运清运</w:t>
                  </w:r>
                  <w:r>
                    <w:rPr>
                      <w:rFonts w:hint="default"/>
                      <w:bCs/>
                      <w:color w:val="000000"/>
                      <w:szCs w:val="21"/>
                      <w:u w:val="none" w:color="auto"/>
                    </w:rPr>
                    <w:t>处理</w:t>
                  </w:r>
                </w:p>
              </w:tc>
            </w:tr>
            <w:tr w14:paraId="48B9B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shd w:val="clear" w:color="auto" w:fill="auto"/>
                  <w:noWrap w:val="0"/>
                  <w:vAlign w:val="center"/>
                </w:tcPr>
                <w:p w14:paraId="38DC978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eastAsia="宋体" w:cs="Times New Roman"/>
                      <w:b w:val="0"/>
                      <w:bCs/>
                      <w:color w:val="000000"/>
                      <w:sz w:val="21"/>
                      <w:szCs w:val="21"/>
                      <w:u w:val="none" w:color="auto"/>
                      <w:lang w:val="en-US" w:eastAsia="zh-CN"/>
                    </w:rPr>
                    <w:t>6</w:t>
                  </w:r>
                </w:p>
              </w:tc>
              <w:tc>
                <w:tcPr>
                  <w:tcW w:w="713" w:type="pct"/>
                  <w:tcBorders>
                    <w:tl2br w:val="nil"/>
                    <w:tr2bl w:val="nil"/>
                  </w:tcBorders>
                  <w:noWrap w:val="0"/>
                  <w:vAlign w:val="center"/>
                </w:tcPr>
                <w:p w14:paraId="527DB125">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废</w:t>
                  </w:r>
                  <w:r>
                    <w:rPr>
                      <w:rFonts w:hint="eastAsia" w:ascii="Times New Roman" w:hAnsi="Times New Roman" w:eastAsia="宋体" w:cs="Times New Roman"/>
                      <w:b w:val="0"/>
                      <w:bCs/>
                      <w:color w:val="000000"/>
                      <w:kern w:val="2"/>
                      <w:sz w:val="21"/>
                      <w:szCs w:val="21"/>
                      <w:u w:val="none" w:color="auto"/>
                      <w:lang w:val="en-US" w:eastAsia="zh-CN" w:bidi="ar-SA"/>
                    </w:rPr>
                    <w:t>润滑</w:t>
                  </w:r>
                  <w:r>
                    <w:rPr>
                      <w:rFonts w:hint="default" w:ascii="Times New Roman" w:hAnsi="Times New Roman" w:eastAsia="宋体" w:cs="Times New Roman"/>
                      <w:b w:val="0"/>
                      <w:bCs/>
                      <w:color w:val="000000"/>
                      <w:kern w:val="2"/>
                      <w:sz w:val="21"/>
                      <w:szCs w:val="21"/>
                      <w:u w:val="none" w:color="auto"/>
                      <w:lang w:val="en-US" w:eastAsia="zh-CN" w:bidi="ar-SA"/>
                    </w:rPr>
                    <w:t>油</w:t>
                  </w:r>
                </w:p>
              </w:tc>
              <w:tc>
                <w:tcPr>
                  <w:tcW w:w="602" w:type="pct"/>
                  <w:tcBorders>
                    <w:tl2br w:val="nil"/>
                    <w:tr2bl w:val="nil"/>
                  </w:tcBorders>
                  <w:noWrap w:val="0"/>
                  <w:vAlign w:val="center"/>
                </w:tcPr>
                <w:p w14:paraId="09687F8A">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6</w:t>
                  </w:r>
                </w:p>
              </w:tc>
              <w:tc>
                <w:tcPr>
                  <w:tcW w:w="1443" w:type="pct"/>
                  <w:tcBorders>
                    <w:tl2br w:val="nil"/>
                    <w:tr2bl w:val="nil"/>
                  </w:tcBorders>
                  <w:shd w:val="clear" w:color="auto" w:fill="auto"/>
                  <w:noWrap w:val="0"/>
                  <w:vAlign w:val="center"/>
                </w:tcPr>
                <w:p w14:paraId="7878875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危险废物</w:t>
                  </w:r>
                </w:p>
                <w:p w14:paraId="02801EC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（HW08废矿物油与含矿物油废物）</w:t>
                  </w:r>
                </w:p>
              </w:tc>
              <w:tc>
                <w:tcPr>
                  <w:tcW w:w="789" w:type="pct"/>
                  <w:tcBorders>
                    <w:tl2br w:val="nil"/>
                    <w:tr2bl w:val="nil"/>
                  </w:tcBorders>
                  <w:shd w:val="clear" w:color="auto" w:fill="auto"/>
                  <w:noWrap w:val="0"/>
                  <w:vAlign w:val="center"/>
                </w:tcPr>
                <w:p w14:paraId="18D3290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900-21</w:t>
                  </w:r>
                  <w:r>
                    <w:rPr>
                      <w:rFonts w:hint="eastAsia" w:ascii="Times New Roman" w:hAnsi="Times New Roman" w:eastAsia="宋体" w:cs="Times New Roman"/>
                      <w:b w:val="0"/>
                      <w:bCs/>
                      <w:color w:val="000000"/>
                      <w:kern w:val="2"/>
                      <w:sz w:val="21"/>
                      <w:szCs w:val="21"/>
                      <w:u w:val="none" w:color="auto"/>
                      <w:lang w:val="en-US" w:eastAsia="zh-CN" w:bidi="ar-SA"/>
                    </w:rPr>
                    <w:t>4</w:t>
                  </w:r>
                  <w:r>
                    <w:rPr>
                      <w:rFonts w:hint="default" w:ascii="Times New Roman" w:hAnsi="Times New Roman" w:eastAsia="宋体" w:cs="Times New Roman"/>
                      <w:b w:val="0"/>
                      <w:bCs/>
                      <w:color w:val="000000"/>
                      <w:kern w:val="2"/>
                      <w:sz w:val="21"/>
                      <w:szCs w:val="21"/>
                      <w:u w:val="none" w:color="auto"/>
                      <w:lang w:val="en-US" w:eastAsia="zh-CN" w:bidi="ar-SA"/>
                    </w:rPr>
                    <w:t>-08</w:t>
                  </w:r>
                </w:p>
              </w:tc>
              <w:tc>
                <w:tcPr>
                  <w:tcW w:w="429" w:type="pct"/>
                  <w:tcBorders>
                    <w:tl2br w:val="nil"/>
                    <w:tr2bl w:val="nil"/>
                  </w:tcBorders>
                  <w:noWrap w:val="0"/>
                  <w:vAlign w:val="center"/>
                </w:tcPr>
                <w:p w14:paraId="7621EC1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固态</w:t>
                  </w:r>
                </w:p>
              </w:tc>
              <w:tc>
                <w:tcPr>
                  <w:tcW w:w="741" w:type="pct"/>
                  <w:vMerge w:val="restart"/>
                  <w:tcBorders>
                    <w:tl2br w:val="nil"/>
                    <w:tr2bl w:val="nil"/>
                  </w:tcBorders>
                  <w:noWrap w:val="0"/>
                  <w:vAlign w:val="center"/>
                </w:tcPr>
                <w:p w14:paraId="0F3207A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sz w:val="21"/>
                      <w:szCs w:val="21"/>
                      <w:u w:val="none" w:color="auto"/>
                      <w:lang w:eastAsia="zh-CN"/>
                    </w:rPr>
                    <w:t>妥善收集至危废暂存间，定期交由有资质单位安全处置</w:t>
                  </w:r>
                </w:p>
              </w:tc>
            </w:tr>
            <w:tr w14:paraId="3D545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shd w:val="clear" w:color="auto" w:fill="auto"/>
                  <w:noWrap w:val="0"/>
                  <w:vAlign w:val="center"/>
                </w:tcPr>
                <w:p w14:paraId="240EAC6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cs="Times New Roman"/>
                      <w:b w:val="0"/>
                      <w:bCs/>
                      <w:color w:val="000000"/>
                      <w:sz w:val="21"/>
                      <w:szCs w:val="21"/>
                      <w:u w:val="none" w:color="auto"/>
                      <w:lang w:val="en-US" w:eastAsia="zh-CN"/>
                    </w:rPr>
                    <w:t>7</w:t>
                  </w:r>
                </w:p>
              </w:tc>
              <w:tc>
                <w:tcPr>
                  <w:tcW w:w="713" w:type="pct"/>
                  <w:tcBorders>
                    <w:tl2br w:val="nil"/>
                    <w:tr2bl w:val="nil"/>
                  </w:tcBorders>
                  <w:noWrap w:val="0"/>
                  <w:vAlign w:val="center"/>
                </w:tcPr>
                <w:p w14:paraId="70A5FDF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kern w:val="2"/>
                      <w:sz w:val="21"/>
                      <w:szCs w:val="21"/>
                      <w:u w:val="none" w:color="auto"/>
                      <w:lang w:val="en-US" w:eastAsia="zh-CN" w:bidi="ar-SA"/>
                    </w:rPr>
                    <w:t>废液压油</w:t>
                  </w:r>
                </w:p>
              </w:tc>
              <w:tc>
                <w:tcPr>
                  <w:tcW w:w="602" w:type="pct"/>
                  <w:tcBorders>
                    <w:tl2br w:val="nil"/>
                    <w:tr2bl w:val="nil"/>
                  </w:tcBorders>
                  <w:noWrap w:val="0"/>
                  <w:vAlign w:val="center"/>
                </w:tcPr>
                <w:p w14:paraId="4FD323E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0.025</w:t>
                  </w:r>
                </w:p>
              </w:tc>
              <w:tc>
                <w:tcPr>
                  <w:tcW w:w="1443" w:type="pct"/>
                  <w:tcBorders>
                    <w:tl2br w:val="nil"/>
                    <w:tr2bl w:val="nil"/>
                  </w:tcBorders>
                  <w:shd w:val="clear" w:color="auto" w:fill="auto"/>
                  <w:noWrap w:val="0"/>
                  <w:vAlign w:val="center"/>
                </w:tcPr>
                <w:p w14:paraId="25B7569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危险废物</w:t>
                  </w:r>
                </w:p>
                <w:p w14:paraId="28F40A9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（HW08废矿物油与含矿物油废物）</w:t>
                  </w:r>
                </w:p>
              </w:tc>
              <w:tc>
                <w:tcPr>
                  <w:tcW w:w="789" w:type="pct"/>
                  <w:tcBorders>
                    <w:tl2br w:val="nil"/>
                    <w:tr2bl w:val="nil"/>
                  </w:tcBorders>
                  <w:shd w:val="clear" w:color="auto" w:fill="auto"/>
                  <w:noWrap w:val="0"/>
                  <w:vAlign w:val="center"/>
                </w:tcPr>
                <w:p w14:paraId="609ACBC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900-21</w:t>
                  </w:r>
                  <w:r>
                    <w:rPr>
                      <w:rFonts w:hint="eastAsia" w:ascii="Times New Roman" w:hAnsi="Times New Roman" w:eastAsia="宋体" w:cs="Times New Roman"/>
                      <w:b w:val="0"/>
                      <w:bCs/>
                      <w:color w:val="000000"/>
                      <w:kern w:val="2"/>
                      <w:sz w:val="21"/>
                      <w:szCs w:val="21"/>
                      <w:u w:val="none" w:color="auto"/>
                      <w:lang w:val="en-US" w:eastAsia="zh-CN" w:bidi="ar-SA"/>
                    </w:rPr>
                    <w:t>8</w:t>
                  </w:r>
                  <w:r>
                    <w:rPr>
                      <w:rFonts w:hint="default" w:ascii="Times New Roman" w:hAnsi="Times New Roman" w:eastAsia="宋体" w:cs="Times New Roman"/>
                      <w:b w:val="0"/>
                      <w:bCs/>
                      <w:color w:val="000000"/>
                      <w:kern w:val="2"/>
                      <w:sz w:val="21"/>
                      <w:szCs w:val="21"/>
                      <w:u w:val="none" w:color="auto"/>
                      <w:lang w:val="en-US" w:eastAsia="zh-CN" w:bidi="ar-SA"/>
                    </w:rPr>
                    <w:t>-08</w:t>
                  </w:r>
                </w:p>
              </w:tc>
              <w:tc>
                <w:tcPr>
                  <w:tcW w:w="429" w:type="pct"/>
                  <w:tcBorders>
                    <w:tl2br w:val="nil"/>
                    <w:tr2bl w:val="nil"/>
                  </w:tcBorders>
                  <w:noWrap w:val="0"/>
                  <w:vAlign w:val="center"/>
                </w:tcPr>
                <w:p w14:paraId="593917F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固态</w:t>
                  </w:r>
                </w:p>
              </w:tc>
              <w:tc>
                <w:tcPr>
                  <w:tcW w:w="741" w:type="pct"/>
                  <w:vMerge w:val="continue"/>
                  <w:tcBorders>
                    <w:tl2br w:val="nil"/>
                    <w:tr2bl w:val="nil"/>
                  </w:tcBorders>
                  <w:noWrap w:val="0"/>
                  <w:vAlign w:val="center"/>
                </w:tcPr>
                <w:p w14:paraId="27488895">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cs="Times New Roman"/>
                      <w:b w:val="0"/>
                      <w:bCs/>
                      <w:color w:val="000000"/>
                      <w:sz w:val="21"/>
                      <w:szCs w:val="21"/>
                      <w:u w:val="none" w:color="auto"/>
                      <w:lang w:val="en-US" w:eastAsia="zh-CN"/>
                    </w:rPr>
                  </w:pPr>
                </w:p>
              </w:tc>
            </w:tr>
            <w:tr w14:paraId="0EC16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shd w:val="clear" w:color="auto" w:fill="auto"/>
                  <w:noWrap w:val="0"/>
                  <w:vAlign w:val="center"/>
                </w:tcPr>
                <w:p w14:paraId="684E625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eastAsia="宋体" w:cs="Times New Roman"/>
                      <w:b w:val="0"/>
                      <w:bCs/>
                      <w:color w:val="000000"/>
                      <w:kern w:val="2"/>
                      <w:sz w:val="21"/>
                      <w:szCs w:val="21"/>
                      <w:u w:val="none" w:color="auto"/>
                      <w:lang w:val="en-US" w:eastAsia="zh-CN" w:bidi="ar-SA"/>
                    </w:rPr>
                    <w:t>8</w:t>
                  </w:r>
                </w:p>
              </w:tc>
              <w:tc>
                <w:tcPr>
                  <w:tcW w:w="713" w:type="pct"/>
                  <w:tcBorders>
                    <w:tl2br w:val="nil"/>
                    <w:tr2bl w:val="nil"/>
                  </w:tcBorders>
                  <w:noWrap w:val="0"/>
                  <w:vAlign w:val="center"/>
                </w:tcPr>
                <w:p w14:paraId="242B2905">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废含油抹布及手套</w:t>
                  </w:r>
                </w:p>
              </w:tc>
              <w:tc>
                <w:tcPr>
                  <w:tcW w:w="602" w:type="pct"/>
                  <w:tcBorders>
                    <w:tl2br w:val="nil"/>
                    <w:tr2bl w:val="nil"/>
                  </w:tcBorders>
                  <w:noWrap w:val="0"/>
                  <w:vAlign w:val="center"/>
                </w:tcPr>
                <w:p w14:paraId="23A7DAF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.1</w:t>
                  </w:r>
                </w:p>
              </w:tc>
              <w:tc>
                <w:tcPr>
                  <w:tcW w:w="1443" w:type="pct"/>
                  <w:tcBorders>
                    <w:tl2br w:val="nil"/>
                    <w:tr2bl w:val="nil"/>
                  </w:tcBorders>
                  <w:noWrap w:val="0"/>
                  <w:vAlign w:val="center"/>
                </w:tcPr>
                <w:p w14:paraId="3D03DB9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危险废物</w:t>
                  </w:r>
                </w:p>
                <w:p w14:paraId="582874E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（HW49其他废物）</w:t>
                  </w:r>
                </w:p>
              </w:tc>
              <w:tc>
                <w:tcPr>
                  <w:tcW w:w="789" w:type="pct"/>
                  <w:tcBorders>
                    <w:tl2br w:val="nil"/>
                    <w:tr2bl w:val="nil"/>
                  </w:tcBorders>
                  <w:noWrap w:val="0"/>
                  <w:vAlign w:val="center"/>
                </w:tcPr>
                <w:p w14:paraId="5FFE94DA">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900-041-49</w:t>
                  </w:r>
                </w:p>
              </w:tc>
              <w:tc>
                <w:tcPr>
                  <w:tcW w:w="429" w:type="pct"/>
                  <w:tcBorders>
                    <w:tl2br w:val="nil"/>
                    <w:tr2bl w:val="nil"/>
                  </w:tcBorders>
                  <w:noWrap w:val="0"/>
                  <w:vAlign w:val="center"/>
                </w:tcPr>
                <w:p w14:paraId="5171708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固态</w:t>
                  </w:r>
                </w:p>
              </w:tc>
              <w:tc>
                <w:tcPr>
                  <w:tcW w:w="741" w:type="pct"/>
                  <w:vMerge w:val="continue"/>
                  <w:tcBorders>
                    <w:tl2br w:val="nil"/>
                    <w:tr2bl w:val="nil"/>
                  </w:tcBorders>
                  <w:noWrap w:val="0"/>
                  <w:vAlign w:val="center"/>
                </w:tcPr>
                <w:p w14:paraId="23B331E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p>
              </w:tc>
            </w:tr>
            <w:tr w14:paraId="5263A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tcBorders>
                    <w:tl2br w:val="nil"/>
                    <w:tr2bl w:val="nil"/>
                  </w:tcBorders>
                  <w:noWrap w:val="0"/>
                  <w:vAlign w:val="center"/>
                </w:tcPr>
                <w:p w14:paraId="21E5CCC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eastAsia="宋体" w:cs="Times New Roman"/>
                      <w:b w:val="0"/>
                      <w:bCs/>
                      <w:color w:val="000000"/>
                      <w:kern w:val="2"/>
                      <w:sz w:val="21"/>
                      <w:szCs w:val="21"/>
                      <w:u w:val="none" w:color="auto"/>
                      <w:lang w:val="en-US" w:eastAsia="zh-CN" w:bidi="ar-SA"/>
                    </w:rPr>
                    <w:t>9</w:t>
                  </w:r>
                </w:p>
              </w:tc>
              <w:tc>
                <w:tcPr>
                  <w:tcW w:w="713" w:type="pct"/>
                  <w:tcBorders>
                    <w:tl2br w:val="nil"/>
                    <w:tr2bl w:val="nil"/>
                  </w:tcBorders>
                  <w:noWrap w:val="0"/>
                  <w:vAlign w:val="center"/>
                </w:tcPr>
                <w:p w14:paraId="7A07F567">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废油桶</w:t>
                  </w:r>
                </w:p>
              </w:tc>
              <w:tc>
                <w:tcPr>
                  <w:tcW w:w="602" w:type="pct"/>
                  <w:tcBorders>
                    <w:tl2br w:val="nil"/>
                    <w:tr2bl w:val="nil"/>
                  </w:tcBorders>
                  <w:noWrap w:val="0"/>
                  <w:vAlign w:val="center"/>
                </w:tcPr>
                <w:p w14:paraId="596478F0">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lang w:val="en-US" w:eastAsia="zh-CN"/>
                    </w:rPr>
                  </w:pPr>
                  <w:r>
                    <w:rPr>
                      <w:rFonts w:hint="eastAsia" w:ascii="Times New Roman" w:hAnsi="Times New Roman" w:eastAsia="宋体" w:cs="Times New Roman"/>
                      <w:b w:val="0"/>
                      <w:bCs/>
                      <w:color w:val="000000"/>
                      <w:sz w:val="21"/>
                      <w:szCs w:val="21"/>
                      <w:u w:val="none" w:color="auto"/>
                      <w:lang w:val="en-US" w:eastAsia="zh-CN"/>
                    </w:rPr>
                    <w:t>0.15</w:t>
                  </w:r>
                </w:p>
              </w:tc>
              <w:tc>
                <w:tcPr>
                  <w:tcW w:w="1443" w:type="pct"/>
                  <w:tcBorders>
                    <w:tl2br w:val="nil"/>
                    <w:tr2bl w:val="nil"/>
                  </w:tcBorders>
                  <w:noWrap w:val="0"/>
                  <w:vAlign w:val="center"/>
                </w:tcPr>
                <w:p w14:paraId="1668592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危险废物</w:t>
                  </w:r>
                </w:p>
                <w:p w14:paraId="24770C4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（HW49其他废物）</w:t>
                  </w:r>
                </w:p>
              </w:tc>
              <w:tc>
                <w:tcPr>
                  <w:tcW w:w="789" w:type="pct"/>
                  <w:tcBorders>
                    <w:tl2br w:val="nil"/>
                    <w:tr2bl w:val="nil"/>
                  </w:tcBorders>
                  <w:noWrap w:val="0"/>
                  <w:vAlign w:val="center"/>
                </w:tcPr>
                <w:p w14:paraId="15839C7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900-041-49</w:t>
                  </w:r>
                </w:p>
              </w:tc>
              <w:tc>
                <w:tcPr>
                  <w:tcW w:w="429" w:type="pct"/>
                  <w:tcBorders>
                    <w:tl2br w:val="nil"/>
                    <w:tr2bl w:val="nil"/>
                  </w:tcBorders>
                  <w:noWrap w:val="0"/>
                  <w:vAlign w:val="center"/>
                </w:tcPr>
                <w:p w14:paraId="7157CC6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kern w:val="2"/>
                      <w:sz w:val="21"/>
                      <w:szCs w:val="21"/>
                      <w:u w:val="none" w:color="auto"/>
                      <w:lang w:val="en-US" w:eastAsia="zh-CN" w:bidi="ar-SA"/>
                    </w:rPr>
                    <w:t>固态</w:t>
                  </w:r>
                </w:p>
              </w:tc>
              <w:tc>
                <w:tcPr>
                  <w:tcW w:w="741" w:type="pct"/>
                  <w:vMerge w:val="continue"/>
                  <w:tcBorders>
                    <w:tl2br w:val="nil"/>
                    <w:tr2bl w:val="nil"/>
                  </w:tcBorders>
                  <w:noWrap w:val="0"/>
                  <w:vAlign w:val="center"/>
                </w:tcPr>
                <w:p w14:paraId="56F956A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p>
              </w:tc>
            </w:tr>
          </w:tbl>
          <w:p w14:paraId="70DB764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b/>
                <w:bCs/>
                <w:color w:val="auto"/>
                <w:sz w:val="24"/>
                <w:szCs w:val="24"/>
                <w:u w:val="none" w:color="auto"/>
                <w:lang w:eastAsia="zh-CN"/>
              </w:rPr>
            </w:pPr>
            <w:r>
              <w:rPr>
                <w:rFonts w:hint="eastAsia" w:eastAsia="宋体" w:cs="Times New Roman"/>
                <w:color w:val="auto"/>
                <w:spacing w:val="0"/>
                <w:sz w:val="24"/>
                <w:szCs w:val="24"/>
                <w:u w:val="none" w:color="auto"/>
                <w:lang w:val="en-US" w:eastAsia="zh-CN"/>
              </w:rPr>
              <w:t xml:space="preserve"> </w:t>
            </w:r>
            <w:r>
              <w:rPr>
                <w:rFonts w:hint="default" w:ascii="Times New Roman" w:hAnsi="Times New Roman" w:eastAsia="宋体" w:cs="Times New Roman"/>
                <w:b/>
                <w:bCs/>
                <w:color w:val="auto"/>
                <w:sz w:val="24"/>
                <w:szCs w:val="24"/>
                <w:u w:val="none" w:color="auto"/>
                <w:lang w:eastAsia="zh-CN"/>
              </w:rPr>
              <w:t>2、合理性分析</w:t>
            </w:r>
          </w:p>
          <w:p w14:paraId="27BB76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1</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危险废物处置措施</w:t>
            </w:r>
          </w:p>
          <w:p w14:paraId="7D7E33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lang w:eastAsia="zh-CN"/>
              </w:rPr>
              <w:t>本项目产生的</w:t>
            </w:r>
            <w:r>
              <w:rPr>
                <w:rFonts w:hint="default" w:ascii="Times New Roman" w:hAnsi="Times New Roman" w:eastAsia="宋体" w:cs="Times New Roman"/>
                <w:b w:val="0"/>
                <w:bCs/>
                <w:color w:val="000000"/>
                <w:kern w:val="2"/>
                <w:sz w:val="24"/>
                <w:szCs w:val="24"/>
                <w:u w:val="single" w:color="auto"/>
                <w:lang w:val="en-US" w:eastAsia="zh-CN" w:bidi="ar-SA"/>
              </w:rPr>
              <w:t>废</w:t>
            </w:r>
            <w:r>
              <w:rPr>
                <w:rFonts w:hint="eastAsia" w:ascii="Times New Roman" w:hAnsi="Times New Roman" w:eastAsia="宋体" w:cs="Times New Roman"/>
                <w:b w:val="0"/>
                <w:bCs/>
                <w:color w:val="000000"/>
                <w:kern w:val="2"/>
                <w:sz w:val="24"/>
                <w:szCs w:val="24"/>
                <w:u w:val="single" w:color="auto"/>
                <w:lang w:val="en-US" w:eastAsia="zh-CN" w:bidi="ar-SA"/>
              </w:rPr>
              <w:t>润滑</w:t>
            </w:r>
            <w:r>
              <w:rPr>
                <w:rFonts w:hint="default" w:ascii="Times New Roman" w:hAnsi="Times New Roman" w:eastAsia="宋体" w:cs="Times New Roman"/>
                <w:b w:val="0"/>
                <w:bCs/>
                <w:color w:val="000000"/>
                <w:kern w:val="2"/>
                <w:sz w:val="24"/>
                <w:szCs w:val="24"/>
                <w:u w:val="single" w:color="auto"/>
                <w:lang w:val="en-US" w:eastAsia="zh-CN" w:bidi="ar-SA"/>
              </w:rPr>
              <w:t>油</w:t>
            </w:r>
            <w:r>
              <w:rPr>
                <w:rFonts w:hint="eastAsia" w:ascii="Times New Roman" w:hAnsi="Times New Roman" w:eastAsia="宋体" w:cs="Times New Roman"/>
                <w:b w:val="0"/>
                <w:bCs/>
                <w:color w:val="000000"/>
                <w:kern w:val="2"/>
                <w:sz w:val="24"/>
                <w:szCs w:val="24"/>
                <w:u w:val="single" w:color="auto"/>
                <w:lang w:val="en-US" w:eastAsia="zh-CN" w:bidi="ar-SA"/>
              </w:rPr>
              <w:t>、废液压油</w:t>
            </w:r>
            <w:r>
              <w:rPr>
                <w:rFonts w:hint="eastAsia" w:cs="Times New Roman"/>
                <w:snapToGrid w:val="0"/>
                <w:sz w:val="24"/>
                <w:szCs w:val="24"/>
                <w:u w:val="single" w:color="auto"/>
                <w:lang w:eastAsia="zh-CN"/>
              </w:rPr>
              <w:t>、</w:t>
            </w:r>
            <w:r>
              <w:rPr>
                <w:rFonts w:hint="eastAsia" w:ascii="Times New Roman" w:hAnsi="Times New Roman" w:eastAsia="宋体" w:cs="Times New Roman"/>
                <w:snapToGrid w:val="0"/>
                <w:sz w:val="24"/>
                <w:szCs w:val="24"/>
                <w:u w:val="single" w:color="auto"/>
              </w:rPr>
              <w:t>废含油抹</w:t>
            </w:r>
            <w:r>
              <w:rPr>
                <w:rFonts w:hint="eastAsia" w:ascii="Times New Roman" w:hAnsi="Times New Roman" w:eastAsia="宋体" w:cs="Times New Roman"/>
                <w:snapToGrid w:val="0"/>
                <w:sz w:val="24"/>
                <w:u w:val="single" w:color="auto"/>
              </w:rPr>
              <w:t>布手套</w:t>
            </w:r>
            <w:r>
              <w:rPr>
                <w:rFonts w:hint="eastAsia" w:cs="Times New Roman"/>
                <w:snapToGrid w:val="0"/>
                <w:sz w:val="24"/>
                <w:u w:val="single" w:color="auto"/>
                <w:lang w:val="en-US" w:eastAsia="zh-CN"/>
              </w:rPr>
              <w:t>及废油桶</w:t>
            </w:r>
            <w:r>
              <w:rPr>
                <w:rFonts w:hint="default" w:ascii="Times New Roman" w:hAnsi="Times New Roman" w:eastAsia="宋体" w:cs="Times New Roman"/>
                <w:color w:val="auto"/>
                <w:sz w:val="24"/>
                <w:szCs w:val="24"/>
                <w:u w:val="single" w:color="auto"/>
                <w:lang w:eastAsia="zh-CN"/>
              </w:rPr>
              <w:t>属于危险废物。</w:t>
            </w:r>
            <w:r>
              <w:rPr>
                <w:rFonts w:hint="eastAsia" w:cs="Times New Roman"/>
                <w:color w:val="auto"/>
                <w:sz w:val="24"/>
                <w:szCs w:val="24"/>
                <w:u w:val="single" w:color="auto"/>
                <w:lang w:val="en-US" w:eastAsia="zh-CN"/>
              </w:rPr>
              <w:t>本项目中生产</w:t>
            </w:r>
            <w:r>
              <w:rPr>
                <w:rFonts w:hint="eastAsia" w:ascii="Times New Roman" w:hAnsi="Times New Roman" w:eastAsia="宋体" w:cs="Times New Roman"/>
                <w:color w:val="auto"/>
                <w:sz w:val="24"/>
                <w:szCs w:val="24"/>
                <w:u w:val="single" w:color="auto"/>
                <w:lang w:val="en-US" w:eastAsia="zh-CN"/>
              </w:rPr>
              <w:t>厂房内</w:t>
            </w:r>
            <w:r>
              <w:rPr>
                <w:rFonts w:hint="eastAsia" w:eastAsia="宋体" w:cs="Times New Roman"/>
                <w:color w:val="auto"/>
                <w:sz w:val="24"/>
                <w:szCs w:val="24"/>
                <w:u w:val="single" w:color="auto"/>
                <w:lang w:val="en-US" w:eastAsia="zh-CN"/>
              </w:rPr>
              <w:t>西</w:t>
            </w:r>
            <w:r>
              <w:rPr>
                <w:rFonts w:hint="eastAsia" w:cs="Times New Roman"/>
                <w:color w:val="auto"/>
                <w:sz w:val="24"/>
                <w:szCs w:val="24"/>
                <w:u w:val="single" w:color="auto"/>
                <w:lang w:val="en-US" w:eastAsia="zh-CN"/>
              </w:rPr>
              <w:t>南角</w:t>
            </w:r>
            <w:r>
              <w:rPr>
                <w:rFonts w:hint="default" w:ascii="Times New Roman" w:hAnsi="Times New Roman" w:eastAsia="宋体" w:cs="Times New Roman"/>
                <w:color w:val="auto"/>
                <w:sz w:val="24"/>
                <w:szCs w:val="24"/>
                <w:u w:val="single" w:color="auto"/>
                <w:lang w:eastAsia="zh-CN"/>
              </w:rPr>
              <w:t>设立</w:t>
            </w:r>
            <w:r>
              <w:rPr>
                <w:rFonts w:hint="eastAsia" w:ascii="Times New Roman" w:hAnsi="Times New Roman" w:eastAsia="宋体" w:cs="Times New Roman"/>
                <w:color w:val="auto"/>
                <w:sz w:val="24"/>
                <w:szCs w:val="24"/>
                <w:u w:val="single" w:color="auto"/>
                <w:lang w:val="en-US" w:eastAsia="zh-CN"/>
              </w:rPr>
              <w:t>10</w:t>
            </w:r>
            <w:r>
              <w:rPr>
                <w:rFonts w:hint="default" w:ascii="Times New Roman" w:hAnsi="Times New Roman" w:eastAsia="宋体" w:cs="Times New Roman"/>
                <w:color w:val="auto"/>
                <w:sz w:val="24"/>
                <w:szCs w:val="24"/>
                <w:u w:val="single" w:color="auto"/>
                <w:lang w:eastAsia="zh-CN"/>
              </w:rPr>
              <w:t>m</w:t>
            </w:r>
            <w:r>
              <w:rPr>
                <w:rFonts w:hint="default" w:ascii="Times New Roman" w:hAnsi="Times New Roman" w:eastAsia="宋体" w:cs="Times New Roman"/>
                <w:color w:val="auto"/>
                <w:sz w:val="24"/>
                <w:szCs w:val="24"/>
                <w:u w:val="single" w:color="auto"/>
                <w:vertAlign w:val="superscript"/>
                <w:lang w:eastAsia="zh-CN"/>
              </w:rPr>
              <w:t>2</w:t>
            </w:r>
            <w:r>
              <w:rPr>
                <w:rFonts w:hint="default" w:ascii="Times New Roman" w:hAnsi="Times New Roman" w:eastAsia="宋体" w:cs="Times New Roman"/>
                <w:color w:val="auto"/>
                <w:sz w:val="24"/>
                <w:szCs w:val="24"/>
                <w:u w:val="single" w:color="auto"/>
                <w:lang w:eastAsia="zh-CN"/>
              </w:rPr>
              <w:t>的危险废物暂存间</w:t>
            </w:r>
            <w:r>
              <w:rPr>
                <w:rFonts w:hint="eastAsia" w:cs="Times New Roman"/>
                <w:color w:val="auto"/>
                <w:sz w:val="24"/>
                <w:szCs w:val="24"/>
                <w:u w:val="single" w:color="auto"/>
                <w:lang w:eastAsia="zh-CN"/>
              </w:rPr>
              <w:t>，</w:t>
            </w:r>
            <w:r>
              <w:rPr>
                <w:rFonts w:hint="eastAsia" w:cs="Times New Roman"/>
                <w:color w:val="auto"/>
                <w:sz w:val="24"/>
                <w:szCs w:val="24"/>
                <w:u w:val="single" w:color="auto"/>
                <w:lang w:val="en-US" w:eastAsia="zh-CN"/>
              </w:rPr>
              <w:t>即位于一般固废暂存间的东侧</w:t>
            </w:r>
            <w:r>
              <w:rPr>
                <w:rFonts w:hint="default" w:ascii="Times New Roman" w:hAnsi="Times New Roman" w:eastAsia="宋体" w:cs="Times New Roman"/>
                <w:color w:val="auto"/>
                <w:sz w:val="24"/>
                <w:szCs w:val="24"/>
                <w:u w:val="single" w:color="auto"/>
                <w:lang w:eastAsia="zh-CN"/>
              </w:rPr>
              <w:t>，对生产过程产生的各类危险废物进行</w:t>
            </w:r>
            <w:r>
              <w:rPr>
                <w:rFonts w:hint="default" w:ascii="Times New Roman" w:hAnsi="Times New Roman" w:eastAsia="宋体" w:cs="Times New Roman"/>
                <w:color w:val="auto"/>
                <w:spacing w:val="15"/>
                <w:sz w:val="24"/>
                <w:szCs w:val="24"/>
                <w:u w:val="single" w:color="auto"/>
              </w:rPr>
              <w:t>收</w:t>
            </w:r>
            <w:r>
              <w:rPr>
                <w:rFonts w:hint="default" w:ascii="Times New Roman" w:hAnsi="Times New Roman" w:eastAsia="宋体" w:cs="Times New Roman"/>
                <w:color w:val="auto"/>
                <w:spacing w:val="8"/>
                <w:sz w:val="24"/>
                <w:szCs w:val="24"/>
                <w:u w:val="single" w:color="auto"/>
              </w:rPr>
              <w:t>集、暂存。为进一步加强危险废物贮存管理，评价对本项目厂区危险废物暂</w:t>
            </w:r>
            <w:r>
              <w:rPr>
                <w:rFonts w:hint="default" w:ascii="Times New Roman" w:hAnsi="Times New Roman" w:eastAsia="宋体" w:cs="Times New Roman"/>
                <w:color w:val="auto"/>
                <w:spacing w:val="12"/>
                <w:sz w:val="24"/>
                <w:szCs w:val="24"/>
                <w:u w:val="single" w:color="auto"/>
              </w:rPr>
              <w:t>存</w:t>
            </w:r>
            <w:r>
              <w:rPr>
                <w:rFonts w:hint="default" w:ascii="Times New Roman" w:hAnsi="Times New Roman" w:eastAsia="宋体" w:cs="Times New Roman"/>
                <w:color w:val="auto"/>
                <w:spacing w:val="7"/>
                <w:sz w:val="24"/>
                <w:szCs w:val="24"/>
                <w:u w:val="single" w:color="auto"/>
              </w:rPr>
              <w:t>提出以下建议：</w:t>
            </w:r>
          </w:p>
          <w:p w14:paraId="4D00D30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0"/>
                <w:sz w:val="24"/>
                <w:szCs w:val="24"/>
                <w:u w:val="single" w:color="auto"/>
              </w:rPr>
              <w:t>①</w:t>
            </w:r>
            <w:r>
              <w:rPr>
                <w:rFonts w:hint="default" w:ascii="Times New Roman" w:hAnsi="Times New Roman" w:eastAsia="宋体" w:cs="Times New Roman"/>
                <w:color w:val="auto"/>
                <w:spacing w:val="-3"/>
                <w:sz w:val="24"/>
                <w:szCs w:val="24"/>
                <w:u w:val="single" w:color="auto"/>
              </w:rPr>
              <w:t>危险废物暂存间应严格按照</w:t>
            </w:r>
            <w:r>
              <w:rPr>
                <w:rFonts w:hint="default" w:ascii="Times New Roman" w:hAnsi="Times New Roman" w:eastAsia="宋体" w:cs="Times New Roman"/>
                <w:bCs/>
                <w:color w:val="000000"/>
                <w:kern w:val="2"/>
                <w:sz w:val="24"/>
                <w:szCs w:val="24"/>
                <w:u w:val="single" w:color="auto"/>
                <w:lang w:val="en-US" w:eastAsia="zh-CN" w:bidi="ar-SA"/>
              </w:rPr>
              <w:t>《危险废物贮存污染控制标准》</w:t>
            </w:r>
            <w:r>
              <w:rPr>
                <w:rFonts w:hint="eastAsia" w:ascii="Times New Roman" w:hAnsi="Times New Roman" w:eastAsia="宋体" w:cs="Times New Roman"/>
                <w:bCs/>
                <w:color w:val="000000"/>
                <w:kern w:val="2"/>
                <w:sz w:val="24"/>
                <w:szCs w:val="24"/>
                <w:u w:val="single" w:color="auto"/>
                <w:lang w:val="en-US" w:eastAsia="zh-CN" w:bidi="ar-SA"/>
              </w:rPr>
              <w:t xml:space="preserve"> </w:t>
            </w:r>
            <w:r>
              <w:rPr>
                <w:rFonts w:hint="default" w:ascii="Times New Roman" w:hAnsi="Times New Roman" w:eastAsia="宋体" w:cs="Times New Roman"/>
                <w:bCs/>
                <w:color w:val="000000"/>
                <w:kern w:val="2"/>
                <w:sz w:val="24"/>
                <w:szCs w:val="24"/>
                <w:u w:val="single" w:color="auto"/>
                <w:lang w:val="en-US" w:eastAsia="zh-CN" w:bidi="ar-SA"/>
              </w:rPr>
              <w:t>（GB18597-2023）</w:t>
            </w:r>
            <w:r>
              <w:rPr>
                <w:rFonts w:hint="default" w:ascii="Times New Roman" w:hAnsi="Times New Roman" w:eastAsia="宋体" w:cs="Times New Roman"/>
                <w:color w:val="auto"/>
                <w:spacing w:val="11"/>
                <w:sz w:val="24"/>
                <w:szCs w:val="24"/>
                <w:u w:val="single" w:color="auto"/>
              </w:rPr>
              <w:t>要求进行建设；应使用符合标准的容器盛装危险</w:t>
            </w:r>
            <w:r>
              <w:rPr>
                <w:rFonts w:hint="default" w:ascii="Times New Roman" w:hAnsi="Times New Roman" w:eastAsia="宋体" w:cs="Times New Roman"/>
                <w:color w:val="auto"/>
                <w:spacing w:val="5"/>
                <w:sz w:val="24"/>
                <w:szCs w:val="24"/>
                <w:u w:val="single" w:color="auto"/>
              </w:rPr>
              <w:t>废</w:t>
            </w:r>
            <w:r>
              <w:rPr>
                <w:rFonts w:hint="default" w:ascii="Times New Roman" w:hAnsi="Times New Roman" w:eastAsia="宋体" w:cs="Times New Roman"/>
                <w:color w:val="auto"/>
                <w:spacing w:val="16"/>
                <w:sz w:val="24"/>
                <w:szCs w:val="24"/>
                <w:u w:val="single" w:color="auto"/>
              </w:rPr>
              <w:t>物，</w:t>
            </w:r>
            <w:r>
              <w:rPr>
                <w:rFonts w:hint="default" w:ascii="Times New Roman" w:hAnsi="Times New Roman" w:eastAsia="宋体" w:cs="Times New Roman"/>
                <w:color w:val="auto"/>
                <w:spacing w:val="8"/>
                <w:sz w:val="24"/>
                <w:szCs w:val="24"/>
                <w:u w:val="single" w:color="auto"/>
              </w:rPr>
              <w:t>容器及其材质应满足相应的强度要求；液体危险废物可注入开孔直径不超过</w:t>
            </w:r>
            <w:r>
              <w:rPr>
                <w:rFonts w:hint="default" w:ascii="Times New Roman" w:hAnsi="Times New Roman" w:eastAsia="宋体" w:cs="Times New Roman"/>
                <w:color w:val="auto"/>
                <w:spacing w:val="6"/>
                <w:sz w:val="24"/>
                <w:szCs w:val="24"/>
                <w:u w:val="single" w:color="auto"/>
              </w:rPr>
              <w:t>70</w:t>
            </w:r>
            <w:r>
              <w:rPr>
                <w:rFonts w:hint="default" w:ascii="Times New Roman" w:hAnsi="Times New Roman" w:eastAsia="宋体" w:cs="Times New Roman"/>
                <w:color w:val="auto"/>
                <w:sz w:val="24"/>
                <w:szCs w:val="24"/>
                <w:u w:val="single" w:color="auto"/>
              </w:rPr>
              <w:t>mm</w:t>
            </w:r>
            <w:r>
              <w:rPr>
                <w:rFonts w:hint="default" w:ascii="Times New Roman" w:hAnsi="Times New Roman" w:eastAsia="宋体" w:cs="Times New Roman"/>
                <w:color w:val="auto"/>
                <w:spacing w:val="6"/>
                <w:sz w:val="24"/>
                <w:szCs w:val="24"/>
                <w:u w:val="single" w:color="auto"/>
              </w:rPr>
              <w:t>并有放气孔的桶中。</w:t>
            </w:r>
          </w:p>
          <w:p w14:paraId="2A98D9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6"/>
                <w:sz w:val="24"/>
                <w:szCs w:val="24"/>
                <w:u w:val="single" w:color="auto"/>
              </w:rPr>
              <w:t>②</w:t>
            </w:r>
            <w:r>
              <w:rPr>
                <w:rFonts w:hint="default" w:ascii="Times New Roman" w:hAnsi="Times New Roman" w:eastAsia="宋体" w:cs="Times New Roman"/>
                <w:color w:val="auto"/>
                <w:spacing w:val="13"/>
                <w:sz w:val="24"/>
                <w:szCs w:val="24"/>
                <w:u w:val="single" w:color="auto"/>
              </w:rPr>
              <w:t>装</w:t>
            </w:r>
            <w:r>
              <w:rPr>
                <w:rFonts w:hint="default" w:ascii="Times New Roman" w:hAnsi="Times New Roman" w:eastAsia="宋体" w:cs="Times New Roman"/>
                <w:color w:val="auto"/>
                <w:spacing w:val="8"/>
                <w:sz w:val="24"/>
                <w:szCs w:val="24"/>
                <w:u w:val="single" w:color="auto"/>
              </w:rPr>
              <w:t>载危废材质和衬里要与危险废物相容，并且保留足够的空间，容器顶</w:t>
            </w:r>
            <w:r>
              <w:rPr>
                <w:rFonts w:hint="default" w:ascii="Times New Roman" w:hAnsi="Times New Roman" w:eastAsia="宋体" w:cs="Times New Roman"/>
                <w:color w:val="auto"/>
                <w:spacing w:val="7"/>
                <w:sz w:val="24"/>
                <w:szCs w:val="24"/>
                <w:u w:val="single" w:color="auto"/>
              </w:rPr>
              <w:t>部与液体表面之间保留100</w:t>
            </w:r>
            <w:r>
              <w:rPr>
                <w:rFonts w:hint="default" w:ascii="Times New Roman" w:hAnsi="Times New Roman" w:eastAsia="宋体" w:cs="Times New Roman"/>
                <w:color w:val="auto"/>
                <w:sz w:val="24"/>
                <w:szCs w:val="24"/>
                <w:u w:val="single" w:color="auto"/>
              </w:rPr>
              <w:t>mm</w:t>
            </w:r>
            <w:r>
              <w:rPr>
                <w:rFonts w:hint="default" w:ascii="Times New Roman" w:hAnsi="Times New Roman" w:eastAsia="宋体" w:cs="Times New Roman"/>
                <w:color w:val="auto"/>
                <w:spacing w:val="7"/>
                <w:sz w:val="24"/>
                <w:szCs w:val="24"/>
                <w:u w:val="single" w:color="auto"/>
              </w:rPr>
              <w:t>以上的空间。</w:t>
            </w:r>
          </w:p>
          <w:p w14:paraId="657058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0"/>
                <w:sz w:val="24"/>
                <w:szCs w:val="24"/>
                <w:u w:val="single" w:color="auto"/>
              </w:rPr>
              <w:t>③</w:t>
            </w:r>
            <w:r>
              <w:rPr>
                <w:rFonts w:hint="default" w:ascii="Times New Roman" w:hAnsi="Times New Roman" w:eastAsia="宋体" w:cs="Times New Roman"/>
                <w:color w:val="auto"/>
                <w:spacing w:val="9"/>
                <w:sz w:val="24"/>
                <w:szCs w:val="24"/>
                <w:u w:val="single" w:color="auto"/>
              </w:rPr>
              <w:t>容器表面必须粘贴符合标准的标签</w:t>
            </w:r>
            <w:r>
              <w:rPr>
                <w:rFonts w:hint="eastAsia" w:ascii="Times New Roman" w:hAnsi="Times New Roman" w:eastAsia="宋体" w:cs="Times New Roman"/>
                <w:color w:val="auto"/>
                <w:spacing w:val="9"/>
                <w:sz w:val="24"/>
                <w:szCs w:val="24"/>
                <w:u w:val="single" w:color="auto"/>
                <w:lang w:eastAsia="zh-CN"/>
              </w:rPr>
              <w:t>（</w:t>
            </w:r>
            <w:r>
              <w:rPr>
                <w:rFonts w:hint="default" w:ascii="Times New Roman" w:hAnsi="Times New Roman" w:eastAsia="宋体" w:cs="Times New Roman"/>
                <w:color w:val="auto"/>
                <w:spacing w:val="9"/>
                <w:sz w:val="24"/>
                <w:szCs w:val="24"/>
                <w:u w:val="single" w:color="auto"/>
              </w:rPr>
              <w:t>见</w:t>
            </w:r>
            <w:r>
              <w:rPr>
                <w:rFonts w:hint="default" w:ascii="Times New Roman" w:hAnsi="Times New Roman" w:eastAsia="宋体" w:cs="Times New Roman"/>
                <w:bCs/>
                <w:color w:val="000000"/>
                <w:kern w:val="2"/>
                <w:sz w:val="24"/>
                <w:szCs w:val="24"/>
                <w:u w:val="single" w:color="auto"/>
                <w:lang w:val="en-US" w:eastAsia="zh-CN" w:bidi="ar-SA"/>
              </w:rPr>
              <w:t>《危险废物贮存污染控制标准》（GB18597-2023）</w:t>
            </w:r>
            <w:r>
              <w:rPr>
                <w:rFonts w:hint="default" w:ascii="Times New Roman" w:hAnsi="Times New Roman" w:eastAsia="宋体" w:cs="Times New Roman"/>
                <w:color w:val="auto"/>
                <w:spacing w:val="4"/>
                <w:sz w:val="24"/>
                <w:szCs w:val="24"/>
                <w:u w:val="single" w:color="auto"/>
              </w:rPr>
              <w:t>附录</w:t>
            </w:r>
            <w:r>
              <w:rPr>
                <w:rFonts w:hint="default" w:ascii="Times New Roman" w:hAnsi="Times New Roman" w:eastAsia="宋体" w:cs="Times New Roman"/>
                <w:color w:val="auto"/>
                <w:sz w:val="24"/>
                <w:szCs w:val="24"/>
                <w:u w:val="single" w:color="auto"/>
              </w:rPr>
              <w:t>A</w:t>
            </w:r>
            <w:r>
              <w:rPr>
                <w:rFonts w:hint="eastAsia" w:ascii="Times New Roman" w:hAnsi="Times New Roman" w:eastAsia="宋体" w:cs="Times New Roman"/>
                <w:color w:val="auto"/>
                <w:spacing w:val="4"/>
                <w:sz w:val="24"/>
                <w:szCs w:val="24"/>
                <w:u w:val="single" w:color="auto"/>
                <w:lang w:eastAsia="zh-CN"/>
              </w:rPr>
              <w:t>）</w:t>
            </w:r>
            <w:r>
              <w:rPr>
                <w:rFonts w:hint="default" w:ascii="Times New Roman" w:hAnsi="Times New Roman" w:eastAsia="宋体" w:cs="Times New Roman"/>
                <w:color w:val="auto"/>
                <w:spacing w:val="4"/>
                <w:sz w:val="24"/>
                <w:szCs w:val="24"/>
                <w:u w:val="single" w:color="auto"/>
              </w:rPr>
              <w:t>。</w:t>
            </w:r>
          </w:p>
          <w:p w14:paraId="2ABCA96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6"/>
                <w:sz w:val="24"/>
                <w:szCs w:val="24"/>
                <w:u w:val="single" w:color="auto"/>
              </w:rPr>
              <w:t>④</w:t>
            </w:r>
            <w:r>
              <w:rPr>
                <w:rFonts w:hint="default" w:ascii="Times New Roman" w:hAnsi="Times New Roman" w:eastAsia="宋体" w:cs="Times New Roman"/>
                <w:color w:val="auto"/>
                <w:spacing w:val="13"/>
                <w:sz w:val="24"/>
                <w:szCs w:val="24"/>
                <w:u w:val="single" w:color="auto"/>
              </w:rPr>
              <w:t>专</w:t>
            </w:r>
            <w:r>
              <w:rPr>
                <w:rFonts w:hint="default" w:ascii="Times New Roman" w:hAnsi="Times New Roman" w:eastAsia="宋体" w:cs="Times New Roman"/>
                <w:color w:val="auto"/>
                <w:spacing w:val="8"/>
                <w:sz w:val="24"/>
                <w:szCs w:val="24"/>
                <w:u w:val="single" w:color="auto"/>
              </w:rPr>
              <w:t>门设置危险固废暂存间作为危险废物临时贮存地；危险废物临时贮存</w:t>
            </w:r>
            <w:r>
              <w:rPr>
                <w:rFonts w:hint="eastAsia" w:cs="Times New Roman"/>
                <w:color w:val="auto"/>
                <w:spacing w:val="8"/>
                <w:sz w:val="24"/>
                <w:szCs w:val="24"/>
                <w:u w:val="single" w:color="auto"/>
                <w:lang w:eastAsia="zh-CN"/>
              </w:rPr>
              <w:t>场所</w:t>
            </w:r>
            <w:r>
              <w:rPr>
                <w:rFonts w:hint="default" w:ascii="Times New Roman" w:hAnsi="Times New Roman" w:eastAsia="宋体" w:cs="Times New Roman"/>
                <w:color w:val="auto"/>
                <w:spacing w:val="15"/>
                <w:sz w:val="24"/>
                <w:szCs w:val="24"/>
                <w:u w:val="single" w:color="auto"/>
              </w:rPr>
              <w:t>的</w:t>
            </w:r>
            <w:r>
              <w:rPr>
                <w:rFonts w:hint="default" w:ascii="Times New Roman" w:hAnsi="Times New Roman" w:eastAsia="宋体" w:cs="Times New Roman"/>
                <w:color w:val="auto"/>
                <w:spacing w:val="8"/>
                <w:sz w:val="24"/>
                <w:szCs w:val="24"/>
                <w:u w:val="single" w:color="auto"/>
              </w:rPr>
              <w:t>地面和裙脚要用坚固、防渗的材料建造；该贮存所的地面与裙脚围建一定</w:t>
            </w:r>
            <w:r>
              <w:rPr>
                <w:rFonts w:hint="default" w:ascii="Times New Roman" w:hAnsi="Times New Roman" w:eastAsia="宋体" w:cs="Times New Roman"/>
                <w:color w:val="auto"/>
                <w:spacing w:val="14"/>
                <w:sz w:val="24"/>
                <w:szCs w:val="24"/>
                <w:u w:val="single" w:color="auto"/>
              </w:rPr>
              <w:t>的空间</w:t>
            </w:r>
            <w:r>
              <w:rPr>
                <w:rFonts w:hint="default" w:ascii="Times New Roman" w:hAnsi="Times New Roman" w:eastAsia="宋体" w:cs="Times New Roman"/>
                <w:color w:val="auto"/>
                <w:spacing w:val="10"/>
                <w:sz w:val="24"/>
                <w:szCs w:val="24"/>
                <w:u w:val="single" w:color="auto"/>
              </w:rPr>
              <w:t>，</w:t>
            </w:r>
            <w:r>
              <w:rPr>
                <w:rFonts w:hint="default" w:ascii="Times New Roman" w:hAnsi="Times New Roman" w:eastAsia="宋体" w:cs="Times New Roman"/>
                <w:color w:val="auto"/>
                <w:spacing w:val="7"/>
                <w:sz w:val="24"/>
                <w:szCs w:val="24"/>
                <w:u w:val="single" w:color="auto"/>
              </w:rPr>
              <w:t>该容积不低于堵截最大容器的最大储量或总储量的1/5；贮存所需设</w:t>
            </w:r>
            <w:r>
              <w:rPr>
                <w:rFonts w:hint="default" w:ascii="Times New Roman" w:hAnsi="Times New Roman" w:eastAsia="宋体" w:cs="Times New Roman"/>
                <w:color w:val="auto"/>
                <w:spacing w:val="16"/>
                <w:sz w:val="24"/>
                <w:szCs w:val="24"/>
                <w:u w:val="single" w:color="auto"/>
              </w:rPr>
              <w:t>液</w:t>
            </w:r>
            <w:r>
              <w:rPr>
                <w:rFonts w:hint="default" w:ascii="Times New Roman" w:hAnsi="Times New Roman" w:eastAsia="宋体" w:cs="Times New Roman"/>
                <w:color w:val="auto"/>
                <w:spacing w:val="15"/>
                <w:sz w:val="24"/>
                <w:szCs w:val="24"/>
                <w:u w:val="single" w:color="auto"/>
              </w:rPr>
              <w:t>体</w:t>
            </w:r>
            <w:r>
              <w:rPr>
                <w:rFonts w:hint="default" w:ascii="Times New Roman" w:hAnsi="Times New Roman" w:eastAsia="宋体" w:cs="Times New Roman"/>
                <w:color w:val="auto"/>
                <w:spacing w:val="8"/>
                <w:sz w:val="24"/>
                <w:szCs w:val="24"/>
                <w:u w:val="single" w:color="auto"/>
              </w:rPr>
              <w:t>收集装置、气体导出口及气体净化装置；贮存装载液体、半固体危险废物</w:t>
            </w:r>
            <w:r>
              <w:rPr>
                <w:rFonts w:hint="default" w:ascii="Times New Roman" w:hAnsi="Times New Roman" w:eastAsia="宋体" w:cs="Times New Roman"/>
                <w:color w:val="auto"/>
                <w:spacing w:val="16"/>
                <w:sz w:val="24"/>
                <w:szCs w:val="24"/>
                <w:u w:val="single" w:color="auto"/>
              </w:rPr>
              <w:t>容</w:t>
            </w:r>
            <w:r>
              <w:rPr>
                <w:rFonts w:hint="default" w:ascii="Times New Roman" w:hAnsi="Times New Roman" w:eastAsia="宋体" w:cs="Times New Roman"/>
                <w:color w:val="auto"/>
                <w:spacing w:val="15"/>
                <w:sz w:val="24"/>
                <w:szCs w:val="24"/>
                <w:u w:val="single" w:color="auto"/>
              </w:rPr>
              <w:t>器</w:t>
            </w:r>
            <w:r>
              <w:rPr>
                <w:rFonts w:hint="default" w:ascii="Times New Roman" w:hAnsi="Times New Roman" w:eastAsia="宋体" w:cs="Times New Roman"/>
                <w:color w:val="auto"/>
                <w:spacing w:val="8"/>
                <w:sz w:val="24"/>
                <w:szCs w:val="24"/>
                <w:u w:val="single" w:color="auto"/>
              </w:rPr>
              <w:t>的地方，必须有耐腐蚀的硬化地面且表面无裂隙。贮存设施应注意安全照</w:t>
            </w:r>
            <w:r>
              <w:rPr>
                <w:rFonts w:hint="default" w:ascii="Times New Roman" w:hAnsi="Times New Roman" w:eastAsia="宋体" w:cs="Times New Roman"/>
                <w:color w:val="auto"/>
                <w:spacing w:val="16"/>
                <w:sz w:val="24"/>
                <w:szCs w:val="24"/>
                <w:u w:val="single" w:color="auto"/>
              </w:rPr>
              <w:t>明等</w:t>
            </w:r>
            <w:r>
              <w:rPr>
                <w:rFonts w:hint="default" w:ascii="Times New Roman" w:hAnsi="Times New Roman" w:eastAsia="宋体" w:cs="Times New Roman"/>
                <w:color w:val="auto"/>
                <w:spacing w:val="9"/>
                <w:sz w:val="24"/>
                <w:szCs w:val="24"/>
                <w:u w:val="single" w:color="auto"/>
              </w:rPr>
              <w:t>问</w:t>
            </w:r>
            <w:r>
              <w:rPr>
                <w:rFonts w:hint="default" w:ascii="Times New Roman" w:hAnsi="Times New Roman" w:eastAsia="宋体" w:cs="Times New Roman"/>
                <w:color w:val="auto"/>
                <w:spacing w:val="8"/>
                <w:sz w:val="24"/>
                <w:szCs w:val="24"/>
                <w:u w:val="single" w:color="auto"/>
              </w:rPr>
              <w:t>题；不相容的危险废物分开存放，并设有隔离间。具体设计原则见</w:t>
            </w:r>
            <w:r>
              <w:rPr>
                <w:rFonts w:hint="default" w:ascii="Times New Roman" w:hAnsi="Times New Roman" w:eastAsia="宋体" w:cs="Times New Roman"/>
                <w:bCs/>
                <w:color w:val="000000"/>
                <w:kern w:val="2"/>
                <w:sz w:val="24"/>
                <w:szCs w:val="24"/>
                <w:u w:val="single" w:color="auto"/>
                <w:lang w:val="en-US" w:eastAsia="zh-CN" w:bidi="ar-SA"/>
              </w:rPr>
              <w:t>《危险废物贮存污染控制标准》（GB18597-2023）</w:t>
            </w:r>
            <w:r>
              <w:rPr>
                <w:rFonts w:hint="default" w:ascii="Times New Roman" w:hAnsi="Times New Roman" w:eastAsia="宋体" w:cs="Times New Roman"/>
                <w:color w:val="auto"/>
                <w:spacing w:val="2"/>
                <w:sz w:val="24"/>
                <w:szCs w:val="24"/>
                <w:u w:val="single" w:color="auto"/>
              </w:rPr>
              <w:t>。</w:t>
            </w:r>
          </w:p>
          <w:p w14:paraId="7240BF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6"/>
                <w:sz w:val="24"/>
                <w:szCs w:val="24"/>
                <w:u w:val="single" w:color="auto"/>
              </w:rPr>
              <w:t>⑤</w:t>
            </w:r>
            <w:r>
              <w:rPr>
                <w:rFonts w:hint="default" w:ascii="Times New Roman" w:hAnsi="Times New Roman" w:eastAsia="宋体" w:cs="Times New Roman"/>
                <w:color w:val="auto"/>
                <w:spacing w:val="13"/>
                <w:sz w:val="24"/>
                <w:szCs w:val="24"/>
                <w:u w:val="single" w:color="auto"/>
              </w:rPr>
              <w:t>废</w:t>
            </w:r>
            <w:r>
              <w:rPr>
                <w:rFonts w:hint="default" w:ascii="Times New Roman" w:hAnsi="Times New Roman" w:eastAsia="宋体" w:cs="Times New Roman"/>
                <w:color w:val="auto"/>
                <w:spacing w:val="8"/>
                <w:sz w:val="24"/>
                <w:szCs w:val="24"/>
                <w:u w:val="single" w:color="auto"/>
              </w:rPr>
              <w:t>物暂存间地面采取防渗措施，建议采用刚性防渗结构：水泥基渗透结</w:t>
            </w:r>
            <w:r>
              <w:rPr>
                <w:rFonts w:hint="default" w:ascii="Times New Roman" w:hAnsi="Times New Roman" w:eastAsia="宋体" w:cs="Times New Roman"/>
                <w:color w:val="auto"/>
                <w:spacing w:val="6"/>
                <w:sz w:val="24"/>
                <w:szCs w:val="24"/>
                <w:u w:val="single" w:color="auto"/>
              </w:rPr>
              <w:t>晶型</w:t>
            </w:r>
            <w:r>
              <w:rPr>
                <w:rFonts w:hint="default" w:ascii="Times New Roman" w:hAnsi="Times New Roman" w:eastAsia="宋体" w:cs="Times New Roman"/>
                <w:color w:val="auto"/>
                <w:spacing w:val="5"/>
                <w:sz w:val="24"/>
                <w:szCs w:val="24"/>
                <w:u w:val="single" w:color="auto"/>
              </w:rPr>
              <w:t>抗</w:t>
            </w:r>
            <w:r>
              <w:rPr>
                <w:rFonts w:hint="default" w:ascii="Times New Roman" w:hAnsi="Times New Roman" w:eastAsia="宋体" w:cs="Times New Roman"/>
                <w:color w:val="auto"/>
                <w:spacing w:val="3"/>
                <w:sz w:val="24"/>
                <w:szCs w:val="24"/>
                <w:u w:val="single" w:color="auto"/>
              </w:rPr>
              <w:t>渗混凝土</w:t>
            </w:r>
            <w:r>
              <w:rPr>
                <w:rFonts w:hint="eastAsia" w:ascii="Times New Roman" w:hAnsi="Times New Roman" w:eastAsia="宋体" w:cs="Times New Roman"/>
                <w:color w:val="auto"/>
                <w:spacing w:val="3"/>
                <w:sz w:val="24"/>
                <w:szCs w:val="24"/>
                <w:u w:val="single" w:color="auto"/>
                <w:lang w:eastAsia="zh-CN"/>
              </w:rPr>
              <w:t>（</w:t>
            </w:r>
            <w:r>
              <w:rPr>
                <w:rFonts w:hint="default" w:ascii="Times New Roman" w:hAnsi="Times New Roman" w:eastAsia="宋体" w:cs="Times New Roman"/>
                <w:color w:val="auto"/>
                <w:spacing w:val="3"/>
                <w:sz w:val="24"/>
                <w:szCs w:val="24"/>
                <w:u w:val="single" w:color="auto"/>
              </w:rPr>
              <w:t>厚度大于250</w:t>
            </w:r>
            <w:r>
              <w:rPr>
                <w:rFonts w:hint="default" w:ascii="Times New Roman" w:hAnsi="Times New Roman" w:eastAsia="宋体" w:cs="Times New Roman"/>
                <w:color w:val="auto"/>
                <w:sz w:val="24"/>
                <w:szCs w:val="24"/>
                <w:u w:val="single" w:color="auto"/>
              </w:rPr>
              <w:t>mm</w:t>
            </w:r>
            <w:r>
              <w:rPr>
                <w:rFonts w:hint="default" w:ascii="Times New Roman" w:hAnsi="Times New Roman" w:eastAsia="宋体" w:cs="Times New Roman"/>
                <w:color w:val="auto"/>
                <w:spacing w:val="3"/>
                <w:sz w:val="24"/>
                <w:szCs w:val="24"/>
                <w:u w:val="single" w:color="auto"/>
              </w:rPr>
              <w:t>、混凝土强度等级不宜小于</w:t>
            </w:r>
            <w:r>
              <w:rPr>
                <w:rFonts w:hint="default" w:ascii="Times New Roman" w:hAnsi="Times New Roman" w:eastAsia="宋体" w:cs="Times New Roman"/>
                <w:color w:val="auto"/>
                <w:sz w:val="24"/>
                <w:szCs w:val="24"/>
                <w:u w:val="single" w:color="auto"/>
              </w:rPr>
              <w:t>C</w:t>
            </w:r>
            <w:r>
              <w:rPr>
                <w:rFonts w:hint="default" w:ascii="Times New Roman" w:hAnsi="Times New Roman" w:eastAsia="宋体" w:cs="Times New Roman"/>
                <w:color w:val="auto"/>
                <w:spacing w:val="3"/>
                <w:sz w:val="24"/>
                <w:szCs w:val="24"/>
                <w:u w:val="single" w:color="auto"/>
              </w:rPr>
              <w:t>30、抗渗等级</w:t>
            </w:r>
            <w:r>
              <w:rPr>
                <w:rFonts w:hint="default" w:ascii="Times New Roman" w:hAnsi="Times New Roman" w:eastAsia="宋体" w:cs="Times New Roman"/>
                <w:color w:val="auto"/>
                <w:spacing w:val="5"/>
                <w:sz w:val="24"/>
                <w:szCs w:val="24"/>
                <w:u w:val="single" w:color="auto"/>
              </w:rPr>
              <w:t>不小于</w:t>
            </w:r>
            <w:r>
              <w:rPr>
                <w:rFonts w:hint="default" w:ascii="Times New Roman" w:hAnsi="Times New Roman" w:eastAsia="宋体" w:cs="Times New Roman"/>
                <w:color w:val="auto"/>
                <w:sz w:val="24"/>
                <w:szCs w:val="24"/>
                <w:u w:val="single" w:color="auto"/>
              </w:rPr>
              <w:t>P</w:t>
            </w:r>
            <w:r>
              <w:rPr>
                <w:rFonts w:hint="default" w:ascii="Times New Roman" w:hAnsi="Times New Roman" w:eastAsia="宋体" w:cs="Times New Roman"/>
                <w:color w:val="auto"/>
                <w:spacing w:val="5"/>
                <w:sz w:val="24"/>
                <w:szCs w:val="24"/>
                <w:u w:val="single" w:color="auto"/>
              </w:rPr>
              <w:t>8</w:t>
            </w:r>
            <w:r>
              <w:rPr>
                <w:rFonts w:hint="eastAsia" w:ascii="Times New Roman" w:hAnsi="Times New Roman" w:eastAsia="宋体" w:cs="Times New Roman"/>
                <w:color w:val="auto"/>
                <w:spacing w:val="5"/>
                <w:sz w:val="24"/>
                <w:szCs w:val="24"/>
                <w:u w:val="single" w:color="auto"/>
                <w:lang w:eastAsia="zh-CN"/>
              </w:rPr>
              <w:t>）</w:t>
            </w:r>
            <w:r>
              <w:rPr>
                <w:rFonts w:hint="default" w:ascii="Times New Roman" w:hAnsi="Times New Roman" w:eastAsia="宋体" w:cs="Times New Roman"/>
                <w:color w:val="auto"/>
                <w:spacing w:val="5"/>
                <w:sz w:val="24"/>
                <w:szCs w:val="24"/>
                <w:u w:val="single" w:color="auto"/>
              </w:rPr>
              <w:t>+水泥基渗透结晶型防渗涂层结构型式</w:t>
            </w:r>
            <w:r>
              <w:rPr>
                <w:rFonts w:hint="eastAsia" w:ascii="Times New Roman" w:hAnsi="Times New Roman" w:eastAsia="宋体" w:cs="Times New Roman"/>
                <w:color w:val="auto"/>
                <w:spacing w:val="5"/>
                <w:sz w:val="24"/>
                <w:szCs w:val="24"/>
                <w:u w:val="single" w:color="auto"/>
                <w:lang w:eastAsia="zh-CN"/>
              </w:rPr>
              <w:t>（</w:t>
            </w:r>
            <w:r>
              <w:rPr>
                <w:rFonts w:hint="default" w:ascii="Times New Roman" w:hAnsi="Times New Roman" w:eastAsia="宋体" w:cs="Times New Roman"/>
                <w:color w:val="auto"/>
                <w:spacing w:val="5"/>
                <w:sz w:val="24"/>
                <w:szCs w:val="24"/>
                <w:u w:val="single" w:color="auto"/>
              </w:rPr>
              <w:t>厚度不小于2.0</w:t>
            </w:r>
            <w:r>
              <w:rPr>
                <w:rFonts w:hint="default" w:ascii="Times New Roman" w:hAnsi="Times New Roman" w:eastAsia="宋体" w:cs="Times New Roman"/>
                <w:color w:val="auto"/>
                <w:sz w:val="24"/>
                <w:szCs w:val="24"/>
                <w:u w:val="single" w:color="auto"/>
              </w:rPr>
              <w:t>mm</w:t>
            </w:r>
            <w:r>
              <w:rPr>
                <w:rFonts w:hint="eastAsia" w:ascii="Times New Roman" w:hAnsi="Times New Roman" w:eastAsia="宋体" w:cs="Times New Roman"/>
                <w:color w:val="auto"/>
                <w:spacing w:val="5"/>
                <w:sz w:val="24"/>
                <w:szCs w:val="24"/>
                <w:u w:val="single" w:color="auto"/>
                <w:lang w:eastAsia="zh-CN"/>
              </w:rPr>
              <w:t>）</w:t>
            </w:r>
            <w:r>
              <w:rPr>
                <w:rFonts w:hint="default" w:ascii="Times New Roman" w:hAnsi="Times New Roman" w:eastAsia="宋体" w:cs="Times New Roman"/>
                <w:color w:val="auto"/>
                <w:spacing w:val="5"/>
                <w:sz w:val="24"/>
                <w:szCs w:val="24"/>
                <w:u w:val="single" w:color="auto"/>
              </w:rPr>
              <w:t>，</w:t>
            </w:r>
            <w:r>
              <w:rPr>
                <w:rFonts w:hint="default" w:ascii="Times New Roman" w:hAnsi="Times New Roman" w:eastAsia="宋体" w:cs="Times New Roman"/>
                <w:color w:val="auto"/>
                <w:sz w:val="24"/>
                <w:szCs w:val="24"/>
                <w:u w:val="single" w:color="auto"/>
              </w:rPr>
              <w:t>透</w:t>
            </w:r>
            <w:r>
              <w:rPr>
                <w:rFonts w:hint="default" w:ascii="Times New Roman" w:hAnsi="Times New Roman" w:eastAsia="宋体" w:cs="Times New Roman"/>
                <w:color w:val="auto"/>
                <w:spacing w:val="-2"/>
                <w:sz w:val="24"/>
                <w:szCs w:val="24"/>
                <w:u w:val="single" w:color="auto"/>
              </w:rPr>
              <w:t>系数不大于</w:t>
            </w:r>
            <w:r>
              <w:rPr>
                <w:rFonts w:hint="default" w:ascii="Times New Roman" w:hAnsi="Times New Roman" w:eastAsia="宋体" w:cs="Times New Roman"/>
                <w:color w:val="auto"/>
                <w:spacing w:val="-1"/>
                <w:sz w:val="24"/>
                <w:szCs w:val="24"/>
                <w:u w:val="single" w:color="auto"/>
              </w:rPr>
              <w:t>1.0×10</w:t>
            </w:r>
            <w:r>
              <w:rPr>
                <w:rFonts w:hint="default" w:ascii="Times New Roman" w:hAnsi="Times New Roman" w:eastAsia="宋体" w:cs="Times New Roman"/>
                <w:color w:val="auto"/>
                <w:spacing w:val="-1"/>
                <w:position w:val="8"/>
                <w:sz w:val="24"/>
                <w:szCs w:val="24"/>
                <w:u w:val="single" w:color="auto"/>
                <w:vertAlign w:val="superscript"/>
              </w:rPr>
              <w:t>-10</w:t>
            </w:r>
            <w:r>
              <w:rPr>
                <w:rFonts w:hint="default" w:ascii="Times New Roman" w:hAnsi="Times New Roman" w:eastAsia="宋体" w:cs="Times New Roman"/>
                <w:color w:val="auto"/>
                <w:spacing w:val="-1"/>
                <w:sz w:val="24"/>
                <w:szCs w:val="24"/>
                <w:u w:val="single" w:color="auto"/>
              </w:rPr>
              <w:t>cm/s。</w:t>
            </w:r>
          </w:p>
          <w:p w14:paraId="766102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6"/>
                <w:sz w:val="24"/>
                <w:szCs w:val="24"/>
                <w:u w:val="single" w:color="auto"/>
              </w:rPr>
              <w:t>⑥</w:t>
            </w:r>
            <w:r>
              <w:rPr>
                <w:rFonts w:hint="default" w:ascii="Times New Roman" w:hAnsi="Times New Roman" w:eastAsia="宋体" w:cs="Times New Roman"/>
                <w:color w:val="auto"/>
                <w:spacing w:val="13"/>
                <w:sz w:val="24"/>
                <w:szCs w:val="24"/>
                <w:u w:val="single" w:color="auto"/>
              </w:rPr>
              <w:t>设</w:t>
            </w:r>
            <w:r>
              <w:rPr>
                <w:rFonts w:hint="default" w:ascii="Times New Roman" w:hAnsi="Times New Roman" w:eastAsia="宋体" w:cs="Times New Roman"/>
                <w:color w:val="auto"/>
                <w:spacing w:val="8"/>
                <w:sz w:val="24"/>
                <w:szCs w:val="24"/>
                <w:u w:val="single" w:color="auto"/>
              </w:rPr>
              <w:t>置专人负责危废的日常收集和管理，对进出临时贮存所的危废都要记</w:t>
            </w:r>
            <w:r>
              <w:rPr>
                <w:rFonts w:hint="default" w:ascii="Times New Roman" w:hAnsi="Times New Roman" w:eastAsia="宋体" w:cs="Times New Roman"/>
                <w:color w:val="auto"/>
                <w:spacing w:val="13"/>
                <w:sz w:val="24"/>
                <w:szCs w:val="24"/>
                <w:u w:val="single" w:color="auto"/>
              </w:rPr>
              <w:t>录在案。</w:t>
            </w:r>
          </w:p>
          <w:p w14:paraId="128D2E02">
            <w:pPr>
              <w:keepNext w:val="0"/>
              <w:keepLines w:val="0"/>
              <w:pageBreakBefore w:val="0"/>
              <w:kinsoku/>
              <w:wordWrap/>
              <w:overflowPunct/>
              <w:topLinePunct w:val="0"/>
              <w:autoSpaceDE/>
              <w:autoSpaceDN/>
              <w:bidi w:val="0"/>
              <w:adjustRightInd/>
              <w:snapToGrid/>
              <w:spacing w:line="360" w:lineRule="auto"/>
              <w:ind w:firstLine="544" w:firstLineChars="200"/>
              <w:textAlignment w:val="auto"/>
              <w:rPr>
                <w:rFonts w:hint="default" w:ascii="Times New Roman" w:hAnsi="Times New Roman" w:eastAsia="宋体" w:cs="Times New Roman"/>
                <w:color w:val="auto"/>
                <w:spacing w:val="10"/>
                <w:sz w:val="24"/>
                <w:szCs w:val="24"/>
                <w:u w:val="single" w:color="auto"/>
              </w:rPr>
            </w:pPr>
            <w:r>
              <w:rPr>
                <w:rFonts w:hint="default" w:ascii="Times New Roman" w:hAnsi="Times New Roman" w:eastAsia="宋体" w:cs="Times New Roman"/>
                <w:color w:val="auto"/>
                <w:spacing w:val="16"/>
                <w:sz w:val="24"/>
                <w:szCs w:val="24"/>
                <w:u w:val="single" w:color="auto"/>
              </w:rPr>
              <w:t>⑦</w:t>
            </w:r>
            <w:r>
              <w:rPr>
                <w:rFonts w:hint="default" w:ascii="Times New Roman" w:hAnsi="Times New Roman" w:eastAsia="宋体" w:cs="Times New Roman"/>
                <w:color w:val="auto"/>
                <w:spacing w:val="13"/>
                <w:sz w:val="24"/>
                <w:szCs w:val="24"/>
                <w:u w:val="single" w:color="auto"/>
              </w:rPr>
              <w:t>危</w:t>
            </w:r>
            <w:r>
              <w:rPr>
                <w:rFonts w:hint="default" w:ascii="Times New Roman" w:hAnsi="Times New Roman" w:eastAsia="宋体" w:cs="Times New Roman"/>
                <w:color w:val="auto"/>
                <w:spacing w:val="8"/>
                <w:sz w:val="24"/>
                <w:szCs w:val="24"/>
                <w:u w:val="single" w:color="auto"/>
              </w:rPr>
              <w:t>废临时贮存</w:t>
            </w:r>
            <w:r>
              <w:rPr>
                <w:rFonts w:hint="eastAsia" w:cs="Times New Roman"/>
                <w:color w:val="auto"/>
                <w:spacing w:val="8"/>
                <w:sz w:val="24"/>
                <w:szCs w:val="24"/>
                <w:u w:val="single" w:color="auto"/>
                <w:lang w:eastAsia="zh-CN"/>
              </w:rPr>
              <w:t>场所</w:t>
            </w:r>
            <w:r>
              <w:rPr>
                <w:rFonts w:hint="default" w:ascii="Times New Roman" w:hAnsi="Times New Roman" w:eastAsia="宋体" w:cs="Times New Roman"/>
                <w:color w:val="auto"/>
                <w:spacing w:val="8"/>
                <w:sz w:val="24"/>
                <w:szCs w:val="24"/>
                <w:u w:val="single" w:color="auto"/>
              </w:rPr>
              <w:t>周围要设置防护栅栏，并设置警示标志。贮存所内应配</w:t>
            </w:r>
            <w:r>
              <w:rPr>
                <w:rFonts w:hint="default" w:ascii="Times New Roman" w:hAnsi="Times New Roman" w:eastAsia="宋体" w:cs="Times New Roman"/>
                <w:color w:val="auto"/>
                <w:spacing w:val="20"/>
                <w:sz w:val="24"/>
                <w:szCs w:val="24"/>
                <w:u w:val="single" w:color="auto"/>
              </w:rPr>
              <w:t>备</w:t>
            </w:r>
            <w:r>
              <w:rPr>
                <w:rFonts w:hint="default" w:ascii="Times New Roman" w:hAnsi="Times New Roman" w:eastAsia="宋体" w:cs="Times New Roman"/>
                <w:color w:val="auto"/>
                <w:spacing w:val="10"/>
                <w:sz w:val="24"/>
                <w:szCs w:val="24"/>
                <w:u w:val="single" w:color="auto"/>
              </w:rPr>
              <w:t>通讯设备、照明设备、安全防护服装及工具，并有应急防护设施。</w:t>
            </w:r>
          </w:p>
          <w:p w14:paraId="331CC8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jc w:val="both"/>
              <w:textAlignment w:val="baseline"/>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pacing w:val="16"/>
                <w:sz w:val="24"/>
                <w:szCs w:val="24"/>
                <w:u w:val="single" w:color="auto"/>
              </w:rPr>
              <w:t>根</w:t>
            </w:r>
            <w:r>
              <w:rPr>
                <w:rFonts w:hint="default" w:ascii="Times New Roman" w:hAnsi="Times New Roman" w:eastAsia="宋体" w:cs="Times New Roman"/>
                <w:color w:val="auto"/>
                <w:spacing w:val="11"/>
                <w:sz w:val="24"/>
                <w:szCs w:val="24"/>
                <w:u w:val="single" w:color="auto"/>
              </w:rPr>
              <w:t>据</w:t>
            </w:r>
            <w:r>
              <w:rPr>
                <w:rFonts w:hint="default" w:ascii="Times New Roman" w:hAnsi="Times New Roman" w:eastAsia="宋体" w:cs="Times New Roman"/>
                <w:color w:val="auto"/>
                <w:spacing w:val="8"/>
                <w:sz w:val="24"/>
                <w:szCs w:val="24"/>
                <w:u w:val="single" w:color="auto"/>
              </w:rPr>
              <w:t>《中华人民共和国固体废物污染环境防治法》规定，企业应制定危险</w:t>
            </w:r>
            <w:r>
              <w:rPr>
                <w:rFonts w:hint="default" w:ascii="Times New Roman" w:hAnsi="Times New Roman" w:eastAsia="宋体" w:cs="Times New Roman"/>
                <w:color w:val="auto"/>
                <w:spacing w:val="16"/>
                <w:sz w:val="24"/>
                <w:szCs w:val="24"/>
                <w:u w:val="single" w:color="auto"/>
              </w:rPr>
              <w:t>废物管</w:t>
            </w:r>
            <w:r>
              <w:rPr>
                <w:rFonts w:hint="default" w:ascii="Times New Roman" w:hAnsi="Times New Roman" w:eastAsia="宋体" w:cs="Times New Roman"/>
                <w:color w:val="auto"/>
                <w:spacing w:val="8"/>
                <w:sz w:val="24"/>
                <w:szCs w:val="24"/>
                <w:u w:val="single" w:color="auto"/>
              </w:rPr>
              <w:t>理计划，内容包括减少危险废物产生量和危害性的措施以及危险废物贮</w:t>
            </w:r>
            <w:r>
              <w:rPr>
                <w:rFonts w:hint="default" w:ascii="Times New Roman" w:hAnsi="Times New Roman" w:eastAsia="宋体" w:cs="Times New Roman"/>
                <w:color w:val="auto"/>
                <w:spacing w:val="17"/>
                <w:sz w:val="24"/>
                <w:szCs w:val="24"/>
                <w:u w:val="single" w:color="auto"/>
              </w:rPr>
              <w:t>存</w:t>
            </w:r>
            <w:r>
              <w:rPr>
                <w:rFonts w:hint="default" w:ascii="Times New Roman" w:hAnsi="Times New Roman" w:eastAsia="宋体" w:cs="Times New Roman"/>
                <w:color w:val="auto"/>
                <w:spacing w:val="15"/>
                <w:sz w:val="24"/>
                <w:szCs w:val="24"/>
                <w:u w:val="single" w:color="auto"/>
              </w:rPr>
              <w:t>、利用、处置措施。企业应严格按照</w:t>
            </w:r>
            <w:r>
              <w:rPr>
                <w:rFonts w:hint="default" w:ascii="Times New Roman" w:hAnsi="Times New Roman" w:eastAsia="宋体" w:cs="Times New Roman"/>
                <w:bCs/>
                <w:color w:val="000000"/>
                <w:kern w:val="2"/>
                <w:sz w:val="24"/>
                <w:szCs w:val="24"/>
                <w:u w:val="single" w:color="auto"/>
                <w:lang w:val="en-US" w:eastAsia="zh-CN" w:bidi="ar-SA"/>
              </w:rPr>
              <w:t>《危险废物贮存污染控制标准》（GB18597-2023）</w:t>
            </w:r>
            <w:r>
              <w:rPr>
                <w:rFonts w:hint="default" w:ascii="Times New Roman" w:hAnsi="Times New Roman" w:eastAsia="宋体" w:cs="Times New Roman"/>
                <w:color w:val="auto"/>
                <w:spacing w:val="2"/>
                <w:sz w:val="24"/>
                <w:szCs w:val="24"/>
                <w:u w:val="single" w:color="auto"/>
              </w:rPr>
              <w:t>中有关要求做好危险固废的收集、贮存工作，</w:t>
            </w:r>
            <w:r>
              <w:rPr>
                <w:rFonts w:hint="default" w:ascii="Times New Roman" w:hAnsi="Times New Roman" w:eastAsia="宋体" w:cs="Times New Roman"/>
                <w:color w:val="auto"/>
                <w:spacing w:val="16"/>
                <w:sz w:val="24"/>
                <w:szCs w:val="24"/>
                <w:u w:val="single" w:color="auto"/>
              </w:rPr>
              <w:t>各</w:t>
            </w:r>
            <w:r>
              <w:rPr>
                <w:rFonts w:hint="default" w:ascii="Times New Roman" w:hAnsi="Times New Roman" w:eastAsia="宋体" w:cs="Times New Roman"/>
                <w:color w:val="auto"/>
                <w:spacing w:val="12"/>
                <w:sz w:val="24"/>
                <w:szCs w:val="24"/>
                <w:u w:val="single" w:color="auto"/>
              </w:rPr>
              <w:t>类</w:t>
            </w:r>
            <w:r>
              <w:rPr>
                <w:rFonts w:hint="default" w:ascii="Times New Roman" w:hAnsi="Times New Roman" w:eastAsia="宋体" w:cs="Times New Roman"/>
                <w:color w:val="auto"/>
                <w:spacing w:val="8"/>
                <w:sz w:val="24"/>
                <w:szCs w:val="24"/>
                <w:u w:val="single" w:color="auto"/>
              </w:rPr>
              <w:t>危险固废分别采用专门容器收集后，在厂区内设置专门的危险废物储存间</w:t>
            </w:r>
            <w:r>
              <w:rPr>
                <w:rFonts w:hint="default" w:ascii="Times New Roman" w:hAnsi="Times New Roman" w:eastAsia="宋体" w:cs="Times New Roman"/>
                <w:color w:val="auto"/>
                <w:spacing w:val="3"/>
                <w:sz w:val="24"/>
                <w:szCs w:val="24"/>
                <w:u w:val="single" w:color="auto"/>
              </w:rPr>
              <w:t>暂存，储存间应按照</w:t>
            </w:r>
            <w:r>
              <w:rPr>
                <w:rFonts w:hint="default" w:ascii="Times New Roman" w:hAnsi="Times New Roman" w:eastAsia="宋体" w:cs="Times New Roman"/>
                <w:bCs/>
                <w:color w:val="000000"/>
                <w:kern w:val="2"/>
                <w:sz w:val="24"/>
                <w:szCs w:val="24"/>
                <w:u w:val="single" w:color="auto"/>
                <w:lang w:val="en-US" w:eastAsia="zh-CN" w:bidi="ar-SA"/>
              </w:rPr>
              <w:t>《危险废物贮存污染控制标准》（GB18597-2023）</w:t>
            </w:r>
            <w:r>
              <w:rPr>
                <w:rFonts w:hint="default" w:ascii="Times New Roman" w:hAnsi="Times New Roman" w:eastAsia="宋体" w:cs="Times New Roman"/>
                <w:color w:val="auto"/>
                <w:spacing w:val="8"/>
                <w:sz w:val="24"/>
                <w:szCs w:val="24"/>
                <w:u w:val="single" w:color="auto"/>
              </w:rPr>
              <w:t>中要求进行设置和管理，并及时委托具有相关危废处置资质的单位进行</w:t>
            </w:r>
            <w:r>
              <w:rPr>
                <w:rFonts w:hint="default" w:ascii="Times New Roman" w:hAnsi="Times New Roman" w:eastAsia="宋体" w:cs="Times New Roman"/>
                <w:color w:val="auto"/>
                <w:spacing w:val="16"/>
                <w:sz w:val="24"/>
                <w:szCs w:val="24"/>
                <w:u w:val="single" w:color="auto"/>
              </w:rPr>
              <w:t>安</w:t>
            </w:r>
            <w:r>
              <w:rPr>
                <w:rFonts w:hint="default" w:ascii="Times New Roman" w:hAnsi="Times New Roman" w:eastAsia="宋体" w:cs="Times New Roman"/>
                <w:color w:val="auto"/>
                <w:spacing w:val="10"/>
                <w:sz w:val="24"/>
                <w:szCs w:val="24"/>
                <w:u w:val="single" w:color="auto"/>
              </w:rPr>
              <w:t>全</w:t>
            </w:r>
            <w:r>
              <w:rPr>
                <w:rFonts w:hint="default" w:ascii="Times New Roman" w:hAnsi="Times New Roman" w:eastAsia="宋体" w:cs="Times New Roman"/>
                <w:color w:val="auto"/>
                <w:spacing w:val="8"/>
                <w:sz w:val="24"/>
                <w:szCs w:val="24"/>
                <w:u w:val="single" w:color="auto"/>
              </w:rPr>
              <w:t>处置。危险废物应向环境保护主管部门进行申报，建立台账管理制度和危</w:t>
            </w:r>
            <w:r>
              <w:rPr>
                <w:rFonts w:hint="default" w:ascii="Times New Roman" w:hAnsi="Times New Roman" w:eastAsia="宋体" w:cs="Times New Roman"/>
                <w:color w:val="auto"/>
                <w:spacing w:val="11"/>
                <w:sz w:val="24"/>
                <w:szCs w:val="24"/>
                <w:u w:val="single" w:color="auto"/>
              </w:rPr>
              <w:t>险废物联单转移制度</w:t>
            </w:r>
            <w:r>
              <w:rPr>
                <w:rFonts w:hint="default" w:ascii="Times New Roman" w:hAnsi="Times New Roman" w:eastAsia="宋体" w:cs="Times New Roman"/>
                <w:color w:val="auto"/>
                <w:spacing w:val="9"/>
                <w:sz w:val="24"/>
                <w:szCs w:val="24"/>
                <w:u w:val="single" w:color="auto"/>
              </w:rPr>
              <w:t>。</w:t>
            </w:r>
          </w:p>
          <w:p w14:paraId="229BD8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项目危险废物贮存场所基本情况见下表。</w:t>
            </w:r>
          </w:p>
          <w:p w14:paraId="231758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4"/>
                <w:szCs w:val="24"/>
                <w:u w:val="single" w:color="auto"/>
              </w:rPr>
            </w:pPr>
            <w:r>
              <w:rPr>
                <w:rFonts w:hint="default" w:ascii="Times New Roman" w:hAnsi="Times New Roman" w:eastAsia="宋体" w:cs="Times New Roman"/>
                <w:b/>
                <w:bCs/>
                <w:color w:val="auto"/>
                <w:sz w:val="21"/>
                <w:szCs w:val="21"/>
                <w:u w:val="single" w:color="auto"/>
                <w:lang w:eastAsia="zh-CN"/>
              </w:rPr>
              <w:t>表4-</w:t>
            </w:r>
            <w:r>
              <w:rPr>
                <w:rFonts w:hint="eastAsia" w:ascii="Times New Roman" w:hAnsi="Times New Roman" w:eastAsia="宋体" w:cs="Times New Roman"/>
                <w:b/>
                <w:bCs/>
                <w:color w:val="auto"/>
                <w:sz w:val="21"/>
                <w:szCs w:val="21"/>
                <w:u w:val="single" w:color="auto"/>
                <w:lang w:val="en-US" w:eastAsia="zh-CN"/>
              </w:rPr>
              <w:t>1</w:t>
            </w:r>
            <w:r>
              <w:rPr>
                <w:rFonts w:hint="eastAsia" w:eastAsia="宋体" w:cs="Times New Roman"/>
                <w:b/>
                <w:bCs/>
                <w:color w:val="auto"/>
                <w:sz w:val="21"/>
                <w:szCs w:val="21"/>
                <w:u w:val="single" w:color="auto"/>
                <w:lang w:val="en-US" w:eastAsia="zh-CN"/>
              </w:rPr>
              <w:t>5</w:t>
            </w:r>
            <w:r>
              <w:rPr>
                <w:rFonts w:hint="default" w:ascii="Times New Roman" w:hAnsi="Times New Roman" w:eastAsia="宋体" w:cs="Times New Roman"/>
                <w:b/>
                <w:bCs/>
                <w:color w:val="auto"/>
                <w:sz w:val="21"/>
                <w:szCs w:val="21"/>
                <w:u w:val="single" w:color="auto"/>
                <w:lang w:eastAsia="zh-CN"/>
              </w:rPr>
              <w:t xml:space="preserve">  危险废物贮存场所基本情况表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2"/>
              <w:gridCol w:w="892"/>
              <w:gridCol w:w="1232"/>
              <w:gridCol w:w="956"/>
              <w:gridCol w:w="1287"/>
              <w:gridCol w:w="861"/>
              <w:gridCol w:w="863"/>
              <w:gridCol w:w="862"/>
            </w:tblGrid>
            <w:tr w14:paraId="7AB99E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2" w:type="dxa"/>
                  <w:tcBorders>
                    <w:tl2br w:val="nil"/>
                    <w:tr2bl w:val="nil"/>
                  </w:tcBorders>
                  <w:noWrap w:val="0"/>
                  <w:vAlign w:val="center"/>
                </w:tcPr>
                <w:p w14:paraId="33D690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9"/>
                      <w:sz w:val="21"/>
                      <w:szCs w:val="21"/>
                      <w:u w:val="single" w:color="auto"/>
                    </w:rPr>
                    <w:t>序</w:t>
                  </w:r>
                  <w:r>
                    <w:rPr>
                      <w:rFonts w:hint="default" w:ascii="Times New Roman" w:hAnsi="Times New Roman" w:eastAsia="宋体" w:cs="Times New Roman"/>
                      <w:color w:val="auto"/>
                      <w:spacing w:val="-6"/>
                      <w:sz w:val="21"/>
                      <w:szCs w:val="21"/>
                      <w:u w:val="single" w:color="auto"/>
                    </w:rPr>
                    <w:t>号</w:t>
                  </w:r>
                </w:p>
              </w:tc>
              <w:tc>
                <w:tcPr>
                  <w:tcW w:w="892" w:type="dxa"/>
                  <w:tcBorders>
                    <w:tl2br w:val="nil"/>
                    <w:tr2bl w:val="nil"/>
                  </w:tcBorders>
                  <w:noWrap w:val="0"/>
                  <w:vAlign w:val="center"/>
                </w:tcPr>
                <w:p w14:paraId="7015E8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贮</w:t>
                  </w:r>
                  <w:r>
                    <w:rPr>
                      <w:rFonts w:hint="default" w:ascii="Times New Roman" w:hAnsi="Times New Roman" w:eastAsia="宋体" w:cs="Times New Roman"/>
                      <w:color w:val="auto"/>
                      <w:spacing w:val="6"/>
                      <w:sz w:val="21"/>
                      <w:szCs w:val="21"/>
                      <w:u w:val="single" w:color="auto"/>
                    </w:rPr>
                    <w:t>存场</w:t>
                  </w:r>
                  <w:r>
                    <w:rPr>
                      <w:rFonts w:hint="default" w:ascii="Times New Roman" w:hAnsi="Times New Roman" w:eastAsia="宋体" w:cs="Times New Roman"/>
                      <w:color w:val="auto"/>
                      <w:sz w:val="21"/>
                      <w:szCs w:val="21"/>
                      <w:u w:val="single" w:color="auto"/>
                    </w:rPr>
                    <w:t>所</w:t>
                  </w:r>
                </w:p>
              </w:tc>
              <w:tc>
                <w:tcPr>
                  <w:tcW w:w="1232" w:type="dxa"/>
                  <w:tcBorders>
                    <w:tl2br w:val="nil"/>
                    <w:tr2bl w:val="nil"/>
                  </w:tcBorders>
                  <w:noWrap w:val="0"/>
                  <w:vAlign w:val="center"/>
                </w:tcPr>
                <w:p w14:paraId="6D3977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9"/>
                      <w:sz w:val="21"/>
                      <w:szCs w:val="21"/>
                      <w:u w:val="single" w:color="auto"/>
                    </w:rPr>
                    <w:t>危</w:t>
                  </w:r>
                  <w:r>
                    <w:rPr>
                      <w:rFonts w:hint="default" w:ascii="Times New Roman" w:hAnsi="Times New Roman" w:eastAsia="宋体" w:cs="Times New Roman"/>
                      <w:color w:val="auto"/>
                      <w:spacing w:val="6"/>
                      <w:sz w:val="21"/>
                      <w:szCs w:val="21"/>
                      <w:u w:val="single" w:color="auto"/>
                    </w:rPr>
                    <w:t>废名称</w:t>
                  </w:r>
                </w:p>
              </w:tc>
              <w:tc>
                <w:tcPr>
                  <w:tcW w:w="956" w:type="dxa"/>
                  <w:tcBorders>
                    <w:tl2br w:val="nil"/>
                    <w:tr2bl w:val="nil"/>
                  </w:tcBorders>
                  <w:noWrap w:val="0"/>
                  <w:vAlign w:val="center"/>
                </w:tcPr>
                <w:p w14:paraId="2C4BC7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类</w:t>
                  </w:r>
                  <w:r>
                    <w:rPr>
                      <w:rFonts w:hint="default" w:ascii="Times New Roman" w:hAnsi="Times New Roman" w:eastAsia="宋体" w:cs="Times New Roman"/>
                      <w:color w:val="auto"/>
                      <w:spacing w:val="4"/>
                      <w:sz w:val="21"/>
                      <w:szCs w:val="21"/>
                      <w:u w:val="single" w:color="auto"/>
                    </w:rPr>
                    <w:t>别</w:t>
                  </w:r>
                </w:p>
              </w:tc>
              <w:tc>
                <w:tcPr>
                  <w:tcW w:w="1287" w:type="dxa"/>
                  <w:tcBorders>
                    <w:tl2br w:val="nil"/>
                    <w:tr2bl w:val="nil"/>
                  </w:tcBorders>
                  <w:noWrap w:val="0"/>
                  <w:vAlign w:val="center"/>
                </w:tcPr>
                <w:p w14:paraId="38E12F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代码</w:t>
                  </w:r>
                </w:p>
              </w:tc>
              <w:tc>
                <w:tcPr>
                  <w:tcW w:w="861" w:type="dxa"/>
                  <w:tcBorders>
                    <w:tl2br w:val="nil"/>
                    <w:tr2bl w:val="nil"/>
                  </w:tcBorders>
                  <w:noWrap w:val="0"/>
                  <w:vAlign w:val="center"/>
                </w:tcPr>
                <w:p w14:paraId="46B8EF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位</w:t>
                  </w:r>
                  <w:r>
                    <w:rPr>
                      <w:rFonts w:hint="default" w:ascii="Times New Roman" w:hAnsi="Times New Roman" w:eastAsia="宋体" w:cs="Times New Roman"/>
                      <w:color w:val="auto"/>
                      <w:spacing w:val="4"/>
                      <w:sz w:val="21"/>
                      <w:szCs w:val="21"/>
                      <w:u w:val="single" w:color="auto"/>
                    </w:rPr>
                    <w:t>置</w:t>
                  </w:r>
                </w:p>
              </w:tc>
              <w:tc>
                <w:tcPr>
                  <w:tcW w:w="863" w:type="dxa"/>
                  <w:tcBorders>
                    <w:tl2br w:val="nil"/>
                    <w:tr2bl w:val="nil"/>
                  </w:tcBorders>
                  <w:noWrap w:val="0"/>
                  <w:vAlign w:val="center"/>
                </w:tcPr>
                <w:p w14:paraId="09B81F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3"/>
                      <w:sz w:val="21"/>
                      <w:szCs w:val="21"/>
                      <w:u w:val="single" w:color="auto"/>
                    </w:rPr>
                    <w:t>占</w:t>
                  </w:r>
                  <w:r>
                    <w:rPr>
                      <w:rFonts w:hint="default" w:ascii="Times New Roman" w:hAnsi="Times New Roman" w:eastAsia="宋体" w:cs="Times New Roman"/>
                      <w:color w:val="auto"/>
                      <w:spacing w:val="-12"/>
                      <w:sz w:val="21"/>
                      <w:szCs w:val="21"/>
                      <w:u w:val="single" w:color="auto"/>
                    </w:rPr>
                    <w:t>地</w:t>
                  </w:r>
                  <w:r>
                    <w:rPr>
                      <w:rFonts w:hint="default" w:ascii="Times New Roman" w:hAnsi="Times New Roman" w:eastAsia="宋体" w:cs="Times New Roman"/>
                      <w:color w:val="auto"/>
                      <w:spacing w:val="4"/>
                      <w:sz w:val="21"/>
                      <w:szCs w:val="21"/>
                      <w:u w:val="single" w:color="auto"/>
                    </w:rPr>
                    <w:t>面积</w:t>
                  </w:r>
                </w:p>
              </w:tc>
              <w:tc>
                <w:tcPr>
                  <w:tcW w:w="862" w:type="dxa"/>
                  <w:tcBorders>
                    <w:tl2br w:val="nil"/>
                    <w:tr2bl w:val="nil"/>
                  </w:tcBorders>
                  <w:noWrap w:val="0"/>
                  <w:vAlign w:val="center"/>
                </w:tcPr>
                <w:p w14:paraId="2AE445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贮存方式</w:t>
                  </w:r>
                </w:p>
              </w:tc>
            </w:tr>
            <w:tr w14:paraId="1610D8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2" w:hRule="atLeast"/>
                <w:jc w:val="center"/>
              </w:trPr>
              <w:tc>
                <w:tcPr>
                  <w:tcW w:w="662" w:type="dxa"/>
                  <w:tcBorders>
                    <w:tl2br w:val="nil"/>
                    <w:tr2bl w:val="nil"/>
                  </w:tcBorders>
                  <w:noWrap w:val="0"/>
                  <w:vAlign w:val="center"/>
                </w:tcPr>
                <w:p w14:paraId="22FCB0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1</w:t>
                  </w:r>
                </w:p>
              </w:tc>
              <w:tc>
                <w:tcPr>
                  <w:tcW w:w="892" w:type="dxa"/>
                  <w:vMerge w:val="restart"/>
                  <w:tcBorders>
                    <w:tl2br w:val="nil"/>
                    <w:tr2bl w:val="nil"/>
                  </w:tcBorders>
                  <w:noWrap w:val="0"/>
                  <w:vAlign w:val="center"/>
                </w:tcPr>
                <w:p w14:paraId="01C358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6"/>
                      <w:sz w:val="21"/>
                      <w:szCs w:val="21"/>
                      <w:u w:val="single" w:color="auto"/>
                    </w:rPr>
                    <w:t>危废暂</w:t>
                  </w:r>
                  <w:r>
                    <w:rPr>
                      <w:rFonts w:hint="default" w:ascii="Times New Roman" w:hAnsi="Times New Roman" w:eastAsia="宋体" w:cs="Times New Roman"/>
                      <w:color w:val="auto"/>
                      <w:spacing w:val="5"/>
                      <w:sz w:val="21"/>
                      <w:szCs w:val="21"/>
                      <w:u w:val="single" w:color="auto"/>
                    </w:rPr>
                    <w:t>存间</w:t>
                  </w:r>
                </w:p>
              </w:tc>
              <w:tc>
                <w:tcPr>
                  <w:tcW w:w="1232" w:type="dxa"/>
                  <w:tcBorders>
                    <w:tl2br w:val="nil"/>
                    <w:tr2bl w:val="nil"/>
                  </w:tcBorders>
                  <w:shd w:val="clear" w:color="auto" w:fill="auto"/>
                  <w:noWrap w:val="0"/>
                  <w:vAlign w:val="center"/>
                </w:tcPr>
                <w:p w14:paraId="7CADE0C2">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b w:val="0"/>
                      <w:bCs/>
                      <w:color w:val="auto"/>
                      <w:spacing w:val="8"/>
                      <w:sz w:val="21"/>
                      <w:szCs w:val="21"/>
                      <w:u w:val="single" w:color="auto"/>
                    </w:rPr>
                    <w:t>废</w:t>
                  </w:r>
                  <w:r>
                    <w:rPr>
                      <w:rFonts w:hint="eastAsia" w:ascii="Times New Roman" w:hAnsi="Times New Roman" w:eastAsia="宋体" w:cs="Times New Roman"/>
                      <w:b w:val="0"/>
                      <w:bCs/>
                      <w:color w:val="auto"/>
                      <w:spacing w:val="8"/>
                      <w:sz w:val="21"/>
                      <w:szCs w:val="21"/>
                      <w:u w:val="single" w:color="auto"/>
                      <w:lang w:val="en-US" w:eastAsia="zh-CN"/>
                    </w:rPr>
                    <w:t>润滑</w:t>
                  </w:r>
                  <w:r>
                    <w:rPr>
                      <w:rFonts w:hint="default" w:ascii="Times New Roman" w:hAnsi="Times New Roman" w:eastAsia="宋体" w:cs="Times New Roman"/>
                      <w:b w:val="0"/>
                      <w:bCs/>
                      <w:color w:val="auto"/>
                      <w:spacing w:val="8"/>
                      <w:sz w:val="21"/>
                      <w:szCs w:val="21"/>
                      <w:u w:val="single" w:color="auto"/>
                    </w:rPr>
                    <w:t>油</w:t>
                  </w:r>
                </w:p>
              </w:tc>
              <w:tc>
                <w:tcPr>
                  <w:tcW w:w="956" w:type="dxa"/>
                  <w:tcBorders>
                    <w:tl2br w:val="nil"/>
                    <w:tr2bl w:val="nil"/>
                  </w:tcBorders>
                  <w:shd w:val="clear" w:color="auto" w:fill="auto"/>
                  <w:noWrap w:val="0"/>
                  <w:vAlign w:val="center"/>
                </w:tcPr>
                <w:p w14:paraId="13CCA8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HW</w:t>
                  </w:r>
                  <w:r>
                    <w:rPr>
                      <w:rFonts w:hint="eastAsia" w:ascii="Times New Roman" w:hAnsi="Times New Roman" w:eastAsia="宋体" w:cs="Times New Roman"/>
                      <w:color w:val="auto"/>
                      <w:spacing w:val="11"/>
                      <w:sz w:val="21"/>
                      <w:szCs w:val="21"/>
                      <w:u w:val="single" w:color="auto"/>
                      <w:lang w:val="en-US" w:eastAsia="zh-CN"/>
                    </w:rPr>
                    <w:t>08</w:t>
                  </w:r>
                </w:p>
              </w:tc>
              <w:tc>
                <w:tcPr>
                  <w:tcW w:w="1287" w:type="dxa"/>
                  <w:tcBorders>
                    <w:tl2br w:val="nil"/>
                    <w:tr2bl w:val="nil"/>
                  </w:tcBorders>
                  <w:shd w:val="clear" w:color="auto" w:fill="auto"/>
                  <w:noWrap w:val="0"/>
                  <w:vAlign w:val="center"/>
                </w:tcPr>
                <w:p w14:paraId="43E4960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bCs/>
                      <w:color w:val="auto"/>
                      <w:sz w:val="21"/>
                      <w:szCs w:val="21"/>
                      <w:u w:val="single" w:color="auto"/>
                    </w:rPr>
                    <w:t>900-214-08</w:t>
                  </w:r>
                </w:p>
              </w:tc>
              <w:tc>
                <w:tcPr>
                  <w:tcW w:w="861" w:type="dxa"/>
                  <w:vMerge w:val="restart"/>
                  <w:tcBorders>
                    <w:tl2br w:val="nil"/>
                    <w:tr2bl w:val="nil"/>
                  </w:tcBorders>
                  <w:noWrap w:val="0"/>
                  <w:vAlign w:val="center"/>
                </w:tcPr>
                <w:p w14:paraId="4328D9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pacing w:val="4"/>
                      <w:sz w:val="21"/>
                      <w:szCs w:val="21"/>
                      <w:u w:val="single" w:color="auto"/>
                      <w:lang w:val="en-US" w:eastAsia="zh-CN"/>
                    </w:rPr>
                    <w:t>厂房内</w:t>
                  </w:r>
                  <w:r>
                    <w:rPr>
                      <w:rFonts w:hint="eastAsia" w:cs="Times New Roman"/>
                      <w:color w:val="auto"/>
                      <w:spacing w:val="4"/>
                      <w:sz w:val="21"/>
                      <w:szCs w:val="21"/>
                      <w:u w:val="single" w:color="auto"/>
                      <w:lang w:val="en-US" w:eastAsia="zh-CN"/>
                    </w:rPr>
                    <w:t>西南</w:t>
                  </w:r>
                  <w:r>
                    <w:rPr>
                      <w:rFonts w:hint="eastAsia" w:ascii="Times New Roman" w:hAnsi="Times New Roman" w:eastAsia="宋体" w:cs="Times New Roman"/>
                      <w:color w:val="auto"/>
                      <w:spacing w:val="4"/>
                      <w:sz w:val="21"/>
                      <w:szCs w:val="21"/>
                      <w:u w:val="single" w:color="auto"/>
                      <w:lang w:val="en-US" w:eastAsia="zh-CN"/>
                    </w:rPr>
                    <w:t>角</w:t>
                  </w:r>
                </w:p>
              </w:tc>
              <w:tc>
                <w:tcPr>
                  <w:tcW w:w="863" w:type="dxa"/>
                  <w:vMerge w:val="restart"/>
                  <w:tcBorders>
                    <w:tl2br w:val="nil"/>
                    <w:tr2bl w:val="nil"/>
                  </w:tcBorders>
                  <w:noWrap w:val="0"/>
                  <w:vAlign w:val="center"/>
                </w:tcPr>
                <w:p w14:paraId="7C2E99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eastAsia" w:ascii="Times New Roman" w:hAnsi="Times New Roman" w:eastAsia="宋体" w:cs="Times New Roman"/>
                      <w:color w:val="auto"/>
                      <w:spacing w:val="-1"/>
                      <w:position w:val="-1"/>
                      <w:sz w:val="21"/>
                      <w:szCs w:val="21"/>
                      <w:u w:val="single" w:color="auto"/>
                      <w:lang w:val="en-US" w:eastAsia="zh-CN"/>
                    </w:rPr>
                    <w:t>10</w:t>
                  </w:r>
                  <w:r>
                    <w:rPr>
                      <w:rFonts w:hint="default" w:ascii="Times New Roman" w:hAnsi="Times New Roman" w:eastAsia="宋体" w:cs="Times New Roman"/>
                      <w:color w:val="auto"/>
                      <w:position w:val="-1"/>
                      <w:sz w:val="21"/>
                      <w:szCs w:val="21"/>
                      <w:u w:val="single" w:color="auto"/>
                    </w:rPr>
                    <w:t>m</w:t>
                  </w:r>
                  <w:r>
                    <w:rPr>
                      <w:rFonts w:hint="default" w:ascii="Times New Roman" w:hAnsi="Times New Roman" w:eastAsia="宋体" w:cs="Times New Roman"/>
                      <w:color w:val="auto"/>
                      <w:spacing w:val="-1"/>
                      <w:position w:val="5"/>
                      <w:sz w:val="21"/>
                      <w:szCs w:val="21"/>
                      <w:u w:val="single" w:color="auto"/>
                      <w:vertAlign w:val="superscript"/>
                    </w:rPr>
                    <w:t>2</w:t>
                  </w:r>
                </w:p>
              </w:tc>
              <w:tc>
                <w:tcPr>
                  <w:tcW w:w="862" w:type="dxa"/>
                  <w:tcBorders>
                    <w:tl2br w:val="nil"/>
                    <w:tr2bl w:val="nil"/>
                  </w:tcBorders>
                  <w:noWrap w:val="0"/>
                  <w:vAlign w:val="center"/>
                </w:tcPr>
                <w:p w14:paraId="17C9D4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1"/>
                      <w:szCs w:val="21"/>
                      <w:u w:val="single" w:color="auto"/>
                      <w:lang w:eastAsia="zh-CN"/>
                    </w:rPr>
                  </w:pPr>
                  <w:r>
                    <w:rPr>
                      <w:rFonts w:hint="eastAsia" w:ascii="Times New Roman" w:hAnsi="Times New Roman" w:eastAsia="宋体" w:cs="Times New Roman"/>
                      <w:color w:val="auto"/>
                      <w:spacing w:val="2"/>
                      <w:sz w:val="21"/>
                      <w:szCs w:val="21"/>
                      <w:u w:val="single" w:color="auto"/>
                      <w:lang w:val="en-US" w:eastAsia="zh-CN"/>
                    </w:rPr>
                    <w:t>桶装</w:t>
                  </w:r>
                </w:p>
              </w:tc>
            </w:tr>
            <w:tr w14:paraId="7CA1A2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2" w:type="dxa"/>
                  <w:tcBorders>
                    <w:tl2br w:val="nil"/>
                    <w:tr2bl w:val="nil"/>
                  </w:tcBorders>
                  <w:noWrap w:val="0"/>
                  <w:vAlign w:val="center"/>
                </w:tcPr>
                <w:p w14:paraId="3514D6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2</w:t>
                  </w:r>
                </w:p>
              </w:tc>
              <w:tc>
                <w:tcPr>
                  <w:tcW w:w="892" w:type="dxa"/>
                  <w:vMerge w:val="continue"/>
                  <w:tcBorders>
                    <w:tl2br w:val="nil"/>
                    <w:tr2bl w:val="nil"/>
                  </w:tcBorders>
                  <w:noWrap w:val="0"/>
                  <w:vAlign w:val="center"/>
                </w:tcPr>
                <w:p w14:paraId="3894B1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6"/>
                      <w:sz w:val="21"/>
                      <w:szCs w:val="21"/>
                      <w:u w:val="single" w:color="auto"/>
                    </w:rPr>
                  </w:pPr>
                </w:p>
              </w:tc>
              <w:tc>
                <w:tcPr>
                  <w:tcW w:w="1232" w:type="dxa"/>
                  <w:tcBorders>
                    <w:tl2br w:val="nil"/>
                    <w:tr2bl w:val="nil"/>
                  </w:tcBorders>
                  <w:shd w:val="clear" w:color="auto" w:fill="auto"/>
                  <w:noWrap w:val="0"/>
                  <w:vAlign w:val="center"/>
                </w:tcPr>
                <w:p w14:paraId="61FA6AD3">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single" w:color="auto"/>
                      <w:lang w:val="en-US" w:eastAsia="zh-CN" w:bidi="ar-SA"/>
                    </w:rPr>
                  </w:pPr>
                  <w:r>
                    <w:rPr>
                      <w:rFonts w:hint="eastAsia" w:ascii="Times New Roman" w:hAnsi="Times New Roman" w:eastAsia="宋体" w:cs="Times New Roman"/>
                      <w:color w:val="auto"/>
                      <w:spacing w:val="7"/>
                      <w:kern w:val="2"/>
                      <w:sz w:val="21"/>
                      <w:szCs w:val="21"/>
                      <w:u w:val="single" w:color="auto"/>
                      <w:lang w:val="en-US" w:eastAsia="zh-CN" w:bidi="ar-SA"/>
                    </w:rPr>
                    <w:t>废液压油</w:t>
                  </w:r>
                </w:p>
              </w:tc>
              <w:tc>
                <w:tcPr>
                  <w:tcW w:w="956" w:type="dxa"/>
                  <w:tcBorders>
                    <w:tl2br w:val="nil"/>
                    <w:tr2bl w:val="nil"/>
                  </w:tcBorders>
                  <w:shd w:val="clear" w:color="auto" w:fill="auto"/>
                  <w:noWrap w:val="0"/>
                  <w:vAlign w:val="center"/>
                </w:tcPr>
                <w:p w14:paraId="356C0E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HW</w:t>
                  </w:r>
                  <w:r>
                    <w:rPr>
                      <w:rFonts w:hint="eastAsia" w:ascii="Times New Roman" w:hAnsi="Times New Roman" w:eastAsia="宋体" w:cs="Times New Roman"/>
                      <w:color w:val="auto"/>
                      <w:spacing w:val="11"/>
                      <w:sz w:val="21"/>
                      <w:szCs w:val="21"/>
                      <w:u w:val="single" w:color="auto"/>
                      <w:lang w:val="en-US" w:eastAsia="zh-CN"/>
                    </w:rPr>
                    <w:t>08</w:t>
                  </w:r>
                </w:p>
              </w:tc>
              <w:tc>
                <w:tcPr>
                  <w:tcW w:w="1287" w:type="dxa"/>
                  <w:tcBorders>
                    <w:tl2br w:val="nil"/>
                    <w:tr2bl w:val="nil"/>
                  </w:tcBorders>
                  <w:shd w:val="clear" w:color="auto" w:fill="auto"/>
                  <w:noWrap w:val="0"/>
                  <w:vAlign w:val="center"/>
                </w:tcPr>
                <w:p w14:paraId="5962D45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bCs/>
                      <w:color w:val="auto"/>
                      <w:sz w:val="21"/>
                      <w:szCs w:val="21"/>
                      <w:u w:val="single" w:color="auto"/>
                    </w:rPr>
                    <w:t>900-21</w:t>
                  </w:r>
                  <w:r>
                    <w:rPr>
                      <w:rFonts w:hint="eastAsia" w:ascii="Times New Roman" w:hAnsi="Times New Roman" w:eastAsia="宋体" w:cs="Times New Roman"/>
                      <w:bCs/>
                      <w:color w:val="auto"/>
                      <w:sz w:val="21"/>
                      <w:szCs w:val="21"/>
                      <w:u w:val="single" w:color="auto"/>
                      <w:lang w:val="en-US" w:eastAsia="zh-CN"/>
                    </w:rPr>
                    <w:t>8</w:t>
                  </w:r>
                  <w:r>
                    <w:rPr>
                      <w:rFonts w:hint="default" w:ascii="Times New Roman" w:hAnsi="Times New Roman" w:eastAsia="宋体" w:cs="Times New Roman"/>
                      <w:bCs/>
                      <w:color w:val="auto"/>
                      <w:sz w:val="21"/>
                      <w:szCs w:val="21"/>
                      <w:u w:val="single" w:color="auto"/>
                    </w:rPr>
                    <w:t>-08</w:t>
                  </w:r>
                </w:p>
              </w:tc>
              <w:tc>
                <w:tcPr>
                  <w:tcW w:w="861" w:type="dxa"/>
                  <w:vMerge w:val="continue"/>
                  <w:tcBorders>
                    <w:tl2br w:val="nil"/>
                    <w:tr2bl w:val="nil"/>
                  </w:tcBorders>
                  <w:noWrap w:val="0"/>
                  <w:vAlign w:val="center"/>
                </w:tcPr>
                <w:p w14:paraId="0A7053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u w:val="single" w:color="auto"/>
                    </w:rPr>
                  </w:pPr>
                </w:p>
              </w:tc>
              <w:tc>
                <w:tcPr>
                  <w:tcW w:w="863" w:type="dxa"/>
                  <w:vMerge w:val="continue"/>
                  <w:tcBorders>
                    <w:tl2br w:val="nil"/>
                    <w:tr2bl w:val="nil"/>
                  </w:tcBorders>
                  <w:noWrap w:val="0"/>
                  <w:vAlign w:val="center"/>
                </w:tcPr>
                <w:p w14:paraId="088459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position w:val="-1"/>
                      <w:sz w:val="21"/>
                      <w:szCs w:val="21"/>
                      <w:u w:val="single" w:color="auto"/>
                    </w:rPr>
                  </w:pPr>
                </w:p>
              </w:tc>
              <w:tc>
                <w:tcPr>
                  <w:tcW w:w="862" w:type="dxa"/>
                  <w:tcBorders>
                    <w:tl2br w:val="nil"/>
                    <w:tr2bl w:val="nil"/>
                  </w:tcBorders>
                  <w:noWrap w:val="0"/>
                  <w:vAlign w:val="center"/>
                </w:tcPr>
                <w:p w14:paraId="4C27A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pacing w:val="2"/>
                      <w:sz w:val="21"/>
                      <w:szCs w:val="21"/>
                      <w:u w:val="single" w:color="auto"/>
                      <w:lang w:val="en-US" w:eastAsia="zh-CN"/>
                    </w:rPr>
                  </w:pPr>
                  <w:r>
                    <w:rPr>
                      <w:rFonts w:hint="eastAsia" w:ascii="Times New Roman" w:hAnsi="Times New Roman" w:eastAsia="宋体" w:cs="Times New Roman"/>
                      <w:color w:val="auto"/>
                      <w:spacing w:val="2"/>
                      <w:sz w:val="21"/>
                      <w:szCs w:val="21"/>
                      <w:u w:val="single" w:color="auto"/>
                      <w:lang w:val="en-US" w:eastAsia="zh-CN"/>
                    </w:rPr>
                    <w:t>桶装</w:t>
                  </w:r>
                </w:p>
              </w:tc>
            </w:tr>
            <w:tr w14:paraId="00313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2" w:type="dxa"/>
                  <w:tcBorders>
                    <w:tl2br w:val="nil"/>
                    <w:tr2bl w:val="nil"/>
                  </w:tcBorders>
                  <w:noWrap w:val="0"/>
                  <w:vAlign w:val="center"/>
                </w:tcPr>
                <w:p w14:paraId="6A1203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3</w:t>
                  </w:r>
                </w:p>
              </w:tc>
              <w:tc>
                <w:tcPr>
                  <w:tcW w:w="892" w:type="dxa"/>
                  <w:vMerge w:val="continue"/>
                  <w:tcBorders>
                    <w:tl2br w:val="nil"/>
                    <w:tr2bl w:val="nil"/>
                  </w:tcBorders>
                  <w:noWrap w:val="0"/>
                  <w:vAlign w:val="center"/>
                </w:tcPr>
                <w:p w14:paraId="7CA2B7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6"/>
                      <w:sz w:val="21"/>
                      <w:szCs w:val="21"/>
                      <w:u w:val="single" w:color="auto"/>
                    </w:rPr>
                  </w:pPr>
                </w:p>
              </w:tc>
              <w:tc>
                <w:tcPr>
                  <w:tcW w:w="1232" w:type="dxa"/>
                  <w:tcBorders>
                    <w:tl2br w:val="nil"/>
                    <w:tr2bl w:val="nil"/>
                  </w:tcBorders>
                  <w:shd w:val="clear" w:color="auto" w:fill="auto"/>
                  <w:noWrap w:val="0"/>
                  <w:vAlign w:val="center"/>
                </w:tcPr>
                <w:p w14:paraId="4DB3BA38">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7"/>
                      <w:kern w:val="2"/>
                      <w:sz w:val="21"/>
                      <w:szCs w:val="21"/>
                      <w:u w:val="single" w:color="auto"/>
                      <w:lang w:val="en-US" w:eastAsia="zh-CN" w:bidi="ar-SA"/>
                    </w:rPr>
                  </w:pPr>
                  <w:r>
                    <w:rPr>
                      <w:rFonts w:hint="eastAsia" w:ascii="Times New Roman" w:hAnsi="Times New Roman" w:eastAsia="宋体" w:cs="Times New Roman"/>
                      <w:b w:val="0"/>
                      <w:bCs/>
                      <w:color w:val="auto"/>
                      <w:spacing w:val="8"/>
                      <w:sz w:val="21"/>
                      <w:szCs w:val="21"/>
                      <w:u w:val="single" w:color="auto"/>
                      <w:lang w:val="en-US" w:eastAsia="zh-CN"/>
                    </w:rPr>
                    <w:t>废含油抹布及手套</w:t>
                  </w:r>
                </w:p>
              </w:tc>
              <w:tc>
                <w:tcPr>
                  <w:tcW w:w="956" w:type="dxa"/>
                  <w:tcBorders>
                    <w:tl2br w:val="nil"/>
                    <w:tr2bl w:val="nil"/>
                  </w:tcBorders>
                  <w:shd w:val="clear" w:color="auto" w:fill="auto"/>
                  <w:noWrap w:val="0"/>
                  <w:vAlign w:val="center"/>
                </w:tcPr>
                <w:p w14:paraId="2D9F69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HW</w:t>
                  </w:r>
                  <w:r>
                    <w:rPr>
                      <w:rFonts w:hint="default" w:ascii="Times New Roman" w:hAnsi="Times New Roman" w:eastAsia="宋体" w:cs="Times New Roman"/>
                      <w:color w:val="auto"/>
                      <w:spacing w:val="11"/>
                      <w:sz w:val="21"/>
                      <w:szCs w:val="21"/>
                      <w:u w:val="single" w:color="auto"/>
                    </w:rPr>
                    <w:t>4</w:t>
                  </w:r>
                  <w:r>
                    <w:rPr>
                      <w:rFonts w:hint="default" w:ascii="Times New Roman" w:hAnsi="Times New Roman" w:eastAsia="宋体" w:cs="Times New Roman"/>
                      <w:color w:val="auto"/>
                      <w:spacing w:val="10"/>
                      <w:sz w:val="21"/>
                      <w:szCs w:val="21"/>
                      <w:u w:val="single" w:color="auto"/>
                    </w:rPr>
                    <w:t>9</w:t>
                  </w:r>
                </w:p>
              </w:tc>
              <w:tc>
                <w:tcPr>
                  <w:tcW w:w="1287" w:type="dxa"/>
                  <w:tcBorders>
                    <w:tl2br w:val="nil"/>
                    <w:tr2bl w:val="nil"/>
                  </w:tcBorders>
                  <w:shd w:val="clear" w:color="auto" w:fill="auto"/>
                  <w:noWrap w:val="0"/>
                  <w:vAlign w:val="center"/>
                </w:tcPr>
                <w:p w14:paraId="024AC16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bCs/>
                      <w:color w:val="auto"/>
                      <w:sz w:val="21"/>
                      <w:szCs w:val="21"/>
                      <w:u w:val="single" w:color="auto"/>
                    </w:rPr>
                    <w:t>900-041-49</w:t>
                  </w:r>
                </w:p>
              </w:tc>
              <w:tc>
                <w:tcPr>
                  <w:tcW w:w="861" w:type="dxa"/>
                  <w:vMerge w:val="continue"/>
                  <w:tcBorders>
                    <w:tl2br w:val="nil"/>
                    <w:tr2bl w:val="nil"/>
                  </w:tcBorders>
                  <w:noWrap w:val="0"/>
                  <w:vAlign w:val="center"/>
                </w:tcPr>
                <w:p w14:paraId="30EA8E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u w:val="single" w:color="auto"/>
                    </w:rPr>
                  </w:pPr>
                </w:p>
              </w:tc>
              <w:tc>
                <w:tcPr>
                  <w:tcW w:w="863" w:type="dxa"/>
                  <w:vMerge w:val="continue"/>
                  <w:tcBorders>
                    <w:tl2br w:val="nil"/>
                    <w:tr2bl w:val="nil"/>
                  </w:tcBorders>
                  <w:noWrap w:val="0"/>
                  <w:vAlign w:val="center"/>
                </w:tcPr>
                <w:p w14:paraId="62557F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position w:val="-1"/>
                      <w:sz w:val="21"/>
                      <w:szCs w:val="21"/>
                      <w:u w:val="single" w:color="auto"/>
                    </w:rPr>
                  </w:pPr>
                </w:p>
              </w:tc>
              <w:tc>
                <w:tcPr>
                  <w:tcW w:w="862" w:type="dxa"/>
                  <w:tcBorders>
                    <w:tl2br w:val="nil"/>
                    <w:tr2bl w:val="nil"/>
                  </w:tcBorders>
                  <w:noWrap w:val="0"/>
                  <w:vAlign w:val="center"/>
                </w:tcPr>
                <w:p w14:paraId="2B0E32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2"/>
                      <w:kern w:val="2"/>
                      <w:sz w:val="21"/>
                      <w:szCs w:val="21"/>
                      <w:u w:val="single" w:color="auto"/>
                      <w:lang w:val="en-US" w:eastAsia="zh-CN" w:bidi="ar-SA"/>
                    </w:rPr>
                  </w:pPr>
                  <w:r>
                    <w:rPr>
                      <w:rFonts w:hint="eastAsia" w:ascii="Times New Roman" w:hAnsi="Times New Roman" w:eastAsia="宋体" w:cs="Times New Roman"/>
                      <w:color w:val="auto"/>
                      <w:spacing w:val="2"/>
                      <w:sz w:val="21"/>
                      <w:szCs w:val="21"/>
                      <w:u w:val="single" w:color="auto"/>
                      <w:lang w:val="en-US" w:eastAsia="zh-CN"/>
                    </w:rPr>
                    <w:t>袋装</w:t>
                  </w:r>
                </w:p>
              </w:tc>
            </w:tr>
            <w:tr w14:paraId="3ED4B7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62" w:type="dxa"/>
                  <w:tcBorders>
                    <w:tl2br w:val="nil"/>
                    <w:tr2bl w:val="nil"/>
                  </w:tcBorders>
                  <w:noWrap w:val="0"/>
                  <w:vAlign w:val="center"/>
                </w:tcPr>
                <w:p w14:paraId="5B74E6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eastAsia" w:cs="Times New Roman"/>
                      <w:color w:val="auto"/>
                      <w:sz w:val="21"/>
                      <w:szCs w:val="21"/>
                      <w:u w:val="single" w:color="auto"/>
                      <w:lang w:val="en-US" w:eastAsia="zh-CN"/>
                    </w:rPr>
                    <w:t>4</w:t>
                  </w:r>
                </w:p>
              </w:tc>
              <w:tc>
                <w:tcPr>
                  <w:tcW w:w="892" w:type="dxa"/>
                  <w:vMerge w:val="continue"/>
                  <w:tcBorders>
                    <w:tl2br w:val="nil"/>
                    <w:tr2bl w:val="nil"/>
                  </w:tcBorders>
                  <w:noWrap w:val="0"/>
                  <w:vAlign w:val="center"/>
                </w:tcPr>
                <w:p w14:paraId="2A88C6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6"/>
                      <w:sz w:val="21"/>
                      <w:szCs w:val="21"/>
                      <w:u w:val="single" w:color="auto"/>
                    </w:rPr>
                  </w:pPr>
                </w:p>
              </w:tc>
              <w:tc>
                <w:tcPr>
                  <w:tcW w:w="1232" w:type="dxa"/>
                  <w:tcBorders>
                    <w:tl2br w:val="nil"/>
                    <w:tr2bl w:val="nil"/>
                  </w:tcBorders>
                  <w:shd w:val="clear" w:color="auto" w:fill="auto"/>
                  <w:noWrap w:val="0"/>
                  <w:vAlign w:val="center"/>
                </w:tcPr>
                <w:p w14:paraId="1B844B30">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pacing w:val="8"/>
                      <w:kern w:val="2"/>
                      <w:sz w:val="21"/>
                      <w:szCs w:val="21"/>
                      <w:u w:val="single" w:color="auto"/>
                      <w:lang w:val="en-US" w:eastAsia="zh-CN" w:bidi="ar-SA"/>
                    </w:rPr>
                  </w:pPr>
                  <w:r>
                    <w:rPr>
                      <w:rFonts w:hint="eastAsia" w:cs="Times New Roman"/>
                      <w:b w:val="0"/>
                      <w:bCs/>
                      <w:color w:val="auto"/>
                      <w:spacing w:val="8"/>
                      <w:sz w:val="21"/>
                      <w:szCs w:val="21"/>
                      <w:u w:val="single" w:color="auto"/>
                      <w:lang w:val="en-US" w:eastAsia="zh-CN"/>
                    </w:rPr>
                    <w:t>废油桶</w:t>
                  </w:r>
                </w:p>
              </w:tc>
              <w:tc>
                <w:tcPr>
                  <w:tcW w:w="956" w:type="dxa"/>
                  <w:tcBorders>
                    <w:tl2br w:val="nil"/>
                    <w:tr2bl w:val="nil"/>
                  </w:tcBorders>
                  <w:shd w:val="clear" w:color="auto" w:fill="auto"/>
                  <w:noWrap w:val="0"/>
                  <w:vAlign w:val="center"/>
                </w:tcPr>
                <w:p w14:paraId="410DDFB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color w:val="auto"/>
                      <w:sz w:val="21"/>
                      <w:szCs w:val="21"/>
                      <w:u w:val="single" w:color="auto"/>
                    </w:rPr>
                    <w:t>HW</w:t>
                  </w:r>
                  <w:r>
                    <w:rPr>
                      <w:rFonts w:hint="default" w:ascii="Times New Roman" w:hAnsi="Times New Roman" w:eastAsia="宋体" w:cs="Times New Roman"/>
                      <w:color w:val="auto"/>
                      <w:spacing w:val="11"/>
                      <w:sz w:val="21"/>
                      <w:szCs w:val="21"/>
                      <w:u w:val="single" w:color="auto"/>
                    </w:rPr>
                    <w:t>4</w:t>
                  </w:r>
                  <w:r>
                    <w:rPr>
                      <w:rFonts w:hint="default" w:ascii="Times New Roman" w:hAnsi="Times New Roman" w:eastAsia="宋体" w:cs="Times New Roman"/>
                      <w:color w:val="auto"/>
                      <w:spacing w:val="10"/>
                      <w:sz w:val="21"/>
                      <w:szCs w:val="21"/>
                      <w:u w:val="single" w:color="auto"/>
                    </w:rPr>
                    <w:t>9</w:t>
                  </w:r>
                </w:p>
              </w:tc>
              <w:tc>
                <w:tcPr>
                  <w:tcW w:w="1287" w:type="dxa"/>
                  <w:tcBorders>
                    <w:tl2br w:val="nil"/>
                    <w:tr2bl w:val="nil"/>
                  </w:tcBorders>
                  <w:shd w:val="clear" w:color="auto" w:fill="auto"/>
                  <w:noWrap w:val="0"/>
                  <w:vAlign w:val="center"/>
                </w:tcPr>
                <w:p w14:paraId="541D477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auto"/>
                      <w:spacing w:val="6"/>
                      <w:kern w:val="2"/>
                      <w:sz w:val="21"/>
                      <w:szCs w:val="21"/>
                      <w:u w:val="single" w:color="auto"/>
                      <w:lang w:val="en-US" w:eastAsia="zh-CN" w:bidi="ar-SA"/>
                    </w:rPr>
                  </w:pPr>
                  <w:r>
                    <w:rPr>
                      <w:rFonts w:hint="default" w:ascii="Times New Roman" w:hAnsi="Times New Roman" w:eastAsia="宋体" w:cs="Times New Roman"/>
                      <w:bCs/>
                      <w:color w:val="auto"/>
                      <w:sz w:val="21"/>
                      <w:szCs w:val="21"/>
                      <w:u w:val="single" w:color="auto"/>
                    </w:rPr>
                    <w:t>900-041-49</w:t>
                  </w:r>
                </w:p>
              </w:tc>
              <w:tc>
                <w:tcPr>
                  <w:tcW w:w="861" w:type="dxa"/>
                  <w:vMerge w:val="continue"/>
                  <w:tcBorders>
                    <w:tl2br w:val="nil"/>
                    <w:tr2bl w:val="nil"/>
                  </w:tcBorders>
                  <w:noWrap w:val="0"/>
                  <w:vAlign w:val="center"/>
                </w:tcPr>
                <w:p w14:paraId="0704EA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4"/>
                      <w:sz w:val="21"/>
                      <w:szCs w:val="21"/>
                      <w:u w:val="single" w:color="auto"/>
                    </w:rPr>
                  </w:pPr>
                </w:p>
              </w:tc>
              <w:tc>
                <w:tcPr>
                  <w:tcW w:w="863" w:type="dxa"/>
                  <w:vMerge w:val="continue"/>
                  <w:tcBorders>
                    <w:tl2br w:val="nil"/>
                    <w:tr2bl w:val="nil"/>
                  </w:tcBorders>
                  <w:noWrap w:val="0"/>
                  <w:vAlign w:val="center"/>
                </w:tcPr>
                <w:p w14:paraId="4DB6CA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1"/>
                      <w:position w:val="-1"/>
                      <w:sz w:val="21"/>
                      <w:szCs w:val="21"/>
                      <w:u w:val="single" w:color="auto"/>
                    </w:rPr>
                  </w:pPr>
                </w:p>
              </w:tc>
              <w:tc>
                <w:tcPr>
                  <w:tcW w:w="862" w:type="dxa"/>
                  <w:tcBorders>
                    <w:tl2br w:val="nil"/>
                    <w:tr2bl w:val="nil"/>
                  </w:tcBorders>
                  <w:noWrap w:val="0"/>
                  <w:vAlign w:val="center"/>
                </w:tcPr>
                <w:p w14:paraId="56899CD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2"/>
                      <w:sz w:val="21"/>
                      <w:szCs w:val="21"/>
                      <w:u w:val="single" w:color="auto"/>
                      <w:lang w:val="en-US" w:eastAsia="zh-CN"/>
                    </w:rPr>
                  </w:pPr>
                  <w:r>
                    <w:rPr>
                      <w:rFonts w:hint="eastAsia" w:ascii="Times New Roman" w:hAnsi="Times New Roman" w:eastAsia="宋体" w:cs="Times New Roman"/>
                      <w:color w:val="auto"/>
                      <w:spacing w:val="2"/>
                      <w:sz w:val="21"/>
                      <w:szCs w:val="21"/>
                      <w:u w:val="single" w:color="auto"/>
                      <w:lang w:val="en-US" w:eastAsia="zh-CN"/>
                    </w:rPr>
                    <w:t>桶装</w:t>
                  </w:r>
                </w:p>
              </w:tc>
            </w:tr>
          </w:tbl>
          <w:p w14:paraId="4AA5785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综上所述，在采取以上措施后，可有效控制本项目固废收集、贮存过程中产生的二次污染，各类固废去向明确，对周围环境影响较小</w:t>
            </w:r>
            <w:r>
              <w:rPr>
                <w:rFonts w:hint="eastAsia" w:ascii="Times New Roman" w:hAnsi="Times New Roman" w:eastAsia="宋体" w:cs="Times New Roman"/>
                <w:color w:val="auto"/>
                <w:sz w:val="24"/>
                <w:szCs w:val="24"/>
                <w:u w:val="single" w:color="auto"/>
                <w:lang w:eastAsia="zh-CN"/>
              </w:rPr>
              <w:t>。</w:t>
            </w:r>
          </w:p>
          <w:p w14:paraId="5495AB8A">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2</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一般工业固废处置措施。</w:t>
            </w:r>
          </w:p>
          <w:p w14:paraId="7AB53F1D">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建设单位按照《一般工业固体废物贮存和填埋污染控制标准》</w:t>
            </w:r>
            <w:r>
              <w:rPr>
                <w:rFonts w:hint="eastAsia" w:ascii="Times New Roman" w:hAnsi="Times New Roman" w:eastAsia="宋体" w:cs="Times New Roman"/>
                <w:color w:val="auto"/>
                <w:sz w:val="24"/>
                <w:szCs w:val="24"/>
                <w:u w:val="single" w:color="auto"/>
                <w:lang w:val="en-US" w:eastAsia="zh-CN"/>
              </w:rPr>
              <w:t xml:space="preserve"> </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G18599-2020</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的相关要求建立固体废物</w:t>
            </w:r>
            <w:r>
              <w:rPr>
                <w:rFonts w:hint="eastAsia" w:cs="Times New Roman"/>
                <w:color w:val="auto"/>
                <w:sz w:val="24"/>
                <w:szCs w:val="24"/>
                <w:u w:val="single" w:color="auto"/>
                <w:lang w:eastAsia="zh-CN"/>
              </w:rPr>
              <w:t>临时</w:t>
            </w:r>
            <w:r>
              <w:rPr>
                <w:rFonts w:hint="default" w:ascii="Times New Roman" w:hAnsi="Times New Roman" w:eastAsia="宋体" w:cs="Times New Roman"/>
                <w:color w:val="auto"/>
                <w:sz w:val="24"/>
                <w:szCs w:val="24"/>
                <w:u w:val="single" w:color="auto"/>
                <w:lang w:eastAsia="zh-CN"/>
              </w:rPr>
              <w:t>堆放场地，不得随处堆放，禁止危险废物及生活</w:t>
            </w:r>
            <w:r>
              <w:rPr>
                <w:rFonts w:hint="eastAsia" w:cs="Times New Roman"/>
                <w:color w:val="auto"/>
                <w:sz w:val="24"/>
                <w:szCs w:val="24"/>
                <w:u w:val="single" w:color="auto"/>
                <w:lang w:eastAsia="zh-CN"/>
              </w:rPr>
              <w:t>垃圾</w:t>
            </w:r>
            <w:r>
              <w:rPr>
                <w:rFonts w:hint="default" w:ascii="Times New Roman" w:hAnsi="Times New Roman" w:eastAsia="宋体" w:cs="Times New Roman"/>
                <w:color w:val="auto"/>
                <w:sz w:val="24"/>
                <w:szCs w:val="24"/>
                <w:u w:val="single" w:color="auto"/>
                <w:lang w:eastAsia="zh-CN"/>
              </w:rPr>
              <w:t>混入，固废临时贮存场应满足如下要求：</w:t>
            </w:r>
          </w:p>
          <w:p w14:paraId="7491BFF7">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a、地面应采取硬化措施并满足承载力要求，必要时采取相应措施防止地基下沉。</w:t>
            </w:r>
          </w:p>
          <w:p w14:paraId="1D321836">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b、要求设置必要的防风、防雨、防晒措施，堆放场周边应设置导流渠。</w:t>
            </w:r>
          </w:p>
          <w:p w14:paraId="0E9DC7C3">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c、按《环境保护图形标识—固体废物贮存</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处置</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场》</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GB</w:t>
            </w:r>
            <w:r>
              <w:rPr>
                <w:rFonts w:hint="eastAsia" w:ascii="Times New Roman" w:hAnsi="Times New Roman" w:eastAsia="宋体" w:cs="Times New Roman"/>
                <w:color w:val="auto"/>
                <w:sz w:val="24"/>
                <w:szCs w:val="24"/>
                <w:u w:val="single" w:color="auto"/>
                <w:lang w:val="en-US" w:eastAsia="zh-CN"/>
              </w:rPr>
              <w:t xml:space="preserve"> </w:t>
            </w:r>
            <w:r>
              <w:rPr>
                <w:rFonts w:hint="default" w:ascii="Times New Roman" w:hAnsi="Times New Roman" w:eastAsia="宋体" w:cs="Times New Roman"/>
                <w:color w:val="auto"/>
                <w:sz w:val="24"/>
                <w:szCs w:val="24"/>
                <w:u w:val="single" w:color="auto"/>
                <w:lang w:eastAsia="zh-CN"/>
              </w:rPr>
              <w:t>15562.2</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要求设置环境保护图形标志。</w:t>
            </w:r>
          </w:p>
          <w:p w14:paraId="6A858558">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3</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生活垃圾处置措施</w:t>
            </w:r>
          </w:p>
          <w:p w14:paraId="64F9B11F">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项目生活垃圾集中收集</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如放置于垃圾桶</w:t>
            </w:r>
            <w:r>
              <w:rPr>
                <w:rFonts w:hint="eastAsia" w:ascii="Times New Roman" w:hAnsi="Times New Roman" w:eastAsia="宋体" w:cs="Times New Roman"/>
                <w:color w:val="auto"/>
                <w:sz w:val="24"/>
                <w:szCs w:val="24"/>
                <w:u w:val="single" w:color="auto"/>
                <w:lang w:eastAsia="zh-CN"/>
              </w:rPr>
              <w:t>）</w:t>
            </w:r>
            <w:r>
              <w:rPr>
                <w:rFonts w:hint="default" w:ascii="Times New Roman" w:hAnsi="Times New Roman" w:eastAsia="宋体" w:cs="Times New Roman"/>
                <w:color w:val="auto"/>
                <w:sz w:val="24"/>
                <w:szCs w:val="24"/>
                <w:u w:val="single" w:color="auto"/>
                <w:lang w:eastAsia="zh-CN"/>
              </w:rPr>
              <w:t>后由环卫部门统一清运。</w:t>
            </w:r>
          </w:p>
          <w:p w14:paraId="2FADB15B">
            <w:pPr>
              <w:keepNext w:val="0"/>
              <w:keepLines w:val="0"/>
              <w:pageBreakBefore w:val="0"/>
              <w:widowControl/>
              <w:kinsoku w:val="0"/>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color w:val="auto"/>
                <w:sz w:val="24"/>
                <w:szCs w:val="24"/>
                <w:u w:val="single" w:color="auto"/>
                <w:lang w:eastAsia="zh-CN"/>
              </w:rPr>
            </w:pPr>
            <w:r>
              <w:rPr>
                <w:rFonts w:hint="default" w:ascii="Times New Roman" w:hAnsi="Times New Roman" w:eastAsia="宋体" w:cs="Times New Roman"/>
                <w:color w:val="auto"/>
                <w:sz w:val="24"/>
                <w:szCs w:val="24"/>
                <w:u w:val="single" w:color="auto"/>
                <w:lang w:eastAsia="zh-CN"/>
              </w:rPr>
              <w:t>综上所述，本项目固体废物处理处置符合国家《固体废物污染环境防治法》规定的原则，采取上述措施后，本工程固体废物可得到妥善</w:t>
            </w:r>
            <w:r>
              <w:rPr>
                <w:rFonts w:hint="eastAsia" w:cs="Times New Roman"/>
                <w:color w:val="auto"/>
                <w:sz w:val="24"/>
                <w:szCs w:val="24"/>
                <w:u w:val="single" w:color="auto"/>
                <w:lang w:eastAsia="zh-CN"/>
              </w:rPr>
              <w:t>地</w:t>
            </w:r>
            <w:r>
              <w:rPr>
                <w:rFonts w:hint="default" w:ascii="Times New Roman" w:hAnsi="Times New Roman" w:eastAsia="宋体" w:cs="Times New Roman"/>
                <w:color w:val="auto"/>
                <w:sz w:val="24"/>
                <w:szCs w:val="24"/>
                <w:u w:val="single" w:color="auto"/>
                <w:lang w:eastAsia="zh-CN"/>
              </w:rPr>
              <w:t>处理，对周围环境造成的影响很小。</w:t>
            </w:r>
          </w:p>
          <w:p w14:paraId="00805426">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五、地下水、土壤环境影响分析</w:t>
            </w:r>
          </w:p>
          <w:p w14:paraId="6D4FC5A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经分析，项目外排</w:t>
            </w:r>
            <w:r>
              <w:rPr>
                <w:rFonts w:hint="eastAsia" w:ascii="Times New Roman" w:hAnsi="Times New Roman" w:eastAsia="宋体" w:cs="Times New Roman"/>
                <w:color w:val="auto"/>
                <w:sz w:val="24"/>
                <w:szCs w:val="24"/>
                <w:u w:val="none" w:color="auto"/>
                <w:lang w:val="en-US" w:eastAsia="zh-CN"/>
              </w:rPr>
              <w:t>大气污染物</w:t>
            </w:r>
            <w:r>
              <w:rPr>
                <w:rFonts w:hint="default" w:ascii="Times New Roman" w:hAnsi="Times New Roman" w:eastAsia="宋体" w:cs="Times New Roman"/>
                <w:color w:val="auto"/>
                <w:sz w:val="24"/>
                <w:szCs w:val="24"/>
                <w:u w:val="none" w:color="auto"/>
                <w:lang w:eastAsia="zh-CN"/>
              </w:rPr>
              <w:t>主要为</w:t>
            </w:r>
            <w:r>
              <w:rPr>
                <w:rFonts w:hint="eastAsia"/>
                <w:color w:val="000000"/>
                <w:kern w:val="0"/>
                <w:sz w:val="24"/>
                <w:lang w:val="en-US" w:eastAsia="zh-CN"/>
              </w:rPr>
              <w:t>卸货堆存废气</w:t>
            </w:r>
            <w:r>
              <w:rPr>
                <w:rFonts w:hint="eastAsia" w:ascii="Times New Roman" w:hAnsi="Times New Roman" w:eastAsia="宋体" w:cs="Times New Roman"/>
                <w:bCs/>
                <w:color w:val="auto"/>
                <w:sz w:val="24"/>
                <w:u w:val="none" w:color="auto"/>
                <w:lang w:val="en-US" w:eastAsia="zh-CN"/>
              </w:rPr>
              <w:t>、破碎废气</w:t>
            </w:r>
            <w:r>
              <w:rPr>
                <w:rFonts w:hint="eastAsia" w:eastAsia="宋体" w:cs="Times New Roman"/>
                <w:bCs/>
                <w:color w:val="auto"/>
                <w:sz w:val="24"/>
                <w:u w:val="none" w:color="auto"/>
                <w:lang w:val="en-US" w:eastAsia="zh-CN"/>
              </w:rPr>
              <w:t>、</w:t>
            </w:r>
            <w:r>
              <w:rPr>
                <w:rFonts w:hint="eastAsia" w:ascii="Times New Roman" w:hAnsi="Times New Roman" w:eastAsia="宋体" w:cs="Times New Roman"/>
                <w:bCs/>
                <w:color w:val="auto"/>
                <w:sz w:val="24"/>
                <w:u w:val="none" w:color="auto"/>
                <w:lang w:val="en-US" w:eastAsia="zh-CN"/>
              </w:rPr>
              <w:t>筛分废气和卸货</w:t>
            </w:r>
            <w:r>
              <w:rPr>
                <w:rFonts w:hint="eastAsia" w:ascii="Times New Roman" w:hAnsi="Times New Roman" w:eastAsia="宋体" w:cs="Times New Roman"/>
                <w:color w:val="auto"/>
                <w:sz w:val="24"/>
                <w:szCs w:val="24"/>
                <w:u w:val="none" w:color="auto"/>
                <w:lang w:val="en-US" w:eastAsia="zh-CN"/>
              </w:rPr>
              <w:t>堆放产生的异味</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bCs/>
                <w:color w:val="auto"/>
                <w:sz w:val="24"/>
                <w:u w:val="none" w:color="auto"/>
                <w:lang w:val="en-US" w:eastAsia="zh-CN"/>
              </w:rPr>
              <w:t>破碎废气</w:t>
            </w:r>
            <w:r>
              <w:rPr>
                <w:rFonts w:hint="eastAsia" w:ascii="Times New Roman" w:hAnsi="Times New Roman" w:cs="Times New Roman"/>
                <w:b w:val="0"/>
                <w:bCs w:val="0"/>
                <w:color w:val="auto"/>
                <w:sz w:val="24"/>
                <w:szCs w:val="24"/>
                <w:u w:val="none" w:color="auto"/>
                <w:lang w:val="en-US" w:eastAsia="zh-CN"/>
              </w:rPr>
              <w:t>采取有组织排放，</w:t>
            </w:r>
            <w:r>
              <w:rPr>
                <w:rFonts w:hint="eastAsia" w:ascii="Times New Roman" w:hAnsi="Times New Roman" w:eastAsia="宋体" w:cs="Times New Roman"/>
                <w:bCs/>
                <w:color w:val="auto"/>
                <w:sz w:val="24"/>
                <w:u w:val="none" w:color="auto"/>
                <w:lang w:val="en-US" w:eastAsia="zh-CN"/>
              </w:rPr>
              <w:t>筛分工序产生的</w:t>
            </w:r>
            <w:r>
              <w:rPr>
                <w:rFonts w:hint="eastAsia" w:eastAsia="宋体" w:cs="Times New Roman"/>
                <w:bCs/>
                <w:color w:val="auto"/>
                <w:sz w:val="24"/>
                <w:u w:val="none" w:color="auto"/>
                <w:lang w:val="en-US" w:eastAsia="zh-CN"/>
              </w:rPr>
              <w:t>废气</w:t>
            </w:r>
            <w:r>
              <w:rPr>
                <w:rFonts w:hint="eastAsia"/>
                <w:color w:val="000000"/>
                <w:kern w:val="0"/>
                <w:sz w:val="24"/>
                <w:u w:val="none" w:color="auto"/>
                <w:lang w:val="en-US" w:eastAsia="zh-CN"/>
              </w:rPr>
              <w:t>因产生量较少，</w:t>
            </w:r>
            <w:r>
              <w:rPr>
                <w:rFonts w:hint="eastAsia" w:ascii="Times New Roman" w:hAnsi="Times New Roman" w:eastAsia="宋体" w:cs="Times New Roman"/>
                <w:bCs/>
                <w:color w:val="auto"/>
                <w:sz w:val="24"/>
                <w:u w:val="none" w:color="auto"/>
                <w:lang w:val="en-US" w:eastAsia="zh-CN"/>
              </w:rPr>
              <w:t>保持车间整洁、定期清扫后，以无组织形式排放</w:t>
            </w:r>
            <w:r>
              <w:rPr>
                <w:rFonts w:hint="eastAsia"/>
                <w:color w:val="000000"/>
                <w:kern w:val="0"/>
                <w:sz w:val="24"/>
                <w:u w:val="none" w:color="auto"/>
                <w:lang w:val="en-US" w:eastAsia="zh-CN"/>
              </w:rPr>
              <w:t>；</w:t>
            </w:r>
            <w:r>
              <w:rPr>
                <w:rFonts w:hint="eastAsia" w:ascii="Times New Roman" w:hAnsi="Times New Roman" w:eastAsia="宋体" w:cs="Times New Roman"/>
                <w:bCs/>
                <w:color w:val="auto"/>
                <w:sz w:val="24"/>
                <w:u w:val="none" w:color="auto"/>
                <w:lang w:val="en-US" w:eastAsia="zh-CN"/>
              </w:rPr>
              <w:t>卸货</w:t>
            </w:r>
            <w:r>
              <w:rPr>
                <w:rFonts w:hint="eastAsia" w:ascii="Times New Roman" w:hAnsi="Times New Roman" w:eastAsia="宋体" w:cs="Times New Roman"/>
                <w:color w:val="auto"/>
                <w:sz w:val="24"/>
                <w:szCs w:val="24"/>
                <w:u w:val="none" w:color="auto"/>
                <w:lang w:val="en-US" w:eastAsia="zh-CN"/>
              </w:rPr>
              <w:t>堆放异味</w:t>
            </w:r>
            <w:r>
              <w:rPr>
                <w:rFonts w:hint="eastAsia" w:ascii="Times New Roman" w:hAnsi="Times New Roman" w:eastAsia="宋体" w:cs="Times New Roman"/>
                <w:color w:val="auto"/>
                <w:sz w:val="24"/>
                <w:szCs w:val="24"/>
                <w:lang w:val="en-US" w:eastAsia="zh-CN"/>
              </w:rPr>
              <w:t>通过采取</w:t>
            </w:r>
            <w:r>
              <w:rPr>
                <w:rFonts w:hint="eastAsia" w:ascii="Times New Roman" w:hAnsi="Times New Roman" w:eastAsia="宋体" w:cs="Times New Roman"/>
                <w:bCs/>
                <w:color w:val="auto"/>
                <w:sz w:val="24"/>
                <w:u w:val="none" w:color="auto"/>
                <w:lang w:val="en-US" w:eastAsia="zh-CN"/>
              </w:rPr>
              <w:t>加强车间通排风、定期喷洒除臭剂后</w:t>
            </w:r>
            <w:r>
              <w:rPr>
                <w:rFonts w:hint="eastAsia" w:ascii="Times New Roman" w:hAnsi="Times New Roman" w:eastAsia="宋体" w:cs="Times New Roman"/>
                <w:color w:val="auto"/>
                <w:sz w:val="24"/>
                <w:szCs w:val="24"/>
                <w:lang w:val="en-US" w:eastAsia="zh-CN"/>
              </w:rPr>
              <w:t>采取无组织形式排放</w:t>
            </w:r>
            <w:r>
              <w:rPr>
                <w:rFonts w:hint="eastAsia"/>
                <w:sz w:val="24"/>
                <w:szCs w:val="24"/>
                <w:highlight w:val="none"/>
                <w:u w:val="none" w:color="auto"/>
                <w:lang w:eastAsia="zh-CN"/>
              </w:rPr>
              <w:t>；</w:t>
            </w:r>
            <w:r>
              <w:rPr>
                <w:rFonts w:hint="eastAsia" w:cs="Times New Roman"/>
                <w:color w:val="auto"/>
                <w:sz w:val="24"/>
                <w:szCs w:val="24"/>
                <w:u w:val="none" w:color="auto"/>
                <w:lang w:val="en-US" w:eastAsia="zh-CN"/>
              </w:rPr>
              <w:t>生产过程中使用的能源为电能，属于清洁能源，</w:t>
            </w:r>
            <w:r>
              <w:rPr>
                <w:rFonts w:hint="default" w:ascii="Times New Roman" w:hAnsi="Times New Roman" w:eastAsia="宋体" w:cs="Times New Roman"/>
                <w:color w:val="auto"/>
                <w:sz w:val="24"/>
                <w:szCs w:val="24"/>
                <w:u w:val="none" w:color="auto"/>
                <w:lang w:eastAsia="zh-CN"/>
              </w:rPr>
              <w:t>不会造成土壤环境污染；项目排水遵循雨污分流原则</w:t>
            </w:r>
            <w:r>
              <w:rPr>
                <w:rFonts w:hint="eastAsia" w:cs="Times New Roman"/>
                <w:color w:val="auto"/>
                <w:sz w:val="24"/>
                <w:szCs w:val="24"/>
                <w:u w:val="none" w:color="auto"/>
                <w:lang w:val="en-US" w:eastAsia="zh-CN"/>
              </w:rPr>
              <w:t>，</w:t>
            </w:r>
            <w:r>
              <w:rPr>
                <w:rFonts w:hint="eastAsia"/>
                <w:color w:val="auto"/>
                <w:kern w:val="0"/>
                <w:sz w:val="24"/>
                <w:u w:val="none" w:color="auto"/>
                <w:lang w:eastAsia="zh-CN"/>
              </w:rPr>
              <w:t>生活污水</w:t>
            </w:r>
            <w:r>
              <w:rPr>
                <w:rFonts w:hint="eastAsia"/>
                <w:color w:val="auto"/>
                <w:kern w:val="0"/>
                <w:sz w:val="24"/>
                <w:u w:val="none" w:color="auto"/>
                <w:lang w:val="en-US" w:eastAsia="zh-CN"/>
              </w:rPr>
              <w:t>依托</w:t>
            </w:r>
            <w:r>
              <w:rPr>
                <w:rFonts w:hint="eastAsia" w:ascii="Times New Roman" w:hAnsi="Times New Roman" w:eastAsia="宋体" w:cs="Times New Roman"/>
                <w:color w:val="000000"/>
                <w:sz w:val="24"/>
                <w:szCs w:val="24"/>
                <w:highlight w:val="none"/>
                <w:lang w:val="en-US" w:eastAsia="zh-CN"/>
              </w:rPr>
              <w:t>龙昶厂</w:t>
            </w:r>
            <w:r>
              <w:rPr>
                <w:rFonts w:hint="eastAsia"/>
                <w:color w:val="auto"/>
                <w:kern w:val="0"/>
                <w:sz w:val="24"/>
                <w:u w:val="none" w:color="auto"/>
                <w:lang w:val="en-US" w:eastAsia="zh-CN"/>
              </w:rPr>
              <w:t>区</w:t>
            </w:r>
            <w:r>
              <w:rPr>
                <w:rFonts w:hint="eastAsia"/>
                <w:color w:val="auto"/>
                <w:kern w:val="0"/>
                <w:sz w:val="24"/>
                <w:u w:val="none" w:color="auto"/>
                <w:lang w:eastAsia="zh-CN"/>
              </w:rPr>
              <w:t>自建“</w:t>
            </w:r>
            <w:r>
              <w:rPr>
                <w:rFonts w:hint="eastAsia"/>
                <w:color w:val="auto"/>
                <w:kern w:val="0"/>
                <w:sz w:val="24"/>
                <w:u w:val="none" w:color="auto"/>
                <w:lang w:val="en-US" w:eastAsia="zh-CN"/>
              </w:rPr>
              <w:t>化粪池</w:t>
            </w:r>
            <w:r>
              <w:rPr>
                <w:rFonts w:hint="eastAsia"/>
                <w:color w:val="auto"/>
                <w:kern w:val="0"/>
                <w:sz w:val="24"/>
                <w:u w:val="none" w:color="auto"/>
                <w:lang w:eastAsia="zh-CN"/>
              </w:rPr>
              <w:t>”</w:t>
            </w:r>
            <w:r>
              <w:rPr>
                <w:rFonts w:hint="eastAsia" w:ascii="Times New Roman" w:hAnsi="Times New Roman" w:cs="Times New Roman"/>
                <w:color w:val="000000"/>
                <w:sz w:val="24"/>
                <w:szCs w:val="24"/>
                <w:highlight w:val="none"/>
                <w:u w:val="none" w:color="auto"/>
                <w:lang w:val="en-US" w:eastAsia="zh-CN"/>
              </w:rPr>
              <w:t>处理</w:t>
            </w:r>
            <w:r>
              <w:rPr>
                <w:rFonts w:hint="eastAsia" w:cs="Times New Roman"/>
                <w:color w:val="000000"/>
                <w:kern w:val="0"/>
                <w:sz w:val="24"/>
                <w:szCs w:val="24"/>
                <w:highlight w:val="none"/>
                <w:u w:val="none" w:color="auto"/>
                <w:lang w:val="en-US" w:eastAsia="zh-CN"/>
              </w:rPr>
              <w:t>后</w:t>
            </w:r>
            <w:r>
              <w:rPr>
                <w:rFonts w:hint="eastAsia" w:cs="Times New Roman"/>
                <w:color w:val="000000"/>
                <w:kern w:val="0"/>
                <w:sz w:val="24"/>
                <w:szCs w:val="24"/>
                <w:u w:val="none" w:color="auto"/>
                <w:lang w:val="en-US" w:eastAsia="zh-CN"/>
              </w:rPr>
              <w:t>排入</w:t>
            </w:r>
            <w:r>
              <w:rPr>
                <w:rFonts w:hint="eastAsia" w:ascii="Times New Roman" w:hAnsi="Times New Roman" w:eastAsia="宋体" w:cs="Times New Roman"/>
                <w:color w:val="000000"/>
                <w:sz w:val="24"/>
                <w:szCs w:val="24"/>
                <w:highlight w:val="none"/>
                <w:lang w:val="en-US" w:eastAsia="zh-CN"/>
              </w:rPr>
              <w:t>龙昶厂</w:t>
            </w:r>
            <w:r>
              <w:rPr>
                <w:rFonts w:hint="eastAsia"/>
                <w:color w:val="auto"/>
                <w:kern w:val="0"/>
                <w:sz w:val="24"/>
                <w:u w:val="none" w:color="auto"/>
                <w:lang w:val="en-US" w:eastAsia="zh-CN"/>
              </w:rPr>
              <w:t>区</w:t>
            </w:r>
            <w:r>
              <w:rPr>
                <w:rFonts w:hint="eastAsia" w:cs="Times New Roman"/>
                <w:color w:val="000000"/>
                <w:kern w:val="0"/>
                <w:sz w:val="24"/>
                <w:szCs w:val="24"/>
                <w:u w:val="none" w:color="auto"/>
                <w:lang w:val="en-US" w:eastAsia="zh-CN"/>
              </w:rPr>
              <w:t>生活污水排口</w:t>
            </w:r>
            <w:r>
              <w:rPr>
                <w:rFonts w:hint="eastAsia"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eastAsia="zh-CN"/>
              </w:rPr>
              <w:t>针对固废污染物，本项目设置一般工业固废、危险废物暂存场所，危废暂存间设置防渗措施；项目车间地面已硬化，在落实本评价提出的各类固废管理措施的情况下，无地面浸流、垂直入渗及其他可能造成土壤和地下水环境污染的途径，故本项目可不开展地下水和土壤环境影响评价。</w:t>
            </w:r>
          </w:p>
          <w:p w14:paraId="38E1AE0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六、环境风险</w:t>
            </w:r>
          </w:p>
          <w:p w14:paraId="08BA9CD6">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both"/>
              <w:textAlignment w:val="baseline"/>
              <w:rPr>
                <w:rFonts w:hint="default"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1、评价依据</w:t>
            </w:r>
          </w:p>
          <w:p w14:paraId="364C0D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环境风险评价的目的是分析和预测建设项目存在的潜在危险、有害因素，建设项目建设和运行期间可能发生的突发性事件或事故</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一般不包括人为破坏或自然灾害</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，引起有毒有害易燃易爆等物质泄漏，所造成的人身安全与环境影响和损害程度。提出合理可行的防范、应急与减缓措施，以使建设项目事故率、损失和环境影响达到可接受水平。</w:t>
            </w:r>
          </w:p>
          <w:p w14:paraId="194CF15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环境风险评价应把事故引起的厂</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场</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界外人群的伤害、环境质量影响的预测和防护作为评价工作重点。</w:t>
            </w:r>
          </w:p>
          <w:p w14:paraId="19FE6C5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1</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风险识别</w:t>
            </w:r>
          </w:p>
          <w:p w14:paraId="72D4812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根据本项目特征，对照《建设项目环境风险评价技术导则》</w:t>
            </w:r>
            <w:r>
              <w:rPr>
                <w:rFonts w:hint="eastAsia" w:ascii="Times New Roman" w:hAnsi="Times New Roman" w:eastAsia="宋体" w:cs="Times New Roman"/>
                <w:color w:val="auto"/>
                <w:sz w:val="24"/>
                <w:szCs w:val="24"/>
                <w:u w:val="none" w:color="auto"/>
                <w:lang w:val="en-US" w:eastAsia="zh-CN"/>
              </w:rPr>
              <w:t xml:space="preserve"> </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HJ169-2018</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附录</w:t>
            </w:r>
            <w:r>
              <w:rPr>
                <w:rFonts w:hint="eastAsia"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lang w:eastAsia="zh-CN"/>
              </w:rPr>
              <w:t>B</w:t>
            </w:r>
            <w:r>
              <w:rPr>
                <w:rFonts w:hint="eastAsia"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sz w:val="24"/>
                <w:szCs w:val="24"/>
                <w:u w:val="none" w:color="auto"/>
                <w:lang w:eastAsia="zh-CN"/>
              </w:rPr>
              <w:t>及《危险化学品名录》</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2015版</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eastAsia="zh-CN"/>
              </w:rPr>
              <w:t>的相关要求对本项目进行风险识别，项目所用原辅材料、最终产品、生产产生的危险废物存在一定的火灾和泄漏风险。一旦泄漏，被人体接触或吸入，会造成腐蚀和中毒伤害。因此本项目环境风险类型为危险化学品与危险废物</w:t>
            </w:r>
            <w:r>
              <w:rPr>
                <w:rFonts w:hint="eastAsia" w:cs="Times New Roman"/>
                <w:color w:val="auto"/>
                <w:sz w:val="24"/>
                <w:szCs w:val="24"/>
                <w:u w:val="none" w:color="auto"/>
                <w:lang w:eastAsia="zh-CN"/>
              </w:rPr>
              <w:t>泄漏和火灾</w:t>
            </w:r>
            <w:r>
              <w:rPr>
                <w:rFonts w:hint="default" w:ascii="Times New Roman" w:hAnsi="Times New Roman" w:eastAsia="宋体" w:cs="Times New Roman"/>
                <w:color w:val="auto"/>
                <w:sz w:val="24"/>
                <w:szCs w:val="24"/>
                <w:u w:val="none" w:color="auto"/>
                <w:lang w:eastAsia="zh-CN"/>
              </w:rPr>
              <w:t>次生环境风险。</w:t>
            </w:r>
          </w:p>
          <w:p w14:paraId="67288C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w:t>
            </w:r>
            <w:r>
              <w:rPr>
                <w:rFonts w:hint="default" w:ascii="Times New Roman" w:hAnsi="Times New Roman" w:eastAsia="宋体" w:cs="Times New Roman"/>
                <w:b w:val="0"/>
                <w:bCs w:val="0"/>
                <w:color w:val="auto"/>
                <w:sz w:val="24"/>
                <w:szCs w:val="24"/>
                <w:u w:val="none" w:color="auto"/>
                <w:lang w:eastAsia="zh-CN"/>
              </w:rPr>
              <w:t>2</w:t>
            </w:r>
            <w:r>
              <w:rPr>
                <w:rFonts w:hint="eastAsia" w:ascii="Times New Roman" w:hAnsi="Times New Roman" w:eastAsia="宋体" w:cs="Times New Roman"/>
                <w:b w:val="0"/>
                <w:bCs w:val="0"/>
                <w:color w:val="auto"/>
                <w:sz w:val="24"/>
                <w:szCs w:val="24"/>
                <w:u w:val="none" w:color="auto"/>
                <w:lang w:eastAsia="zh-CN"/>
              </w:rPr>
              <w:t>）</w:t>
            </w:r>
            <w:r>
              <w:rPr>
                <w:rFonts w:hint="default" w:ascii="Times New Roman" w:hAnsi="Times New Roman" w:eastAsia="宋体" w:cs="Times New Roman"/>
                <w:b w:val="0"/>
                <w:bCs w:val="0"/>
                <w:color w:val="auto"/>
                <w:sz w:val="24"/>
                <w:szCs w:val="24"/>
                <w:u w:val="none" w:color="auto"/>
                <w:lang w:eastAsia="zh-CN"/>
              </w:rPr>
              <w:t>风险潜势判定</w:t>
            </w:r>
          </w:p>
          <w:p w14:paraId="4F068AB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b w:val="0"/>
                <w:bCs w:val="0"/>
                <w:color w:val="auto"/>
                <w:sz w:val="24"/>
                <w:szCs w:val="24"/>
                <w:u w:val="none" w:color="auto"/>
                <w:lang w:eastAsia="zh-CN"/>
              </w:rPr>
              <w:t>根据项目生产、使用、储存过程中涉及的有毒有害、易燃易爆物质，参见导则附录B确定危险物质的临界量。计算所涉及的每种危险物质在厂界内最大存在总量与其在附录B中对应的临界量的比值Q，当存在多种危险物质时，则按公式计算物质总量与其临界量的比值Q：</w:t>
            </w:r>
          </w:p>
          <w:p w14:paraId="697E57E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color w:val="auto"/>
                <w:sz w:val="24"/>
                <w:szCs w:val="24"/>
                <w:u w:val="none" w:color="auto"/>
                <w:lang w:eastAsia="zh-CN"/>
              </w:rPr>
            </w:pPr>
            <w:r>
              <w:rPr>
                <w:u w:val="none" w:color="auto"/>
              </w:rPr>
              <w:drawing>
                <wp:inline distT="0" distB="0" distL="114300" distR="114300">
                  <wp:extent cx="1293495" cy="377190"/>
                  <wp:effectExtent l="0" t="0" r="1905" b="3810"/>
                  <wp:docPr id="11" name="图片 7"/>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30"/>
                          <a:stretch>
                            <a:fillRect/>
                          </a:stretch>
                        </pic:blipFill>
                        <pic:spPr>
                          <a:xfrm>
                            <a:off x="0" y="0"/>
                            <a:ext cx="1293495" cy="377190"/>
                          </a:xfrm>
                          <a:prstGeom prst="rect">
                            <a:avLst/>
                          </a:prstGeom>
                          <a:noFill/>
                          <a:ln>
                            <a:noFill/>
                          </a:ln>
                        </pic:spPr>
                      </pic:pic>
                    </a:graphicData>
                  </a:graphic>
                </wp:inline>
              </w:drawing>
            </w:r>
          </w:p>
          <w:p w14:paraId="25E1054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cs="Times New Roman"/>
                <w:color w:val="000000"/>
                <w:sz w:val="24"/>
                <w:szCs w:val="24"/>
                <w:u w:val="none" w:color="auto"/>
              </w:rPr>
            </w:pPr>
            <w:r>
              <w:rPr>
                <w:rFonts w:hint="eastAsia" w:ascii="Times New Roman" w:hAnsi="Times New Roman" w:eastAsia="宋体" w:cs="Times New Roman"/>
                <w:b w:val="0"/>
                <w:bCs w:val="0"/>
                <w:color w:val="auto"/>
                <w:sz w:val="24"/>
                <w:szCs w:val="24"/>
                <w:u w:val="none" w:color="auto"/>
                <w:lang w:eastAsia="zh-CN"/>
              </w:rPr>
              <w:t>式中：q1 ，q2 ， … ，qn——每种危险物质的最大存在总量，t；</w:t>
            </w:r>
          </w:p>
          <w:p w14:paraId="5CA767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Q1 ，Q2 ， … ，Qn——每种危险物质的临界量，t 。当 Q＜1 时，该项目环境风险潜势为 I</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eastAsia="zh-CN"/>
              </w:rPr>
              <w:t>。</w:t>
            </w:r>
          </w:p>
          <w:p w14:paraId="46711A42">
            <w:pPr>
              <w:bidi w:val="0"/>
              <w:spacing w:line="360" w:lineRule="auto"/>
              <w:ind w:firstLine="480" w:firstLineChars="200"/>
              <w:rPr>
                <w:rFonts w:hint="eastAsia" w:ascii="Times New Roman" w:hAnsi="Times New Roman" w:eastAsia="宋体" w:cs="Times New Roman"/>
                <w:b w:val="0"/>
                <w:bCs w:val="0"/>
                <w:color w:val="auto"/>
                <w:sz w:val="24"/>
                <w:szCs w:val="24"/>
                <w:u w:val="none" w:color="auto"/>
                <w:lang w:eastAsia="zh-CN"/>
              </w:rPr>
            </w:pPr>
            <w:r>
              <w:rPr>
                <w:rFonts w:hint="eastAsia" w:ascii="Times New Roman" w:hAnsi="Times New Roman" w:eastAsia="宋体" w:cs="Times New Roman"/>
                <w:b w:val="0"/>
                <w:bCs w:val="0"/>
                <w:color w:val="auto"/>
                <w:sz w:val="24"/>
                <w:szCs w:val="24"/>
                <w:u w:val="none" w:color="auto"/>
                <w:lang w:eastAsia="zh-CN"/>
              </w:rPr>
              <w:t>当 Q≥1 时，将 Q 值划分为：（1）1≤Q＜10； （2）10≤Q＜100；（3）Q≥100。</w:t>
            </w:r>
          </w:p>
          <w:p w14:paraId="1FC92A67">
            <w:pPr>
              <w:bidi w:val="0"/>
              <w:spacing w:line="360" w:lineRule="auto"/>
              <w:ind w:firstLine="480" w:firstLineChars="200"/>
              <w:rPr>
                <w:rFonts w:hint="default"/>
                <w:sz w:val="24"/>
                <w:u w:val="none" w:color="auto"/>
                <w:lang w:val="en-US" w:eastAsia="zh-CN"/>
              </w:rPr>
            </w:pPr>
            <w:r>
              <w:rPr>
                <w:rFonts w:hint="default"/>
                <w:sz w:val="24"/>
                <w:u w:val="none" w:color="auto"/>
                <w:lang w:val="en-US" w:eastAsia="zh-CN"/>
              </w:rPr>
              <w:t>本项目营运期采用清洁能源电能</w:t>
            </w:r>
            <w:r>
              <w:rPr>
                <w:rFonts w:hint="eastAsia"/>
                <w:sz w:val="24"/>
                <w:u w:val="none" w:color="auto"/>
                <w:lang w:val="en-US" w:eastAsia="zh-CN"/>
              </w:rPr>
              <w:t>；</w:t>
            </w:r>
            <w:r>
              <w:rPr>
                <w:rFonts w:hint="default"/>
                <w:sz w:val="24"/>
                <w:u w:val="none" w:color="auto"/>
                <w:lang w:val="en-US" w:eastAsia="zh-CN"/>
              </w:rPr>
              <w:t>并且，本项目不涉及中间产</w:t>
            </w:r>
            <w:r>
              <w:rPr>
                <w:rFonts w:hint="eastAsia"/>
                <w:sz w:val="24"/>
                <w:u w:val="none" w:color="auto"/>
                <w:lang w:val="en-US" w:eastAsia="zh-CN"/>
              </w:rPr>
              <w:t>品和副产品。为此，根据《建设项目环境风险评价技术导则》（HJ169-2018）附录B、《危险化学品危险化学品重大危险源辨识》（GB18218-2018）等国家标准中规定的危险物质分类原则，本次评价对本项目新增原辅材料、最终产品、生产过程排放的“三废”污染物、火灾和爆炸半生/次生物等进行危险源辨识。</w:t>
            </w:r>
          </w:p>
          <w:p w14:paraId="4613ECE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u w:val="single" w:color="auto"/>
                <w:lang w:val="en-US" w:eastAsia="zh-CN"/>
              </w:rPr>
            </w:pPr>
            <w:r>
              <w:rPr>
                <w:rFonts w:hint="default"/>
                <w:sz w:val="24"/>
                <w:u w:val="single" w:color="auto"/>
                <w:lang w:val="en-US" w:eastAsia="zh-CN"/>
              </w:rPr>
              <w:t>根据表4-</w:t>
            </w:r>
            <w:r>
              <w:rPr>
                <w:rFonts w:hint="eastAsia"/>
                <w:sz w:val="24"/>
                <w:u w:val="single" w:color="auto"/>
                <w:lang w:val="en-US" w:eastAsia="zh-CN"/>
              </w:rPr>
              <w:t>16</w:t>
            </w:r>
            <w:r>
              <w:rPr>
                <w:rFonts w:hint="default"/>
                <w:sz w:val="24"/>
                <w:u w:val="single" w:color="auto"/>
                <w:lang w:val="en-US" w:eastAsia="zh-CN"/>
              </w:rPr>
              <w:t>可知</w:t>
            </w:r>
            <w:r>
              <w:rPr>
                <w:rFonts w:hint="eastAsia"/>
                <w:sz w:val="24"/>
                <w:u w:val="single" w:color="auto"/>
                <w:lang w:val="en-US" w:eastAsia="zh-CN"/>
              </w:rPr>
              <w:t>：</w:t>
            </w:r>
            <w:r>
              <w:rPr>
                <w:rFonts w:hint="default"/>
                <w:sz w:val="24"/>
                <w:u w:val="single" w:color="auto"/>
                <w:lang w:val="en-US" w:eastAsia="zh-CN"/>
              </w:rPr>
              <w:t>本项目涉及的危险物质主要为</w:t>
            </w:r>
            <w:r>
              <w:rPr>
                <w:rFonts w:hint="eastAsia"/>
                <w:sz w:val="24"/>
                <w:u w:val="single" w:color="auto"/>
                <w:lang w:val="en-US" w:eastAsia="zh-CN"/>
              </w:rPr>
              <w:t>润滑油、液压油</w:t>
            </w:r>
            <w:r>
              <w:rPr>
                <w:rFonts w:hint="default" w:ascii="Times New Roman" w:hAnsi="Times New Roman" w:eastAsia="宋体" w:cs="Times New Roman"/>
                <w:sz w:val="24"/>
                <w:u w:val="single" w:color="auto"/>
                <w:lang w:val="en-US" w:eastAsia="zh-CN"/>
              </w:rPr>
              <w:t>和危险废物。</w:t>
            </w:r>
          </w:p>
          <w:p w14:paraId="5DBE5057">
            <w:pPr>
              <w:spacing w:line="240" w:lineRule="auto"/>
              <w:jc w:val="center"/>
              <w:rPr>
                <w:rFonts w:hint="eastAsia"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eastAsia="zh-CN"/>
              </w:rPr>
              <w:t>表4-</w:t>
            </w:r>
            <w:r>
              <w:rPr>
                <w:rFonts w:hint="eastAsia" w:cs="Times New Roman"/>
                <w:b/>
                <w:bCs/>
                <w:color w:val="auto"/>
                <w:sz w:val="21"/>
                <w:szCs w:val="21"/>
                <w:u w:val="single" w:color="auto"/>
                <w:lang w:val="en-US" w:eastAsia="zh-CN"/>
              </w:rPr>
              <w:t>16</w:t>
            </w:r>
            <w:r>
              <w:rPr>
                <w:rFonts w:hint="eastAsia" w:ascii="Times New Roman" w:hAnsi="Times New Roman" w:eastAsia="宋体" w:cs="Times New Roman"/>
                <w:b/>
                <w:bCs/>
                <w:color w:val="auto"/>
                <w:sz w:val="21"/>
                <w:szCs w:val="21"/>
                <w:u w:val="single" w:color="auto"/>
                <w:lang w:eastAsia="zh-CN"/>
              </w:rPr>
              <w:t xml:space="preserve">  危险化学品理化性质</w:t>
            </w:r>
            <w:r>
              <w:rPr>
                <w:rFonts w:hint="eastAsia" w:ascii="Times New Roman" w:hAnsi="Times New Roman" w:eastAsia="宋体" w:cs="Times New Roman"/>
                <w:b/>
                <w:bCs/>
                <w:color w:val="auto"/>
                <w:sz w:val="21"/>
                <w:szCs w:val="21"/>
                <w:u w:val="single" w:color="auto"/>
                <w:lang w:val="en-US" w:eastAsia="zh-CN"/>
              </w:rPr>
              <w:t>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944"/>
              <w:gridCol w:w="912"/>
            </w:tblGrid>
            <w:tr w14:paraId="0E3C7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l2br w:val="nil"/>
                    <w:tr2bl w:val="nil"/>
                  </w:tcBorders>
                  <w:noWrap w:val="0"/>
                  <w:vAlign w:val="center"/>
                </w:tcPr>
                <w:p w14:paraId="03831738">
                  <w:pPr>
                    <w:spacing w:line="240" w:lineRule="auto"/>
                    <w:jc w:val="center"/>
                    <w:rPr>
                      <w:rFonts w:hint="default"/>
                      <w:sz w:val="21"/>
                      <w:szCs w:val="21"/>
                      <w:u w:val="single" w:color="auto"/>
                      <w:lang w:val="en-US" w:eastAsia="zh-CN"/>
                    </w:rPr>
                  </w:pPr>
                  <w:r>
                    <w:rPr>
                      <w:rFonts w:hint="eastAsia"/>
                      <w:sz w:val="21"/>
                      <w:szCs w:val="21"/>
                      <w:u w:val="single" w:color="auto"/>
                      <w:lang w:val="en-US" w:eastAsia="zh-CN"/>
                    </w:rPr>
                    <w:t>名称</w:t>
                  </w:r>
                </w:p>
              </w:tc>
              <w:tc>
                <w:tcPr>
                  <w:tcW w:w="6080" w:type="dxa"/>
                  <w:tcBorders>
                    <w:tl2br w:val="nil"/>
                    <w:tr2bl w:val="nil"/>
                  </w:tcBorders>
                  <w:noWrap w:val="0"/>
                  <w:vAlign w:val="center"/>
                </w:tcPr>
                <w:p w14:paraId="409FF107">
                  <w:pPr>
                    <w:spacing w:line="240" w:lineRule="auto"/>
                    <w:jc w:val="center"/>
                    <w:rPr>
                      <w:rFonts w:hint="default"/>
                      <w:sz w:val="21"/>
                      <w:szCs w:val="21"/>
                      <w:u w:val="single" w:color="auto"/>
                      <w:lang w:val="en-US" w:eastAsia="zh-CN"/>
                    </w:rPr>
                  </w:pPr>
                  <w:r>
                    <w:rPr>
                      <w:rFonts w:hint="eastAsia"/>
                      <w:sz w:val="21"/>
                      <w:szCs w:val="21"/>
                      <w:u w:val="single" w:color="auto"/>
                      <w:lang w:val="en-US" w:eastAsia="zh-CN"/>
                    </w:rPr>
                    <w:t>理化性质</w:t>
                  </w:r>
                </w:p>
              </w:tc>
              <w:tc>
                <w:tcPr>
                  <w:tcW w:w="928" w:type="dxa"/>
                  <w:tcBorders>
                    <w:tl2br w:val="nil"/>
                    <w:tr2bl w:val="nil"/>
                  </w:tcBorders>
                  <w:noWrap w:val="0"/>
                  <w:vAlign w:val="center"/>
                </w:tcPr>
                <w:p w14:paraId="7D87FC99">
                  <w:pPr>
                    <w:spacing w:line="240" w:lineRule="auto"/>
                    <w:jc w:val="center"/>
                    <w:rPr>
                      <w:rFonts w:hint="default"/>
                      <w:sz w:val="21"/>
                      <w:szCs w:val="21"/>
                      <w:u w:val="single" w:color="auto"/>
                      <w:lang w:val="en-US" w:eastAsia="zh-CN"/>
                    </w:rPr>
                  </w:pPr>
                  <w:r>
                    <w:rPr>
                      <w:rFonts w:hint="eastAsia"/>
                      <w:sz w:val="21"/>
                      <w:szCs w:val="21"/>
                      <w:u w:val="single" w:color="auto"/>
                      <w:lang w:val="en-US" w:eastAsia="zh-CN"/>
                    </w:rPr>
                    <w:t>是否是环境风险物质</w:t>
                  </w:r>
                </w:p>
              </w:tc>
            </w:tr>
            <w:tr w14:paraId="1171A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l2br w:val="nil"/>
                    <w:tr2bl w:val="nil"/>
                  </w:tcBorders>
                  <w:noWrap w:val="0"/>
                  <w:vAlign w:val="center"/>
                </w:tcPr>
                <w:p w14:paraId="16BB26BE">
                  <w:pPr>
                    <w:adjustRightInd w:val="0"/>
                    <w:snapToGrid w:val="0"/>
                    <w:spacing w:line="240" w:lineRule="auto"/>
                    <w:jc w:val="center"/>
                    <w:rPr>
                      <w:rFonts w:hint="eastAsia" w:ascii="Times New Roman" w:hAnsi="Times New Roman" w:eastAsia="宋体" w:cs="Times New Roman"/>
                      <w:color w:val="auto"/>
                      <w:spacing w:val="0"/>
                      <w:kern w:val="2"/>
                      <w:sz w:val="21"/>
                      <w:szCs w:val="21"/>
                      <w:u w:val="single" w:color="auto"/>
                      <w:lang w:val="en-US" w:eastAsia="zh-CN" w:bidi="ar-SA"/>
                    </w:rPr>
                  </w:pPr>
                  <w:r>
                    <w:rPr>
                      <w:rFonts w:hint="eastAsia" w:cs="Times New Roman"/>
                      <w:sz w:val="21"/>
                      <w:szCs w:val="21"/>
                      <w:u w:val="single" w:color="auto"/>
                      <w:lang w:val="en-US" w:eastAsia="zh-CN"/>
                    </w:rPr>
                    <w:t>润滑油</w:t>
                  </w:r>
                </w:p>
              </w:tc>
              <w:tc>
                <w:tcPr>
                  <w:tcW w:w="6080" w:type="dxa"/>
                  <w:tcBorders>
                    <w:tl2br w:val="nil"/>
                    <w:tr2bl w:val="nil"/>
                  </w:tcBorders>
                  <w:noWrap w:val="0"/>
                  <w:vAlign w:val="center"/>
                </w:tcPr>
                <w:p w14:paraId="2E859E37">
                  <w:pPr>
                    <w:adjustRightInd w:val="0"/>
                    <w:snapToGrid w:val="0"/>
                    <w:spacing w:line="240" w:lineRule="auto"/>
                    <w:jc w:val="center"/>
                    <w:rPr>
                      <w:rFonts w:hint="default" w:ascii="Times New Roman" w:hAnsi="Times New Roman" w:eastAsia="宋体" w:cs="Times New Roman"/>
                      <w:color w:val="auto"/>
                      <w:spacing w:val="0"/>
                      <w:kern w:val="2"/>
                      <w:sz w:val="21"/>
                      <w:szCs w:val="21"/>
                      <w:u w:val="single" w:color="auto"/>
                      <w:lang w:val="en-US" w:eastAsia="zh-CN" w:bidi="ar-SA"/>
                    </w:rPr>
                  </w:pPr>
                  <w:r>
                    <w:rPr>
                      <w:rFonts w:hint="default" w:ascii="Times New Roman" w:hAnsi="Times New Roman" w:cs="Times New Roman"/>
                      <w:sz w:val="21"/>
                      <w:szCs w:val="21"/>
                      <w:u w:val="single" w:color="auto"/>
                    </w:rPr>
                    <w:t>为无色半透明油状液体，无或几乎无荧光，冷时无臭、无味，加热时略有石油气味，不溶于水、乙醇，溶于挥发油，混溶于多数非挥发性油，对光、热、酸等稳定，但长时间接触光和热会慢慢氧化。燃爆危险：可燃；危险特性：易燃、火灾、毒性；燃烧分解产物：一氧化氮、碳氢化合物、氮氧化物。侵入途径：食入、经皮吸收；健康危害：封闭毛孔，皮肤不能正常代谢，造成皮肤生理功能受损；环境危害：对土壤有危害。</w:t>
                  </w:r>
                </w:p>
              </w:tc>
              <w:tc>
                <w:tcPr>
                  <w:tcW w:w="928" w:type="dxa"/>
                  <w:tcBorders>
                    <w:tl2br w:val="nil"/>
                    <w:tr2bl w:val="nil"/>
                  </w:tcBorders>
                  <w:noWrap w:val="0"/>
                  <w:vAlign w:val="center"/>
                </w:tcPr>
                <w:p w14:paraId="4020C182">
                  <w:pPr>
                    <w:spacing w:line="240" w:lineRule="auto"/>
                    <w:jc w:val="center"/>
                    <w:rPr>
                      <w:rFonts w:hint="eastAsia"/>
                      <w:sz w:val="21"/>
                      <w:szCs w:val="21"/>
                      <w:u w:val="single" w:color="auto"/>
                      <w:lang w:val="en-US" w:eastAsia="zh-CN"/>
                    </w:rPr>
                  </w:pPr>
                  <w:r>
                    <w:rPr>
                      <w:rFonts w:hint="eastAsia"/>
                      <w:sz w:val="21"/>
                      <w:szCs w:val="21"/>
                      <w:u w:val="single" w:color="auto"/>
                      <w:lang w:val="en-US" w:eastAsia="zh-CN"/>
                    </w:rPr>
                    <w:t>是</w:t>
                  </w:r>
                </w:p>
              </w:tc>
            </w:tr>
            <w:tr w14:paraId="097DA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l2br w:val="nil"/>
                    <w:tr2bl w:val="nil"/>
                  </w:tcBorders>
                  <w:noWrap w:val="0"/>
                  <w:vAlign w:val="center"/>
                </w:tcPr>
                <w:p w14:paraId="5ADDF833">
                  <w:pPr>
                    <w:spacing w:line="240" w:lineRule="auto"/>
                    <w:jc w:val="center"/>
                    <w:rPr>
                      <w:rFonts w:hint="default" w:ascii="Times New Roman" w:hAnsi="Times New Roman" w:cs="Times New Roman"/>
                      <w:sz w:val="21"/>
                      <w:szCs w:val="21"/>
                      <w:u w:val="single" w:color="auto"/>
                      <w:lang w:val="en-US" w:eastAsia="zh-CN"/>
                    </w:rPr>
                  </w:pPr>
                  <w:r>
                    <w:rPr>
                      <w:rFonts w:hint="eastAsia" w:cs="Times New Roman"/>
                      <w:b w:val="0"/>
                      <w:bCs w:val="0"/>
                      <w:color w:val="000000"/>
                      <w:sz w:val="21"/>
                      <w:szCs w:val="21"/>
                      <w:u w:val="single" w:color="auto"/>
                      <w:lang w:val="en-US" w:eastAsia="zh-CN"/>
                    </w:rPr>
                    <w:t>液压油</w:t>
                  </w:r>
                </w:p>
              </w:tc>
              <w:tc>
                <w:tcPr>
                  <w:tcW w:w="6080" w:type="dxa"/>
                  <w:tcBorders>
                    <w:tl2br w:val="nil"/>
                    <w:tr2bl w:val="nil"/>
                  </w:tcBorders>
                  <w:noWrap w:val="0"/>
                  <w:vAlign w:val="center"/>
                </w:tcPr>
                <w:p w14:paraId="79BAF3E4">
                  <w:pPr>
                    <w:spacing w:line="240" w:lineRule="auto"/>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油状液体，淡黄色至褐色，无气味或略带异味。溶解性</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不溶于水</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燃烧性</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遇明火、高热可燃。燃烧产物</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一氧化碳、二氧化碳。消防人员须佩戴防毒面具、穿全身消防服，在上凤向灭火。尽可能将容器从火场移至空旷处。喷水保持火场容器冷却，直至灭火结束。灭火剂</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水、泡沫、干粉、二氧化碳、砂士。慢入途径</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吸入、食入</w:t>
                  </w:r>
                  <w:r>
                    <w:rPr>
                      <w:rFonts w:hint="eastAsia" w:cs="Times New Roman"/>
                      <w:sz w:val="21"/>
                      <w:szCs w:val="21"/>
                      <w:u w:val="single" w:color="auto"/>
                      <w:lang w:eastAsia="zh-CN"/>
                    </w:rPr>
                    <w:t>；</w:t>
                  </w:r>
                  <w:r>
                    <w:rPr>
                      <w:rFonts w:hint="default" w:ascii="Times New Roman" w:hAnsi="Times New Roman" w:cs="Times New Roman"/>
                      <w:sz w:val="21"/>
                      <w:szCs w:val="21"/>
                      <w:u w:val="single" w:color="auto"/>
                    </w:rPr>
                    <w:t>急性吸入，可出现乏力、头晕、头痛、恶心，严重者可引起油脂性肿炎。慢接触者，暴露部位可发生油性痤疮和接触性皮炎。可引起神经衰弱综合征，呼吸道和眼刺激症状及性油脂性肺炎。</w:t>
                  </w:r>
                </w:p>
              </w:tc>
              <w:tc>
                <w:tcPr>
                  <w:tcW w:w="928" w:type="dxa"/>
                  <w:tcBorders>
                    <w:tl2br w:val="nil"/>
                    <w:tr2bl w:val="nil"/>
                  </w:tcBorders>
                  <w:noWrap w:val="0"/>
                  <w:vAlign w:val="center"/>
                </w:tcPr>
                <w:p w14:paraId="3C1E7C10">
                  <w:pPr>
                    <w:spacing w:line="240" w:lineRule="auto"/>
                    <w:jc w:val="center"/>
                    <w:rPr>
                      <w:rFonts w:hint="eastAsia"/>
                      <w:sz w:val="21"/>
                      <w:szCs w:val="21"/>
                      <w:u w:val="single" w:color="auto"/>
                      <w:lang w:val="en-US" w:eastAsia="zh-CN"/>
                    </w:rPr>
                  </w:pPr>
                  <w:r>
                    <w:rPr>
                      <w:rFonts w:hint="eastAsia"/>
                      <w:sz w:val="21"/>
                      <w:szCs w:val="21"/>
                      <w:u w:val="single" w:color="auto"/>
                      <w:lang w:val="en-US" w:eastAsia="zh-CN"/>
                    </w:rPr>
                    <w:t>是</w:t>
                  </w:r>
                </w:p>
              </w:tc>
            </w:tr>
            <w:tr w14:paraId="59AAC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l2br w:val="nil"/>
                    <w:tr2bl w:val="nil"/>
                  </w:tcBorders>
                  <w:noWrap w:val="0"/>
                  <w:vAlign w:val="center"/>
                </w:tcPr>
                <w:p w14:paraId="3A447885">
                  <w:pPr>
                    <w:adjustRightInd w:val="0"/>
                    <w:snapToGrid w:val="0"/>
                    <w:spacing w:line="240" w:lineRule="auto"/>
                    <w:jc w:val="center"/>
                    <w:rPr>
                      <w:rFonts w:hint="default"/>
                      <w:sz w:val="21"/>
                      <w:szCs w:val="21"/>
                      <w:u w:val="single" w:color="auto"/>
                      <w:lang w:val="en-US" w:eastAsia="zh-CN"/>
                    </w:rPr>
                  </w:pPr>
                  <w:r>
                    <w:rPr>
                      <w:rFonts w:hint="eastAsia"/>
                      <w:sz w:val="21"/>
                      <w:szCs w:val="21"/>
                      <w:u w:val="single" w:color="auto"/>
                      <w:lang w:val="en-US" w:eastAsia="zh-CN"/>
                    </w:rPr>
                    <w:t>危险废物</w:t>
                  </w:r>
                </w:p>
              </w:tc>
              <w:tc>
                <w:tcPr>
                  <w:tcW w:w="6080" w:type="dxa"/>
                  <w:tcBorders>
                    <w:tl2br w:val="nil"/>
                    <w:tr2bl w:val="nil"/>
                  </w:tcBorders>
                  <w:noWrap w:val="0"/>
                  <w:vAlign w:val="center"/>
                </w:tcPr>
                <w:p w14:paraId="06293FAF">
                  <w:pPr>
                    <w:adjustRightInd w:val="0"/>
                    <w:snapToGrid w:val="0"/>
                    <w:spacing w:line="240" w:lineRule="auto"/>
                    <w:jc w:val="center"/>
                    <w:rPr>
                      <w:sz w:val="21"/>
                      <w:szCs w:val="21"/>
                      <w:u w:val="single" w:color="auto"/>
                    </w:rPr>
                  </w:pPr>
                  <w:r>
                    <w:rPr>
                      <w:rFonts w:hint="eastAsia"/>
                      <w:sz w:val="21"/>
                      <w:szCs w:val="21"/>
                      <w:u w:val="single" w:color="auto"/>
                    </w:rPr>
                    <w:t>属于《国家危险废物名录</w:t>
                  </w:r>
                  <w:r>
                    <w:rPr>
                      <w:rFonts w:hint="eastAsia"/>
                      <w:sz w:val="21"/>
                      <w:szCs w:val="21"/>
                      <w:u w:val="single" w:color="auto"/>
                      <w:lang w:eastAsia="zh-CN"/>
                    </w:rPr>
                    <w:t>（</w:t>
                  </w:r>
                  <w:r>
                    <w:rPr>
                      <w:rFonts w:hint="eastAsia"/>
                      <w:sz w:val="21"/>
                      <w:szCs w:val="21"/>
                      <w:u w:val="single" w:color="auto"/>
                    </w:rPr>
                    <w:t>2021年版</w:t>
                  </w:r>
                  <w:r>
                    <w:rPr>
                      <w:rFonts w:hint="eastAsia"/>
                      <w:sz w:val="21"/>
                      <w:szCs w:val="21"/>
                      <w:u w:val="single" w:color="auto"/>
                      <w:lang w:eastAsia="zh-CN"/>
                    </w:rPr>
                    <w:t>）</w:t>
                  </w:r>
                  <w:r>
                    <w:rPr>
                      <w:rFonts w:hint="eastAsia"/>
                      <w:sz w:val="21"/>
                      <w:szCs w:val="21"/>
                      <w:u w:val="single" w:color="auto"/>
                    </w:rPr>
                    <w:t>》中名录范围内。</w:t>
                  </w:r>
                </w:p>
              </w:tc>
              <w:tc>
                <w:tcPr>
                  <w:tcW w:w="928" w:type="dxa"/>
                  <w:tcBorders>
                    <w:tl2br w:val="nil"/>
                    <w:tr2bl w:val="nil"/>
                  </w:tcBorders>
                  <w:noWrap w:val="0"/>
                  <w:vAlign w:val="center"/>
                </w:tcPr>
                <w:p w14:paraId="6F6EF8AA">
                  <w:pPr>
                    <w:spacing w:line="240" w:lineRule="auto"/>
                    <w:jc w:val="center"/>
                    <w:rPr>
                      <w:rFonts w:hint="default"/>
                      <w:sz w:val="21"/>
                      <w:szCs w:val="21"/>
                      <w:u w:val="single" w:color="auto"/>
                      <w:lang w:val="en-US" w:eastAsia="zh-CN"/>
                    </w:rPr>
                  </w:pPr>
                  <w:r>
                    <w:rPr>
                      <w:rFonts w:hint="eastAsia"/>
                      <w:sz w:val="21"/>
                      <w:szCs w:val="21"/>
                      <w:u w:val="single" w:color="auto"/>
                      <w:lang w:val="en-US" w:eastAsia="zh-CN"/>
                    </w:rPr>
                    <w:t>是</w:t>
                  </w:r>
                </w:p>
              </w:tc>
            </w:tr>
          </w:tbl>
          <w:p w14:paraId="624C30B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1"/>
                <w:szCs w:val="21"/>
                <w:u w:val="single" w:color="auto"/>
                <w:lang w:eastAsia="zh-CN"/>
              </w:rPr>
            </w:pPr>
            <w:r>
              <w:rPr>
                <w:rFonts w:hint="eastAsia" w:eastAsia="宋体" w:cs="Times New Roman"/>
                <w:sz w:val="24"/>
                <w:u w:val="single" w:color="auto"/>
                <w:lang w:val="en-US" w:eastAsia="zh-CN"/>
              </w:rPr>
              <w:t xml:space="preserve"> </w:t>
            </w:r>
            <w:r>
              <w:rPr>
                <w:rFonts w:hint="default" w:ascii="Times New Roman" w:hAnsi="Times New Roman" w:eastAsia="宋体" w:cs="Times New Roman"/>
                <w:b w:val="0"/>
                <w:bCs w:val="0"/>
                <w:color w:val="auto"/>
                <w:sz w:val="24"/>
                <w:szCs w:val="24"/>
                <w:u w:val="single" w:color="auto"/>
                <w:lang w:val="en-US" w:eastAsia="zh-CN"/>
              </w:rPr>
              <w:t>根据《建设项目环境风险评价技术导则》（HJ169-2018）附录 B 突发环境事件风险物质临界量可知：</w:t>
            </w:r>
          </w:p>
          <w:p w14:paraId="76B6F30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color w:val="auto"/>
                <w:sz w:val="24"/>
                <w:szCs w:val="24"/>
                <w:u w:val="single" w:color="auto"/>
                <w:lang w:eastAsia="zh-CN"/>
              </w:rPr>
            </w:pPr>
            <w:r>
              <w:rPr>
                <w:rFonts w:hint="eastAsia" w:ascii="Times New Roman" w:hAnsi="Times New Roman" w:eastAsia="宋体" w:cs="Times New Roman"/>
                <w:b/>
                <w:bCs/>
                <w:color w:val="auto"/>
                <w:sz w:val="21"/>
                <w:szCs w:val="21"/>
                <w:u w:val="single" w:color="auto"/>
                <w:lang w:eastAsia="zh-CN"/>
              </w:rPr>
              <w:t>表4-</w:t>
            </w:r>
            <w:r>
              <w:rPr>
                <w:rFonts w:hint="eastAsia" w:cs="Times New Roman"/>
                <w:b/>
                <w:bCs/>
                <w:color w:val="auto"/>
                <w:sz w:val="21"/>
                <w:szCs w:val="21"/>
                <w:u w:val="single" w:color="auto"/>
                <w:lang w:val="en-US" w:eastAsia="zh-CN"/>
              </w:rPr>
              <w:t>17</w:t>
            </w:r>
            <w:r>
              <w:rPr>
                <w:rFonts w:hint="eastAsia" w:ascii="Times New Roman" w:hAnsi="Times New Roman" w:eastAsia="宋体" w:cs="Times New Roman"/>
                <w:b/>
                <w:bCs/>
                <w:color w:val="auto"/>
                <w:sz w:val="21"/>
                <w:szCs w:val="21"/>
                <w:u w:val="single" w:color="auto"/>
                <w:lang w:eastAsia="zh-CN"/>
              </w:rPr>
              <w:t xml:space="preserve">  危险物质数量与临界量的比值</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1"/>
              <w:gridCol w:w="1841"/>
              <w:gridCol w:w="1200"/>
              <w:gridCol w:w="1201"/>
              <w:gridCol w:w="1602"/>
              <w:gridCol w:w="1410"/>
            </w:tblGrid>
            <w:tr w14:paraId="0F0FC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2" w:type="dxa"/>
                  <w:gridSpan w:val="2"/>
                  <w:tcBorders>
                    <w:tl2br w:val="nil"/>
                    <w:tr2bl w:val="nil"/>
                  </w:tcBorders>
                  <w:noWrap w:val="0"/>
                  <w:vAlign w:val="center"/>
                </w:tcPr>
                <w:p w14:paraId="2060899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pacing w:val="9"/>
                      <w:sz w:val="21"/>
                      <w:szCs w:val="21"/>
                      <w:u w:val="single" w:color="auto"/>
                    </w:rPr>
                  </w:pPr>
                  <w:r>
                    <w:rPr>
                      <w:rFonts w:hint="default" w:ascii="Times New Roman" w:hAnsi="Times New Roman" w:eastAsia="宋体" w:cs="Times New Roman"/>
                      <w:b/>
                      <w:bCs/>
                      <w:spacing w:val="9"/>
                      <w:sz w:val="21"/>
                      <w:szCs w:val="21"/>
                      <w:u w:val="single" w:color="auto"/>
                    </w:rPr>
                    <w:t>物料名称</w:t>
                  </w:r>
                </w:p>
              </w:tc>
              <w:tc>
                <w:tcPr>
                  <w:tcW w:w="1200" w:type="dxa"/>
                  <w:tcBorders>
                    <w:tl2br w:val="nil"/>
                    <w:tr2bl w:val="nil"/>
                  </w:tcBorders>
                  <w:noWrap w:val="0"/>
                  <w:vAlign w:val="center"/>
                </w:tcPr>
                <w:p w14:paraId="756435C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pacing w:val="9"/>
                      <w:sz w:val="21"/>
                      <w:szCs w:val="21"/>
                      <w:u w:val="single" w:color="auto"/>
                    </w:rPr>
                  </w:pPr>
                  <w:r>
                    <w:rPr>
                      <w:rFonts w:hint="default" w:ascii="Times New Roman" w:hAnsi="Times New Roman" w:eastAsia="宋体" w:cs="Times New Roman"/>
                      <w:b/>
                      <w:bCs/>
                      <w:spacing w:val="9"/>
                      <w:sz w:val="21"/>
                      <w:szCs w:val="21"/>
                      <w:u w:val="single" w:color="auto"/>
                    </w:rPr>
                    <w:t>存储区</w:t>
                  </w:r>
                </w:p>
              </w:tc>
              <w:tc>
                <w:tcPr>
                  <w:tcW w:w="1201" w:type="dxa"/>
                  <w:tcBorders>
                    <w:tl2br w:val="nil"/>
                    <w:tr2bl w:val="nil"/>
                  </w:tcBorders>
                  <w:noWrap w:val="0"/>
                  <w:vAlign w:val="center"/>
                </w:tcPr>
                <w:p w14:paraId="70C14D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9"/>
                      <w:sz w:val="21"/>
                      <w:szCs w:val="21"/>
                      <w:u w:val="single" w:color="auto"/>
                      <w:lang w:eastAsia="zh-CN"/>
                    </w:rPr>
                  </w:pPr>
                  <w:r>
                    <w:rPr>
                      <w:rFonts w:hint="default" w:ascii="Times New Roman" w:hAnsi="Times New Roman" w:eastAsia="宋体" w:cs="Times New Roman"/>
                      <w:b/>
                      <w:bCs/>
                      <w:spacing w:val="9"/>
                      <w:sz w:val="21"/>
                      <w:szCs w:val="21"/>
                      <w:u w:val="single" w:color="auto"/>
                    </w:rPr>
                    <w:t>临界量</w:t>
                  </w:r>
                  <w:r>
                    <w:rPr>
                      <w:rFonts w:hint="eastAsia" w:ascii="Times New Roman" w:hAnsi="Times New Roman" w:eastAsia="宋体" w:cs="Times New Roman"/>
                      <w:b/>
                      <w:bCs/>
                      <w:spacing w:val="9"/>
                      <w:sz w:val="21"/>
                      <w:szCs w:val="21"/>
                      <w:u w:val="single" w:color="auto"/>
                      <w:lang w:eastAsia="zh-CN"/>
                    </w:rPr>
                    <w:t>（</w:t>
                  </w:r>
                  <w:r>
                    <w:rPr>
                      <w:rFonts w:hint="default" w:ascii="Times New Roman" w:hAnsi="Times New Roman" w:eastAsia="宋体" w:cs="Times New Roman"/>
                      <w:b/>
                      <w:bCs/>
                      <w:spacing w:val="9"/>
                      <w:sz w:val="21"/>
                      <w:szCs w:val="21"/>
                      <w:u w:val="single" w:color="auto"/>
                    </w:rPr>
                    <w:t>t</w:t>
                  </w:r>
                  <w:r>
                    <w:rPr>
                      <w:rFonts w:hint="eastAsia" w:ascii="Times New Roman" w:hAnsi="Times New Roman" w:eastAsia="宋体" w:cs="Times New Roman"/>
                      <w:b/>
                      <w:bCs/>
                      <w:spacing w:val="9"/>
                      <w:sz w:val="21"/>
                      <w:szCs w:val="21"/>
                      <w:u w:val="single" w:color="auto"/>
                      <w:lang w:eastAsia="zh-CN"/>
                    </w:rPr>
                    <w:t>）</w:t>
                  </w:r>
                </w:p>
              </w:tc>
              <w:tc>
                <w:tcPr>
                  <w:tcW w:w="1602" w:type="dxa"/>
                  <w:tcBorders>
                    <w:tl2br w:val="nil"/>
                    <w:tr2bl w:val="nil"/>
                  </w:tcBorders>
                  <w:noWrap w:val="0"/>
                  <w:vAlign w:val="center"/>
                </w:tcPr>
                <w:p w14:paraId="0093D31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9"/>
                      <w:sz w:val="21"/>
                      <w:szCs w:val="21"/>
                      <w:u w:val="single" w:color="auto"/>
                      <w:lang w:eastAsia="zh-CN"/>
                    </w:rPr>
                  </w:pPr>
                  <w:r>
                    <w:rPr>
                      <w:rFonts w:hint="default" w:ascii="Times New Roman" w:hAnsi="Times New Roman" w:eastAsia="宋体" w:cs="Times New Roman"/>
                      <w:b/>
                      <w:bCs/>
                      <w:spacing w:val="9"/>
                      <w:sz w:val="21"/>
                      <w:szCs w:val="21"/>
                      <w:u w:val="single" w:color="auto"/>
                    </w:rPr>
                    <w:t>最大贮存量</w:t>
                  </w:r>
                  <w:r>
                    <w:rPr>
                      <w:rFonts w:hint="eastAsia" w:ascii="Times New Roman" w:hAnsi="Times New Roman" w:eastAsia="宋体" w:cs="Times New Roman"/>
                      <w:b/>
                      <w:bCs/>
                      <w:spacing w:val="9"/>
                      <w:sz w:val="21"/>
                      <w:szCs w:val="21"/>
                      <w:u w:val="single" w:color="auto"/>
                      <w:lang w:eastAsia="zh-CN"/>
                    </w:rPr>
                    <w:t>（</w:t>
                  </w:r>
                  <w:r>
                    <w:rPr>
                      <w:rFonts w:hint="default" w:ascii="Times New Roman" w:hAnsi="Times New Roman" w:eastAsia="宋体" w:cs="Times New Roman"/>
                      <w:b/>
                      <w:bCs/>
                      <w:spacing w:val="9"/>
                      <w:sz w:val="21"/>
                      <w:szCs w:val="21"/>
                      <w:u w:val="single" w:color="auto"/>
                    </w:rPr>
                    <w:t>t</w:t>
                  </w:r>
                  <w:r>
                    <w:rPr>
                      <w:rFonts w:hint="eastAsia" w:ascii="Times New Roman" w:hAnsi="Times New Roman" w:eastAsia="宋体" w:cs="Times New Roman"/>
                      <w:b/>
                      <w:bCs/>
                      <w:spacing w:val="9"/>
                      <w:sz w:val="21"/>
                      <w:szCs w:val="21"/>
                      <w:u w:val="single" w:color="auto"/>
                      <w:lang w:eastAsia="zh-CN"/>
                    </w:rPr>
                    <w:t>）</w:t>
                  </w:r>
                </w:p>
              </w:tc>
              <w:tc>
                <w:tcPr>
                  <w:tcW w:w="1410" w:type="dxa"/>
                  <w:tcBorders>
                    <w:tl2br w:val="nil"/>
                    <w:tr2bl w:val="nil"/>
                  </w:tcBorders>
                  <w:noWrap w:val="0"/>
                  <w:vAlign w:val="center"/>
                </w:tcPr>
                <w:p w14:paraId="4172171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pacing w:val="9"/>
                      <w:sz w:val="21"/>
                      <w:szCs w:val="21"/>
                      <w:u w:val="single" w:color="auto"/>
                    </w:rPr>
                  </w:pPr>
                  <w:r>
                    <w:rPr>
                      <w:rFonts w:hint="default" w:ascii="Times New Roman" w:hAnsi="Times New Roman" w:eastAsia="宋体" w:cs="Times New Roman"/>
                      <w:b/>
                      <w:bCs/>
                      <w:spacing w:val="9"/>
                      <w:sz w:val="21"/>
                      <w:szCs w:val="21"/>
                      <w:u w:val="single" w:color="auto"/>
                    </w:rPr>
                    <w:t>Q值</w:t>
                  </w:r>
                </w:p>
              </w:tc>
            </w:tr>
            <w:tr w14:paraId="55DD1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2" w:type="dxa"/>
                  <w:gridSpan w:val="2"/>
                  <w:tcBorders>
                    <w:tl2br w:val="nil"/>
                    <w:tr2bl w:val="nil"/>
                  </w:tcBorders>
                  <w:noWrap w:val="0"/>
                  <w:vAlign w:val="center"/>
                </w:tcPr>
                <w:p w14:paraId="4DF617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lang w:val="en-US" w:eastAsia="zh-CN"/>
                    </w:rPr>
                  </w:pPr>
                  <w:r>
                    <w:rPr>
                      <w:rFonts w:hint="eastAsia" w:cs="Times New Roman"/>
                      <w:spacing w:val="9"/>
                      <w:sz w:val="21"/>
                      <w:szCs w:val="21"/>
                      <w:u w:val="single" w:color="auto"/>
                      <w:lang w:val="en-US" w:eastAsia="zh-CN"/>
                    </w:rPr>
                    <w:t>润滑油</w:t>
                  </w:r>
                </w:p>
              </w:tc>
              <w:tc>
                <w:tcPr>
                  <w:tcW w:w="1200" w:type="dxa"/>
                  <w:tcBorders>
                    <w:tl2br w:val="nil"/>
                    <w:tr2bl w:val="nil"/>
                  </w:tcBorders>
                  <w:noWrap w:val="0"/>
                  <w:vAlign w:val="center"/>
                </w:tcPr>
                <w:p w14:paraId="1E05CB5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lang w:val="en-US" w:eastAsia="zh-CN"/>
                    </w:rPr>
                  </w:pPr>
                  <w:r>
                    <w:rPr>
                      <w:rFonts w:hint="eastAsia" w:cs="Times New Roman"/>
                      <w:spacing w:val="9"/>
                      <w:sz w:val="21"/>
                      <w:szCs w:val="21"/>
                      <w:u w:val="single" w:color="auto"/>
                      <w:lang w:val="en-US" w:eastAsia="zh-CN"/>
                    </w:rPr>
                    <w:t>原料储存区</w:t>
                  </w:r>
                </w:p>
              </w:tc>
              <w:tc>
                <w:tcPr>
                  <w:tcW w:w="1201" w:type="dxa"/>
                  <w:tcBorders>
                    <w:tl2br w:val="nil"/>
                    <w:tr2bl w:val="nil"/>
                  </w:tcBorders>
                  <w:noWrap w:val="0"/>
                  <w:vAlign w:val="center"/>
                </w:tcPr>
                <w:p w14:paraId="472DF6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2500</w:t>
                  </w:r>
                </w:p>
              </w:tc>
              <w:tc>
                <w:tcPr>
                  <w:tcW w:w="1602" w:type="dxa"/>
                  <w:tcBorders>
                    <w:tl2br w:val="nil"/>
                    <w:tr2bl w:val="nil"/>
                  </w:tcBorders>
                  <w:shd w:val="clear" w:color="auto" w:fill="auto"/>
                  <w:noWrap w:val="0"/>
                  <w:vAlign w:val="center"/>
                </w:tcPr>
                <w:p w14:paraId="41D95939">
                  <w:pPr>
                    <w:jc w:val="center"/>
                    <w:rPr>
                      <w:rFonts w:hint="default"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sz w:val="21"/>
                      <w:szCs w:val="21"/>
                      <w:highlight w:val="none"/>
                      <w:u w:val="single" w:color="auto"/>
                      <w:lang w:val="en-US" w:eastAsia="zh-CN"/>
                    </w:rPr>
                    <w:t>0.05</w:t>
                  </w:r>
                </w:p>
              </w:tc>
              <w:tc>
                <w:tcPr>
                  <w:tcW w:w="1410" w:type="dxa"/>
                  <w:tcBorders>
                    <w:tl2br w:val="nil"/>
                    <w:tr2bl w:val="nil"/>
                  </w:tcBorders>
                  <w:noWrap w:val="0"/>
                  <w:vAlign w:val="center"/>
                </w:tcPr>
                <w:p w14:paraId="00D364D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7"/>
                      <w:sz w:val="21"/>
                      <w:szCs w:val="21"/>
                      <w:u w:val="single" w:color="auto"/>
                    </w:rPr>
                  </w:pPr>
                  <w:r>
                    <w:rPr>
                      <w:rFonts w:hint="default" w:ascii="Times New Roman" w:hAnsi="Times New Roman" w:eastAsia="宋体" w:cs="Times New Roman"/>
                      <w:spacing w:val="-7"/>
                      <w:sz w:val="21"/>
                      <w:szCs w:val="21"/>
                      <w:u w:val="single" w:color="auto"/>
                    </w:rPr>
                    <w:t>0.00002</w:t>
                  </w:r>
                </w:p>
              </w:tc>
            </w:tr>
            <w:tr w14:paraId="12B19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202" w:type="dxa"/>
                  <w:gridSpan w:val="2"/>
                  <w:tcBorders>
                    <w:tl2br w:val="nil"/>
                    <w:tr2bl w:val="nil"/>
                  </w:tcBorders>
                  <w:noWrap w:val="0"/>
                  <w:vAlign w:val="center"/>
                </w:tcPr>
                <w:p w14:paraId="2403993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9"/>
                      <w:sz w:val="21"/>
                      <w:szCs w:val="21"/>
                      <w:u w:val="single" w:color="auto"/>
                      <w:lang w:val="en-US" w:eastAsia="zh-CN"/>
                    </w:rPr>
                  </w:pPr>
                  <w:r>
                    <w:rPr>
                      <w:rFonts w:hint="eastAsia" w:cs="Times New Roman"/>
                      <w:spacing w:val="9"/>
                      <w:sz w:val="21"/>
                      <w:szCs w:val="21"/>
                      <w:u w:val="single" w:color="auto"/>
                      <w:lang w:val="en-US" w:eastAsia="zh-CN"/>
                    </w:rPr>
                    <w:t>液压油</w:t>
                  </w:r>
                </w:p>
              </w:tc>
              <w:tc>
                <w:tcPr>
                  <w:tcW w:w="1200" w:type="dxa"/>
                  <w:tcBorders>
                    <w:tl2br w:val="nil"/>
                    <w:tr2bl w:val="nil"/>
                  </w:tcBorders>
                  <w:noWrap w:val="0"/>
                  <w:vAlign w:val="center"/>
                </w:tcPr>
                <w:p w14:paraId="35B73D2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9"/>
                      <w:sz w:val="21"/>
                      <w:szCs w:val="21"/>
                      <w:u w:val="single" w:color="auto"/>
                      <w:lang w:val="en-US" w:eastAsia="zh-CN"/>
                    </w:rPr>
                  </w:pPr>
                  <w:r>
                    <w:rPr>
                      <w:rFonts w:hint="eastAsia" w:cs="Times New Roman"/>
                      <w:spacing w:val="9"/>
                      <w:sz w:val="21"/>
                      <w:szCs w:val="21"/>
                      <w:u w:val="single" w:color="auto"/>
                      <w:lang w:val="en-US" w:eastAsia="zh-CN"/>
                    </w:rPr>
                    <w:t>原料储存区</w:t>
                  </w:r>
                </w:p>
              </w:tc>
              <w:tc>
                <w:tcPr>
                  <w:tcW w:w="1201" w:type="dxa"/>
                  <w:tcBorders>
                    <w:tl2br w:val="nil"/>
                    <w:tr2bl w:val="nil"/>
                  </w:tcBorders>
                  <w:noWrap w:val="0"/>
                  <w:vAlign w:val="center"/>
                </w:tcPr>
                <w:p w14:paraId="109C65E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z w:val="21"/>
                      <w:szCs w:val="21"/>
                      <w:u w:val="single" w:color="auto"/>
                      <w:lang w:val="en-US" w:eastAsia="zh-CN"/>
                    </w:rPr>
                  </w:pPr>
                  <w:r>
                    <w:rPr>
                      <w:rFonts w:hint="eastAsia" w:cs="Times New Roman"/>
                      <w:sz w:val="21"/>
                      <w:szCs w:val="21"/>
                      <w:u w:val="single" w:color="auto"/>
                      <w:lang w:val="en-US" w:eastAsia="zh-CN"/>
                    </w:rPr>
                    <w:t>2500</w:t>
                  </w:r>
                </w:p>
              </w:tc>
              <w:tc>
                <w:tcPr>
                  <w:tcW w:w="1602" w:type="dxa"/>
                  <w:tcBorders>
                    <w:tl2br w:val="nil"/>
                    <w:tr2bl w:val="nil"/>
                  </w:tcBorders>
                  <w:shd w:val="clear" w:color="auto" w:fill="auto"/>
                  <w:noWrap w:val="0"/>
                  <w:vAlign w:val="center"/>
                </w:tcPr>
                <w:p w14:paraId="251DCD80">
                  <w:pPr>
                    <w:jc w:val="center"/>
                    <w:rPr>
                      <w:rFonts w:hint="eastAsia" w:ascii="Times New Roman" w:hAnsi="Times New Roman" w:eastAsia="宋体" w:cs="Times New Roman"/>
                      <w:color w:val="000000"/>
                      <w:kern w:val="2"/>
                      <w:sz w:val="21"/>
                      <w:szCs w:val="21"/>
                      <w:u w:val="single" w:color="auto"/>
                      <w:lang w:val="en-US" w:eastAsia="zh-CN" w:bidi="ar-SA"/>
                    </w:rPr>
                  </w:pPr>
                  <w:r>
                    <w:rPr>
                      <w:rFonts w:hint="default" w:ascii="Times New Roman" w:hAnsi="Times New Roman" w:eastAsia="宋体" w:cs="Times New Roman"/>
                      <w:color w:val="000000"/>
                      <w:sz w:val="21"/>
                      <w:szCs w:val="21"/>
                      <w:highlight w:val="none"/>
                      <w:u w:val="single" w:color="auto"/>
                      <w:lang w:val="en-US" w:eastAsia="zh-CN"/>
                    </w:rPr>
                    <w:t>0.0324</w:t>
                  </w:r>
                </w:p>
              </w:tc>
              <w:tc>
                <w:tcPr>
                  <w:tcW w:w="1410" w:type="dxa"/>
                  <w:tcBorders>
                    <w:tl2br w:val="nil"/>
                    <w:tr2bl w:val="nil"/>
                  </w:tcBorders>
                  <w:noWrap w:val="0"/>
                  <w:vAlign w:val="center"/>
                </w:tcPr>
                <w:p w14:paraId="39DAA00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7"/>
                      <w:sz w:val="21"/>
                      <w:szCs w:val="21"/>
                      <w:u w:val="single" w:color="auto"/>
                    </w:rPr>
                  </w:pPr>
                  <w:r>
                    <w:rPr>
                      <w:rFonts w:hint="default" w:ascii="Times New Roman" w:hAnsi="Times New Roman" w:eastAsia="宋体" w:cs="Times New Roman"/>
                      <w:spacing w:val="-7"/>
                      <w:sz w:val="21"/>
                      <w:szCs w:val="21"/>
                      <w:u w:val="single" w:color="auto"/>
                    </w:rPr>
                    <w:t>0.00001296</w:t>
                  </w:r>
                </w:p>
              </w:tc>
            </w:tr>
            <w:tr w14:paraId="6084BD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dxa"/>
                  <w:vMerge w:val="restart"/>
                  <w:tcBorders>
                    <w:tl2br w:val="nil"/>
                    <w:tr2bl w:val="nil"/>
                  </w:tcBorders>
                  <w:noWrap w:val="0"/>
                  <w:vAlign w:val="center"/>
                </w:tcPr>
                <w:p w14:paraId="02B2B30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spacing w:val="9"/>
                      <w:sz w:val="21"/>
                      <w:szCs w:val="21"/>
                      <w:u w:val="single" w:color="auto"/>
                    </w:rPr>
                    <w:t>危</w:t>
                  </w:r>
                  <w:r>
                    <w:rPr>
                      <w:rFonts w:hint="default" w:ascii="Times New Roman" w:hAnsi="Times New Roman" w:eastAsia="宋体" w:cs="Times New Roman"/>
                      <w:spacing w:val="6"/>
                      <w:sz w:val="21"/>
                      <w:szCs w:val="21"/>
                      <w:u w:val="single" w:color="auto"/>
                    </w:rPr>
                    <w:t>险废物</w:t>
                  </w:r>
                </w:p>
              </w:tc>
              <w:tc>
                <w:tcPr>
                  <w:tcW w:w="1841" w:type="dxa"/>
                  <w:tcBorders>
                    <w:tl2br w:val="nil"/>
                    <w:tr2bl w:val="nil"/>
                  </w:tcBorders>
                  <w:noWrap w:val="0"/>
                  <w:vAlign w:val="center"/>
                </w:tcPr>
                <w:p w14:paraId="05BBC12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rPr>
                  </w:pPr>
                  <w:r>
                    <w:rPr>
                      <w:rFonts w:hint="eastAsia" w:ascii="Times New Roman" w:hAnsi="Times New Roman" w:eastAsia="宋体" w:cs="Times New Roman"/>
                      <w:spacing w:val="9"/>
                      <w:sz w:val="21"/>
                      <w:szCs w:val="21"/>
                      <w:u w:val="single" w:color="auto"/>
                      <w:lang w:val="en-US" w:eastAsia="zh-CN"/>
                    </w:rPr>
                    <w:t>废</w:t>
                  </w:r>
                  <w:r>
                    <w:rPr>
                      <w:rFonts w:hint="eastAsia" w:cs="Times New Roman"/>
                      <w:spacing w:val="9"/>
                      <w:sz w:val="21"/>
                      <w:szCs w:val="21"/>
                      <w:u w:val="single" w:color="auto"/>
                      <w:lang w:val="en-US" w:eastAsia="zh-CN"/>
                    </w:rPr>
                    <w:t>润滑油</w:t>
                  </w:r>
                </w:p>
              </w:tc>
              <w:tc>
                <w:tcPr>
                  <w:tcW w:w="1200" w:type="dxa"/>
                  <w:tcBorders>
                    <w:tl2br w:val="nil"/>
                    <w:tr2bl w:val="nil"/>
                  </w:tcBorders>
                  <w:noWrap w:val="0"/>
                  <w:vAlign w:val="center"/>
                </w:tcPr>
                <w:p w14:paraId="7A0338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spacing w:val="9"/>
                      <w:sz w:val="21"/>
                      <w:szCs w:val="21"/>
                      <w:u w:val="single" w:color="auto"/>
                    </w:rPr>
                    <w:t>危</w:t>
                  </w:r>
                  <w:r>
                    <w:rPr>
                      <w:rFonts w:hint="default" w:ascii="Times New Roman" w:hAnsi="Times New Roman" w:eastAsia="宋体" w:cs="Times New Roman"/>
                      <w:spacing w:val="6"/>
                      <w:sz w:val="21"/>
                      <w:szCs w:val="21"/>
                      <w:u w:val="single" w:color="auto"/>
                    </w:rPr>
                    <w:t>废</w:t>
                  </w:r>
                  <w:r>
                    <w:rPr>
                      <w:rFonts w:hint="eastAsia" w:ascii="Times New Roman" w:hAnsi="Times New Roman" w:eastAsia="宋体" w:cs="Times New Roman"/>
                      <w:spacing w:val="6"/>
                      <w:sz w:val="21"/>
                      <w:szCs w:val="21"/>
                      <w:u w:val="single" w:color="auto"/>
                      <w:lang w:eastAsia="zh-CN"/>
                    </w:rPr>
                    <w:t>暂存间</w:t>
                  </w:r>
                </w:p>
              </w:tc>
              <w:tc>
                <w:tcPr>
                  <w:tcW w:w="1201" w:type="dxa"/>
                  <w:tcBorders>
                    <w:tl2br w:val="nil"/>
                    <w:tr2bl w:val="nil"/>
                  </w:tcBorders>
                  <w:noWrap w:val="0"/>
                  <w:vAlign w:val="center"/>
                </w:tcPr>
                <w:p w14:paraId="17264ED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rPr>
                    <w:t>2500</w:t>
                  </w:r>
                </w:p>
              </w:tc>
              <w:tc>
                <w:tcPr>
                  <w:tcW w:w="1602" w:type="dxa"/>
                  <w:tcBorders>
                    <w:tl2br w:val="nil"/>
                    <w:tr2bl w:val="nil"/>
                  </w:tcBorders>
                  <w:shd w:val="clear" w:color="auto" w:fill="auto"/>
                  <w:noWrap w:val="0"/>
                  <w:vAlign w:val="center"/>
                </w:tcPr>
                <w:p w14:paraId="6F33882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default" w:ascii="Times New Roman" w:hAnsi="Times New Roman" w:eastAsia="宋体" w:cs="Times New Roman"/>
                      <w:b w:val="0"/>
                      <w:bCs/>
                      <w:color w:val="000000"/>
                      <w:sz w:val="21"/>
                      <w:szCs w:val="21"/>
                      <w:u w:val="single" w:color="auto"/>
                      <w:lang w:val="en-US" w:eastAsia="zh-CN"/>
                    </w:rPr>
                    <w:t>0.</w:t>
                  </w:r>
                  <w:r>
                    <w:rPr>
                      <w:rFonts w:hint="eastAsia" w:ascii="Times New Roman" w:hAnsi="Times New Roman" w:eastAsia="宋体" w:cs="Times New Roman"/>
                      <w:b w:val="0"/>
                      <w:bCs/>
                      <w:color w:val="000000"/>
                      <w:sz w:val="21"/>
                      <w:szCs w:val="21"/>
                      <w:u w:val="single" w:color="auto"/>
                      <w:lang w:val="en-US" w:eastAsia="zh-CN"/>
                    </w:rPr>
                    <w:t>6</w:t>
                  </w:r>
                </w:p>
              </w:tc>
              <w:tc>
                <w:tcPr>
                  <w:tcW w:w="1410" w:type="dxa"/>
                  <w:tcBorders>
                    <w:tl2br w:val="nil"/>
                    <w:tr2bl w:val="nil"/>
                  </w:tcBorders>
                  <w:noWrap w:val="0"/>
                  <w:vAlign w:val="center"/>
                </w:tcPr>
                <w:p w14:paraId="0671D78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0.00024</w:t>
                  </w:r>
                </w:p>
              </w:tc>
            </w:tr>
            <w:tr w14:paraId="3E64F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dxa"/>
                  <w:vMerge w:val="continue"/>
                  <w:tcBorders>
                    <w:tl2br w:val="nil"/>
                    <w:tr2bl w:val="nil"/>
                  </w:tcBorders>
                  <w:noWrap w:val="0"/>
                  <w:vAlign w:val="center"/>
                </w:tcPr>
                <w:p w14:paraId="2E9683B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rPr>
                  </w:pPr>
                </w:p>
              </w:tc>
              <w:tc>
                <w:tcPr>
                  <w:tcW w:w="1841" w:type="dxa"/>
                  <w:tcBorders>
                    <w:tl2br w:val="nil"/>
                    <w:tr2bl w:val="nil"/>
                  </w:tcBorders>
                  <w:noWrap w:val="0"/>
                  <w:vAlign w:val="center"/>
                </w:tcPr>
                <w:p w14:paraId="18169DB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9"/>
                      <w:sz w:val="21"/>
                      <w:szCs w:val="21"/>
                      <w:u w:val="single" w:color="auto"/>
                      <w:lang w:val="en-US" w:eastAsia="zh-CN"/>
                    </w:rPr>
                  </w:pPr>
                  <w:r>
                    <w:rPr>
                      <w:rFonts w:hint="eastAsia" w:ascii="Times New Roman" w:hAnsi="Times New Roman" w:eastAsia="宋体" w:cs="Times New Roman"/>
                      <w:spacing w:val="9"/>
                      <w:sz w:val="21"/>
                      <w:szCs w:val="21"/>
                      <w:u w:val="single" w:color="auto"/>
                      <w:lang w:val="en-US" w:eastAsia="zh-CN"/>
                    </w:rPr>
                    <w:t>废</w:t>
                  </w:r>
                  <w:r>
                    <w:rPr>
                      <w:rFonts w:hint="eastAsia" w:cs="Times New Roman"/>
                      <w:spacing w:val="9"/>
                      <w:sz w:val="21"/>
                      <w:szCs w:val="21"/>
                      <w:u w:val="single" w:color="auto"/>
                      <w:lang w:val="en-US" w:eastAsia="zh-CN"/>
                    </w:rPr>
                    <w:t>液压油</w:t>
                  </w:r>
                </w:p>
              </w:tc>
              <w:tc>
                <w:tcPr>
                  <w:tcW w:w="1200" w:type="dxa"/>
                  <w:tcBorders>
                    <w:tl2br w:val="nil"/>
                    <w:tr2bl w:val="nil"/>
                  </w:tcBorders>
                  <w:noWrap w:val="0"/>
                  <w:vAlign w:val="center"/>
                </w:tcPr>
                <w:p w14:paraId="1A95A0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rPr>
                  </w:pPr>
                  <w:r>
                    <w:rPr>
                      <w:rFonts w:hint="default" w:ascii="Times New Roman" w:hAnsi="Times New Roman" w:eastAsia="宋体" w:cs="Times New Roman"/>
                      <w:spacing w:val="9"/>
                      <w:sz w:val="21"/>
                      <w:szCs w:val="21"/>
                      <w:u w:val="single" w:color="auto"/>
                    </w:rPr>
                    <w:t>危</w:t>
                  </w:r>
                  <w:r>
                    <w:rPr>
                      <w:rFonts w:hint="default" w:ascii="Times New Roman" w:hAnsi="Times New Roman" w:eastAsia="宋体" w:cs="Times New Roman"/>
                      <w:spacing w:val="6"/>
                      <w:sz w:val="21"/>
                      <w:szCs w:val="21"/>
                      <w:u w:val="single" w:color="auto"/>
                    </w:rPr>
                    <w:t>废</w:t>
                  </w:r>
                  <w:r>
                    <w:rPr>
                      <w:rFonts w:hint="eastAsia" w:ascii="Times New Roman" w:hAnsi="Times New Roman" w:eastAsia="宋体" w:cs="Times New Roman"/>
                      <w:spacing w:val="6"/>
                      <w:sz w:val="21"/>
                      <w:szCs w:val="21"/>
                      <w:u w:val="single" w:color="auto"/>
                      <w:lang w:eastAsia="zh-CN"/>
                    </w:rPr>
                    <w:t>暂存间</w:t>
                  </w:r>
                </w:p>
              </w:tc>
              <w:tc>
                <w:tcPr>
                  <w:tcW w:w="1201" w:type="dxa"/>
                  <w:tcBorders>
                    <w:tl2br w:val="nil"/>
                    <w:tr2bl w:val="nil"/>
                  </w:tcBorders>
                  <w:noWrap w:val="0"/>
                  <w:vAlign w:val="center"/>
                </w:tcPr>
                <w:p w14:paraId="16D5EE2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2500</w:t>
                  </w:r>
                </w:p>
              </w:tc>
              <w:tc>
                <w:tcPr>
                  <w:tcW w:w="1602" w:type="dxa"/>
                  <w:tcBorders>
                    <w:tl2br w:val="nil"/>
                    <w:tr2bl w:val="nil"/>
                  </w:tcBorders>
                  <w:shd w:val="clear" w:color="auto" w:fill="auto"/>
                  <w:noWrap w:val="0"/>
                  <w:vAlign w:val="center"/>
                </w:tcPr>
                <w:p w14:paraId="6539D7A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0.025</w:t>
                  </w:r>
                </w:p>
              </w:tc>
              <w:tc>
                <w:tcPr>
                  <w:tcW w:w="1410" w:type="dxa"/>
                  <w:tcBorders>
                    <w:tl2br w:val="nil"/>
                    <w:tr2bl w:val="nil"/>
                  </w:tcBorders>
                  <w:noWrap w:val="0"/>
                  <w:vAlign w:val="center"/>
                </w:tcPr>
                <w:p w14:paraId="38B7B04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0.00001</w:t>
                  </w:r>
                </w:p>
              </w:tc>
            </w:tr>
            <w:tr w14:paraId="2A971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61" w:type="dxa"/>
                  <w:vMerge w:val="continue"/>
                  <w:tcBorders>
                    <w:tl2br w:val="nil"/>
                    <w:tr2bl w:val="nil"/>
                  </w:tcBorders>
                  <w:noWrap w:val="0"/>
                  <w:vAlign w:val="center"/>
                </w:tcPr>
                <w:p w14:paraId="34C2CBE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rPr>
                  </w:pPr>
                </w:p>
              </w:tc>
              <w:tc>
                <w:tcPr>
                  <w:tcW w:w="1841" w:type="dxa"/>
                  <w:tcBorders>
                    <w:tl2br w:val="nil"/>
                    <w:tr2bl w:val="nil"/>
                  </w:tcBorders>
                  <w:noWrap w:val="0"/>
                  <w:vAlign w:val="center"/>
                </w:tcPr>
                <w:p w14:paraId="282F121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lang w:val="en-US" w:eastAsia="zh-CN"/>
                    </w:rPr>
                  </w:pPr>
                  <w:r>
                    <w:rPr>
                      <w:rFonts w:hint="default" w:ascii="Times New Roman" w:hAnsi="Times New Roman" w:eastAsia="宋体" w:cs="Times New Roman"/>
                      <w:spacing w:val="9"/>
                      <w:sz w:val="21"/>
                      <w:szCs w:val="21"/>
                      <w:u w:val="single" w:color="auto"/>
                    </w:rPr>
                    <w:t>废含油抹布及手套、废油桶</w:t>
                  </w:r>
                </w:p>
              </w:tc>
              <w:tc>
                <w:tcPr>
                  <w:tcW w:w="1200" w:type="dxa"/>
                  <w:tcBorders>
                    <w:tl2br w:val="nil"/>
                    <w:tr2bl w:val="nil"/>
                  </w:tcBorders>
                  <w:noWrap w:val="0"/>
                  <w:vAlign w:val="center"/>
                </w:tcPr>
                <w:p w14:paraId="77B293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9"/>
                      <w:sz w:val="21"/>
                      <w:szCs w:val="21"/>
                      <w:u w:val="single" w:color="auto"/>
                    </w:rPr>
                  </w:pPr>
                  <w:r>
                    <w:rPr>
                      <w:rFonts w:hint="default" w:ascii="Times New Roman" w:hAnsi="Times New Roman" w:eastAsia="宋体" w:cs="Times New Roman"/>
                      <w:spacing w:val="9"/>
                      <w:sz w:val="21"/>
                      <w:szCs w:val="21"/>
                      <w:u w:val="single" w:color="auto"/>
                    </w:rPr>
                    <w:t>危</w:t>
                  </w:r>
                  <w:r>
                    <w:rPr>
                      <w:rFonts w:hint="default" w:ascii="Times New Roman" w:hAnsi="Times New Roman" w:eastAsia="宋体" w:cs="Times New Roman"/>
                      <w:spacing w:val="6"/>
                      <w:sz w:val="21"/>
                      <w:szCs w:val="21"/>
                      <w:u w:val="single" w:color="auto"/>
                    </w:rPr>
                    <w:t>废</w:t>
                  </w:r>
                  <w:r>
                    <w:rPr>
                      <w:rFonts w:hint="eastAsia" w:ascii="Times New Roman" w:hAnsi="Times New Roman" w:eastAsia="宋体" w:cs="Times New Roman"/>
                      <w:spacing w:val="6"/>
                      <w:sz w:val="21"/>
                      <w:szCs w:val="21"/>
                      <w:u w:val="single" w:color="auto"/>
                      <w:lang w:eastAsia="zh-CN"/>
                    </w:rPr>
                    <w:t>暂存间</w:t>
                  </w:r>
                </w:p>
              </w:tc>
              <w:tc>
                <w:tcPr>
                  <w:tcW w:w="1201" w:type="dxa"/>
                  <w:tcBorders>
                    <w:tl2br w:val="nil"/>
                    <w:tr2bl w:val="nil"/>
                  </w:tcBorders>
                  <w:noWrap w:val="0"/>
                  <w:vAlign w:val="center"/>
                </w:tcPr>
                <w:p w14:paraId="326ECE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rPr>
                    <w:t>50</w:t>
                  </w:r>
                </w:p>
              </w:tc>
              <w:tc>
                <w:tcPr>
                  <w:tcW w:w="1602" w:type="dxa"/>
                  <w:tcBorders>
                    <w:tl2br w:val="nil"/>
                    <w:tr2bl w:val="nil"/>
                  </w:tcBorders>
                  <w:noWrap w:val="0"/>
                  <w:vAlign w:val="center"/>
                </w:tcPr>
                <w:p w14:paraId="2051A15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4"/>
                      <w:kern w:val="2"/>
                      <w:sz w:val="21"/>
                      <w:szCs w:val="21"/>
                      <w:u w:val="single" w:color="auto"/>
                      <w:lang w:val="en-US" w:eastAsia="zh-CN" w:bidi="ar-SA"/>
                    </w:rPr>
                  </w:pPr>
                  <w:r>
                    <w:rPr>
                      <w:rFonts w:hint="eastAsia" w:eastAsia="宋体" w:cs="Times New Roman"/>
                      <w:spacing w:val="4"/>
                      <w:kern w:val="2"/>
                      <w:sz w:val="21"/>
                      <w:szCs w:val="21"/>
                      <w:u w:val="single" w:color="auto"/>
                      <w:lang w:val="en-US" w:eastAsia="zh-CN" w:bidi="ar-SA"/>
                    </w:rPr>
                    <w:t>0.25</w:t>
                  </w:r>
                </w:p>
              </w:tc>
              <w:tc>
                <w:tcPr>
                  <w:tcW w:w="1410" w:type="dxa"/>
                  <w:tcBorders>
                    <w:tl2br w:val="nil"/>
                    <w:tr2bl w:val="nil"/>
                  </w:tcBorders>
                  <w:noWrap w:val="0"/>
                  <w:vAlign w:val="center"/>
                </w:tcPr>
                <w:p w14:paraId="1EECE8F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7"/>
                      <w:kern w:val="2"/>
                      <w:sz w:val="21"/>
                      <w:szCs w:val="21"/>
                      <w:u w:val="single" w:color="auto"/>
                      <w:lang w:val="en-US" w:eastAsia="zh-CN" w:bidi="ar-SA"/>
                    </w:rPr>
                  </w:pPr>
                  <w:r>
                    <w:rPr>
                      <w:rFonts w:hint="default" w:ascii="Times New Roman" w:hAnsi="Times New Roman" w:eastAsia="宋体" w:cs="Times New Roman"/>
                      <w:spacing w:val="-7"/>
                      <w:kern w:val="2"/>
                      <w:sz w:val="21"/>
                      <w:szCs w:val="21"/>
                      <w:u w:val="single" w:color="auto"/>
                      <w:lang w:val="en-US" w:eastAsia="zh-CN" w:bidi="ar-SA"/>
                    </w:rPr>
                    <w:t>0.005</w:t>
                  </w:r>
                </w:p>
              </w:tc>
            </w:tr>
            <w:tr w14:paraId="1B3B5E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5" w:type="dxa"/>
                  <w:gridSpan w:val="5"/>
                  <w:tcBorders>
                    <w:tl2br w:val="nil"/>
                    <w:tr2bl w:val="nil"/>
                  </w:tcBorders>
                  <w:noWrap w:val="0"/>
                  <w:vAlign w:val="center"/>
                </w:tcPr>
                <w:p w14:paraId="3020957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项</w:t>
                  </w:r>
                  <w:r>
                    <w:rPr>
                      <w:rFonts w:hint="default" w:ascii="Times New Roman" w:hAnsi="Times New Roman" w:eastAsia="宋体" w:cs="Times New Roman"/>
                      <w:spacing w:val="6"/>
                      <w:sz w:val="21"/>
                      <w:szCs w:val="21"/>
                      <w:u w:val="single" w:color="auto"/>
                    </w:rPr>
                    <w:t>目</w:t>
                  </w:r>
                  <w:r>
                    <w:rPr>
                      <w:rFonts w:hint="default" w:ascii="Times New Roman" w:hAnsi="Times New Roman" w:eastAsia="宋体" w:cs="Times New Roman"/>
                      <w:sz w:val="21"/>
                      <w:szCs w:val="21"/>
                      <w:u w:val="single" w:color="auto"/>
                    </w:rPr>
                    <w:t>Q</w:t>
                  </w:r>
                  <w:r>
                    <w:rPr>
                      <w:rFonts w:hint="default" w:ascii="Times New Roman" w:hAnsi="Times New Roman" w:eastAsia="宋体" w:cs="Times New Roman"/>
                      <w:spacing w:val="6"/>
                      <w:sz w:val="21"/>
                      <w:szCs w:val="21"/>
                      <w:u w:val="single" w:color="auto"/>
                    </w:rPr>
                    <w:t>值Σ</w:t>
                  </w:r>
                </w:p>
              </w:tc>
              <w:tc>
                <w:tcPr>
                  <w:tcW w:w="1410" w:type="dxa"/>
                  <w:tcBorders>
                    <w:tl2br w:val="nil"/>
                    <w:tr2bl w:val="nil"/>
                  </w:tcBorders>
                  <w:noWrap w:val="0"/>
                  <w:vAlign w:val="center"/>
                </w:tcPr>
                <w:p w14:paraId="0FB65F3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0.00528296</w:t>
                  </w:r>
                </w:p>
              </w:tc>
            </w:tr>
            <w:tr w14:paraId="20F03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615" w:type="dxa"/>
                  <w:gridSpan w:val="6"/>
                  <w:tcBorders>
                    <w:tl2br w:val="nil"/>
                    <w:tr2bl w:val="nil"/>
                  </w:tcBorders>
                  <w:noWrap w:val="0"/>
                  <w:vAlign w:val="center"/>
                </w:tcPr>
                <w:p w14:paraId="53151312">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sz w:val="18"/>
                      <w:szCs w:val="18"/>
                      <w:u w:val="single" w:color="auto"/>
                      <w:lang w:val="en-US" w:eastAsia="zh-CN"/>
                    </w:rPr>
                  </w:pPr>
                  <w:r>
                    <w:rPr>
                      <w:rFonts w:hint="eastAsia"/>
                      <w:sz w:val="18"/>
                      <w:szCs w:val="18"/>
                      <w:u w:val="single" w:color="auto"/>
                      <w:lang w:val="en-US" w:eastAsia="zh-CN"/>
                    </w:rPr>
                    <w:t>注：</w:t>
                  </w:r>
                  <w:r>
                    <w:rPr>
                      <w:rFonts w:hint="eastAsia" w:ascii="Times New Roman" w:hAnsi="Times New Roman" w:eastAsia="宋体" w:cs="Times New Roman"/>
                      <w:sz w:val="18"/>
                      <w:szCs w:val="18"/>
                      <w:u w:val="single" w:color="auto"/>
                      <w:lang w:val="en-US" w:eastAsia="zh-CN"/>
                    </w:rPr>
                    <w:t>润滑油、液压油、废润滑油、废液压油参照《建设项目环境风险评价技术导则》（HJ169—2018）附录B.1突发环境事件风险物质及临界量中油类物质</w:t>
                  </w:r>
                  <w:r>
                    <w:rPr>
                      <w:rFonts w:hint="default" w:ascii="Times New Roman" w:hAnsi="Times New Roman" w:eastAsia="宋体" w:cs="Times New Roman"/>
                      <w:sz w:val="18"/>
                      <w:szCs w:val="18"/>
                      <w:u w:val="single" w:color="auto"/>
                      <w:lang w:val="en-US" w:eastAsia="zh-CN"/>
                    </w:rPr>
                    <w:t>的临界量</w:t>
                  </w:r>
                  <w:r>
                    <w:rPr>
                      <w:rFonts w:hint="eastAsia" w:ascii="Times New Roman" w:hAnsi="Times New Roman" w:eastAsia="宋体" w:cs="Times New Roman"/>
                      <w:sz w:val="18"/>
                      <w:szCs w:val="18"/>
                      <w:u w:val="single" w:color="auto"/>
                      <w:lang w:val="en-US" w:eastAsia="zh-CN"/>
                    </w:rPr>
                    <w:t>2500</w:t>
                  </w:r>
                  <w:r>
                    <w:rPr>
                      <w:rFonts w:hint="default" w:ascii="Times New Roman" w:hAnsi="Times New Roman" w:eastAsia="宋体" w:cs="Times New Roman"/>
                      <w:sz w:val="18"/>
                      <w:szCs w:val="18"/>
                      <w:u w:val="single" w:color="auto"/>
                      <w:lang w:val="en-US" w:eastAsia="zh-CN"/>
                    </w:rPr>
                    <w:t>t</w:t>
                  </w:r>
                  <w:r>
                    <w:rPr>
                      <w:rFonts w:hint="eastAsia" w:ascii="Times New Roman" w:hAnsi="Times New Roman" w:eastAsia="宋体" w:cs="Times New Roman"/>
                      <w:sz w:val="18"/>
                      <w:szCs w:val="18"/>
                      <w:u w:val="single" w:color="auto"/>
                      <w:lang w:val="en-US" w:eastAsia="zh-CN"/>
                    </w:rPr>
                    <w:t>；</w:t>
                  </w:r>
                </w:p>
                <w:p w14:paraId="04B8C698">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eastAsia"/>
                      <w:sz w:val="18"/>
                      <w:szCs w:val="18"/>
                      <w:u w:val="single" w:color="auto"/>
                      <w:lang w:val="en-US" w:eastAsia="zh-CN"/>
                    </w:rPr>
                  </w:pPr>
                  <w:r>
                    <w:rPr>
                      <w:rFonts w:hint="eastAsia"/>
                      <w:sz w:val="18"/>
                      <w:szCs w:val="18"/>
                      <w:u w:val="single" w:color="auto"/>
                      <w:lang w:val="en-US" w:eastAsia="zh-CN"/>
                    </w:rPr>
                    <w:t>危险废物参照附录表 B.2 其他危险物质临界量推荐值中健康危险急性毒性物质（类别2，类别3）的临界量50t。</w:t>
                  </w:r>
                </w:p>
              </w:tc>
            </w:tr>
          </w:tbl>
          <w:p w14:paraId="001E87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u w:val="single" w:color="auto"/>
                <w:lang w:eastAsia="zh-CN"/>
              </w:rPr>
            </w:pPr>
            <w:r>
              <w:rPr>
                <w:rFonts w:hint="eastAsia" w:eastAsia="宋体" w:cs="Times New Roman"/>
                <w:sz w:val="24"/>
                <w:u w:val="single" w:color="auto"/>
                <w:lang w:val="en-US" w:eastAsia="zh-CN"/>
              </w:rPr>
              <w:t xml:space="preserve"> </w:t>
            </w:r>
            <w:r>
              <w:rPr>
                <w:rFonts w:hint="default" w:ascii="Times New Roman" w:hAnsi="Times New Roman" w:eastAsia="宋体" w:cs="Times New Roman"/>
                <w:sz w:val="24"/>
                <w:szCs w:val="24"/>
                <w:u w:val="single" w:color="auto"/>
                <w:lang w:eastAsia="zh-CN"/>
              </w:rPr>
              <w:t>本项目不构成重大危险源，对照《建设项目环境风险评价技术导则》</w:t>
            </w:r>
            <w:r>
              <w:rPr>
                <w:rFonts w:hint="eastAsia" w:ascii="Times New Roman" w:hAnsi="Times New Roman" w:eastAsia="宋体" w:cs="Times New Roman"/>
                <w:sz w:val="24"/>
                <w:szCs w:val="24"/>
                <w:u w:val="single" w:color="auto"/>
                <w:lang w:eastAsia="zh-CN"/>
              </w:rPr>
              <w:t>（</w:t>
            </w:r>
            <w:r>
              <w:rPr>
                <w:rFonts w:hint="default" w:ascii="Times New Roman" w:hAnsi="Times New Roman" w:eastAsia="宋体" w:cs="Times New Roman"/>
                <w:sz w:val="24"/>
                <w:szCs w:val="24"/>
                <w:u w:val="single" w:color="auto"/>
                <w:lang w:eastAsia="zh-CN"/>
              </w:rPr>
              <w:t>HJ169-2018</w:t>
            </w:r>
            <w:r>
              <w:rPr>
                <w:rFonts w:hint="eastAsia" w:ascii="Times New Roman" w:hAnsi="Times New Roman" w:eastAsia="宋体" w:cs="Times New Roman"/>
                <w:sz w:val="24"/>
                <w:szCs w:val="24"/>
                <w:u w:val="single" w:color="auto"/>
                <w:lang w:eastAsia="zh-CN"/>
              </w:rPr>
              <w:t>）</w:t>
            </w:r>
            <w:r>
              <w:rPr>
                <w:rFonts w:hint="default" w:ascii="Times New Roman" w:hAnsi="Times New Roman" w:eastAsia="宋体" w:cs="Times New Roman"/>
                <w:sz w:val="24"/>
                <w:szCs w:val="24"/>
                <w:u w:val="single" w:color="auto"/>
                <w:lang w:eastAsia="zh-CN"/>
              </w:rPr>
              <w:t>附录B及《危险化学品重大危险源辨识》</w:t>
            </w:r>
            <w:r>
              <w:rPr>
                <w:rFonts w:hint="eastAsia" w:ascii="Times New Roman" w:hAnsi="Times New Roman" w:eastAsia="宋体" w:cs="Times New Roman"/>
                <w:sz w:val="24"/>
                <w:szCs w:val="24"/>
                <w:u w:val="single" w:color="auto"/>
                <w:lang w:eastAsia="zh-CN"/>
              </w:rPr>
              <w:t>（</w:t>
            </w:r>
            <w:r>
              <w:rPr>
                <w:rFonts w:hint="default" w:ascii="Times New Roman" w:hAnsi="Times New Roman" w:eastAsia="宋体" w:cs="Times New Roman"/>
                <w:sz w:val="24"/>
                <w:szCs w:val="24"/>
                <w:u w:val="single" w:color="auto"/>
                <w:lang w:eastAsia="zh-CN"/>
              </w:rPr>
              <w:t>GB18218-2018</w:t>
            </w:r>
            <w:r>
              <w:rPr>
                <w:rFonts w:hint="eastAsia" w:ascii="Times New Roman" w:hAnsi="Times New Roman" w:eastAsia="宋体" w:cs="Times New Roman"/>
                <w:sz w:val="24"/>
                <w:szCs w:val="24"/>
                <w:u w:val="single" w:color="auto"/>
                <w:lang w:eastAsia="zh-CN"/>
              </w:rPr>
              <w:t>）</w:t>
            </w:r>
            <w:r>
              <w:rPr>
                <w:rFonts w:hint="default" w:ascii="Times New Roman" w:hAnsi="Times New Roman" w:eastAsia="宋体" w:cs="Times New Roman"/>
                <w:sz w:val="24"/>
                <w:szCs w:val="24"/>
                <w:u w:val="single" w:color="auto"/>
                <w:lang w:eastAsia="zh-CN"/>
              </w:rPr>
              <w:t>中危险物质及临界量，本项目危险物质数量与临界量比值Q＜1，项目环境风险潜势为Ⅰ。</w:t>
            </w:r>
          </w:p>
          <w:p w14:paraId="1CD9D1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u w:val="none" w:color="auto"/>
                <w:lang w:eastAsia="zh-CN"/>
              </w:rPr>
            </w:pPr>
            <w:r>
              <w:rPr>
                <w:rFonts w:hint="eastAsia" w:ascii="Times New Roman" w:hAnsi="Times New Roman" w:eastAsia="宋体" w:cs="Times New Roman"/>
                <w:sz w:val="24"/>
                <w:szCs w:val="24"/>
                <w:u w:val="none" w:color="auto"/>
                <w:lang w:eastAsia="zh-CN"/>
              </w:rPr>
              <w:t>（</w:t>
            </w:r>
            <w:r>
              <w:rPr>
                <w:rFonts w:hint="default" w:ascii="Times New Roman" w:hAnsi="Times New Roman" w:eastAsia="宋体" w:cs="Times New Roman"/>
                <w:sz w:val="24"/>
                <w:szCs w:val="24"/>
                <w:u w:val="none" w:color="auto"/>
                <w:lang w:eastAsia="zh-CN"/>
              </w:rPr>
              <w:t>3</w:t>
            </w:r>
            <w:r>
              <w:rPr>
                <w:rFonts w:hint="eastAsia" w:ascii="Times New Roman" w:hAnsi="Times New Roman" w:eastAsia="宋体" w:cs="Times New Roman"/>
                <w:sz w:val="24"/>
                <w:szCs w:val="24"/>
                <w:u w:val="none" w:color="auto"/>
                <w:lang w:eastAsia="zh-CN"/>
              </w:rPr>
              <w:t>）</w:t>
            </w:r>
            <w:r>
              <w:rPr>
                <w:rFonts w:hint="default" w:ascii="Times New Roman" w:hAnsi="Times New Roman" w:eastAsia="宋体" w:cs="Times New Roman"/>
                <w:sz w:val="24"/>
                <w:szCs w:val="24"/>
                <w:u w:val="none" w:color="auto"/>
                <w:lang w:eastAsia="zh-CN"/>
              </w:rPr>
              <w:t>评价等级判定</w:t>
            </w:r>
          </w:p>
          <w:p w14:paraId="67F0C2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u w:val="none" w:color="auto"/>
                <w:lang w:eastAsia="zh-CN"/>
              </w:rPr>
            </w:pPr>
            <w:r>
              <w:rPr>
                <w:rFonts w:hint="default" w:ascii="Times New Roman" w:hAnsi="Times New Roman" w:eastAsia="宋体" w:cs="Times New Roman"/>
                <w:sz w:val="24"/>
                <w:szCs w:val="24"/>
                <w:u w:val="none" w:color="auto"/>
                <w:lang w:eastAsia="zh-CN"/>
              </w:rPr>
              <w:t>环境风险评价工作等级划分为一级、二级、三级。根据建设项目设计的物质及工艺系统危险性和所在地的环境敏感性确定环境风险潜势，按照下表确定工作等级。风险潜势为Ⅵ及以上，进行一级评价；风险潜势为Ⅲ，进行二级评价；风险潜势为Ⅱ，进行三级评价；风险潜势为Ⅰ，可开展简单分析。</w:t>
            </w:r>
          </w:p>
          <w:p w14:paraId="4CE535CB">
            <w:pPr>
              <w:spacing w:line="240" w:lineRule="auto"/>
              <w:jc w:val="center"/>
              <w:rPr>
                <w:rFonts w:hint="default" w:ascii="Times New Roman" w:hAnsi="Times New Roman" w:eastAsia="宋体" w:cs="Times New Roman"/>
                <w:b/>
                <w:bCs/>
                <w:sz w:val="24"/>
                <w:szCs w:val="24"/>
                <w:u w:val="none" w:color="auto"/>
                <w:lang w:eastAsia="zh-CN"/>
              </w:rPr>
            </w:pPr>
            <w:r>
              <w:rPr>
                <w:rFonts w:hint="default" w:ascii="Times New Roman" w:hAnsi="Times New Roman" w:eastAsia="宋体" w:cs="Times New Roman"/>
                <w:b/>
                <w:bCs/>
                <w:sz w:val="21"/>
                <w:szCs w:val="21"/>
                <w:u w:val="none" w:color="auto"/>
                <w:lang w:eastAsia="zh-CN"/>
              </w:rPr>
              <w:t>表4-</w:t>
            </w:r>
            <w:r>
              <w:rPr>
                <w:rFonts w:hint="eastAsia" w:cs="Times New Roman"/>
                <w:b/>
                <w:bCs/>
                <w:sz w:val="21"/>
                <w:szCs w:val="21"/>
                <w:u w:val="none" w:color="auto"/>
                <w:lang w:val="en-US" w:eastAsia="zh-CN"/>
              </w:rPr>
              <w:t>18</w:t>
            </w:r>
            <w:r>
              <w:rPr>
                <w:rFonts w:hint="default" w:ascii="Times New Roman" w:hAnsi="Times New Roman" w:eastAsia="宋体" w:cs="Times New Roman"/>
                <w:b/>
                <w:bCs/>
                <w:sz w:val="21"/>
                <w:szCs w:val="21"/>
                <w:u w:val="none" w:color="auto"/>
                <w:lang w:eastAsia="zh-CN"/>
              </w:rPr>
              <w:t xml:space="preserve">  评价工作等级划分</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651"/>
              <w:gridCol w:w="1587"/>
              <w:gridCol w:w="721"/>
              <w:gridCol w:w="721"/>
              <w:gridCol w:w="1935"/>
            </w:tblGrid>
            <w:tr w14:paraId="3F34B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903" w:type="dxa"/>
                  <w:tcBorders>
                    <w:tl2br w:val="nil"/>
                    <w:tr2bl w:val="nil"/>
                  </w:tcBorders>
                  <w:noWrap w:val="0"/>
                  <w:vAlign w:val="center"/>
                </w:tcPr>
                <w:p w14:paraId="0AAF930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9"/>
                      <w:sz w:val="21"/>
                      <w:szCs w:val="21"/>
                      <w:u w:val="none" w:color="auto"/>
                    </w:rPr>
                    <w:t>环</w:t>
                  </w:r>
                  <w:r>
                    <w:rPr>
                      <w:rFonts w:hint="default" w:ascii="Times New Roman" w:hAnsi="Times New Roman" w:eastAsia="宋体" w:cs="Times New Roman"/>
                      <w:spacing w:val="8"/>
                      <w:sz w:val="21"/>
                      <w:szCs w:val="21"/>
                      <w:u w:val="none" w:color="auto"/>
                    </w:rPr>
                    <w:t>境风险潜势</w:t>
                  </w:r>
                </w:p>
              </w:tc>
              <w:tc>
                <w:tcPr>
                  <w:tcW w:w="1738" w:type="dxa"/>
                  <w:tcBorders>
                    <w:tl2br w:val="nil"/>
                    <w:tr2bl w:val="nil"/>
                  </w:tcBorders>
                  <w:noWrap w:val="0"/>
                  <w:vAlign w:val="center"/>
                </w:tcPr>
                <w:p w14:paraId="5D2EFA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3"/>
                      <w:position w:val="2"/>
                      <w:sz w:val="21"/>
                      <w:szCs w:val="21"/>
                      <w:u w:val="none" w:color="auto"/>
                    </w:rPr>
                    <w:t>IV、I</w:t>
                  </w:r>
                  <w:r>
                    <w:rPr>
                      <w:rFonts w:hint="default" w:ascii="Times New Roman" w:hAnsi="Times New Roman" w:eastAsia="宋体" w:cs="Times New Roman"/>
                      <w:spacing w:val="-2"/>
                      <w:position w:val="2"/>
                      <w:sz w:val="21"/>
                      <w:szCs w:val="21"/>
                      <w:u w:val="none" w:color="auto"/>
                    </w:rPr>
                    <w:t>V</w:t>
                  </w:r>
                  <w:r>
                    <w:rPr>
                      <w:rFonts w:hint="default" w:ascii="Times New Roman" w:hAnsi="Times New Roman" w:eastAsia="宋体" w:cs="Times New Roman"/>
                      <w:spacing w:val="-3"/>
                      <w:position w:val="2"/>
                      <w:sz w:val="21"/>
                      <w:szCs w:val="21"/>
                      <w:u w:val="none" w:color="auto"/>
                    </w:rPr>
                    <w:t>+</w:t>
                  </w:r>
                </w:p>
              </w:tc>
              <w:tc>
                <w:tcPr>
                  <w:tcW w:w="789" w:type="dxa"/>
                  <w:tcBorders>
                    <w:tl2br w:val="nil"/>
                    <w:tr2bl w:val="nil"/>
                  </w:tcBorders>
                  <w:noWrap w:val="0"/>
                  <w:vAlign w:val="center"/>
                </w:tcPr>
                <w:p w14:paraId="0672A7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1"/>
                      <w:sz w:val="21"/>
                      <w:szCs w:val="21"/>
                      <w:u w:val="none" w:color="auto"/>
                    </w:rPr>
                    <w:t>III</w:t>
                  </w:r>
                </w:p>
              </w:tc>
              <w:tc>
                <w:tcPr>
                  <w:tcW w:w="789" w:type="dxa"/>
                  <w:tcBorders>
                    <w:tl2br w:val="nil"/>
                    <w:tr2bl w:val="nil"/>
                  </w:tcBorders>
                  <w:noWrap w:val="0"/>
                  <w:vAlign w:val="center"/>
                </w:tcPr>
                <w:p w14:paraId="1A25A03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II</w:t>
                  </w:r>
                </w:p>
              </w:tc>
              <w:tc>
                <w:tcPr>
                  <w:tcW w:w="2117" w:type="dxa"/>
                  <w:tcBorders>
                    <w:tl2br w:val="nil"/>
                    <w:tr2bl w:val="nil"/>
                  </w:tcBorders>
                  <w:noWrap w:val="0"/>
                  <w:vAlign w:val="center"/>
                </w:tcPr>
                <w:p w14:paraId="11908B9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I</w:t>
                  </w:r>
                </w:p>
              </w:tc>
            </w:tr>
            <w:tr w14:paraId="6CB37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903" w:type="dxa"/>
                  <w:tcBorders>
                    <w:tl2br w:val="nil"/>
                    <w:tr2bl w:val="nil"/>
                  </w:tcBorders>
                  <w:noWrap w:val="0"/>
                  <w:vAlign w:val="center"/>
                </w:tcPr>
                <w:p w14:paraId="71441E4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10"/>
                      <w:sz w:val="21"/>
                      <w:szCs w:val="21"/>
                      <w:u w:val="none" w:color="auto"/>
                    </w:rPr>
                    <w:t>评</w:t>
                  </w:r>
                  <w:r>
                    <w:rPr>
                      <w:rFonts w:hint="default" w:ascii="Times New Roman" w:hAnsi="Times New Roman" w:eastAsia="宋体" w:cs="Times New Roman"/>
                      <w:spacing w:val="8"/>
                      <w:sz w:val="21"/>
                      <w:szCs w:val="21"/>
                      <w:u w:val="none" w:color="auto"/>
                    </w:rPr>
                    <w:t>价工作等级</w:t>
                  </w:r>
                </w:p>
              </w:tc>
              <w:tc>
                <w:tcPr>
                  <w:tcW w:w="1738" w:type="dxa"/>
                  <w:tcBorders>
                    <w:tl2br w:val="nil"/>
                    <w:tr2bl w:val="nil"/>
                  </w:tcBorders>
                  <w:noWrap w:val="0"/>
                  <w:vAlign w:val="center"/>
                </w:tcPr>
                <w:p w14:paraId="2B67BD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97"/>
                      <w:position w:val="1"/>
                      <w:sz w:val="21"/>
                      <w:szCs w:val="21"/>
                      <w:u w:val="none" w:color="auto"/>
                    </w:rPr>
                    <w:t>一</w:t>
                  </w:r>
                </w:p>
              </w:tc>
              <w:tc>
                <w:tcPr>
                  <w:tcW w:w="789" w:type="dxa"/>
                  <w:tcBorders>
                    <w:tl2br w:val="nil"/>
                    <w:tr2bl w:val="nil"/>
                  </w:tcBorders>
                  <w:noWrap w:val="0"/>
                  <w:vAlign w:val="center"/>
                </w:tcPr>
                <w:p w14:paraId="2C8849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二</w:t>
                  </w:r>
                </w:p>
              </w:tc>
              <w:tc>
                <w:tcPr>
                  <w:tcW w:w="789" w:type="dxa"/>
                  <w:tcBorders>
                    <w:tl2br w:val="nil"/>
                    <w:tr2bl w:val="nil"/>
                  </w:tcBorders>
                  <w:noWrap w:val="0"/>
                  <w:vAlign w:val="center"/>
                </w:tcPr>
                <w:p w14:paraId="10F212B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position w:val="1"/>
                      <w:sz w:val="21"/>
                      <w:szCs w:val="21"/>
                      <w:u w:val="none" w:color="auto"/>
                    </w:rPr>
                    <w:t>三</w:t>
                  </w:r>
                </w:p>
              </w:tc>
              <w:tc>
                <w:tcPr>
                  <w:tcW w:w="2117" w:type="dxa"/>
                  <w:tcBorders>
                    <w:tl2br w:val="nil"/>
                    <w:tr2bl w:val="nil"/>
                  </w:tcBorders>
                  <w:noWrap w:val="0"/>
                  <w:vAlign w:val="center"/>
                </w:tcPr>
                <w:p w14:paraId="1468C4E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z w:val="21"/>
                      <w:szCs w:val="21"/>
                      <w:u w:val="none" w:color="auto"/>
                    </w:rPr>
                  </w:pPr>
                  <w:r>
                    <w:rPr>
                      <w:rFonts w:hint="default" w:ascii="Times New Roman" w:hAnsi="Times New Roman" w:eastAsia="宋体" w:cs="Times New Roman"/>
                      <w:spacing w:val="7"/>
                      <w:sz w:val="21"/>
                      <w:szCs w:val="21"/>
                      <w:u w:val="none" w:color="auto"/>
                    </w:rPr>
                    <w:t>简</w:t>
                  </w:r>
                  <w:r>
                    <w:rPr>
                      <w:rFonts w:hint="default" w:ascii="Times New Roman" w:hAnsi="Times New Roman" w:eastAsia="宋体" w:cs="Times New Roman"/>
                      <w:spacing w:val="6"/>
                      <w:sz w:val="21"/>
                      <w:szCs w:val="21"/>
                      <w:u w:val="none" w:color="auto"/>
                    </w:rPr>
                    <w:t>单分析</w:t>
                  </w:r>
                </w:p>
              </w:tc>
            </w:tr>
          </w:tbl>
          <w:p w14:paraId="554390C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none" w:color="auto"/>
                <w:lang w:eastAsia="zh-CN"/>
              </w:rPr>
            </w:pPr>
            <w:r>
              <w:rPr>
                <w:rFonts w:hint="default" w:ascii="Times New Roman" w:hAnsi="Times New Roman" w:eastAsia="宋体" w:cs="Times New Roman"/>
                <w:sz w:val="24"/>
                <w:szCs w:val="24"/>
                <w:u w:val="none" w:color="auto"/>
                <w:lang w:eastAsia="zh-CN"/>
              </w:rPr>
              <w:t>综上所述，本项目评价工作等级为简单分析</w:t>
            </w:r>
            <w:r>
              <w:rPr>
                <w:rFonts w:hint="eastAsia" w:ascii="Times New Roman" w:hAnsi="Times New Roman" w:eastAsia="宋体" w:cs="Times New Roman"/>
                <w:sz w:val="24"/>
                <w:szCs w:val="24"/>
                <w:u w:val="none" w:color="auto"/>
                <w:lang w:eastAsia="zh-CN"/>
              </w:rPr>
              <w:t>。</w:t>
            </w:r>
          </w:p>
          <w:p w14:paraId="18E6AFD2">
            <w:pPr>
              <w:keepNext w:val="0"/>
              <w:keepLines w:val="0"/>
              <w:pageBreakBefore w:val="0"/>
              <w:widowControl/>
              <w:kinsoku w:val="0"/>
              <w:wordWrap/>
              <w:overflowPunct/>
              <w:topLinePunct w:val="0"/>
              <w:autoSpaceDE w:val="0"/>
              <w:autoSpaceDN w:val="0"/>
              <w:bidi w:val="0"/>
              <w:adjustRightInd w:val="0"/>
              <w:snapToGrid/>
              <w:spacing w:line="360" w:lineRule="auto"/>
              <w:ind w:right="0" w:firstLine="482" w:firstLineChars="200"/>
              <w:jc w:val="both"/>
              <w:textAlignment w:val="baseline"/>
              <w:rPr>
                <w:rFonts w:hint="default" w:ascii="Times New Roman" w:hAnsi="Times New Roman" w:eastAsia="宋体" w:cs="Times New Roman"/>
                <w:b/>
                <w:bCs/>
                <w:color w:val="auto"/>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2、环境敏感目标概况</w:t>
            </w:r>
          </w:p>
          <w:p w14:paraId="518304B3">
            <w:pPr>
              <w:keepNext w:val="0"/>
              <w:keepLines w:val="0"/>
              <w:pageBreakBefore w:val="0"/>
              <w:wordWrap/>
              <w:overflowPunct/>
              <w:topLinePunct w:val="0"/>
              <w:bidi w:val="0"/>
              <w:snapToGrid/>
              <w:spacing w:line="360" w:lineRule="auto"/>
              <w:ind w:right="0" w:firstLine="480" w:firstLineChars="200"/>
              <w:rPr>
                <w:rFonts w:hint="default" w:ascii="Times New Roman" w:hAnsi="Times New Roman" w:eastAsia="宋体" w:cs="Times New Roman"/>
                <w:color w:val="000000"/>
                <w:sz w:val="24"/>
                <w:szCs w:val="24"/>
                <w:u w:val="none" w:color="auto"/>
                <w:lang w:eastAsia="zh-CN"/>
              </w:rPr>
            </w:pPr>
            <w:r>
              <w:rPr>
                <w:rFonts w:hint="default" w:ascii="Times New Roman" w:hAnsi="Times New Roman" w:eastAsia="宋体" w:cs="Times New Roman"/>
                <w:sz w:val="24"/>
                <w:szCs w:val="24"/>
                <w:u w:val="none" w:color="auto"/>
                <w:lang w:eastAsia="zh-CN"/>
              </w:rPr>
              <w:t>根据风险潜势分析，本项目风险潜势为</w:t>
            </w:r>
            <w:r>
              <w:rPr>
                <w:rFonts w:hint="eastAsia" w:ascii="Times New Roman" w:hAnsi="Times New Roman" w:eastAsia="宋体" w:cs="Times New Roman"/>
                <w:sz w:val="24"/>
                <w:szCs w:val="24"/>
                <w:u w:val="none" w:color="auto"/>
                <w:lang w:val="en-US" w:eastAsia="zh-CN"/>
              </w:rPr>
              <w:t xml:space="preserve"> </w:t>
            </w:r>
            <w:r>
              <w:rPr>
                <w:rFonts w:hint="default" w:ascii="Times New Roman" w:hAnsi="Times New Roman" w:eastAsia="宋体" w:cs="Times New Roman"/>
                <w:sz w:val="24"/>
                <w:szCs w:val="24"/>
                <w:u w:val="none" w:color="auto"/>
                <w:lang w:eastAsia="zh-CN"/>
              </w:rPr>
              <w:t>I</w:t>
            </w:r>
            <w:r>
              <w:rPr>
                <w:rFonts w:hint="eastAsia" w:ascii="Times New Roman" w:hAnsi="Times New Roman" w:eastAsia="宋体" w:cs="Times New Roman"/>
                <w:sz w:val="24"/>
                <w:szCs w:val="24"/>
                <w:u w:val="none" w:color="auto"/>
                <w:lang w:val="en-US" w:eastAsia="zh-CN"/>
              </w:rPr>
              <w:t xml:space="preserve"> </w:t>
            </w:r>
            <w:r>
              <w:rPr>
                <w:rFonts w:hint="default" w:ascii="Times New Roman" w:hAnsi="Times New Roman" w:eastAsia="宋体" w:cs="Times New Roman"/>
                <w:sz w:val="24"/>
                <w:szCs w:val="24"/>
                <w:u w:val="none" w:color="auto"/>
                <w:lang w:eastAsia="zh-CN"/>
              </w:rPr>
              <w:t>，仅需要进行简单分析。</w:t>
            </w:r>
            <w:r>
              <w:rPr>
                <w:rFonts w:hint="eastAsia" w:ascii="Times New Roman" w:hAnsi="Times New Roman" w:eastAsia="宋体" w:cs="Times New Roman"/>
                <w:sz w:val="24"/>
                <w:szCs w:val="24"/>
                <w:u w:val="none" w:color="auto"/>
                <w:lang w:val="en-US" w:eastAsia="zh-CN"/>
              </w:rPr>
              <w:t>且</w:t>
            </w:r>
            <w:r>
              <w:rPr>
                <w:rFonts w:hint="default" w:ascii="Times New Roman" w:hAnsi="Times New Roman" w:eastAsia="宋体" w:cs="Times New Roman"/>
                <w:sz w:val="24"/>
                <w:szCs w:val="24"/>
                <w:u w:val="none" w:color="auto"/>
                <w:lang w:eastAsia="zh-CN"/>
              </w:rPr>
              <w:t>本项目周围</w:t>
            </w:r>
            <w:r>
              <w:rPr>
                <w:rFonts w:hint="eastAsia" w:ascii="Times New Roman" w:hAnsi="Times New Roman" w:eastAsia="宋体" w:cs="Times New Roman"/>
                <w:sz w:val="24"/>
                <w:szCs w:val="24"/>
                <w:u w:val="none" w:color="auto"/>
                <w:lang w:val="en-US" w:eastAsia="zh-CN"/>
              </w:rPr>
              <w:t>无特殊</w:t>
            </w:r>
            <w:r>
              <w:rPr>
                <w:rFonts w:hint="default" w:ascii="Times New Roman" w:hAnsi="Times New Roman" w:eastAsia="宋体" w:cs="Times New Roman"/>
                <w:sz w:val="24"/>
                <w:szCs w:val="24"/>
                <w:u w:val="none" w:color="auto"/>
                <w:lang w:eastAsia="zh-CN"/>
              </w:rPr>
              <w:t>环境敏感目标</w:t>
            </w:r>
            <w:r>
              <w:rPr>
                <w:rFonts w:hint="default" w:ascii="Times New Roman" w:hAnsi="Times New Roman" w:eastAsia="宋体" w:cs="Times New Roman"/>
                <w:color w:val="000000"/>
                <w:sz w:val="24"/>
                <w:szCs w:val="24"/>
                <w:u w:val="none" w:color="auto"/>
                <w:lang w:eastAsia="zh-CN"/>
              </w:rPr>
              <w:t>。</w:t>
            </w:r>
          </w:p>
          <w:p w14:paraId="76BB6952">
            <w:pPr>
              <w:keepNext w:val="0"/>
              <w:keepLines w:val="0"/>
              <w:pageBreakBefore w:val="0"/>
              <w:widowControl/>
              <w:kinsoku w:val="0"/>
              <w:wordWrap/>
              <w:overflowPunct/>
              <w:topLinePunct w:val="0"/>
              <w:autoSpaceDE w:val="0"/>
              <w:autoSpaceDN w:val="0"/>
              <w:bidi w:val="0"/>
              <w:adjustRightInd w:val="0"/>
              <w:snapToGrid/>
              <w:spacing w:line="360" w:lineRule="auto"/>
              <w:ind w:right="0" w:firstLine="482" w:firstLineChars="200"/>
              <w:jc w:val="both"/>
              <w:textAlignment w:val="baseline"/>
              <w:rPr>
                <w:rFonts w:hint="default" w:ascii="Times New Roman" w:hAnsi="Times New Roman" w:eastAsia="宋体" w:cs="Times New Roman"/>
                <w:sz w:val="24"/>
                <w:szCs w:val="24"/>
                <w:u w:val="none" w:color="auto"/>
                <w:lang w:eastAsia="zh-CN"/>
              </w:rPr>
            </w:pPr>
            <w:r>
              <w:rPr>
                <w:rFonts w:hint="default" w:ascii="Times New Roman" w:hAnsi="Times New Roman" w:eastAsia="宋体" w:cs="Times New Roman"/>
                <w:b/>
                <w:bCs/>
                <w:color w:val="auto"/>
                <w:sz w:val="24"/>
                <w:szCs w:val="24"/>
                <w:u w:val="none" w:color="auto"/>
                <w:lang w:eastAsia="zh-CN"/>
              </w:rPr>
              <w:t>3、环境风险识别</w:t>
            </w:r>
          </w:p>
          <w:p w14:paraId="68E171D9">
            <w:pPr>
              <w:keepNext w:val="0"/>
              <w:keepLines w:val="0"/>
              <w:pageBreakBefore w:val="0"/>
              <w:wordWrap/>
              <w:overflowPunct/>
              <w:topLinePunct w:val="0"/>
              <w:bidi w:val="0"/>
              <w:snapToGrid/>
              <w:spacing w:line="360" w:lineRule="auto"/>
              <w:ind w:right="0" w:firstLine="480" w:firstLineChars="200"/>
              <w:rPr>
                <w:rFonts w:hint="default"/>
                <w:sz w:val="24"/>
                <w:u w:val="none" w:color="auto"/>
                <w:lang w:eastAsia="zh-CN"/>
              </w:rPr>
            </w:pPr>
            <w:r>
              <w:rPr>
                <w:rFonts w:hint="default"/>
                <w:sz w:val="24"/>
                <w:u w:val="none" w:color="auto"/>
                <w:lang w:eastAsia="zh-CN"/>
              </w:rPr>
              <w:t>本项目发生事故风险的过程包括生产使用过程，生产过程中建议实行安全检查制度，对各类安全设施，消防器材进行各种日常的、定期的、专业的防火安全检查，并将发现的问题定人、限期落实整改。</w:t>
            </w:r>
          </w:p>
          <w:p w14:paraId="27B4E598">
            <w:pPr>
              <w:keepNext w:val="0"/>
              <w:keepLines w:val="0"/>
              <w:pageBreakBefore w:val="0"/>
              <w:widowControl/>
              <w:kinsoku w:val="0"/>
              <w:wordWrap/>
              <w:overflowPunct/>
              <w:topLinePunct w:val="0"/>
              <w:autoSpaceDE w:val="0"/>
              <w:autoSpaceDN w:val="0"/>
              <w:bidi w:val="0"/>
              <w:adjustRightInd w:val="0"/>
              <w:snapToGrid/>
              <w:spacing w:line="360" w:lineRule="auto"/>
              <w:ind w:right="0" w:firstLine="482" w:firstLineChars="200"/>
              <w:jc w:val="both"/>
              <w:textAlignment w:val="baseline"/>
              <w:rPr>
                <w:rFonts w:hint="default" w:ascii="Times New Roman" w:hAnsi="Times New Roman" w:eastAsia="宋体" w:cs="Times New Roman"/>
                <w:b/>
                <w:bCs/>
                <w:color w:val="auto"/>
                <w:sz w:val="24"/>
                <w:szCs w:val="24"/>
                <w:u w:val="single" w:color="auto"/>
                <w:lang w:eastAsia="zh-CN"/>
              </w:rPr>
            </w:pPr>
            <w:r>
              <w:rPr>
                <w:rFonts w:hint="default" w:ascii="Times New Roman" w:hAnsi="Times New Roman" w:eastAsia="宋体" w:cs="Times New Roman"/>
                <w:b/>
                <w:bCs/>
                <w:color w:val="auto"/>
                <w:sz w:val="24"/>
                <w:szCs w:val="24"/>
                <w:u w:val="single" w:color="auto"/>
                <w:lang w:eastAsia="zh-CN"/>
              </w:rPr>
              <w:t>4、环境风险分析</w:t>
            </w:r>
          </w:p>
          <w:p w14:paraId="6F1E8F9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eastAsia="宋体" w:cs="Times New Roman"/>
                <w:color w:val="000000"/>
                <w:sz w:val="24"/>
                <w:u w:val="single" w:color="auto"/>
              </w:rPr>
            </w:pPr>
            <w:r>
              <w:rPr>
                <w:rFonts w:hint="eastAsia" w:ascii="Times New Roman" w:hAnsi="Times New Roman" w:eastAsia="宋体" w:cs="Times New Roman"/>
                <w:color w:val="000000"/>
                <w:sz w:val="24"/>
                <w:u w:val="single" w:color="auto"/>
                <w:lang w:val="en-US" w:eastAsia="zh-CN"/>
              </w:rPr>
              <w:t>根据建设项目的特点，对该项目进行风险因素分析，主要为火灾或爆炸</w:t>
            </w:r>
            <w:r>
              <w:rPr>
                <w:rFonts w:hint="eastAsia" w:cs="Times New Roman"/>
                <w:color w:val="000000"/>
                <w:sz w:val="24"/>
                <w:u w:val="single" w:color="auto"/>
                <w:lang w:val="en-US" w:eastAsia="zh-CN"/>
              </w:rPr>
              <w:t>；</w:t>
            </w:r>
            <w:r>
              <w:rPr>
                <w:rFonts w:hint="eastAsia" w:ascii="Times New Roman" w:hAnsi="Times New Roman" w:eastAsia="宋体" w:cs="Times New Roman"/>
                <w:color w:val="000000"/>
                <w:sz w:val="24"/>
                <w:u w:val="single" w:color="auto"/>
                <w:lang w:val="en-US" w:eastAsia="zh-CN"/>
              </w:rPr>
              <w:t>废气事故排放</w:t>
            </w:r>
            <w:r>
              <w:rPr>
                <w:rFonts w:hint="eastAsia" w:cs="Times New Roman"/>
                <w:color w:val="000000"/>
                <w:sz w:val="24"/>
                <w:u w:val="single" w:color="auto"/>
                <w:lang w:val="en-US" w:eastAsia="zh-CN"/>
              </w:rPr>
              <w:t>；危险废物暂存</w:t>
            </w:r>
            <w:r>
              <w:rPr>
                <w:rFonts w:hint="eastAsia" w:ascii="Times New Roman" w:hAnsi="Times New Roman" w:eastAsia="宋体" w:cs="Times New Roman"/>
                <w:color w:val="000000"/>
                <w:sz w:val="24"/>
                <w:u w:val="single" w:color="auto"/>
                <w:lang w:val="en-US" w:eastAsia="zh-CN"/>
              </w:rPr>
              <w:t>等方面潜在风险，主要风险事故如下：</w:t>
            </w:r>
          </w:p>
          <w:p w14:paraId="36685A3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sz w:val="24"/>
                <w:u w:val="single" w:color="auto"/>
                <w:lang w:val="en-US" w:eastAsia="zh-CN"/>
              </w:rPr>
            </w:pPr>
            <w:r>
              <w:rPr>
                <w:rFonts w:hint="default" w:ascii="Times New Roman" w:hAnsi="Times New Roman" w:eastAsia="宋体" w:cs="Times New Roman"/>
                <w:color w:val="000000"/>
                <w:sz w:val="24"/>
                <w:u w:val="single" w:color="auto"/>
                <w:lang w:val="en-US" w:eastAsia="zh-CN"/>
              </w:rPr>
              <w:t>1</w:t>
            </w:r>
            <w:r>
              <w:rPr>
                <w:rFonts w:hint="eastAsia" w:ascii="Times New Roman" w:hAnsi="Times New Roman" w:eastAsia="宋体" w:cs="Times New Roman"/>
                <w:color w:val="000000"/>
                <w:sz w:val="24"/>
                <w:u w:val="single" w:color="auto"/>
                <w:lang w:val="en-US" w:eastAsia="zh-CN"/>
              </w:rPr>
              <w:t>）火灾或爆炸造成的环境污染事件</w:t>
            </w:r>
            <w:r>
              <w:rPr>
                <w:rFonts w:hint="eastAsia" w:cs="Times New Roman"/>
                <w:color w:val="000000"/>
                <w:sz w:val="24"/>
                <w:u w:val="single" w:color="auto"/>
                <w:lang w:val="en-US" w:eastAsia="zh-CN"/>
              </w:rPr>
              <w:t>；</w:t>
            </w:r>
          </w:p>
          <w:p w14:paraId="463398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sz w:val="24"/>
                <w:u w:val="single" w:color="auto"/>
                <w:lang w:eastAsia="zh-CN"/>
              </w:rPr>
            </w:pPr>
            <w:r>
              <w:rPr>
                <w:rFonts w:hint="eastAsia" w:cs="Times New Roman"/>
                <w:color w:val="000000"/>
                <w:sz w:val="24"/>
                <w:u w:val="single" w:color="auto"/>
                <w:lang w:val="en-US" w:eastAsia="zh-CN"/>
              </w:rPr>
              <w:t>2）</w:t>
            </w:r>
            <w:r>
              <w:rPr>
                <w:rFonts w:hint="eastAsia" w:ascii="Times New Roman" w:hAnsi="Times New Roman" w:eastAsia="宋体" w:cs="Times New Roman"/>
                <w:color w:val="000000"/>
                <w:sz w:val="24"/>
                <w:u w:val="single" w:color="auto"/>
                <w:lang w:val="en-US" w:eastAsia="zh-CN"/>
              </w:rPr>
              <w:t>废气事故排放</w:t>
            </w:r>
            <w:r>
              <w:rPr>
                <w:rFonts w:hint="eastAsia" w:cs="Times New Roman"/>
                <w:color w:val="000000"/>
                <w:sz w:val="24"/>
                <w:u w:val="single" w:color="auto"/>
                <w:lang w:val="en-US" w:eastAsia="zh-CN"/>
              </w:rPr>
              <w:t>。</w:t>
            </w:r>
            <w:r>
              <w:rPr>
                <w:rFonts w:hint="eastAsia" w:ascii="Times New Roman" w:hAnsi="Times New Roman" w:eastAsia="宋体" w:cs="Times New Roman"/>
                <w:color w:val="000000"/>
                <w:sz w:val="24"/>
                <w:u w:val="single" w:color="auto"/>
                <w:lang w:val="en-US" w:eastAsia="zh-CN"/>
              </w:rPr>
              <w:t>废气处理装置故障，将使废气处理效率下降，大量未处理</w:t>
            </w:r>
            <w:r>
              <w:rPr>
                <w:rFonts w:hint="eastAsia" w:cs="Times New Roman"/>
                <w:color w:val="000000"/>
                <w:sz w:val="24"/>
                <w:u w:val="single" w:color="auto"/>
                <w:lang w:val="en-US" w:eastAsia="zh-CN"/>
              </w:rPr>
              <w:t>废气</w:t>
            </w:r>
            <w:r>
              <w:rPr>
                <w:rFonts w:hint="eastAsia" w:ascii="Times New Roman" w:hAnsi="Times New Roman" w:eastAsia="宋体" w:cs="Times New Roman"/>
                <w:color w:val="000000"/>
                <w:sz w:val="24"/>
                <w:u w:val="single" w:color="auto"/>
                <w:lang w:val="en-US" w:eastAsia="zh-CN"/>
              </w:rPr>
              <w:t>直接排入大气，对大气环境产生污染影响，影响人体健康；</w:t>
            </w:r>
          </w:p>
          <w:p w14:paraId="207276D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u w:val="single" w:color="auto"/>
                <w:lang w:eastAsia="zh-CN"/>
              </w:rPr>
            </w:pPr>
            <w:r>
              <w:rPr>
                <w:rFonts w:hint="eastAsia" w:cs="Times New Roman"/>
                <w:color w:val="000000"/>
                <w:sz w:val="24"/>
                <w:u w:val="single" w:color="auto"/>
                <w:lang w:val="en-US" w:eastAsia="zh-CN"/>
              </w:rPr>
              <w:t>3</w:t>
            </w:r>
            <w:r>
              <w:rPr>
                <w:rFonts w:hint="eastAsia" w:ascii="Times New Roman" w:hAnsi="Times New Roman" w:eastAsia="宋体" w:cs="Times New Roman"/>
                <w:color w:val="000000"/>
                <w:sz w:val="24"/>
                <w:u w:val="single" w:color="auto"/>
                <w:lang w:val="en-US" w:eastAsia="zh-CN"/>
              </w:rPr>
              <w:t>）</w:t>
            </w:r>
            <w:r>
              <w:rPr>
                <w:rFonts w:hint="eastAsia" w:cs="Times New Roman"/>
                <w:color w:val="000000"/>
                <w:sz w:val="24"/>
                <w:u w:val="single" w:color="auto"/>
                <w:lang w:val="en-US" w:eastAsia="zh-CN"/>
              </w:rPr>
              <w:t>危</w:t>
            </w:r>
            <w:r>
              <w:rPr>
                <w:rFonts w:hint="eastAsia" w:ascii="Times New Roman" w:hAnsi="Times New Roman" w:eastAsia="宋体" w:cs="Times New Roman"/>
                <w:color w:val="000000"/>
                <w:sz w:val="24"/>
                <w:u w:val="single" w:color="auto"/>
                <w:lang w:val="en-US" w:eastAsia="zh-CN"/>
              </w:rPr>
              <w:t>险废物暂存</w:t>
            </w:r>
            <w:r>
              <w:rPr>
                <w:rFonts w:hint="eastAsia" w:cs="Times New Roman"/>
                <w:color w:val="000000"/>
                <w:sz w:val="24"/>
                <w:u w:val="single" w:color="auto"/>
                <w:lang w:val="en-US" w:eastAsia="zh-CN"/>
              </w:rPr>
              <w:t>环境风险</w:t>
            </w:r>
            <w:r>
              <w:rPr>
                <w:rFonts w:hint="eastAsia" w:ascii="Times New Roman" w:hAnsi="Times New Roman" w:eastAsia="宋体" w:cs="Times New Roman"/>
                <w:color w:val="000000"/>
                <w:sz w:val="24"/>
                <w:u w:val="single" w:color="auto"/>
                <w:lang w:val="en-US" w:eastAsia="zh-CN"/>
              </w:rPr>
              <w:t>。危险废物暂存于危险废物暂存间，项目暂存的危险废物主要为</w:t>
            </w:r>
            <w:r>
              <w:rPr>
                <w:rFonts w:hint="eastAsia" w:ascii="Times New Roman" w:hAnsi="Times New Roman" w:eastAsia="宋体" w:cs="Times New Roman"/>
                <w:color w:val="000000"/>
                <w:kern w:val="0"/>
                <w:sz w:val="24"/>
                <w:szCs w:val="24"/>
                <w:u w:val="single" w:color="auto"/>
                <w:lang w:val="en-US" w:eastAsia="zh-CN"/>
              </w:rPr>
              <w:t>废</w:t>
            </w:r>
            <w:r>
              <w:rPr>
                <w:rFonts w:hint="eastAsia" w:eastAsia="宋体" w:cs="Times New Roman"/>
                <w:color w:val="000000"/>
                <w:kern w:val="0"/>
                <w:sz w:val="24"/>
                <w:szCs w:val="24"/>
                <w:u w:val="single" w:color="auto"/>
                <w:lang w:val="en-US" w:eastAsia="zh-CN"/>
              </w:rPr>
              <w:t>润滑油</w:t>
            </w:r>
            <w:r>
              <w:rPr>
                <w:rFonts w:hint="eastAsia" w:ascii="Times New Roman" w:hAnsi="Times New Roman" w:eastAsia="宋体" w:cs="Times New Roman"/>
                <w:color w:val="000000"/>
                <w:kern w:val="0"/>
                <w:sz w:val="24"/>
                <w:szCs w:val="24"/>
                <w:u w:val="single" w:color="auto"/>
                <w:lang w:val="en-US" w:eastAsia="zh-CN"/>
              </w:rPr>
              <w:t>、</w:t>
            </w:r>
            <w:r>
              <w:rPr>
                <w:rFonts w:hint="eastAsia" w:eastAsia="宋体" w:cs="Times New Roman"/>
                <w:color w:val="000000"/>
                <w:kern w:val="0"/>
                <w:sz w:val="24"/>
                <w:szCs w:val="24"/>
                <w:u w:val="single" w:color="auto"/>
                <w:lang w:val="en-US" w:eastAsia="zh-CN"/>
              </w:rPr>
              <w:t>废液压油、</w:t>
            </w:r>
            <w:r>
              <w:rPr>
                <w:rFonts w:hint="eastAsia" w:ascii="Times New Roman" w:hAnsi="Times New Roman" w:eastAsia="宋体" w:cs="Times New Roman"/>
                <w:color w:val="000000"/>
                <w:kern w:val="0"/>
                <w:sz w:val="24"/>
                <w:szCs w:val="24"/>
                <w:u w:val="single" w:color="auto"/>
                <w:lang w:val="en-US" w:eastAsia="zh-CN"/>
              </w:rPr>
              <w:t>废含油抹布及手套、废油桶</w:t>
            </w:r>
            <w:r>
              <w:rPr>
                <w:rFonts w:hint="eastAsia" w:ascii="Times New Roman" w:hAnsi="Times New Roman" w:eastAsia="宋体" w:cs="Times New Roman"/>
                <w:color w:val="000000"/>
                <w:sz w:val="24"/>
                <w:u w:val="single" w:color="auto"/>
                <w:lang w:val="en-US" w:eastAsia="zh-CN"/>
              </w:rPr>
              <w:t>，影响途径为</w:t>
            </w:r>
            <w:r>
              <w:rPr>
                <w:rFonts w:hint="eastAsia" w:ascii="Times New Roman" w:hAnsi="Times New Roman" w:eastAsia="宋体" w:cs="Times New Roman"/>
                <w:color w:val="000000"/>
                <w:kern w:val="0"/>
                <w:sz w:val="24"/>
                <w:szCs w:val="24"/>
                <w:u w:val="single" w:color="auto"/>
                <w:lang w:val="en-US" w:eastAsia="zh-CN"/>
              </w:rPr>
              <w:t>废</w:t>
            </w:r>
            <w:r>
              <w:rPr>
                <w:rFonts w:hint="eastAsia" w:eastAsia="宋体" w:cs="Times New Roman"/>
                <w:color w:val="000000"/>
                <w:kern w:val="0"/>
                <w:sz w:val="24"/>
                <w:szCs w:val="24"/>
                <w:u w:val="single" w:color="auto"/>
                <w:lang w:val="en-US" w:eastAsia="zh-CN"/>
              </w:rPr>
              <w:t>润滑油</w:t>
            </w:r>
            <w:r>
              <w:rPr>
                <w:rFonts w:hint="eastAsia" w:ascii="Times New Roman" w:hAnsi="Times New Roman" w:eastAsia="宋体" w:cs="Times New Roman"/>
                <w:color w:val="000000"/>
                <w:kern w:val="0"/>
                <w:sz w:val="24"/>
                <w:szCs w:val="24"/>
                <w:u w:val="single" w:color="auto"/>
                <w:lang w:val="en-US" w:eastAsia="zh-CN"/>
              </w:rPr>
              <w:t>、</w:t>
            </w:r>
            <w:r>
              <w:rPr>
                <w:rFonts w:hint="eastAsia" w:eastAsia="宋体" w:cs="Times New Roman"/>
                <w:color w:val="000000"/>
                <w:kern w:val="0"/>
                <w:sz w:val="24"/>
                <w:szCs w:val="24"/>
                <w:u w:val="single" w:color="auto"/>
                <w:lang w:val="en-US" w:eastAsia="zh-CN"/>
              </w:rPr>
              <w:t>废液压油</w:t>
            </w:r>
            <w:r>
              <w:rPr>
                <w:rFonts w:hint="eastAsia" w:cs="Times New Roman"/>
                <w:color w:val="000000"/>
                <w:sz w:val="24"/>
                <w:u w:val="single" w:color="auto"/>
                <w:lang w:val="en-US" w:eastAsia="zh-CN"/>
              </w:rPr>
              <w:t>泄漏</w:t>
            </w:r>
            <w:r>
              <w:rPr>
                <w:rFonts w:hint="eastAsia"/>
                <w:sz w:val="24"/>
                <w:u w:val="single" w:color="auto"/>
              </w:rPr>
              <w:t>造成地下水、土壤污染，以及意外导致的火灾及火灾后的次生环境污染</w:t>
            </w:r>
            <w:r>
              <w:rPr>
                <w:rFonts w:hint="eastAsia"/>
                <w:sz w:val="24"/>
                <w:u w:val="single" w:color="auto"/>
                <w:lang w:eastAsia="zh-CN"/>
              </w:rPr>
              <w:t>。</w:t>
            </w:r>
          </w:p>
          <w:p w14:paraId="0030A528">
            <w:pPr>
              <w:keepNext w:val="0"/>
              <w:keepLines w:val="0"/>
              <w:pageBreakBefore w:val="0"/>
              <w:wordWrap/>
              <w:overflowPunct/>
              <w:topLinePunct w:val="0"/>
              <w:bidi w:val="0"/>
              <w:adjustRightInd w:val="0"/>
              <w:snapToGrid/>
              <w:spacing w:line="360" w:lineRule="auto"/>
              <w:ind w:firstLine="482" w:firstLineChars="200"/>
              <w:rPr>
                <w:sz w:val="24"/>
                <w:szCs w:val="24"/>
                <w:u w:val="single" w:color="auto"/>
              </w:rPr>
            </w:pPr>
            <w:r>
              <w:rPr>
                <w:rFonts w:hint="eastAsia" w:ascii="Times New Roman" w:hAnsi="Times New Roman" w:eastAsia="宋体" w:cs="Times New Roman"/>
                <w:b/>
                <w:bCs/>
                <w:color w:val="auto"/>
                <w:sz w:val="24"/>
                <w:szCs w:val="24"/>
                <w:u w:val="single" w:color="auto"/>
                <w:lang w:val="en-US" w:eastAsia="zh-CN"/>
              </w:rPr>
              <w:t>5、</w:t>
            </w:r>
            <w:r>
              <w:rPr>
                <w:rFonts w:hint="eastAsia" w:ascii="Times New Roman" w:hAnsi="Times New Roman" w:eastAsia="宋体" w:cs="Times New Roman"/>
                <w:b/>
                <w:bCs/>
                <w:color w:val="auto"/>
                <w:sz w:val="24"/>
                <w:szCs w:val="24"/>
                <w:u w:val="single" w:color="auto"/>
                <w:lang w:eastAsia="zh-CN"/>
              </w:rPr>
              <w:t>环境风险防范措施</w:t>
            </w:r>
          </w:p>
          <w:p w14:paraId="3FEBD9C2">
            <w:pPr>
              <w:keepNext w:val="0"/>
              <w:keepLines w:val="0"/>
              <w:pageBreakBefore w:val="0"/>
              <w:wordWrap/>
              <w:overflowPunct/>
              <w:topLinePunct w:val="0"/>
              <w:bidi w:val="0"/>
              <w:adjustRightInd w:val="0"/>
              <w:snapToGrid/>
              <w:spacing w:line="360" w:lineRule="auto"/>
              <w:ind w:firstLine="480" w:firstLineChars="200"/>
              <w:rPr>
                <w:rFonts w:ascii="Times New Roman" w:hAnsi="Times New Roman" w:eastAsia="宋体" w:cs="Times New Roman"/>
                <w:color w:val="000000"/>
                <w:sz w:val="24"/>
                <w:szCs w:val="24"/>
                <w:u w:val="single" w:color="auto"/>
              </w:rPr>
            </w:pPr>
            <w:r>
              <w:rPr>
                <w:rFonts w:hint="eastAsia" w:cs="Times New Roman"/>
                <w:color w:val="000000"/>
                <w:sz w:val="24"/>
                <w:szCs w:val="24"/>
                <w:u w:val="single" w:color="auto"/>
                <w:lang w:val="en-US" w:eastAsia="zh-CN"/>
              </w:rPr>
              <w:t>1</w:t>
            </w:r>
            <w:r>
              <w:rPr>
                <w:rFonts w:ascii="Times New Roman" w:hAnsi="Times New Roman" w:eastAsia="宋体" w:cs="Times New Roman"/>
                <w:color w:val="000000"/>
                <w:sz w:val="24"/>
                <w:szCs w:val="24"/>
                <w:u w:val="single" w:color="auto"/>
              </w:rPr>
              <w:t>）火灾引发伴生/次生污染物排放风险防范措施</w:t>
            </w:r>
          </w:p>
          <w:p w14:paraId="12F1EE43">
            <w:pPr>
              <w:keepNext w:val="0"/>
              <w:keepLines w:val="0"/>
              <w:pageBreakBefore w:val="0"/>
              <w:wordWrap/>
              <w:overflowPunct/>
              <w:topLinePunct w:val="0"/>
              <w:bidi w:val="0"/>
              <w:adjustRightInd w:val="0"/>
              <w:snapToGrid/>
              <w:spacing w:line="360" w:lineRule="auto"/>
              <w:ind w:firstLine="480" w:firstLineChars="200"/>
              <w:rPr>
                <w:rFonts w:ascii="Times New Roman" w:hAnsi="Times New Roman" w:eastAsia="宋体" w:cs="Times New Roman"/>
                <w:color w:val="000000"/>
                <w:sz w:val="24"/>
                <w:szCs w:val="24"/>
                <w:u w:val="single" w:color="auto"/>
              </w:rPr>
            </w:pPr>
            <w:r>
              <w:rPr>
                <w:rFonts w:ascii="Times New Roman" w:hAnsi="Times New Roman" w:eastAsia="宋体" w:cs="Times New Roman"/>
                <w:color w:val="000000"/>
                <w:sz w:val="24"/>
                <w:szCs w:val="24"/>
                <w:u w:val="single" w:color="auto"/>
              </w:rPr>
              <w:fldChar w:fldCharType="begin"/>
            </w:r>
            <w:r>
              <w:rPr>
                <w:rFonts w:ascii="Times New Roman" w:hAnsi="Times New Roman" w:eastAsia="宋体" w:cs="Times New Roman"/>
                <w:color w:val="000000"/>
                <w:sz w:val="24"/>
                <w:szCs w:val="24"/>
                <w:u w:val="single" w:color="auto"/>
              </w:rPr>
              <w:instrText xml:space="preserve"> = 1 \* GB3 </w:instrText>
            </w:r>
            <w:r>
              <w:rPr>
                <w:rFonts w:ascii="Times New Roman" w:hAnsi="Times New Roman" w:eastAsia="宋体" w:cs="Times New Roman"/>
                <w:color w:val="000000"/>
                <w:sz w:val="24"/>
                <w:szCs w:val="24"/>
                <w:u w:val="single" w:color="auto"/>
              </w:rPr>
              <w:fldChar w:fldCharType="separate"/>
            </w:r>
            <w:r>
              <w:rPr>
                <w:rFonts w:ascii="Times New Roman" w:hAnsi="Times New Roman" w:eastAsia="宋体" w:cs="Times New Roman"/>
                <w:color w:val="000000"/>
                <w:sz w:val="24"/>
                <w:szCs w:val="24"/>
                <w:u w:val="single" w:color="auto"/>
              </w:rPr>
              <w:t>①</w:t>
            </w:r>
            <w:r>
              <w:rPr>
                <w:rFonts w:ascii="Times New Roman" w:hAnsi="Times New Roman" w:eastAsia="宋体" w:cs="Times New Roman"/>
                <w:color w:val="000000"/>
                <w:sz w:val="24"/>
                <w:szCs w:val="24"/>
                <w:u w:val="single" w:color="auto"/>
              </w:rPr>
              <w:fldChar w:fldCharType="end"/>
            </w:r>
            <w:r>
              <w:rPr>
                <w:rFonts w:ascii="Times New Roman" w:hAnsi="Times New Roman" w:eastAsia="宋体" w:cs="Times New Roman"/>
                <w:color w:val="000000"/>
                <w:sz w:val="24"/>
                <w:szCs w:val="24"/>
                <w:u w:val="single" w:color="auto"/>
              </w:rPr>
              <w:t>火灾事故发生时，应迅速关闭、切断输电、输气系统及各种明火，以防止</w:t>
            </w:r>
            <w:r>
              <w:rPr>
                <w:rFonts w:hint="eastAsia" w:cs="Times New Roman"/>
                <w:color w:val="000000"/>
                <w:sz w:val="24"/>
                <w:szCs w:val="24"/>
                <w:u w:val="single" w:color="auto"/>
                <w:lang w:eastAsia="zh-CN"/>
              </w:rPr>
              <w:t>发生</w:t>
            </w:r>
            <w:r>
              <w:rPr>
                <w:rFonts w:ascii="Times New Roman" w:hAnsi="Times New Roman" w:eastAsia="宋体" w:cs="Times New Roman"/>
                <w:color w:val="000000"/>
                <w:sz w:val="24"/>
                <w:szCs w:val="24"/>
                <w:u w:val="single" w:color="auto"/>
              </w:rPr>
              <w:t>其他灾害；</w:t>
            </w:r>
          </w:p>
          <w:p w14:paraId="33FB5FE7">
            <w:pPr>
              <w:keepNext w:val="0"/>
              <w:keepLines w:val="0"/>
              <w:pageBreakBefore w:val="0"/>
              <w:wordWrap/>
              <w:overflowPunct/>
              <w:topLinePunct w:val="0"/>
              <w:bidi w:val="0"/>
              <w:adjustRightInd w:val="0"/>
              <w:snapToGrid/>
              <w:spacing w:line="360" w:lineRule="auto"/>
              <w:ind w:firstLine="480" w:firstLineChars="200"/>
              <w:rPr>
                <w:color w:val="000000"/>
                <w:sz w:val="24"/>
                <w:szCs w:val="24"/>
                <w:u w:val="single" w:color="auto"/>
              </w:rPr>
            </w:pPr>
            <w:r>
              <w:rPr>
                <w:rFonts w:ascii="Times New Roman" w:hAnsi="Times New Roman" w:eastAsia="宋体" w:cs="Times New Roman"/>
                <w:color w:val="000000"/>
                <w:sz w:val="24"/>
                <w:szCs w:val="24"/>
                <w:u w:val="single" w:color="auto"/>
              </w:rPr>
              <w:fldChar w:fldCharType="begin"/>
            </w:r>
            <w:r>
              <w:rPr>
                <w:rFonts w:ascii="Times New Roman" w:hAnsi="Times New Roman" w:eastAsia="宋体" w:cs="Times New Roman"/>
                <w:color w:val="000000"/>
                <w:sz w:val="24"/>
                <w:szCs w:val="24"/>
                <w:u w:val="single" w:color="auto"/>
              </w:rPr>
              <w:instrText xml:space="preserve"> = 2 \* GB3 </w:instrText>
            </w:r>
            <w:r>
              <w:rPr>
                <w:rFonts w:ascii="Times New Roman" w:hAnsi="Times New Roman" w:eastAsia="宋体" w:cs="Times New Roman"/>
                <w:color w:val="000000"/>
                <w:sz w:val="24"/>
                <w:szCs w:val="24"/>
                <w:u w:val="single" w:color="auto"/>
              </w:rPr>
              <w:fldChar w:fldCharType="separate"/>
            </w:r>
            <w:r>
              <w:rPr>
                <w:rFonts w:ascii="Times New Roman" w:hAnsi="Times New Roman" w:eastAsia="宋体" w:cs="Times New Roman"/>
                <w:color w:val="000000"/>
                <w:sz w:val="24"/>
                <w:szCs w:val="24"/>
                <w:u w:val="single" w:color="auto"/>
              </w:rPr>
              <w:t>②</w:t>
            </w:r>
            <w:r>
              <w:rPr>
                <w:rFonts w:ascii="Times New Roman" w:hAnsi="Times New Roman" w:eastAsia="宋体" w:cs="Times New Roman"/>
                <w:color w:val="000000"/>
                <w:sz w:val="24"/>
                <w:szCs w:val="24"/>
                <w:u w:val="single" w:color="auto"/>
              </w:rPr>
              <w:fldChar w:fldCharType="end"/>
            </w:r>
            <w:r>
              <w:rPr>
                <w:rFonts w:ascii="Times New Roman" w:hAnsi="Times New Roman" w:eastAsia="宋体" w:cs="Times New Roman"/>
                <w:color w:val="000000"/>
                <w:sz w:val="24"/>
                <w:szCs w:val="24"/>
                <w:u w:val="single" w:color="auto"/>
              </w:rPr>
              <w:t>利用项</w:t>
            </w:r>
            <w:r>
              <w:rPr>
                <w:color w:val="000000"/>
                <w:sz w:val="24"/>
                <w:szCs w:val="24"/>
                <w:u w:val="single" w:color="auto"/>
              </w:rPr>
              <w:t>目配置的消防器材及有关设备全力进行扑救，当班工作人员迅速使用合适的灭火器、消防水带</w:t>
            </w:r>
            <w:r>
              <w:rPr>
                <w:rFonts w:hint="eastAsia"/>
                <w:color w:val="000000"/>
                <w:sz w:val="24"/>
                <w:szCs w:val="24"/>
                <w:u w:val="single" w:color="auto"/>
                <w:lang w:eastAsia="zh-CN"/>
              </w:rPr>
              <w:t>或其他</w:t>
            </w:r>
            <w:r>
              <w:rPr>
                <w:color w:val="000000"/>
                <w:sz w:val="24"/>
                <w:szCs w:val="24"/>
                <w:u w:val="single" w:color="auto"/>
              </w:rPr>
              <w:t>一切可能手段灭火；</w:t>
            </w:r>
          </w:p>
          <w:p w14:paraId="01222801">
            <w:pPr>
              <w:keepNext w:val="0"/>
              <w:keepLines w:val="0"/>
              <w:pageBreakBefore w:val="0"/>
              <w:wordWrap/>
              <w:overflowPunct/>
              <w:topLinePunct w:val="0"/>
              <w:bidi w:val="0"/>
              <w:adjustRightInd w:val="0"/>
              <w:snapToGrid/>
              <w:spacing w:line="360" w:lineRule="auto"/>
              <w:ind w:firstLine="480" w:firstLineChars="200"/>
              <w:rPr>
                <w:rFonts w:hint="eastAsia" w:ascii="Times New Roman" w:hAnsi="Times New Roman" w:eastAsia="宋体" w:cs="Times New Roman"/>
                <w:color w:val="000000"/>
                <w:sz w:val="24"/>
                <w:szCs w:val="24"/>
                <w:u w:val="single" w:color="auto"/>
                <w:lang w:val="en-US" w:eastAsia="zh-CN"/>
              </w:rPr>
            </w:pPr>
            <w:r>
              <w:rPr>
                <w:color w:val="000000"/>
                <w:sz w:val="24"/>
                <w:szCs w:val="24"/>
                <w:u w:val="single" w:color="auto"/>
              </w:rPr>
              <w:fldChar w:fldCharType="begin"/>
            </w:r>
            <w:r>
              <w:rPr>
                <w:color w:val="000000"/>
                <w:sz w:val="24"/>
                <w:szCs w:val="24"/>
                <w:u w:val="single" w:color="auto"/>
              </w:rPr>
              <w:instrText xml:space="preserve"> = 3 \* GB3 </w:instrText>
            </w:r>
            <w:r>
              <w:rPr>
                <w:color w:val="000000"/>
                <w:sz w:val="24"/>
                <w:szCs w:val="24"/>
                <w:u w:val="single" w:color="auto"/>
              </w:rPr>
              <w:fldChar w:fldCharType="separate"/>
            </w:r>
            <w:r>
              <w:rPr>
                <w:color w:val="000000"/>
                <w:sz w:val="24"/>
                <w:szCs w:val="24"/>
                <w:u w:val="single" w:color="auto"/>
              </w:rPr>
              <w:t>③</w:t>
            </w:r>
            <w:r>
              <w:rPr>
                <w:color w:val="000000"/>
                <w:sz w:val="24"/>
                <w:szCs w:val="24"/>
                <w:u w:val="single" w:color="auto"/>
              </w:rPr>
              <w:fldChar w:fldCharType="end"/>
            </w:r>
            <w:r>
              <w:rPr>
                <w:color w:val="000000"/>
                <w:sz w:val="24"/>
                <w:szCs w:val="24"/>
                <w:u w:val="single" w:color="auto"/>
              </w:rPr>
              <w:t>根据燃烧物质的性质和火情状态，在扑救的同时，迅速与上级或当地 119、120取得联系，引导消防、救护人员和设施进入火灾现场，当班工作人员要准备好和公安专业消防队的配合，并服从公安消防队员的指挥</w:t>
            </w:r>
            <w:r>
              <w:rPr>
                <w:rFonts w:hint="eastAsia"/>
                <w:color w:val="000000"/>
                <w:sz w:val="24"/>
                <w:szCs w:val="24"/>
                <w:u w:val="single" w:color="auto"/>
                <w:lang w:eastAsia="zh-CN"/>
              </w:rPr>
              <w:t>。</w:t>
            </w:r>
          </w:p>
          <w:p w14:paraId="12D36411">
            <w:pPr>
              <w:keepNext w:val="0"/>
              <w:keepLines w:val="0"/>
              <w:pageBreakBefore w:val="0"/>
              <w:wordWrap/>
              <w:overflowPunct/>
              <w:topLinePunct w:val="0"/>
              <w:bidi w:val="0"/>
              <w:adjustRightInd w:val="0"/>
              <w:snapToGrid/>
              <w:spacing w:line="360" w:lineRule="auto"/>
              <w:ind w:firstLine="480" w:firstLineChars="200"/>
              <w:rPr>
                <w:rFonts w:hint="default" w:ascii="Times New Roman" w:hAnsi="Times New Roman" w:eastAsia="宋体" w:cs="Times New Roman"/>
                <w:color w:val="000000"/>
                <w:sz w:val="24"/>
                <w:szCs w:val="24"/>
                <w:u w:val="single" w:color="auto"/>
                <w:lang w:val="en-US" w:eastAsia="zh-CN"/>
              </w:rPr>
            </w:pPr>
            <w:r>
              <w:rPr>
                <w:rFonts w:hint="eastAsia" w:cs="Times New Roman"/>
                <w:color w:val="000000"/>
                <w:sz w:val="24"/>
                <w:szCs w:val="24"/>
                <w:u w:val="single" w:color="auto"/>
                <w:lang w:val="en-US" w:eastAsia="zh-CN"/>
              </w:rPr>
              <w:t>2</w:t>
            </w:r>
            <w:r>
              <w:rPr>
                <w:rFonts w:hint="eastAsia" w:ascii="Times New Roman" w:hAnsi="Times New Roman" w:eastAsia="宋体" w:cs="Times New Roman"/>
                <w:color w:val="000000"/>
                <w:sz w:val="24"/>
                <w:szCs w:val="24"/>
                <w:u w:val="single" w:color="auto"/>
                <w:lang w:val="en-US" w:eastAsia="zh-CN"/>
              </w:rPr>
              <w:t>）废气事故排放</w:t>
            </w:r>
            <w:r>
              <w:rPr>
                <w:rFonts w:hint="default" w:ascii="Times New Roman" w:hAnsi="Times New Roman" w:eastAsia="宋体" w:cs="Times New Roman"/>
                <w:color w:val="000000"/>
                <w:sz w:val="24"/>
                <w:szCs w:val="24"/>
                <w:u w:val="single" w:color="auto"/>
                <w:lang w:val="en-US" w:eastAsia="zh-CN"/>
              </w:rPr>
              <w:t>风险防范措施</w:t>
            </w:r>
          </w:p>
          <w:p w14:paraId="6AFC8AE1">
            <w:pPr>
              <w:keepNext w:val="0"/>
              <w:keepLines w:val="0"/>
              <w:pageBreakBefore w:val="0"/>
              <w:wordWrap/>
              <w:overflowPunct/>
              <w:topLinePunct w:val="0"/>
              <w:bidi w:val="0"/>
              <w:adjustRightInd w:val="0"/>
              <w:snapToGrid/>
              <w:spacing w:line="360" w:lineRule="auto"/>
              <w:ind w:firstLine="480" w:firstLineChars="200"/>
              <w:rPr>
                <w:rFonts w:hint="default"/>
                <w:u w:val="single" w:color="auto"/>
                <w:lang w:val="en-US" w:eastAsia="zh-CN"/>
              </w:rPr>
            </w:pPr>
            <w:r>
              <w:rPr>
                <w:rFonts w:hint="eastAsia" w:ascii="Times New Roman" w:hAnsi="Times New Roman" w:eastAsia="宋体" w:cs="Times New Roman"/>
                <w:color w:val="000000"/>
                <w:sz w:val="24"/>
                <w:szCs w:val="24"/>
                <w:u w:val="single" w:color="auto"/>
                <w:lang w:val="en-US" w:eastAsia="zh-CN"/>
              </w:rPr>
              <w:t>定期对废气处理装置进行维护，并按照要求开展废气检测，确保废气达标排放，同时加强污染治理设施管理，进行定期或不定期检查，建立废气事故性排放的应急制度和响应措施，将事故性排放的影响降至最低；严格执行环保规章制度，建立健全生产运营过程中的污染源档案、环保设施运行状况记录等；并做好环境保护、安全生产宣传以及相关技术培训等工作。</w:t>
            </w:r>
          </w:p>
          <w:p w14:paraId="23DB2941">
            <w:pPr>
              <w:keepNext w:val="0"/>
              <w:keepLines w:val="0"/>
              <w:pageBreakBefore w:val="0"/>
              <w:wordWrap/>
              <w:overflowPunct/>
              <w:topLinePunct w:val="0"/>
              <w:bidi w:val="0"/>
              <w:adjustRightInd w:val="0"/>
              <w:snapToGrid/>
              <w:spacing w:line="360" w:lineRule="auto"/>
              <w:ind w:firstLine="480" w:firstLineChars="200"/>
              <w:rPr>
                <w:rFonts w:ascii="Times New Roman" w:hAnsi="Times New Roman" w:eastAsia="宋体" w:cs="Times New Roman"/>
                <w:color w:val="000000"/>
                <w:sz w:val="24"/>
                <w:szCs w:val="24"/>
                <w:u w:val="single" w:color="auto"/>
              </w:rPr>
            </w:pPr>
            <w:r>
              <w:rPr>
                <w:rFonts w:hint="eastAsia" w:cs="Times New Roman"/>
                <w:color w:val="000000"/>
                <w:sz w:val="24"/>
                <w:szCs w:val="24"/>
                <w:u w:val="single" w:color="auto"/>
                <w:lang w:val="en-US" w:eastAsia="zh-CN"/>
              </w:rPr>
              <w:t>3</w:t>
            </w:r>
            <w:r>
              <w:rPr>
                <w:rFonts w:ascii="Times New Roman" w:hAnsi="Times New Roman" w:eastAsia="宋体" w:cs="Times New Roman"/>
                <w:color w:val="000000"/>
                <w:sz w:val="24"/>
                <w:szCs w:val="24"/>
                <w:u w:val="single" w:color="auto"/>
              </w:rPr>
              <w:t>）</w:t>
            </w:r>
            <w:r>
              <w:rPr>
                <w:rFonts w:hint="eastAsia"/>
                <w:color w:val="000000"/>
                <w:sz w:val="24"/>
                <w:u w:val="single" w:color="auto"/>
                <w:lang w:val="en-US" w:eastAsia="zh-CN"/>
              </w:rPr>
              <w:t>危险废物暂存</w:t>
            </w:r>
            <w:r>
              <w:rPr>
                <w:rFonts w:ascii="Times New Roman" w:hAnsi="Times New Roman" w:eastAsia="宋体" w:cs="Times New Roman"/>
                <w:color w:val="000000"/>
                <w:sz w:val="24"/>
                <w:szCs w:val="24"/>
                <w:u w:val="single" w:color="auto"/>
              </w:rPr>
              <w:t>风险防范措施</w:t>
            </w:r>
          </w:p>
          <w:p w14:paraId="0B905FE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single" w:color="auto"/>
                <w:lang w:val="en-US" w:eastAsia="zh-CN"/>
              </w:rPr>
            </w:pPr>
            <w:r>
              <w:rPr>
                <w:rFonts w:hint="eastAsia"/>
                <w:bCs/>
                <w:color w:val="000000"/>
                <w:sz w:val="24"/>
                <w:szCs w:val="24"/>
                <w:u w:val="single" w:color="auto"/>
              </w:rPr>
              <w:t>危险废物按照《危险废物贮存污染控制标准》（GB18597-2023）的相关要求</w:t>
            </w:r>
            <w:r>
              <w:rPr>
                <w:rFonts w:hint="eastAsia"/>
                <w:bCs/>
                <w:color w:val="000000"/>
                <w:sz w:val="24"/>
                <w:szCs w:val="24"/>
                <w:u w:val="single" w:color="auto"/>
                <w:lang w:eastAsia="zh-CN"/>
              </w:rPr>
              <w:t>“</w:t>
            </w:r>
            <w:r>
              <w:rPr>
                <w:rFonts w:hint="eastAsia"/>
                <w:bCs/>
                <w:color w:val="000000"/>
                <w:sz w:val="24"/>
                <w:szCs w:val="24"/>
                <w:u w:val="single" w:color="auto"/>
              </w:rPr>
              <w:t>在常温常压下不易水解、不易挥发的固态危险废物可分类堆放贮存，其他固态危险废物应装入容器或包装物内贮存。液态危险废物应装入容器内贮存，或直接采用贮存池、贮存罐区贮存。</w:t>
            </w:r>
            <w:r>
              <w:rPr>
                <w:rFonts w:hint="eastAsia"/>
                <w:bCs/>
                <w:color w:val="000000"/>
                <w:sz w:val="24"/>
                <w:szCs w:val="24"/>
                <w:u w:val="single" w:color="auto"/>
                <w:lang w:eastAsia="zh-CN"/>
              </w:rPr>
              <w:t>”</w:t>
            </w:r>
            <w:r>
              <w:rPr>
                <w:rFonts w:hint="eastAsia"/>
                <w:bCs/>
                <w:color w:val="000000"/>
                <w:sz w:val="24"/>
                <w:szCs w:val="24"/>
                <w:u w:val="single" w:color="auto"/>
              </w:rPr>
              <w:t>本项目采用密封桶储存，</w:t>
            </w:r>
            <w:r>
              <w:rPr>
                <w:rFonts w:hint="eastAsia"/>
                <w:bCs/>
                <w:color w:val="000000"/>
                <w:sz w:val="24"/>
                <w:szCs w:val="24"/>
                <w:u w:val="single" w:color="auto"/>
                <w:lang w:val="en-US" w:eastAsia="zh-CN"/>
              </w:rPr>
              <w:t>危废暂存间内设托盘和围堰，</w:t>
            </w:r>
            <w:r>
              <w:rPr>
                <w:rFonts w:hint="eastAsia"/>
                <w:bCs/>
                <w:color w:val="000000"/>
                <w:sz w:val="24"/>
                <w:szCs w:val="24"/>
                <w:u w:val="single" w:color="auto"/>
              </w:rPr>
              <w:t>危险废物定期交由有相关危险废物资质的单位处理，避免二次污</w:t>
            </w:r>
            <w:r>
              <w:rPr>
                <w:rFonts w:hint="eastAsia"/>
                <w:bCs/>
                <w:color w:val="000000"/>
                <w:sz w:val="24"/>
                <w:szCs w:val="24"/>
                <w:u w:val="single" w:color="auto"/>
                <w:lang w:val="en-US" w:eastAsia="zh-CN"/>
              </w:rPr>
              <w:t>染。</w:t>
            </w:r>
          </w:p>
          <w:p w14:paraId="5DC462ED">
            <w:pPr>
              <w:keepNext w:val="0"/>
              <w:keepLines w:val="0"/>
              <w:pageBreakBefore w:val="0"/>
              <w:widowControl/>
              <w:kinsoku w:val="0"/>
              <w:wordWrap/>
              <w:overflowPunct/>
              <w:topLinePunct w:val="0"/>
              <w:autoSpaceDE w:val="0"/>
              <w:autoSpaceDN w:val="0"/>
              <w:bidi w:val="0"/>
              <w:adjustRightInd w:val="0"/>
              <w:snapToGrid/>
              <w:spacing w:line="360" w:lineRule="auto"/>
              <w:ind w:firstLine="482" w:firstLineChars="200"/>
              <w:jc w:val="both"/>
              <w:textAlignment w:val="baseline"/>
              <w:rPr>
                <w:rFonts w:hint="default" w:ascii="Times New Roman" w:hAnsi="Times New Roman" w:eastAsia="宋体" w:cs="Times New Roman"/>
                <w:b/>
                <w:bCs/>
                <w:sz w:val="24"/>
                <w:szCs w:val="24"/>
                <w:u w:val="none" w:color="auto"/>
                <w:lang w:eastAsia="zh-CN"/>
              </w:rPr>
            </w:pPr>
            <w:r>
              <w:rPr>
                <w:rFonts w:hint="eastAsia" w:cs="Times New Roman"/>
                <w:b/>
                <w:bCs/>
                <w:sz w:val="24"/>
                <w:szCs w:val="24"/>
                <w:u w:val="none" w:color="auto"/>
                <w:lang w:val="en-US" w:eastAsia="zh-CN"/>
              </w:rPr>
              <w:t>6</w:t>
            </w:r>
            <w:r>
              <w:rPr>
                <w:rFonts w:hint="default" w:ascii="Times New Roman" w:hAnsi="Times New Roman" w:eastAsia="宋体" w:cs="Times New Roman"/>
                <w:b/>
                <w:bCs/>
                <w:sz w:val="24"/>
                <w:szCs w:val="24"/>
                <w:u w:val="none" w:color="auto"/>
                <w:lang w:eastAsia="zh-CN"/>
              </w:rPr>
              <w:t>、分析结论</w:t>
            </w:r>
          </w:p>
          <w:p w14:paraId="7F87EB6B">
            <w:pPr>
              <w:keepNext w:val="0"/>
              <w:keepLines w:val="0"/>
              <w:pageBreakBefore w:val="0"/>
              <w:wordWrap/>
              <w:overflowPunct/>
              <w:topLinePunct w:val="0"/>
              <w:bidi w:val="0"/>
              <w:snapToGrid/>
              <w:spacing w:line="360" w:lineRule="auto"/>
              <w:ind w:firstLine="480" w:firstLineChars="200"/>
              <w:rPr>
                <w:rFonts w:hint="default" w:ascii="Times New Roman" w:hAnsi="Times New Roman" w:eastAsia="宋体" w:cs="Times New Roman"/>
                <w:b w:val="0"/>
                <w:bCs w:val="0"/>
                <w:sz w:val="24"/>
                <w:szCs w:val="24"/>
                <w:u w:val="none" w:color="auto"/>
                <w:lang w:eastAsia="zh-CN"/>
              </w:rPr>
            </w:pPr>
            <w:r>
              <w:rPr>
                <w:rFonts w:hint="default" w:ascii="Times New Roman" w:hAnsi="Times New Roman" w:eastAsia="宋体" w:cs="Times New Roman"/>
                <w:b w:val="0"/>
                <w:bCs w:val="0"/>
                <w:sz w:val="24"/>
                <w:szCs w:val="24"/>
                <w:u w:val="none" w:color="auto"/>
                <w:lang w:eastAsia="zh-CN"/>
              </w:rPr>
              <w:t>本项目环境风险潜势为I，环境风险等级低于三级，在做好上述各项防范措施后，项目生产过程的环境风险是可控的。</w:t>
            </w:r>
          </w:p>
          <w:p w14:paraId="220EB2FC">
            <w:pPr>
              <w:keepNext w:val="0"/>
              <w:keepLines w:val="0"/>
              <w:pageBreakBefore w:val="0"/>
              <w:widowControl w:val="0"/>
              <w:kinsoku/>
              <w:wordWrap/>
              <w:overflowPunct w:val="0"/>
              <w:topLinePunct w:val="0"/>
              <w:autoSpaceDE/>
              <w:autoSpaceDN/>
              <w:bidi w:val="0"/>
              <w:adjustRightInd/>
              <w:snapToGrid/>
              <w:spacing w:line="240" w:lineRule="auto"/>
              <w:jc w:val="center"/>
              <w:textAlignment w:val="baseline"/>
              <w:outlineLvl w:val="9"/>
              <w:rPr>
                <w:rFonts w:hint="default" w:ascii="Times New Roman" w:hAnsi="Times New Roman" w:eastAsia="宋体" w:cs="Times New Roman"/>
                <w:b/>
                <w:color w:val="000000"/>
                <w:sz w:val="21"/>
                <w:szCs w:val="21"/>
                <w:u w:val="none" w:color="auto"/>
              </w:rPr>
            </w:pPr>
            <w:r>
              <w:rPr>
                <w:rFonts w:hint="default" w:ascii="Times New Roman" w:hAnsi="Times New Roman" w:eastAsia="宋体" w:cs="Times New Roman"/>
                <w:b/>
                <w:color w:val="000000"/>
                <w:sz w:val="21"/>
                <w:szCs w:val="21"/>
                <w:u w:val="none" w:color="auto"/>
              </w:rPr>
              <w:t>表4-</w:t>
            </w:r>
            <w:r>
              <w:rPr>
                <w:rFonts w:hint="eastAsia" w:cs="Times New Roman"/>
                <w:b/>
                <w:color w:val="000000"/>
                <w:sz w:val="21"/>
                <w:szCs w:val="21"/>
                <w:u w:val="none" w:color="auto"/>
                <w:lang w:val="en-US" w:eastAsia="zh-CN"/>
              </w:rPr>
              <w:t>19</w:t>
            </w:r>
            <w:r>
              <w:rPr>
                <w:rFonts w:hint="eastAsia" w:ascii="Times New Roman" w:hAnsi="Times New Roman" w:eastAsia="宋体" w:cs="Times New Roman"/>
                <w:b/>
                <w:color w:val="000000"/>
                <w:sz w:val="21"/>
                <w:szCs w:val="21"/>
                <w:u w:val="none" w:color="auto"/>
                <w:lang w:val="en-US" w:eastAsia="zh-CN"/>
              </w:rPr>
              <w:t xml:space="preserve">  </w:t>
            </w:r>
            <w:r>
              <w:rPr>
                <w:rFonts w:ascii="Times New Roman" w:hAnsi="Times New Roman" w:cs="Times New Roman"/>
                <w:b/>
                <w:bCs/>
                <w:color w:val="000000"/>
                <w:sz w:val="21"/>
                <w:szCs w:val="21"/>
                <w:u w:val="none" w:color="auto"/>
              </w:rPr>
              <w:t>建设项目环境风险简单分析内容表</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361"/>
              <w:gridCol w:w="6254"/>
            </w:tblGrid>
            <w:tr w14:paraId="0EB00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94" w:type="pct"/>
                  <w:tcBorders>
                    <w:tl2br w:val="nil"/>
                    <w:tr2bl w:val="nil"/>
                  </w:tcBorders>
                  <w:noWrap w:val="0"/>
                  <w:vAlign w:val="center"/>
                </w:tcPr>
                <w:p w14:paraId="361C0054">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建设项目名称</w:t>
                  </w:r>
                </w:p>
              </w:tc>
              <w:tc>
                <w:tcPr>
                  <w:tcW w:w="4105" w:type="pct"/>
                  <w:tcBorders>
                    <w:tl2br w:val="nil"/>
                    <w:tr2bl w:val="nil"/>
                  </w:tcBorders>
                  <w:noWrap w:val="0"/>
                  <w:vAlign w:val="center"/>
                </w:tcPr>
                <w:p w14:paraId="705226C7">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color w:val="000000"/>
                      <w:szCs w:val="21"/>
                      <w:u w:val="none" w:color="auto"/>
                    </w:rPr>
                    <w:t>永州市杭润环保科技有限公司一般工业固废资源回收利用项目</w:t>
                  </w:r>
                </w:p>
              </w:tc>
            </w:tr>
            <w:tr w14:paraId="237BE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94" w:type="pct"/>
                  <w:tcBorders>
                    <w:tl2br w:val="nil"/>
                    <w:tr2bl w:val="nil"/>
                  </w:tcBorders>
                  <w:noWrap w:val="0"/>
                  <w:vAlign w:val="center"/>
                </w:tcPr>
                <w:p w14:paraId="4A820729">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建设地点</w:t>
                  </w:r>
                </w:p>
              </w:tc>
              <w:tc>
                <w:tcPr>
                  <w:tcW w:w="4105" w:type="pct"/>
                  <w:tcBorders>
                    <w:tl2br w:val="nil"/>
                    <w:tr2bl w:val="nil"/>
                  </w:tcBorders>
                  <w:noWrap w:val="0"/>
                  <w:vAlign w:val="center"/>
                </w:tcPr>
                <w:p w14:paraId="68037F37">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Cs w:val="21"/>
                      <w:u w:val="none" w:color="auto"/>
                    </w:rPr>
                    <w:t>湖南省永州市新田县龙泉街道工业南园支一路与支三路交叉口西南角（龙昶机械厂房二）</w:t>
                  </w:r>
                </w:p>
              </w:tc>
            </w:tr>
            <w:tr w14:paraId="40B4A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94" w:type="pct"/>
                  <w:tcBorders>
                    <w:tl2br w:val="nil"/>
                    <w:tr2bl w:val="nil"/>
                  </w:tcBorders>
                  <w:noWrap w:val="0"/>
                  <w:vAlign w:val="center"/>
                </w:tcPr>
                <w:p w14:paraId="174DE9AE">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地理坐标</w:t>
                  </w:r>
                </w:p>
              </w:tc>
              <w:tc>
                <w:tcPr>
                  <w:tcW w:w="4105" w:type="pct"/>
                  <w:tcBorders>
                    <w:tl2br w:val="nil"/>
                    <w:tr2bl w:val="nil"/>
                  </w:tcBorders>
                  <w:noWrap w:val="0"/>
                  <w:vAlign w:val="center"/>
                </w:tcPr>
                <w:p w14:paraId="742D103A">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eastAsia"/>
                      <w:color w:val="000000"/>
                      <w:szCs w:val="21"/>
                      <w:u w:val="none" w:color="auto"/>
                    </w:rPr>
                    <w:t>东经112度11分19.304秒，北纬25度53分53.180秒</w:t>
                  </w:r>
                </w:p>
              </w:tc>
            </w:tr>
            <w:tr w14:paraId="6C581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94" w:type="pct"/>
                  <w:tcBorders>
                    <w:tl2br w:val="nil"/>
                    <w:tr2bl w:val="nil"/>
                  </w:tcBorders>
                  <w:noWrap w:val="0"/>
                  <w:vAlign w:val="center"/>
                </w:tcPr>
                <w:p w14:paraId="1F80944E">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主要危险物质及分布</w:t>
                  </w:r>
                </w:p>
              </w:tc>
              <w:tc>
                <w:tcPr>
                  <w:tcW w:w="4105" w:type="pct"/>
                  <w:tcBorders>
                    <w:tl2br w:val="nil"/>
                    <w:tr2bl w:val="nil"/>
                  </w:tcBorders>
                  <w:noWrap w:val="0"/>
                  <w:vAlign w:val="center"/>
                </w:tcPr>
                <w:p w14:paraId="4F09EE97">
                  <w:pPr>
                    <w:keepNext w:val="0"/>
                    <w:keepLines w:val="0"/>
                    <w:widowControl/>
                    <w:suppressLineNumbers w:val="0"/>
                    <w:spacing w:line="180" w:lineRule="atLeast"/>
                    <w:jc w:val="center"/>
                    <w:rPr>
                      <w:rFonts w:hint="eastAsia" w:ascii="Times New Roman" w:hAnsi="Times New Roman" w:eastAsia="宋体" w:cs="Times New Roman"/>
                      <w:color w:val="000000"/>
                      <w:sz w:val="21"/>
                      <w:szCs w:val="21"/>
                      <w:u w:val="none" w:color="auto"/>
                      <w:lang w:val="en-US" w:eastAsia="zh-CN"/>
                    </w:rPr>
                  </w:pPr>
                  <w:r>
                    <w:rPr>
                      <w:sz w:val="21"/>
                      <w:szCs w:val="21"/>
                      <w:u w:val="none" w:color="auto"/>
                    </w:rPr>
                    <w:t>项目主要危险物质为</w:t>
                  </w:r>
                  <w:r>
                    <w:rPr>
                      <w:rFonts w:hint="eastAsia"/>
                      <w:sz w:val="21"/>
                      <w:szCs w:val="21"/>
                      <w:u w:val="none" w:color="auto"/>
                      <w:lang w:val="en-US" w:eastAsia="zh-CN"/>
                    </w:rPr>
                    <w:t>润滑油、液压油等危险化学品，</w:t>
                  </w:r>
                  <w:r>
                    <w:rPr>
                      <w:rFonts w:hint="eastAsia" w:cs="Times New Roman"/>
                      <w:color w:val="auto"/>
                      <w:szCs w:val="21"/>
                      <w:u w:val="none" w:color="auto"/>
                    </w:rPr>
                    <w:t>废</w:t>
                  </w:r>
                  <w:r>
                    <w:rPr>
                      <w:rFonts w:hint="eastAsia"/>
                      <w:sz w:val="21"/>
                      <w:szCs w:val="21"/>
                      <w:u w:val="none" w:color="auto"/>
                      <w:lang w:val="en-US" w:eastAsia="zh-CN"/>
                    </w:rPr>
                    <w:t>润滑油、废液压油</w:t>
                  </w:r>
                  <w:r>
                    <w:rPr>
                      <w:rFonts w:hint="eastAsia" w:cs="Times New Roman"/>
                      <w:color w:val="auto"/>
                      <w:szCs w:val="21"/>
                      <w:u w:val="none" w:color="auto"/>
                    </w:rPr>
                    <w:t>、废含油抹布及手套、废油桶</w:t>
                  </w:r>
                  <w:r>
                    <w:rPr>
                      <w:rFonts w:hint="eastAsia"/>
                      <w:sz w:val="21"/>
                      <w:szCs w:val="21"/>
                      <w:u w:val="none" w:color="auto"/>
                    </w:rPr>
                    <w:t>等危险废物</w:t>
                  </w:r>
                  <w:r>
                    <w:rPr>
                      <w:rFonts w:hint="eastAsia"/>
                      <w:sz w:val="21"/>
                      <w:szCs w:val="21"/>
                      <w:u w:val="none" w:color="auto"/>
                      <w:lang w:eastAsia="zh-CN"/>
                    </w:rPr>
                    <w:t>；</w:t>
                  </w:r>
                  <w:r>
                    <w:rPr>
                      <w:rFonts w:hint="eastAsia"/>
                      <w:sz w:val="21"/>
                      <w:szCs w:val="21"/>
                      <w:u w:val="none" w:color="auto"/>
                    </w:rPr>
                    <w:t>危险废物贮存于</w:t>
                  </w:r>
                  <w:r>
                    <w:rPr>
                      <w:rFonts w:hint="eastAsia"/>
                      <w:sz w:val="21"/>
                      <w:szCs w:val="21"/>
                      <w:u w:val="none" w:color="auto"/>
                      <w:lang w:val="en-US" w:eastAsia="zh-CN"/>
                    </w:rPr>
                    <w:t>厂区</w:t>
                  </w:r>
                  <w:r>
                    <w:rPr>
                      <w:rFonts w:hint="eastAsia"/>
                      <w:sz w:val="21"/>
                      <w:szCs w:val="21"/>
                      <w:u w:val="none" w:color="auto"/>
                    </w:rPr>
                    <w:t>危废暂存间</w:t>
                  </w:r>
                  <w:r>
                    <w:rPr>
                      <w:rFonts w:hint="eastAsia"/>
                      <w:sz w:val="21"/>
                      <w:szCs w:val="21"/>
                      <w:u w:val="none" w:color="auto"/>
                      <w:lang w:eastAsia="zh-CN"/>
                    </w:rPr>
                    <w:t>。</w:t>
                  </w:r>
                </w:p>
              </w:tc>
            </w:tr>
            <w:tr w14:paraId="12EA8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365" w:hRule="atLeast"/>
                <w:jc w:val="center"/>
              </w:trPr>
              <w:tc>
                <w:tcPr>
                  <w:tcW w:w="894" w:type="pct"/>
                  <w:tcBorders>
                    <w:tl2br w:val="nil"/>
                    <w:tr2bl w:val="nil"/>
                  </w:tcBorders>
                  <w:noWrap w:val="0"/>
                  <w:vAlign w:val="center"/>
                </w:tcPr>
                <w:p w14:paraId="5FA91C78">
                  <w:pPr>
                    <w:keepNext w:val="0"/>
                    <w:keepLines w:val="0"/>
                    <w:widowControl/>
                    <w:suppressLineNumbers w:val="0"/>
                    <w:spacing w:line="180" w:lineRule="atLeast"/>
                    <w:jc w:val="center"/>
                    <w:rPr>
                      <w:rFonts w:hint="eastAsia" w:ascii="Times New Roman" w:hAnsi="Times New Roman" w:eastAsia="宋体" w:cs="Times New Roman"/>
                      <w:color w:val="000000"/>
                      <w:sz w:val="21"/>
                      <w:szCs w:val="21"/>
                      <w:u w:val="none" w:color="auto"/>
                      <w:lang w:eastAsia="zh-CN"/>
                    </w:rPr>
                  </w:pPr>
                  <w:r>
                    <w:rPr>
                      <w:rFonts w:hint="default" w:ascii="Times New Roman" w:hAnsi="Times New Roman" w:eastAsia="宋体" w:cs="Times New Roman"/>
                      <w:color w:val="000000"/>
                      <w:sz w:val="21"/>
                      <w:szCs w:val="21"/>
                      <w:u w:val="none" w:color="auto"/>
                    </w:rPr>
                    <w:t>环境影响途径及危害后果</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大气、地表水、地下水等</w:t>
                  </w:r>
                  <w:r>
                    <w:rPr>
                      <w:rFonts w:hint="eastAsia" w:ascii="Times New Roman" w:hAnsi="Times New Roman" w:eastAsia="宋体" w:cs="Times New Roman"/>
                      <w:color w:val="000000"/>
                      <w:sz w:val="21"/>
                      <w:szCs w:val="21"/>
                      <w:u w:val="none" w:color="auto"/>
                      <w:lang w:eastAsia="zh-CN"/>
                    </w:rPr>
                    <w:t>）</w:t>
                  </w:r>
                </w:p>
              </w:tc>
              <w:tc>
                <w:tcPr>
                  <w:tcW w:w="4105" w:type="pct"/>
                  <w:tcBorders>
                    <w:tl2br w:val="nil"/>
                    <w:tr2bl w:val="nil"/>
                  </w:tcBorders>
                  <w:noWrap w:val="0"/>
                  <w:vAlign w:val="center"/>
                </w:tcPr>
                <w:p w14:paraId="6F44675A">
                  <w:pPr>
                    <w:keepNext w:val="0"/>
                    <w:keepLines w:val="0"/>
                    <w:pageBreakBefore w:val="0"/>
                    <w:numPr>
                      <w:ilvl w:val="0"/>
                      <w:numId w:val="0"/>
                    </w:numPr>
                    <w:kinsoku/>
                    <w:wordWrap/>
                    <w:topLinePunct w:val="0"/>
                    <w:bidi w:val="0"/>
                    <w:spacing w:line="240" w:lineRule="auto"/>
                    <w:rPr>
                      <w:rFonts w:hint="default" w:ascii="Times New Roman" w:hAnsi="Times New Roman" w:eastAsia="宋体" w:cs="Times New Roman"/>
                      <w:color w:val="000000"/>
                      <w:sz w:val="21"/>
                      <w:szCs w:val="21"/>
                      <w:u w:val="none" w:color="auto"/>
                      <w:lang w:eastAsia="zh-CN"/>
                    </w:rPr>
                  </w:pPr>
                  <w:r>
                    <w:rPr>
                      <w:rFonts w:ascii="Times New Roman" w:hAnsi="Times New Roman" w:eastAsia="宋体" w:cs="Times New Roman"/>
                      <w:color w:val="000000"/>
                      <w:sz w:val="21"/>
                      <w:szCs w:val="21"/>
                      <w:u w:val="none" w:color="auto"/>
                    </w:rPr>
                    <w:t>危废暂存间</w:t>
                  </w:r>
                  <w:r>
                    <w:rPr>
                      <w:rFonts w:hint="default" w:ascii="Times New Roman" w:hAnsi="Times New Roman" w:eastAsia="宋体" w:cs="Times New Roman"/>
                      <w:color w:val="000000"/>
                      <w:sz w:val="21"/>
                      <w:szCs w:val="21"/>
                      <w:u w:val="none" w:color="auto"/>
                      <w:lang w:eastAsia="zh-CN"/>
                    </w:rPr>
                    <w:t>发生</w:t>
                  </w:r>
                  <w:r>
                    <w:rPr>
                      <w:rFonts w:hint="eastAsia" w:cs="Times New Roman"/>
                      <w:color w:val="000000"/>
                      <w:sz w:val="21"/>
                      <w:szCs w:val="21"/>
                      <w:u w:val="none" w:color="auto"/>
                      <w:lang w:eastAsia="zh-CN"/>
                    </w:rPr>
                    <w:t>泄漏</w:t>
                  </w:r>
                  <w:r>
                    <w:rPr>
                      <w:rFonts w:hint="default" w:ascii="Times New Roman" w:hAnsi="Times New Roman" w:eastAsia="宋体" w:cs="Times New Roman"/>
                      <w:color w:val="000000"/>
                      <w:sz w:val="21"/>
                      <w:szCs w:val="21"/>
                      <w:u w:val="none" w:color="auto"/>
                      <w:lang w:eastAsia="zh-CN"/>
                    </w:rPr>
                    <w:t>会对水体造成污染；管理、操作不当或设备损害等因素，可能会引起火灾、爆炸事故，污染 周边大气；火灾事故释放的烟雾和气体会污染周边大气环境</w:t>
                  </w:r>
                  <w:r>
                    <w:rPr>
                      <w:rFonts w:hint="eastAsia" w:cs="Times New Roman"/>
                      <w:color w:val="000000"/>
                      <w:sz w:val="21"/>
                      <w:szCs w:val="21"/>
                      <w:u w:val="none" w:color="auto"/>
                      <w:lang w:eastAsia="zh-CN"/>
                    </w:rPr>
                    <w:t>。</w:t>
                  </w:r>
                </w:p>
              </w:tc>
            </w:tr>
            <w:tr w14:paraId="28727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538" w:hRule="atLeast"/>
                <w:jc w:val="center"/>
              </w:trPr>
              <w:tc>
                <w:tcPr>
                  <w:tcW w:w="894" w:type="pct"/>
                  <w:tcBorders>
                    <w:tl2br w:val="nil"/>
                    <w:tr2bl w:val="nil"/>
                  </w:tcBorders>
                  <w:noWrap w:val="0"/>
                  <w:vAlign w:val="center"/>
                </w:tcPr>
                <w:p w14:paraId="467F0FBB">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风险防范措施</w:t>
                  </w:r>
                </w:p>
              </w:tc>
              <w:tc>
                <w:tcPr>
                  <w:tcW w:w="4105" w:type="pct"/>
                  <w:tcBorders>
                    <w:tl2br w:val="nil"/>
                    <w:tr2bl w:val="nil"/>
                  </w:tcBorders>
                  <w:noWrap w:val="0"/>
                  <w:vAlign w:val="center"/>
                </w:tcPr>
                <w:p w14:paraId="145398CC">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lang w:val="en-US" w:eastAsia="zh-CN"/>
                    </w:rPr>
                  </w:pPr>
                  <w:r>
                    <w:rPr>
                      <w:rFonts w:hint="default" w:ascii="Times New Roman" w:hAnsi="Times New Roman" w:eastAsia="宋体" w:cs="Times New Roman"/>
                      <w:color w:val="000000"/>
                      <w:sz w:val="21"/>
                      <w:szCs w:val="21"/>
                      <w:u w:val="none" w:color="auto"/>
                    </w:rPr>
                    <w:t xml:space="preserve">总图布置严格按照规范的要求进行设计，严格控制各建、构筑物安全防护距离。加强职工的安全教育，提高安全防范风险的意识；针对运营中可能发生的异常现象和存在的安全隐患，设置合理可行的技术措施，制定严格的操作规程；建立健全安全、环境管理体系及高效的安全生产机构，一旦发生事故，要做到快速、高效、安全处置；在存放区处设立警告牌 </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严禁烟火</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 xml:space="preserve"> ；制定应急预案；严格执行各项要求</w:t>
                  </w:r>
                  <w:r>
                    <w:rPr>
                      <w:rFonts w:hint="eastAsia" w:ascii="Times New Roman" w:hAnsi="Times New Roman" w:eastAsia="宋体" w:cs="Times New Roman"/>
                      <w:b w:val="0"/>
                      <w:bCs w:val="0"/>
                      <w:color w:val="000000"/>
                      <w:kern w:val="2"/>
                      <w:sz w:val="21"/>
                      <w:szCs w:val="21"/>
                      <w:u w:val="none" w:color="auto"/>
                      <w:vertAlign w:val="baseline"/>
                      <w:lang w:val="en-US" w:eastAsia="zh-CN" w:bidi="ar"/>
                    </w:rPr>
                    <w:t>。</w:t>
                  </w:r>
                </w:p>
              </w:tc>
            </w:tr>
            <w:tr w14:paraId="42C577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894" w:type="pct"/>
                  <w:tcBorders>
                    <w:tl2br w:val="nil"/>
                    <w:tr2bl w:val="nil"/>
                  </w:tcBorders>
                  <w:noWrap w:val="0"/>
                  <w:vAlign w:val="center"/>
                </w:tcPr>
                <w:p w14:paraId="6198E9EF">
                  <w:pPr>
                    <w:keepNext w:val="0"/>
                    <w:keepLines w:val="0"/>
                    <w:widowControl/>
                    <w:suppressLineNumbers w:val="0"/>
                    <w:spacing w:line="180" w:lineRule="atLeast"/>
                    <w:jc w:val="center"/>
                    <w:rPr>
                      <w:rFonts w:hint="eastAsia" w:ascii="Times New Roman" w:hAnsi="Times New Roman" w:eastAsia="宋体" w:cs="Times New Roman"/>
                      <w:color w:val="000000"/>
                      <w:sz w:val="21"/>
                      <w:szCs w:val="21"/>
                      <w:u w:val="none" w:color="auto"/>
                      <w:lang w:eastAsia="zh-CN"/>
                    </w:rPr>
                  </w:pPr>
                  <w:r>
                    <w:rPr>
                      <w:rFonts w:hint="default" w:ascii="Times New Roman" w:hAnsi="Times New Roman" w:eastAsia="宋体" w:cs="Times New Roman"/>
                      <w:color w:val="000000"/>
                      <w:sz w:val="21"/>
                      <w:szCs w:val="21"/>
                      <w:u w:val="none" w:color="auto"/>
                    </w:rPr>
                    <w:t xml:space="preserve">填表说明 </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列出项目相关信息及评价说明</w:t>
                  </w:r>
                  <w:r>
                    <w:rPr>
                      <w:rFonts w:hint="eastAsia" w:ascii="Times New Roman" w:hAnsi="Times New Roman" w:eastAsia="宋体" w:cs="Times New Roman"/>
                      <w:color w:val="000000"/>
                      <w:sz w:val="21"/>
                      <w:szCs w:val="21"/>
                      <w:u w:val="none" w:color="auto"/>
                      <w:lang w:eastAsia="zh-CN"/>
                    </w:rPr>
                    <w:t>）</w:t>
                  </w:r>
                </w:p>
              </w:tc>
              <w:tc>
                <w:tcPr>
                  <w:tcW w:w="4105" w:type="pct"/>
                  <w:tcBorders>
                    <w:tl2br w:val="nil"/>
                    <w:tr2bl w:val="nil"/>
                  </w:tcBorders>
                  <w:noWrap w:val="0"/>
                  <w:vAlign w:val="center"/>
                </w:tcPr>
                <w:p w14:paraId="344A04C4">
                  <w:pPr>
                    <w:keepNext w:val="0"/>
                    <w:keepLines w:val="0"/>
                    <w:widowControl/>
                    <w:suppressLineNumbers w:val="0"/>
                    <w:spacing w:line="180" w:lineRule="atLeast"/>
                    <w:jc w:val="center"/>
                    <w:rPr>
                      <w:rFonts w:hint="default" w:ascii="Times New Roman" w:hAnsi="Times New Roman" w:eastAsia="宋体" w:cs="Times New Roman"/>
                      <w:color w:val="000000"/>
                      <w:sz w:val="21"/>
                      <w:szCs w:val="21"/>
                      <w:u w:val="none" w:color="auto"/>
                    </w:rPr>
                  </w:pPr>
                  <w:r>
                    <w:rPr>
                      <w:rFonts w:hint="default" w:ascii="Times New Roman" w:hAnsi="Times New Roman" w:eastAsia="宋体" w:cs="Times New Roman"/>
                      <w:color w:val="000000"/>
                      <w:sz w:val="21"/>
                      <w:szCs w:val="21"/>
                      <w:u w:val="none" w:color="auto"/>
                    </w:rPr>
                    <w:t>根据《建设项目环境风险评价技术导则》</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HJ169-2018</w:t>
                  </w:r>
                  <w:r>
                    <w:rPr>
                      <w:rFonts w:hint="eastAsia" w:ascii="Times New Roman" w:hAnsi="Times New Roman" w:eastAsia="宋体" w:cs="Times New Roman"/>
                      <w:color w:val="000000"/>
                      <w:sz w:val="21"/>
                      <w:szCs w:val="21"/>
                      <w:u w:val="none" w:color="auto"/>
                      <w:lang w:eastAsia="zh-CN"/>
                    </w:rPr>
                    <w:t>）</w:t>
                  </w:r>
                  <w:r>
                    <w:rPr>
                      <w:rFonts w:hint="default" w:ascii="Times New Roman" w:hAnsi="Times New Roman" w:eastAsia="宋体" w:cs="Times New Roman"/>
                      <w:color w:val="000000"/>
                      <w:sz w:val="21"/>
                      <w:szCs w:val="21"/>
                      <w:u w:val="none" w:color="auto"/>
                    </w:rPr>
                    <w:t>，本项目环境风险评价等级为简单分析，在采取本报告提出的风险防范措施后，本项 目环境风险水平在可接受范围内。</w:t>
                  </w:r>
                </w:p>
              </w:tc>
            </w:tr>
          </w:tbl>
          <w:p w14:paraId="0C944AF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z w:val="24"/>
                <w:szCs w:val="24"/>
                <w:u w:val="single" w:color="auto"/>
                <w:lang w:eastAsia="zh-CN"/>
              </w:rPr>
            </w:pPr>
            <w:r>
              <w:rPr>
                <w:rFonts w:hint="eastAsia"/>
                <w:bCs/>
                <w:color w:val="000000"/>
                <w:sz w:val="24"/>
                <w:szCs w:val="24"/>
                <w:u w:val="single" w:color="auto"/>
                <w:lang w:val="en-US" w:eastAsia="zh-CN"/>
              </w:rPr>
              <w:t xml:space="preserve"> </w:t>
            </w:r>
            <w:r>
              <w:rPr>
                <w:rFonts w:hint="eastAsia" w:cs="Times New Roman"/>
                <w:b/>
                <w:bCs/>
                <w:sz w:val="24"/>
                <w:szCs w:val="24"/>
                <w:u w:val="single" w:color="auto"/>
                <w:lang w:val="en-US" w:eastAsia="zh-CN"/>
              </w:rPr>
              <w:t>七</w:t>
            </w:r>
            <w:r>
              <w:rPr>
                <w:rFonts w:hint="default" w:ascii="Times New Roman" w:hAnsi="Times New Roman" w:eastAsia="宋体" w:cs="Times New Roman"/>
                <w:b/>
                <w:bCs/>
                <w:sz w:val="24"/>
                <w:szCs w:val="24"/>
                <w:u w:val="single" w:color="auto"/>
                <w:lang w:eastAsia="zh-CN"/>
              </w:rPr>
              <w:t>、环保投资</w:t>
            </w:r>
          </w:p>
          <w:p w14:paraId="76E35EA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sz w:val="24"/>
                <w:szCs w:val="24"/>
                <w:u w:val="single" w:color="auto"/>
                <w:lang w:eastAsia="zh-CN"/>
              </w:rPr>
            </w:pPr>
            <w:r>
              <w:rPr>
                <w:rFonts w:hint="default" w:ascii="Times New Roman" w:hAnsi="Times New Roman" w:eastAsia="宋体" w:cs="Times New Roman"/>
                <w:b w:val="0"/>
                <w:bCs w:val="0"/>
                <w:sz w:val="24"/>
                <w:szCs w:val="24"/>
                <w:u w:val="single" w:color="auto"/>
                <w:lang w:eastAsia="zh-CN"/>
              </w:rPr>
              <w:t>本项目总投资约</w:t>
            </w:r>
            <w:r>
              <w:rPr>
                <w:rFonts w:hint="eastAsia" w:cs="Times New Roman"/>
                <w:color w:val="000000"/>
                <w:sz w:val="24"/>
                <w:szCs w:val="24"/>
                <w:highlight w:val="none"/>
                <w:u w:val="single" w:color="auto"/>
                <w:lang w:val="en-US" w:eastAsia="zh-CN"/>
              </w:rPr>
              <w:t>400</w:t>
            </w:r>
            <w:r>
              <w:rPr>
                <w:rFonts w:hint="default" w:ascii="Times New Roman" w:hAnsi="Times New Roman" w:eastAsia="宋体" w:cs="Times New Roman"/>
                <w:b w:val="0"/>
                <w:bCs w:val="0"/>
                <w:sz w:val="24"/>
                <w:szCs w:val="24"/>
                <w:u w:val="single" w:color="auto"/>
                <w:lang w:eastAsia="zh-CN"/>
              </w:rPr>
              <w:t>万元，环保投资</w:t>
            </w:r>
            <w:r>
              <w:rPr>
                <w:rFonts w:hint="eastAsia" w:cs="Times New Roman"/>
                <w:b w:val="0"/>
                <w:bCs w:val="0"/>
                <w:sz w:val="24"/>
                <w:szCs w:val="24"/>
                <w:highlight w:val="none"/>
                <w:u w:val="single" w:color="auto"/>
                <w:lang w:val="en-US" w:eastAsia="zh-CN"/>
              </w:rPr>
              <w:t>23.5</w:t>
            </w:r>
            <w:r>
              <w:rPr>
                <w:rFonts w:hint="default" w:ascii="Times New Roman" w:hAnsi="Times New Roman" w:eastAsia="宋体" w:cs="Times New Roman"/>
                <w:b w:val="0"/>
                <w:bCs w:val="0"/>
                <w:sz w:val="24"/>
                <w:szCs w:val="24"/>
                <w:highlight w:val="none"/>
                <w:u w:val="single" w:color="auto"/>
                <w:lang w:eastAsia="zh-CN"/>
              </w:rPr>
              <w:t>万</w:t>
            </w:r>
            <w:r>
              <w:rPr>
                <w:rFonts w:hint="default" w:ascii="Times New Roman" w:hAnsi="Times New Roman" w:eastAsia="宋体" w:cs="Times New Roman"/>
                <w:b w:val="0"/>
                <w:bCs w:val="0"/>
                <w:sz w:val="24"/>
                <w:szCs w:val="24"/>
                <w:u w:val="single" w:color="auto"/>
                <w:lang w:eastAsia="zh-CN"/>
              </w:rPr>
              <w:t>元，占项目建设投资的比例为</w:t>
            </w:r>
            <w:r>
              <w:rPr>
                <w:rFonts w:hint="eastAsia" w:cs="Times New Roman"/>
                <w:b w:val="0"/>
                <w:bCs w:val="0"/>
                <w:sz w:val="24"/>
                <w:szCs w:val="24"/>
                <w:u w:val="single" w:color="auto"/>
                <w:lang w:val="en-US" w:eastAsia="zh-CN"/>
              </w:rPr>
              <w:t>5.9</w:t>
            </w:r>
            <w:r>
              <w:rPr>
                <w:rFonts w:hint="default" w:ascii="Times New Roman" w:hAnsi="Times New Roman" w:eastAsia="宋体" w:cs="Times New Roman"/>
                <w:b w:val="0"/>
                <w:bCs w:val="0"/>
                <w:sz w:val="24"/>
                <w:szCs w:val="24"/>
                <w:u w:val="single" w:color="auto"/>
                <w:lang w:eastAsia="zh-CN"/>
              </w:rPr>
              <w:t>% ，具体环保措施及投资情况见下表。</w:t>
            </w:r>
          </w:p>
          <w:p w14:paraId="7F335CD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sz w:val="24"/>
                <w:szCs w:val="24"/>
                <w:u w:val="single" w:color="auto"/>
                <w:lang w:eastAsia="zh-CN"/>
              </w:rPr>
            </w:pPr>
            <w:r>
              <w:rPr>
                <w:rFonts w:hint="default" w:ascii="Times New Roman" w:hAnsi="Times New Roman" w:eastAsia="宋体" w:cs="Times New Roman"/>
                <w:b/>
                <w:bCs/>
                <w:sz w:val="21"/>
                <w:szCs w:val="21"/>
                <w:u w:val="single" w:color="auto"/>
                <w:lang w:eastAsia="zh-CN"/>
              </w:rPr>
              <w:t>表4-</w:t>
            </w:r>
            <w:r>
              <w:rPr>
                <w:rFonts w:hint="eastAsia" w:cs="Times New Roman"/>
                <w:b/>
                <w:bCs/>
                <w:sz w:val="21"/>
                <w:szCs w:val="21"/>
                <w:u w:val="single" w:color="auto"/>
                <w:lang w:val="en-US" w:eastAsia="zh-CN"/>
              </w:rPr>
              <w:t>20</w:t>
            </w:r>
            <w:r>
              <w:rPr>
                <w:rFonts w:hint="default" w:ascii="Times New Roman" w:hAnsi="Times New Roman" w:eastAsia="宋体" w:cs="Times New Roman"/>
                <w:b/>
                <w:bCs/>
                <w:sz w:val="21"/>
                <w:szCs w:val="21"/>
                <w:u w:val="single" w:color="auto"/>
                <w:lang w:eastAsia="zh-CN"/>
              </w:rPr>
              <w:t xml:space="preserve">  项目环保设施投资估算表</w:t>
            </w:r>
          </w:p>
          <w:tbl>
            <w:tblPr>
              <w:tblStyle w:val="3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1"/>
              <w:gridCol w:w="819"/>
              <w:gridCol w:w="1512"/>
              <w:gridCol w:w="3897"/>
              <w:gridCol w:w="946"/>
            </w:tblGrid>
            <w:tr w14:paraId="215BAD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tcBorders>
                    <w:tl2br w:val="nil"/>
                    <w:tr2bl w:val="nil"/>
                  </w:tcBorders>
                  <w:noWrap w:val="0"/>
                  <w:vAlign w:val="center"/>
                </w:tcPr>
                <w:p w14:paraId="4F8C02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序</w:t>
                  </w:r>
                  <w:r>
                    <w:rPr>
                      <w:rFonts w:hint="default" w:ascii="Times New Roman" w:hAnsi="Times New Roman" w:eastAsia="宋体" w:cs="Times New Roman"/>
                      <w:spacing w:val="-6"/>
                      <w:sz w:val="21"/>
                      <w:szCs w:val="21"/>
                      <w:u w:val="single" w:color="auto"/>
                    </w:rPr>
                    <w:t>号</w:t>
                  </w:r>
                </w:p>
              </w:tc>
              <w:tc>
                <w:tcPr>
                  <w:tcW w:w="819" w:type="dxa"/>
                  <w:tcBorders>
                    <w:tl2br w:val="nil"/>
                    <w:tr2bl w:val="nil"/>
                  </w:tcBorders>
                  <w:noWrap w:val="0"/>
                  <w:vAlign w:val="center"/>
                </w:tcPr>
                <w:p w14:paraId="13C0B25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9"/>
                      <w:sz w:val="21"/>
                      <w:szCs w:val="21"/>
                      <w:u w:val="single" w:color="auto"/>
                    </w:rPr>
                    <w:t>环</w:t>
                  </w:r>
                  <w:r>
                    <w:rPr>
                      <w:rFonts w:hint="default" w:ascii="Times New Roman" w:hAnsi="Times New Roman" w:eastAsia="宋体" w:cs="Times New Roman"/>
                      <w:spacing w:val="8"/>
                      <w:sz w:val="21"/>
                      <w:szCs w:val="21"/>
                      <w:u w:val="single" w:color="auto"/>
                    </w:rPr>
                    <w:t>境工程项目</w:t>
                  </w:r>
                </w:p>
              </w:tc>
              <w:tc>
                <w:tcPr>
                  <w:tcW w:w="1512" w:type="dxa"/>
                  <w:tcBorders>
                    <w:tl2br w:val="nil"/>
                    <w:tr2bl w:val="nil"/>
                  </w:tcBorders>
                  <w:noWrap w:val="0"/>
                  <w:vAlign w:val="center"/>
                </w:tcPr>
                <w:p w14:paraId="7ABAED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污染物类</w:t>
                  </w:r>
                  <w:r>
                    <w:rPr>
                      <w:rFonts w:hint="default" w:ascii="Times New Roman" w:hAnsi="Times New Roman" w:eastAsia="宋体" w:cs="Times New Roman"/>
                      <w:spacing w:val="7"/>
                      <w:sz w:val="21"/>
                      <w:szCs w:val="21"/>
                      <w:u w:val="single" w:color="auto"/>
                    </w:rPr>
                    <w:t>别</w:t>
                  </w:r>
                </w:p>
              </w:tc>
              <w:tc>
                <w:tcPr>
                  <w:tcW w:w="3897" w:type="dxa"/>
                  <w:tcBorders>
                    <w:tl2br w:val="nil"/>
                    <w:tr2bl w:val="nil"/>
                  </w:tcBorders>
                  <w:noWrap w:val="0"/>
                  <w:vAlign w:val="center"/>
                </w:tcPr>
                <w:p w14:paraId="55E3A2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环</w:t>
                  </w:r>
                  <w:r>
                    <w:rPr>
                      <w:rFonts w:hint="default" w:ascii="Times New Roman" w:hAnsi="Times New Roman" w:eastAsia="宋体" w:cs="Times New Roman"/>
                      <w:spacing w:val="7"/>
                      <w:sz w:val="21"/>
                      <w:szCs w:val="21"/>
                      <w:u w:val="single" w:color="auto"/>
                    </w:rPr>
                    <w:t>保措施</w:t>
                  </w:r>
                </w:p>
              </w:tc>
              <w:tc>
                <w:tcPr>
                  <w:tcW w:w="946" w:type="dxa"/>
                  <w:tcBorders>
                    <w:tl2br w:val="nil"/>
                    <w:tr2bl w:val="nil"/>
                  </w:tcBorders>
                  <w:noWrap w:val="0"/>
                  <w:vAlign w:val="center"/>
                </w:tcPr>
                <w:p w14:paraId="040FD4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6"/>
                      <w:sz w:val="21"/>
                      <w:szCs w:val="21"/>
                      <w:u w:val="single" w:color="auto"/>
                    </w:rPr>
                  </w:pPr>
                  <w:r>
                    <w:rPr>
                      <w:rFonts w:hint="default" w:ascii="Times New Roman" w:hAnsi="Times New Roman" w:eastAsia="宋体" w:cs="Times New Roman"/>
                      <w:spacing w:val="6"/>
                      <w:sz w:val="21"/>
                      <w:szCs w:val="21"/>
                      <w:u w:val="single" w:color="auto"/>
                    </w:rPr>
                    <w:t>投资额</w:t>
                  </w:r>
                </w:p>
                <w:p w14:paraId="193728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u w:val="single" w:color="auto"/>
                      <w:lang w:eastAsia="zh-CN"/>
                    </w:rPr>
                  </w:pPr>
                  <w:r>
                    <w:rPr>
                      <w:rFonts w:hint="eastAsia" w:ascii="Times New Roman" w:hAnsi="Times New Roman" w:eastAsia="宋体" w:cs="Times New Roman"/>
                      <w:spacing w:val="6"/>
                      <w:sz w:val="21"/>
                      <w:szCs w:val="21"/>
                      <w:u w:val="single" w:color="auto"/>
                      <w:lang w:eastAsia="zh-CN"/>
                    </w:rPr>
                    <w:t>（</w:t>
                  </w:r>
                  <w:r>
                    <w:rPr>
                      <w:rFonts w:hint="default" w:ascii="Times New Roman" w:hAnsi="Times New Roman" w:eastAsia="宋体" w:cs="Times New Roman"/>
                      <w:spacing w:val="3"/>
                      <w:sz w:val="21"/>
                      <w:szCs w:val="21"/>
                      <w:u w:val="single" w:color="auto"/>
                    </w:rPr>
                    <w:t>万元</w:t>
                  </w:r>
                  <w:r>
                    <w:rPr>
                      <w:rFonts w:hint="eastAsia" w:ascii="Times New Roman" w:hAnsi="Times New Roman" w:eastAsia="宋体" w:cs="Times New Roman"/>
                      <w:spacing w:val="3"/>
                      <w:sz w:val="21"/>
                      <w:szCs w:val="21"/>
                      <w:u w:val="single" w:color="auto"/>
                      <w:lang w:eastAsia="zh-CN"/>
                    </w:rPr>
                    <w:t>）</w:t>
                  </w:r>
                </w:p>
              </w:tc>
            </w:tr>
            <w:tr w14:paraId="318AD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tcBorders>
                    <w:tl2br w:val="nil"/>
                    <w:tr2bl w:val="nil"/>
                  </w:tcBorders>
                  <w:noWrap w:val="0"/>
                  <w:vAlign w:val="center"/>
                </w:tcPr>
                <w:p w14:paraId="433D22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1</w:t>
                  </w:r>
                </w:p>
              </w:tc>
              <w:tc>
                <w:tcPr>
                  <w:tcW w:w="819" w:type="dxa"/>
                  <w:tcBorders>
                    <w:tl2br w:val="nil"/>
                    <w:tr2bl w:val="nil"/>
                  </w:tcBorders>
                  <w:noWrap w:val="0"/>
                  <w:vAlign w:val="center"/>
                </w:tcPr>
                <w:p w14:paraId="2390BF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10"/>
                      <w:sz w:val="21"/>
                      <w:szCs w:val="21"/>
                      <w:u w:val="single" w:color="auto"/>
                    </w:rPr>
                    <w:t>废</w:t>
                  </w:r>
                  <w:r>
                    <w:rPr>
                      <w:rFonts w:hint="default" w:ascii="Times New Roman" w:hAnsi="Times New Roman" w:eastAsia="宋体" w:cs="Times New Roman"/>
                      <w:spacing w:val="8"/>
                      <w:sz w:val="21"/>
                      <w:szCs w:val="21"/>
                      <w:u w:val="single" w:color="auto"/>
                    </w:rPr>
                    <w:t>水治理工程</w:t>
                  </w:r>
                </w:p>
              </w:tc>
              <w:tc>
                <w:tcPr>
                  <w:tcW w:w="1512" w:type="dxa"/>
                  <w:tcBorders>
                    <w:tl2br w:val="nil"/>
                    <w:tr2bl w:val="nil"/>
                  </w:tcBorders>
                  <w:noWrap w:val="0"/>
                  <w:vAlign w:val="center"/>
                </w:tcPr>
                <w:p w14:paraId="329ACD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7"/>
                      <w:sz w:val="21"/>
                      <w:szCs w:val="21"/>
                      <w:u w:val="single" w:color="auto"/>
                    </w:rPr>
                    <w:t>生活污</w:t>
                  </w:r>
                  <w:r>
                    <w:rPr>
                      <w:rFonts w:hint="default" w:ascii="Times New Roman" w:hAnsi="Times New Roman" w:eastAsia="宋体" w:cs="Times New Roman"/>
                      <w:spacing w:val="6"/>
                      <w:sz w:val="21"/>
                      <w:szCs w:val="21"/>
                      <w:u w:val="single" w:color="auto"/>
                    </w:rPr>
                    <w:t>水</w:t>
                  </w:r>
                </w:p>
              </w:tc>
              <w:tc>
                <w:tcPr>
                  <w:tcW w:w="3897" w:type="dxa"/>
                  <w:tcBorders>
                    <w:tl2br w:val="nil"/>
                    <w:tr2bl w:val="nil"/>
                  </w:tcBorders>
                  <w:noWrap w:val="0"/>
                  <w:vAlign w:val="center"/>
                </w:tcPr>
                <w:p w14:paraId="24F3C08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z w:val="21"/>
                      <w:szCs w:val="21"/>
                      <w:u w:val="single" w:color="auto"/>
                      <w:lang w:eastAsia="zh-CN"/>
                    </w:rPr>
                  </w:pPr>
                  <w:r>
                    <w:rPr>
                      <w:rFonts w:hint="default" w:ascii="Times New Roman" w:hAnsi="Times New Roman" w:eastAsia="宋体" w:cs="Times New Roman"/>
                      <w:spacing w:val="7"/>
                      <w:sz w:val="21"/>
                      <w:szCs w:val="21"/>
                      <w:u w:val="single" w:color="auto"/>
                    </w:rPr>
                    <w:t>化</w:t>
                  </w:r>
                  <w:r>
                    <w:rPr>
                      <w:rFonts w:hint="default" w:ascii="Times New Roman" w:hAnsi="Times New Roman" w:eastAsia="宋体" w:cs="Times New Roman"/>
                      <w:spacing w:val="6"/>
                      <w:sz w:val="21"/>
                      <w:szCs w:val="21"/>
                      <w:u w:val="single" w:color="auto"/>
                    </w:rPr>
                    <w:t>粪池</w:t>
                  </w:r>
                </w:p>
              </w:tc>
              <w:tc>
                <w:tcPr>
                  <w:tcW w:w="946" w:type="dxa"/>
                  <w:tcBorders>
                    <w:tl2br w:val="nil"/>
                    <w:tr2bl w:val="nil"/>
                  </w:tcBorders>
                  <w:noWrap w:val="0"/>
                  <w:vAlign w:val="center"/>
                </w:tcPr>
                <w:p w14:paraId="2BEFE9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依托</w:t>
                  </w:r>
                </w:p>
              </w:tc>
            </w:tr>
            <w:tr w14:paraId="5D08A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restart"/>
                  <w:tcBorders>
                    <w:tl2br w:val="nil"/>
                    <w:tr2bl w:val="nil"/>
                  </w:tcBorders>
                  <w:noWrap w:val="0"/>
                  <w:vAlign w:val="center"/>
                </w:tcPr>
                <w:p w14:paraId="5DABCC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2</w:t>
                  </w:r>
                </w:p>
              </w:tc>
              <w:tc>
                <w:tcPr>
                  <w:tcW w:w="819" w:type="dxa"/>
                  <w:vMerge w:val="restart"/>
                  <w:tcBorders>
                    <w:tl2br w:val="nil"/>
                    <w:tr2bl w:val="nil"/>
                  </w:tcBorders>
                  <w:noWrap w:val="0"/>
                  <w:vAlign w:val="center"/>
                </w:tcPr>
                <w:p w14:paraId="3C5573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10"/>
                      <w:sz w:val="21"/>
                      <w:szCs w:val="21"/>
                      <w:u w:val="single" w:color="auto"/>
                    </w:rPr>
                    <w:t>废</w:t>
                  </w:r>
                  <w:r>
                    <w:rPr>
                      <w:rFonts w:hint="default" w:ascii="Times New Roman" w:hAnsi="Times New Roman" w:eastAsia="宋体" w:cs="Times New Roman"/>
                      <w:spacing w:val="8"/>
                      <w:sz w:val="21"/>
                      <w:szCs w:val="21"/>
                      <w:u w:val="single" w:color="auto"/>
                    </w:rPr>
                    <w:t>气治理工程</w:t>
                  </w:r>
                </w:p>
              </w:tc>
              <w:tc>
                <w:tcPr>
                  <w:tcW w:w="1512" w:type="dxa"/>
                  <w:tcBorders>
                    <w:tl2br w:val="nil"/>
                    <w:tr2bl w:val="nil"/>
                  </w:tcBorders>
                  <w:noWrap w:val="0"/>
                  <w:vAlign w:val="center"/>
                </w:tcPr>
                <w:p w14:paraId="49536EF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spacing w:val="7"/>
                      <w:sz w:val="21"/>
                      <w:szCs w:val="21"/>
                      <w:u w:val="single" w:color="auto"/>
                      <w:lang w:eastAsia="zh-CN"/>
                    </w:rPr>
                  </w:pPr>
                  <w:r>
                    <w:rPr>
                      <w:rFonts w:hint="eastAsia" w:cs="Times New Roman"/>
                      <w:spacing w:val="-4"/>
                      <w:sz w:val="21"/>
                      <w:szCs w:val="21"/>
                      <w:u w:val="single" w:color="auto"/>
                      <w:lang w:val="en-US" w:eastAsia="zh-CN"/>
                    </w:rPr>
                    <w:t>破碎废气</w:t>
                  </w:r>
                </w:p>
              </w:tc>
              <w:tc>
                <w:tcPr>
                  <w:tcW w:w="3897" w:type="dxa"/>
                  <w:tcBorders>
                    <w:tl2br w:val="nil"/>
                    <w:tr2bl w:val="nil"/>
                  </w:tcBorders>
                  <w:noWrap w:val="0"/>
                  <w:vAlign w:val="center"/>
                </w:tcPr>
                <w:p w14:paraId="618B45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7"/>
                      <w:sz w:val="21"/>
                      <w:szCs w:val="21"/>
                      <w:u w:val="single" w:color="auto"/>
                    </w:rPr>
                  </w:pPr>
                  <w:r>
                    <w:rPr>
                      <w:rFonts w:hint="eastAsia"/>
                      <w:color w:val="auto"/>
                      <w:sz w:val="21"/>
                      <w:szCs w:val="21"/>
                      <w:u w:val="single" w:color="auto"/>
                      <w:lang w:val="en-US" w:eastAsia="zh-CN"/>
                    </w:rPr>
                    <w:t>“袋式除尘器</w:t>
                  </w:r>
                  <w:r>
                    <w:rPr>
                      <w:rFonts w:hint="eastAsia"/>
                      <w:color w:val="auto"/>
                      <w:sz w:val="21"/>
                      <w:szCs w:val="21"/>
                      <w:u w:val="single" w:color="auto"/>
                      <w:lang w:eastAsia="zh-CN"/>
                    </w:rPr>
                    <w:t>+</w:t>
                  </w:r>
                  <w:r>
                    <w:rPr>
                      <w:rFonts w:hint="eastAsia"/>
                      <w:color w:val="auto"/>
                      <w:sz w:val="21"/>
                      <w:szCs w:val="21"/>
                      <w:u w:val="single" w:color="auto"/>
                      <w:lang w:val="en-US" w:eastAsia="zh-CN"/>
                    </w:rPr>
                    <w:t>15</w:t>
                  </w:r>
                  <w:r>
                    <w:rPr>
                      <w:rFonts w:hint="eastAsia"/>
                      <w:color w:val="auto"/>
                      <w:sz w:val="21"/>
                      <w:szCs w:val="21"/>
                      <w:u w:val="single" w:color="auto"/>
                    </w:rPr>
                    <w:t>m高排气筒</w:t>
                  </w:r>
                  <w:r>
                    <w:rPr>
                      <w:rFonts w:hint="eastAsia"/>
                      <w:color w:val="auto"/>
                      <w:sz w:val="21"/>
                      <w:szCs w:val="21"/>
                      <w:u w:val="single" w:color="auto"/>
                      <w:lang w:val="en-US" w:eastAsia="zh-CN"/>
                    </w:rPr>
                    <w:t>”（1套）</w:t>
                  </w:r>
                </w:p>
              </w:tc>
              <w:tc>
                <w:tcPr>
                  <w:tcW w:w="946" w:type="dxa"/>
                  <w:tcBorders>
                    <w:tl2br w:val="nil"/>
                    <w:tr2bl w:val="nil"/>
                  </w:tcBorders>
                  <w:noWrap w:val="0"/>
                  <w:vAlign w:val="center"/>
                </w:tcPr>
                <w:p w14:paraId="4B56AC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5</w:t>
                  </w:r>
                </w:p>
              </w:tc>
            </w:tr>
            <w:tr w14:paraId="207C8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continue"/>
                  <w:tcBorders>
                    <w:tl2br w:val="nil"/>
                    <w:tr2bl w:val="nil"/>
                  </w:tcBorders>
                  <w:noWrap w:val="0"/>
                  <w:vAlign w:val="center"/>
                </w:tcPr>
                <w:p w14:paraId="07E778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819" w:type="dxa"/>
                  <w:vMerge w:val="continue"/>
                  <w:tcBorders>
                    <w:tl2br w:val="nil"/>
                    <w:tr2bl w:val="nil"/>
                  </w:tcBorders>
                  <w:noWrap w:val="0"/>
                  <w:vAlign w:val="center"/>
                </w:tcPr>
                <w:p w14:paraId="1FB0670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8"/>
                      <w:sz w:val="21"/>
                      <w:szCs w:val="21"/>
                      <w:u w:val="single" w:color="auto"/>
                    </w:rPr>
                  </w:pPr>
                </w:p>
              </w:tc>
              <w:tc>
                <w:tcPr>
                  <w:tcW w:w="1512" w:type="dxa"/>
                  <w:tcBorders>
                    <w:tl2br w:val="nil"/>
                    <w:tr2bl w:val="nil"/>
                  </w:tcBorders>
                  <w:noWrap w:val="0"/>
                  <w:vAlign w:val="center"/>
                </w:tcPr>
                <w:p w14:paraId="6A3B09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7"/>
                      <w:sz w:val="21"/>
                      <w:szCs w:val="21"/>
                      <w:u w:val="single" w:color="auto"/>
                    </w:rPr>
                  </w:pPr>
                  <w:r>
                    <w:rPr>
                      <w:rFonts w:hint="default" w:ascii="Times New Roman" w:hAnsi="Times New Roman" w:eastAsia="宋体" w:cs="Times New Roman"/>
                      <w:spacing w:val="7"/>
                      <w:sz w:val="21"/>
                      <w:szCs w:val="21"/>
                      <w:u w:val="single" w:color="auto"/>
                    </w:rPr>
                    <w:t>卸货堆存废气</w:t>
                  </w:r>
                </w:p>
              </w:tc>
              <w:tc>
                <w:tcPr>
                  <w:tcW w:w="3897" w:type="dxa"/>
                  <w:tcBorders>
                    <w:tl2br w:val="nil"/>
                    <w:tr2bl w:val="nil"/>
                  </w:tcBorders>
                  <w:noWrap w:val="0"/>
                  <w:vAlign w:val="center"/>
                </w:tcPr>
                <w:p w14:paraId="565913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pacing w:val="7"/>
                      <w:sz w:val="21"/>
                      <w:szCs w:val="21"/>
                      <w:u w:val="single" w:color="auto"/>
                    </w:rPr>
                  </w:pPr>
                  <w:r>
                    <w:rPr>
                      <w:rFonts w:hint="eastAsia"/>
                      <w:color w:val="auto"/>
                      <w:sz w:val="21"/>
                      <w:szCs w:val="21"/>
                      <w:u w:val="single" w:color="auto"/>
                      <w:lang w:val="en-US" w:eastAsia="zh-CN"/>
                    </w:rPr>
                    <w:t>“高压喷淋装置”（3套）</w:t>
                  </w:r>
                </w:p>
              </w:tc>
              <w:tc>
                <w:tcPr>
                  <w:tcW w:w="946" w:type="dxa"/>
                  <w:tcBorders>
                    <w:tl2br w:val="nil"/>
                    <w:tr2bl w:val="nil"/>
                  </w:tcBorders>
                  <w:noWrap w:val="0"/>
                  <w:vAlign w:val="center"/>
                </w:tcPr>
                <w:p w14:paraId="50EFDE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eastAsia="宋体" w:cs="Times New Roman"/>
                      <w:sz w:val="21"/>
                      <w:szCs w:val="21"/>
                      <w:u w:val="single" w:color="auto"/>
                      <w:lang w:val="en-US" w:eastAsia="zh-CN"/>
                    </w:rPr>
                    <w:t>10</w:t>
                  </w:r>
                </w:p>
              </w:tc>
            </w:tr>
            <w:tr w14:paraId="16FA7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continue"/>
                  <w:tcBorders>
                    <w:tl2br w:val="nil"/>
                    <w:tr2bl w:val="nil"/>
                  </w:tcBorders>
                  <w:noWrap w:val="0"/>
                  <w:vAlign w:val="center"/>
                </w:tcPr>
                <w:p w14:paraId="4551D4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819" w:type="dxa"/>
                  <w:vMerge w:val="continue"/>
                  <w:tcBorders>
                    <w:tl2br w:val="nil"/>
                    <w:tr2bl w:val="nil"/>
                  </w:tcBorders>
                  <w:noWrap w:val="0"/>
                  <w:vAlign w:val="center"/>
                </w:tcPr>
                <w:p w14:paraId="575A42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1512" w:type="dxa"/>
                  <w:tcBorders>
                    <w:tl2br w:val="nil"/>
                    <w:tr2bl w:val="nil"/>
                  </w:tcBorders>
                  <w:noWrap w:val="0"/>
                  <w:vAlign w:val="center"/>
                </w:tcPr>
                <w:p w14:paraId="22DAF3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eastAsia" w:cs="Times New Roman"/>
                      <w:spacing w:val="-4"/>
                      <w:sz w:val="21"/>
                      <w:szCs w:val="21"/>
                      <w:u w:val="single" w:color="auto"/>
                      <w:lang w:val="en-US" w:eastAsia="zh-CN"/>
                    </w:rPr>
                    <w:t>卸货堆放产生的异味</w:t>
                  </w:r>
                </w:p>
              </w:tc>
              <w:tc>
                <w:tcPr>
                  <w:tcW w:w="3897" w:type="dxa"/>
                  <w:tcBorders>
                    <w:tl2br w:val="nil"/>
                    <w:tr2bl w:val="nil"/>
                  </w:tcBorders>
                  <w:noWrap w:val="0"/>
                  <w:vAlign w:val="center"/>
                </w:tcPr>
                <w:p w14:paraId="400D45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olor w:val="auto"/>
                      <w:sz w:val="21"/>
                      <w:szCs w:val="21"/>
                      <w:u w:val="single" w:color="auto"/>
                      <w:lang w:val="en-US" w:eastAsia="zh-CN"/>
                    </w:rPr>
                    <w:t>加强车间通排风、定期喷洒除臭剂</w:t>
                  </w:r>
                </w:p>
              </w:tc>
              <w:tc>
                <w:tcPr>
                  <w:tcW w:w="946" w:type="dxa"/>
                  <w:tcBorders>
                    <w:tl2br w:val="nil"/>
                    <w:tr2bl w:val="nil"/>
                  </w:tcBorders>
                  <w:noWrap w:val="0"/>
                  <w:vAlign w:val="center"/>
                </w:tcPr>
                <w:p w14:paraId="1882EE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pacing w:val="-8"/>
                      <w:sz w:val="21"/>
                      <w:szCs w:val="21"/>
                      <w:u w:val="single" w:color="auto"/>
                      <w:lang w:val="en-US" w:eastAsia="zh-CN"/>
                    </w:rPr>
                    <w:t>2</w:t>
                  </w:r>
                </w:p>
              </w:tc>
            </w:tr>
            <w:tr w14:paraId="101AA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restart"/>
                  <w:tcBorders>
                    <w:tl2br w:val="nil"/>
                    <w:tr2bl w:val="nil"/>
                  </w:tcBorders>
                  <w:noWrap w:val="0"/>
                  <w:vAlign w:val="center"/>
                </w:tcPr>
                <w:p w14:paraId="182690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p>
              </w:tc>
              <w:tc>
                <w:tcPr>
                  <w:tcW w:w="819" w:type="dxa"/>
                  <w:vMerge w:val="restart"/>
                  <w:tcBorders>
                    <w:tl2br w:val="nil"/>
                    <w:tr2bl w:val="nil"/>
                  </w:tcBorders>
                  <w:noWrap w:val="0"/>
                  <w:vAlign w:val="center"/>
                </w:tcPr>
                <w:p w14:paraId="71EB56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6"/>
                      <w:sz w:val="21"/>
                      <w:szCs w:val="21"/>
                      <w:u w:val="single" w:color="auto"/>
                    </w:rPr>
                    <w:t>固</w:t>
                  </w:r>
                  <w:r>
                    <w:rPr>
                      <w:rFonts w:hint="default" w:ascii="Times New Roman" w:hAnsi="Times New Roman" w:eastAsia="宋体" w:cs="Times New Roman"/>
                      <w:spacing w:val="5"/>
                      <w:sz w:val="21"/>
                      <w:szCs w:val="21"/>
                      <w:u w:val="single" w:color="auto"/>
                    </w:rPr>
                    <w:t>废处置工程</w:t>
                  </w:r>
                </w:p>
              </w:tc>
              <w:tc>
                <w:tcPr>
                  <w:tcW w:w="1512" w:type="dxa"/>
                  <w:tcBorders>
                    <w:tl2br w:val="nil"/>
                    <w:tr2bl w:val="nil"/>
                  </w:tcBorders>
                  <w:noWrap w:val="0"/>
                  <w:vAlign w:val="center"/>
                </w:tcPr>
                <w:p w14:paraId="5BE1A3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一</w:t>
                  </w:r>
                  <w:r>
                    <w:rPr>
                      <w:rFonts w:hint="default" w:ascii="Times New Roman" w:hAnsi="Times New Roman" w:eastAsia="宋体" w:cs="Times New Roman"/>
                      <w:spacing w:val="6"/>
                      <w:sz w:val="21"/>
                      <w:szCs w:val="21"/>
                      <w:u w:val="single" w:color="auto"/>
                    </w:rPr>
                    <w:t>般固废</w:t>
                  </w:r>
                </w:p>
              </w:tc>
              <w:tc>
                <w:tcPr>
                  <w:tcW w:w="3897" w:type="dxa"/>
                  <w:tcBorders>
                    <w:tl2br w:val="nil"/>
                    <w:tr2bl w:val="nil"/>
                  </w:tcBorders>
                  <w:noWrap w:val="0"/>
                  <w:vAlign w:val="center"/>
                </w:tcPr>
                <w:p w14:paraId="4E1013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9"/>
                      <w:sz w:val="21"/>
                      <w:szCs w:val="21"/>
                      <w:u w:val="single" w:color="auto"/>
                    </w:rPr>
                    <w:t>一</w:t>
                  </w:r>
                  <w:r>
                    <w:rPr>
                      <w:rFonts w:hint="default" w:ascii="Times New Roman" w:hAnsi="Times New Roman" w:eastAsia="宋体" w:cs="Times New Roman"/>
                      <w:spacing w:val="8"/>
                      <w:sz w:val="21"/>
                      <w:szCs w:val="21"/>
                      <w:u w:val="single" w:color="auto"/>
                    </w:rPr>
                    <w:t>般固废暂存区</w:t>
                  </w:r>
                </w:p>
              </w:tc>
              <w:tc>
                <w:tcPr>
                  <w:tcW w:w="946" w:type="dxa"/>
                  <w:tcBorders>
                    <w:tl2br w:val="nil"/>
                    <w:tr2bl w:val="nil"/>
                  </w:tcBorders>
                  <w:noWrap w:val="0"/>
                  <w:vAlign w:val="center"/>
                </w:tcPr>
                <w:p w14:paraId="0EAA66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1</w:t>
                  </w:r>
                </w:p>
              </w:tc>
            </w:tr>
            <w:tr w14:paraId="1126C4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continue"/>
                  <w:tcBorders>
                    <w:tl2br w:val="nil"/>
                    <w:tr2bl w:val="nil"/>
                  </w:tcBorders>
                  <w:noWrap w:val="0"/>
                  <w:vAlign w:val="center"/>
                </w:tcPr>
                <w:p w14:paraId="5B415A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819" w:type="dxa"/>
                  <w:vMerge w:val="continue"/>
                  <w:tcBorders>
                    <w:tl2br w:val="nil"/>
                    <w:tr2bl w:val="nil"/>
                  </w:tcBorders>
                  <w:noWrap w:val="0"/>
                  <w:vAlign w:val="center"/>
                </w:tcPr>
                <w:p w14:paraId="361D28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1512" w:type="dxa"/>
                  <w:tcBorders>
                    <w:tl2br w:val="nil"/>
                    <w:tr2bl w:val="nil"/>
                  </w:tcBorders>
                  <w:noWrap w:val="0"/>
                  <w:vAlign w:val="center"/>
                </w:tcPr>
                <w:p w14:paraId="670EFB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9"/>
                      <w:sz w:val="21"/>
                      <w:szCs w:val="21"/>
                      <w:u w:val="single" w:color="auto"/>
                    </w:rPr>
                    <w:t>危</w:t>
                  </w:r>
                  <w:r>
                    <w:rPr>
                      <w:rFonts w:hint="default" w:ascii="Times New Roman" w:hAnsi="Times New Roman" w:eastAsia="宋体" w:cs="Times New Roman"/>
                      <w:spacing w:val="6"/>
                      <w:sz w:val="21"/>
                      <w:szCs w:val="21"/>
                      <w:u w:val="single" w:color="auto"/>
                    </w:rPr>
                    <w:t>险废物</w:t>
                  </w:r>
                </w:p>
              </w:tc>
              <w:tc>
                <w:tcPr>
                  <w:tcW w:w="3897" w:type="dxa"/>
                  <w:tcBorders>
                    <w:tl2br w:val="nil"/>
                    <w:tr2bl w:val="nil"/>
                  </w:tcBorders>
                  <w:noWrap w:val="0"/>
                  <w:vAlign w:val="center"/>
                </w:tcPr>
                <w:p w14:paraId="047DFC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10"/>
                      <w:sz w:val="21"/>
                      <w:szCs w:val="21"/>
                      <w:u w:val="single" w:color="auto"/>
                    </w:rPr>
                    <w:t>危</w:t>
                  </w:r>
                  <w:r>
                    <w:rPr>
                      <w:rFonts w:hint="default" w:ascii="Times New Roman" w:hAnsi="Times New Roman" w:eastAsia="宋体" w:cs="Times New Roman"/>
                      <w:spacing w:val="7"/>
                      <w:sz w:val="21"/>
                      <w:szCs w:val="21"/>
                      <w:u w:val="single" w:color="auto"/>
                    </w:rPr>
                    <w:t>废暂存间</w:t>
                  </w:r>
                </w:p>
              </w:tc>
              <w:tc>
                <w:tcPr>
                  <w:tcW w:w="946" w:type="dxa"/>
                  <w:tcBorders>
                    <w:tl2br w:val="nil"/>
                    <w:tr2bl w:val="nil"/>
                  </w:tcBorders>
                  <w:noWrap w:val="0"/>
                  <w:vAlign w:val="center"/>
                </w:tcPr>
                <w:p w14:paraId="128B84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3</w:t>
                  </w:r>
                </w:p>
              </w:tc>
            </w:tr>
            <w:tr w14:paraId="7CE34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vMerge w:val="continue"/>
                  <w:tcBorders>
                    <w:tl2br w:val="nil"/>
                    <w:tr2bl w:val="nil"/>
                  </w:tcBorders>
                  <w:noWrap w:val="0"/>
                  <w:vAlign w:val="center"/>
                </w:tcPr>
                <w:p w14:paraId="000B87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819" w:type="dxa"/>
                  <w:vMerge w:val="continue"/>
                  <w:tcBorders>
                    <w:tl2br w:val="nil"/>
                    <w:tr2bl w:val="nil"/>
                  </w:tcBorders>
                  <w:noWrap w:val="0"/>
                  <w:vAlign w:val="center"/>
                </w:tcPr>
                <w:p w14:paraId="5F6D7C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p>
              </w:tc>
              <w:tc>
                <w:tcPr>
                  <w:tcW w:w="1512" w:type="dxa"/>
                  <w:tcBorders>
                    <w:tl2br w:val="nil"/>
                    <w:tr2bl w:val="nil"/>
                  </w:tcBorders>
                  <w:noWrap w:val="0"/>
                  <w:vAlign w:val="center"/>
                </w:tcPr>
                <w:p w14:paraId="0EC476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7"/>
                      <w:sz w:val="21"/>
                      <w:szCs w:val="21"/>
                      <w:u w:val="single" w:color="auto"/>
                    </w:rPr>
                    <w:t>生活垃</w:t>
                  </w:r>
                  <w:r>
                    <w:rPr>
                      <w:rFonts w:hint="default" w:ascii="Times New Roman" w:hAnsi="Times New Roman" w:eastAsia="宋体" w:cs="Times New Roman"/>
                      <w:spacing w:val="6"/>
                      <w:sz w:val="21"/>
                      <w:szCs w:val="21"/>
                      <w:u w:val="single" w:color="auto"/>
                    </w:rPr>
                    <w:t>圾</w:t>
                  </w:r>
                </w:p>
              </w:tc>
              <w:tc>
                <w:tcPr>
                  <w:tcW w:w="3897" w:type="dxa"/>
                  <w:tcBorders>
                    <w:tl2br w:val="nil"/>
                    <w:tr2bl w:val="nil"/>
                  </w:tcBorders>
                  <w:noWrap w:val="0"/>
                  <w:vAlign w:val="center"/>
                </w:tcPr>
                <w:p w14:paraId="221209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7"/>
                      <w:sz w:val="21"/>
                      <w:szCs w:val="21"/>
                      <w:u w:val="single" w:color="auto"/>
                    </w:rPr>
                    <w:t>垃</w:t>
                  </w:r>
                  <w:r>
                    <w:rPr>
                      <w:rFonts w:hint="default" w:ascii="Times New Roman" w:hAnsi="Times New Roman" w:eastAsia="宋体" w:cs="Times New Roman"/>
                      <w:spacing w:val="6"/>
                      <w:sz w:val="21"/>
                      <w:szCs w:val="21"/>
                      <w:u w:val="single" w:color="auto"/>
                    </w:rPr>
                    <w:t>圾桶</w:t>
                  </w:r>
                </w:p>
              </w:tc>
              <w:tc>
                <w:tcPr>
                  <w:tcW w:w="946" w:type="dxa"/>
                  <w:tcBorders>
                    <w:tl2br w:val="nil"/>
                    <w:tr2bl w:val="nil"/>
                  </w:tcBorders>
                  <w:noWrap w:val="0"/>
                  <w:vAlign w:val="center"/>
                </w:tcPr>
                <w:p w14:paraId="228E3C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0.5</w:t>
                  </w:r>
                </w:p>
              </w:tc>
            </w:tr>
            <w:tr w14:paraId="4EE90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1" w:type="dxa"/>
                  <w:tcBorders>
                    <w:tl2br w:val="nil"/>
                    <w:tr2bl w:val="nil"/>
                  </w:tcBorders>
                  <w:noWrap w:val="0"/>
                  <w:vAlign w:val="center"/>
                </w:tcPr>
                <w:p w14:paraId="0BE067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1"/>
                      <w:sz w:val="21"/>
                      <w:szCs w:val="21"/>
                      <w:u w:val="single" w:color="auto"/>
                    </w:rPr>
                    <w:t>4</w:t>
                  </w:r>
                </w:p>
              </w:tc>
              <w:tc>
                <w:tcPr>
                  <w:tcW w:w="819" w:type="dxa"/>
                  <w:tcBorders>
                    <w:tl2br w:val="nil"/>
                    <w:tr2bl w:val="nil"/>
                  </w:tcBorders>
                  <w:noWrap w:val="0"/>
                  <w:vAlign w:val="center"/>
                </w:tcPr>
                <w:p w14:paraId="3EB1F6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9"/>
                      <w:sz w:val="21"/>
                      <w:szCs w:val="21"/>
                      <w:u w:val="single" w:color="auto"/>
                    </w:rPr>
                    <w:t>噪</w:t>
                  </w:r>
                  <w:r>
                    <w:rPr>
                      <w:rFonts w:hint="default" w:ascii="Times New Roman" w:hAnsi="Times New Roman" w:eastAsia="宋体" w:cs="Times New Roman"/>
                      <w:spacing w:val="6"/>
                      <w:sz w:val="21"/>
                      <w:szCs w:val="21"/>
                      <w:u w:val="single" w:color="auto"/>
                    </w:rPr>
                    <w:t>声治理工程</w:t>
                  </w:r>
                </w:p>
              </w:tc>
              <w:tc>
                <w:tcPr>
                  <w:tcW w:w="1512" w:type="dxa"/>
                  <w:tcBorders>
                    <w:tl2br w:val="nil"/>
                    <w:tr2bl w:val="nil"/>
                  </w:tcBorders>
                  <w:noWrap w:val="0"/>
                  <w:vAlign w:val="center"/>
                </w:tcPr>
                <w:p w14:paraId="76ABF0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8"/>
                      <w:sz w:val="21"/>
                      <w:szCs w:val="21"/>
                      <w:u w:val="single" w:color="auto"/>
                    </w:rPr>
                  </w:pPr>
                  <w:r>
                    <w:rPr>
                      <w:rFonts w:hint="default" w:ascii="Times New Roman" w:hAnsi="Times New Roman" w:eastAsia="宋体" w:cs="Times New Roman"/>
                      <w:spacing w:val="8"/>
                      <w:sz w:val="21"/>
                      <w:szCs w:val="21"/>
                      <w:u w:val="single" w:color="auto"/>
                    </w:rPr>
                    <w:t>生产设备</w:t>
                  </w:r>
                </w:p>
                <w:p w14:paraId="681ADB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噪</w:t>
                  </w:r>
                  <w:r>
                    <w:rPr>
                      <w:rFonts w:hint="default" w:ascii="Times New Roman" w:hAnsi="Times New Roman" w:eastAsia="宋体" w:cs="Times New Roman"/>
                      <w:spacing w:val="7"/>
                      <w:sz w:val="21"/>
                      <w:szCs w:val="21"/>
                      <w:u w:val="single" w:color="auto"/>
                    </w:rPr>
                    <w:t>声</w:t>
                  </w:r>
                </w:p>
              </w:tc>
              <w:tc>
                <w:tcPr>
                  <w:tcW w:w="3897" w:type="dxa"/>
                  <w:tcBorders>
                    <w:tl2br w:val="nil"/>
                    <w:tr2bl w:val="nil"/>
                  </w:tcBorders>
                  <w:noWrap w:val="0"/>
                  <w:vAlign w:val="center"/>
                </w:tcPr>
                <w:p w14:paraId="043C8A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pacing w:val="12"/>
                      <w:sz w:val="21"/>
                      <w:szCs w:val="21"/>
                      <w:u w:val="single" w:color="auto"/>
                    </w:rPr>
                    <w:t>隔</w:t>
                  </w:r>
                  <w:r>
                    <w:rPr>
                      <w:rFonts w:hint="default" w:ascii="Times New Roman" w:hAnsi="Times New Roman" w:eastAsia="宋体" w:cs="Times New Roman"/>
                      <w:spacing w:val="7"/>
                      <w:sz w:val="21"/>
                      <w:szCs w:val="21"/>
                      <w:u w:val="single" w:color="auto"/>
                    </w:rPr>
                    <w:t>声、</w:t>
                  </w:r>
                  <w:r>
                    <w:rPr>
                      <w:rFonts w:hint="eastAsia" w:ascii="Times New Roman" w:hAnsi="Times New Roman" w:eastAsia="宋体" w:cs="Times New Roman"/>
                      <w:spacing w:val="7"/>
                      <w:sz w:val="21"/>
                      <w:szCs w:val="21"/>
                      <w:u w:val="single" w:color="auto"/>
                      <w:lang w:val="en-US" w:eastAsia="zh-CN"/>
                    </w:rPr>
                    <w:t>设备安装</w:t>
                  </w:r>
                  <w:r>
                    <w:rPr>
                      <w:rFonts w:hint="eastAsia" w:cs="Times New Roman"/>
                      <w:spacing w:val="7"/>
                      <w:sz w:val="21"/>
                      <w:szCs w:val="21"/>
                      <w:u w:val="single" w:color="auto"/>
                      <w:lang w:val="en-US" w:eastAsia="zh-CN"/>
                    </w:rPr>
                    <w:t>减振</w:t>
                  </w:r>
                  <w:r>
                    <w:rPr>
                      <w:rFonts w:hint="eastAsia" w:ascii="Times New Roman" w:hAnsi="Times New Roman" w:eastAsia="宋体" w:cs="Times New Roman"/>
                      <w:spacing w:val="7"/>
                      <w:sz w:val="21"/>
                      <w:szCs w:val="21"/>
                      <w:u w:val="single" w:color="auto"/>
                      <w:lang w:val="en-US" w:eastAsia="zh-CN"/>
                    </w:rPr>
                    <w:t>措施</w:t>
                  </w:r>
                </w:p>
              </w:tc>
              <w:tc>
                <w:tcPr>
                  <w:tcW w:w="946" w:type="dxa"/>
                  <w:tcBorders>
                    <w:tl2br w:val="nil"/>
                    <w:tr2bl w:val="nil"/>
                  </w:tcBorders>
                  <w:noWrap w:val="0"/>
                  <w:vAlign w:val="center"/>
                </w:tcPr>
                <w:p w14:paraId="224A38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val="en-US" w:eastAsia="zh-CN"/>
                    </w:rPr>
                    <w:t>2</w:t>
                  </w:r>
                </w:p>
              </w:tc>
            </w:tr>
            <w:tr w14:paraId="66D3E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260" w:type="dxa"/>
                  <w:gridSpan w:val="2"/>
                  <w:tcBorders>
                    <w:tl2br w:val="nil"/>
                    <w:tr2bl w:val="nil"/>
                  </w:tcBorders>
                  <w:noWrap w:val="0"/>
                  <w:vAlign w:val="center"/>
                </w:tcPr>
                <w:p w14:paraId="0A99B5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eastAsia" w:cs="Times New Roman"/>
                      <w:spacing w:val="4"/>
                      <w:sz w:val="21"/>
                      <w:szCs w:val="21"/>
                      <w:u w:val="single" w:color="auto"/>
                      <w:lang w:eastAsia="zh-CN"/>
                    </w:rPr>
                    <w:t xml:space="preserve"> </w:t>
                  </w:r>
                  <w:r>
                    <w:rPr>
                      <w:rFonts w:hint="default" w:ascii="Times New Roman" w:hAnsi="Times New Roman" w:eastAsia="宋体" w:cs="Times New Roman"/>
                      <w:spacing w:val="4"/>
                      <w:sz w:val="21"/>
                      <w:szCs w:val="21"/>
                      <w:u w:val="single" w:color="auto"/>
                    </w:rPr>
                    <w:t>合计</w:t>
                  </w:r>
                </w:p>
              </w:tc>
              <w:tc>
                <w:tcPr>
                  <w:tcW w:w="1512" w:type="dxa"/>
                  <w:tcBorders>
                    <w:tl2br w:val="nil"/>
                    <w:tr2bl w:val="nil"/>
                  </w:tcBorders>
                  <w:noWrap w:val="0"/>
                  <w:vAlign w:val="center"/>
                </w:tcPr>
                <w:p w14:paraId="6FF3F7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39"/>
                      <w:sz w:val="21"/>
                      <w:szCs w:val="21"/>
                      <w:u w:val="single" w:color="auto"/>
                    </w:rPr>
                    <w:t>-</w:t>
                  </w:r>
                  <w:r>
                    <w:rPr>
                      <w:rFonts w:hint="default" w:ascii="Times New Roman" w:hAnsi="Times New Roman" w:eastAsia="宋体" w:cs="Times New Roman"/>
                      <w:spacing w:val="38"/>
                      <w:sz w:val="21"/>
                      <w:szCs w:val="21"/>
                      <w:u w:val="single" w:color="auto"/>
                    </w:rPr>
                    <w:t>-</w:t>
                  </w:r>
                </w:p>
              </w:tc>
              <w:tc>
                <w:tcPr>
                  <w:tcW w:w="3897" w:type="dxa"/>
                  <w:tcBorders>
                    <w:tl2br w:val="nil"/>
                    <w:tr2bl w:val="nil"/>
                  </w:tcBorders>
                  <w:noWrap w:val="0"/>
                  <w:vAlign w:val="center"/>
                </w:tcPr>
                <w:p w14:paraId="22AFFA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39"/>
                      <w:sz w:val="21"/>
                      <w:szCs w:val="21"/>
                      <w:u w:val="single" w:color="auto"/>
                    </w:rPr>
                    <w:t>-</w:t>
                  </w:r>
                  <w:r>
                    <w:rPr>
                      <w:rFonts w:hint="default" w:ascii="Times New Roman" w:hAnsi="Times New Roman" w:eastAsia="宋体" w:cs="Times New Roman"/>
                      <w:spacing w:val="38"/>
                      <w:sz w:val="21"/>
                      <w:szCs w:val="21"/>
                      <w:u w:val="single" w:color="auto"/>
                    </w:rPr>
                    <w:t>-</w:t>
                  </w:r>
                </w:p>
              </w:tc>
              <w:tc>
                <w:tcPr>
                  <w:tcW w:w="946" w:type="dxa"/>
                  <w:tcBorders>
                    <w:tl2br w:val="nil"/>
                    <w:tr2bl w:val="nil"/>
                  </w:tcBorders>
                  <w:noWrap w:val="0"/>
                  <w:vAlign w:val="center"/>
                </w:tcPr>
                <w:p w14:paraId="13B2B6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23.5</w:t>
                  </w:r>
                </w:p>
              </w:tc>
            </w:tr>
          </w:tbl>
          <w:p w14:paraId="1842DEE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r>
              <w:rPr>
                <w:rFonts w:hint="eastAsia"/>
                <w:bCs/>
                <w:color w:val="000000"/>
                <w:sz w:val="24"/>
                <w:szCs w:val="24"/>
                <w:u w:val="none" w:color="auto"/>
                <w:lang w:val="en-US" w:eastAsia="zh-CN"/>
              </w:rPr>
              <w:t xml:space="preserve"> </w:t>
            </w:r>
          </w:p>
          <w:p w14:paraId="63CE9EA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4290F5F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220CF6D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54ECFCF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022C3FE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058C3F31">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05FF481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1D74FCB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63189BF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15279EA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4788923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5FEA63C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75EE7B0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5A68072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7909EA8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5A5EE70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68678C1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color w:val="000000"/>
                <w:sz w:val="24"/>
                <w:szCs w:val="24"/>
                <w:u w:val="none" w:color="auto"/>
                <w:lang w:val="en-US" w:eastAsia="zh-CN"/>
              </w:rPr>
            </w:pPr>
          </w:p>
          <w:p w14:paraId="510DB8A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bCs/>
                <w:color w:val="000000"/>
                <w:sz w:val="24"/>
                <w:szCs w:val="24"/>
                <w:u w:val="none" w:color="auto"/>
                <w:lang w:val="en-US" w:eastAsia="zh-CN"/>
              </w:rPr>
            </w:pPr>
          </w:p>
        </w:tc>
      </w:tr>
    </w:tbl>
    <w:p w14:paraId="3FB6E1C0">
      <w:pPr>
        <w:numPr>
          <w:ilvl w:val="0"/>
          <w:numId w:val="0"/>
        </w:num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70BF153">
      <w:pPr>
        <w:numPr>
          <w:ilvl w:val="0"/>
          <w:numId w:val="0"/>
        </w:numPr>
        <w:jc w:val="center"/>
        <w:outlineLvl w:val="0"/>
        <w:rPr>
          <w:rFonts w:hint="eastAsia" w:ascii="黑体" w:hAnsi="黑体" w:eastAsia="黑体" w:cs="Times New Roman"/>
          <w:snapToGrid w:val="0"/>
          <w:color w:val="000000"/>
          <w:sz w:val="30"/>
          <w:szCs w:val="30"/>
          <w:u w:val="single" w:color="auto"/>
        </w:rPr>
      </w:pPr>
      <w:bookmarkStart w:id="147" w:name="_Toc9948"/>
      <w:bookmarkStart w:id="148" w:name="_Toc25405"/>
      <w:bookmarkStart w:id="149" w:name="_Hlk54167917"/>
      <w:bookmarkStart w:id="150" w:name="_Toc7739"/>
      <w:bookmarkStart w:id="151" w:name="_Toc5969"/>
      <w:bookmarkStart w:id="152" w:name="_Toc6878"/>
      <w:bookmarkStart w:id="153" w:name="_Toc4338"/>
      <w:bookmarkStart w:id="154" w:name="_Toc13169"/>
      <w:bookmarkStart w:id="155" w:name="_Toc20989"/>
      <w:bookmarkStart w:id="156" w:name="_Toc6395"/>
      <w:bookmarkStart w:id="157" w:name="_Toc2824"/>
      <w:bookmarkStart w:id="158" w:name="_Toc31365"/>
      <w:bookmarkStart w:id="159" w:name="_Toc1509"/>
      <w:bookmarkStart w:id="160" w:name="_Toc12217"/>
      <w:bookmarkStart w:id="161" w:name="_Toc27466"/>
      <w:r>
        <w:rPr>
          <w:rFonts w:hint="eastAsia" w:ascii="黑体" w:hAnsi="黑体" w:eastAsia="黑体" w:cs="Times New Roman"/>
          <w:snapToGrid w:val="0"/>
          <w:color w:val="000000"/>
          <w:kern w:val="2"/>
          <w:sz w:val="30"/>
          <w:szCs w:val="30"/>
          <w:u w:val="single" w:color="auto"/>
          <w:lang w:val="en-US" w:eastAsia="zh-CN" w:bidi="ar-SA"/>
        </w:rPr>
        <w:t>五、</w:t>
      </w:r>
      <w:r>
        <w:rPr>
          <w:rFonts w:hint="eastAsia" w:ascii="黑体" w:hAnsi="黑体" w:eastAsia="黑体" w:cs="Times New Roman"/>
          <w:snapToGrid w:val="0"/>
          <w:color w:val="000000"/>
          <w:sz w:val="30"/>
          <w:szCs w:val="30"/>
          <w:u w:val="single" w:color="auto"/>
        </w:rPr>
        <w:t>环境保护措施监督检查清单</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646"/>
        <w:gridCol w:w="1412"/>
        <w:gridCol w:w="1721"/>
        <w:gridCol w:w="2"/>
        <w:gridCol w:w="2410"/>
      </w:tblGrid>
      <w:tr w14:paraId="5170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tcBorders>
              <w:tl2br w:val="single" w:color="auto" w:sz="4" w:space="0"/>
            </w:tcBorders>
            <w:noWrap w:val="0"/>
            <w:vAlign w:val="center"/>
          </w:tcPr>
          <w:p w14:paraId="6B541D3C">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eastAsia" w:ascii="Times New Roman" w:hAnsi="Times New Roman" w:eastAsia="宋体" w:cs="Times New Roman"/>
                <w:b/>
                <w:bCs/>
                <w:color w:val="000000"/>
                <w:sz w:val="21"/>
                <w:szCs w:val="21"/>
                <w:u w:val="single" w:color="auto"/>
                <w:lang w:val="en-US" w:eastAsia="zh-CN"/>
              </w:rPr>
              <w:t xml:space="preserve">     </w:t>
            </w:r>
            <w:r>
              <w:rPr>
                <w:rFonts w:hint="default" w:ascii="Times New Roman" w:hAnsi="Times New Roman" w:eastAsia="宋体" w:cs="Times New Roman"/>
                <w:b/>
                <w:bCs/>
                <w:color w:val="000000"/>
                <w:sz w:val="21"/>
                <w:szCs w:val="21"/>
                <w:u w:val="single" w:color="auto"/>
                <w:lang w:val="en-US" w:eastAsia="zh-CN"/>
              </w:rPr>
              <w:t>内容</w:t>
            </w:r>
          </w:p>
          <w:p w14:paraId="476F3AA9">
            <w:pPr>
              <w:keepNext w:val="0"/>
              <w:keepLines w:val="0"/>
              <w:pageBreakBefore w:val="0"/>
              <w:kinsoku/>
              <w:wordWrap/>
              <w:overflowPunct/>
              <w:topLinePunct w:val="0"/>
              <w:autoSpaceDE/>
              <w:autoSpaceDN/>
              <w:bidi w:val="0"/>
              <w:adjustRightInd w:val="0"/>
              <w:snapToGrid w:val="0"/>
              <w:spacing w:beforeAutospacing="0" w:afterAutospacing="0"/>
              <w:jc w:val="both"/>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要素</w:t>
            </w:r>
          </w:p>
        </w:tc>
        <w:tc>
          <w:tcPr>
            <w:tcW w:w="967" w:type="pct"/>
            <w:tcBorders>
              <w:tl2br w:val="nil"/>
              <w:tr2bl w:val="nil"/>
            </w:tcBorders>
            <w:noWrap w:val="0"/>
            <w:vAlign w:val="center"/>
          </w:tcPr>
          <w:p w14:paraId="276ACCB7">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排放口</w:t>
            </w:r>
            <w:r>
              <w:rPr>
                <w:rFonts w:hint="eastAsia" w:ascii="Times New Roman" w:hAnsi="Times New Roman" w:eastAsia="宋体" w:cs="Times New Roman"/>
                <w:b/>
                <w:bCs/>
                <w:color w:val="000000"/>
                <w:sz w:val="21"/>
                <w:szCs w:val="21"/>
                <w:u w:val="single" w:color="auto"/>
                <w:lang w:val="en-US" w:eastAsia="zh-CN"/>
              </w:rPr>
              <w:t>（</w:t>
            </w:r>
            <w:r>
              <w:rPr>
                <w:rFonts w:hint="default" w:ascii="Times New Roman" w:hAnsi="Times New Roman" w:eastAsia="宋体" w:cs="Times New Roman"/>
                <w:b/>
                <w:bCs/>
                <w:color w:val="000000"/>
                <w:sz w:val="21"/>
                <w:szCs w:val="21"/>
                <w:u w:val="single" w:color="auto"/>
                <w:lang w:val="en-US" w:eastAsia="zh-CN"/>
              </w:rPr>
              <w:t>编号、</w:t>
            </w:r>
          </w:p>
          <w:p w14:paraId="2FCAF766">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名称</w:t>
            </w:r>
            <w:r>
              <w:rPr>
                <w:rFonts w:hint="eastAsia" w:ascii="Times New Roman" w:hAnsi="Times New Roman" w:eastAsia="宋体" w:cs="Times New Roman"/>
                <w:b/>
                <w:bCs/>
                <w:color w:val="000000"/>
                <w:sz w:val="21"/>
                <w:szCs w:val="21"/>
                <w:u w:val="single" w:color="auto"/>
                <w:lang w:val="en-US" w:eastAsia="zh-CN"/>
              </w:rPr>
              <w:t>）</w:t>
            </w:r>
            <w:r>
              <w:rPr>
                <w:rFonts w:hint="default" w:ascii="Times New Roman" w:hAnsi="Times New Roman" w:eastAsia="宋体" w:cs="Times New Roman"/>
                <w:b/>
                <w:bCs/>
                <w:color w:val="000000"/>
                <w:sz w:val="21"/>
                <w:szCs w:val="21"/>
                <w:u w:val="single" w:color="auto"/>
                <w:lang w:val="en-US" w:eastAsia="zh-CN"/>
              </w:rPr>
              <w:t>/污染源</w:t>
            </w:r>
          </w:p>
        </w:tc>
        <w:tc>
          <w:tcPr>
            <w:tcW w:w="829" w:type="pct"/>
            <w:tcBorders>
              <w:tl2br w:val="nil"/>
              <w:tr2bl w:val="nil"/>
            </w:tcBorders>
            <w:noWrap w:val="0"/>
            <w:vAlign w:val="center"/>
          </w:tcPr>
          <w:p w14:paraId="6B56D0E4">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污染物项目</w:t>
            </w:r>
          </w:p>
        </w:tc>
        <w:tc>
          <w:tcPr>
            <w:tcW w:w="1012" w:type="pct"/>
            <w:gridSpan w:val="2"/>
            <w:tcBorders>
              <w:tl2br w:val="nil"/>
              <w:tr2bl w:val="nil"/>
            </w:tcBorders>
            <w:noWrap w:val="0"/>
            <w:vAlign w:val="center"/>
          </w:tcPr>
          <w:p w14:paraId="34E833B4">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环境保护措施</w:t>
            </w:r>
          </w:p>
        </w:tc>
        <w:tc>
          <w:tcPr>
            <w:tcW w:w="1415" w:type="pct"/>
            <w:tcBorders>
              <w:tl2br w:val="nil"/>
              <w:tr2bl w:val="nil"/>
            </w:tcBorders>
            <w:noWrap w:val="0"/>
            <w:vAlign w:val="center"/>
          </w:tcPr>
          <w:p w14:paraId="74034383">
            <w:pPr>
              <w:keepNext w:val="0"/>
              <w:keepLines w:val="0"/>
              <w:pageBreakBefore w:val="0"/>
              <w:kinsoku/>
              <w:wordWrap/>
              <w:overflowPunct/>
              <w:topLinePunct w:val="0"/>
              <w:autoSpaceDE/>
              <w:autoSpaceDN/>
              <w:bidi w:val="0"/>
              <w:adjustRightInd w:val="0"/>
              <w:snapToGrid w:val="0"/>
              <w:spacing w:beforeAutospacing="0" w:afterAutospacing="0"/>
              <w:jc w:val="center"/>
              <w:textAlignment w:val="auto"/>
              <w:rPr>
                <w:rFonts w:hint="default" w:ascii="Times New Roman" w:hAnsi="Times New Roman" w:eastAsia="宋体" w:cs="Times New Roman"/>
                <w:b/>
                <w:bCs/>
                <w:color w:val="000000"/>
                <w:sz w:val="21"/>
                <w:szCs w:val="21"/>
                <w:u w:val="single" w:color="auto"/>
                <w:lang w:val="en-US" w:eastAsia="zh-CN"/>
              </w:rPr>
            </w:pPr>
            <w:r>
              <w:rPr>
                <w:rFonts w:hint="default" w:ascii="Times New Roman" w:hAnsi="Times New Roman" w:eastAsia="宋体" w:cs="Times New Roman"/>
                <w:b/>
                <w:bCs/>
                <w:color w:val="000000"/>
                <w:sz w:val="21"/>
                <w:szCs w:val="21"/>
                <w:u w:val="single" w:color="auto"/>
                <w:lang w:val="en-US" w:eastAsia="zh-CN"/>
              </w:rPr>
              <w:t>执行标准</w:t>
            </w:r>
          </w:p>
        </w:tc>
      </w:tr>
      <w:tr w14:paraId="09AC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restart"/>
            <w:tcBorders>
              <w:tl2br w:val="nil"/>
              <w:tr2bl w:val="nil"/>
            </w:tcBorders>
            <w:noWrap w:val="0"/>
            <w:vAlign w:val="center"/>
          </w:tcPr>
          <w:p w14:paraId="42298E4C">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大气环境</w:t>
            </w:r>
          </w:p>
        </w:tc>
        <w:tc>
          <w:tcPr>
            <w:tcW w:w="967" w:type="pct"/>
            <w:tcBorders>
              <w:tl2br w:val="nil"/>
              <w:tr2bl w:val="nil"/>
            </w:tcBorders>
            <w:noWrap w:val="0"/>
            <w:vAlign w:val="center"/>
          </w:tcPr>
          <w:p w14:paraId="6D73108B">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破碎废气</w:t>
            </w:r>
          </w:p>
        </w:tc>
        <w:tc>
          <w:tcPr>
            <w:tcW w:w="829" w:type="pct"/>
            <w:tcBorders>
              <w:tl2br w:val="nil"/>
              <w:tr2bl w:val="nil"/>
            </w:tcBorders>
            <w:noWrap w:val="0"/>
            <w:vAlign w:val="center"/>
          </w:tcPr>
          <w:p w14:paraId="05185A60">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颗粒物</w:t>
            </w:r>
          </w:p>
        </w:tc>
        <w:tc>
          <w:tcPr>
            <w:tcW w:w="1012" w:type="pct"/>
            <w:gridSpan w:val="2"/>
            <w:tcBorders>
              <w:tl2br w:val="nil"/>
              <w:tr2bl w:val="nil"/>
            </w:tcBorders>
            <w:noWrap w:val="0"/>
            <w:vAlign w:val="center"/>
          </w:tcPr>
          <w:p w14:paraId="3DA69FC0">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color w:val="auto"/>
                <w:sz w:val="21"/>
                <w:szCs w:val="21"/>
                <w:u w:val="single" w:color="auto"/>
                <w:lang w:val="en-US" w:eastAsia="zh-CN"/>
              </w:rPr>
              <w:t>袋式除尘器</w:t>
            </w:r>
            <w:r>
              <w:rPr>
                <w:rFonts w:hint="eastAsia"/>
                <w:color w:val="auto"/>
                <w:sz w:val="21"/>
                <w:szCs w:val="21"/>
                <w:u w:val="single" w:color="auto"/>
                <w:lang w:eastAsia="zh-CN"/>
              </w:rPr>
              <w:t>+</w:t>
            </w:r>
            <w:r>
              <w:rPr>
                <w:rFonts w:hint="eastAsia"/>
                <w:color w:val="auto"/>
                <w:sz w:val="21"/>
                <w:szCs w:val="21"/>
                <w:u w:val="single" w:color="auto"/>
                <w:lang w:val="en-US" w:eastAsia="zh-CN"/>
              </w:rPr>
              <w:t>15</w:t>
            </w:r>
            <w:r>
              <w:rPr>
                <w:rFonts w:hint="eastAsia"/>
                <w:color w:val="auto"/>
                <w:sz w:val="21"/>
                <w:szCs w:val="21"/>
                <w:u w:val="single" w:color="auto"/>
              </w:rPr>
              <w:t>m高排气筒</w:t>
            </w:r>
            <w:r>
              <w:rPr>
                <w:rFonts w:hint="eastAsia"/>
                <w:color w:val="auto"/>
                <w:sz w:val="21"/>
                <w:szCs w:val="21"/>
                <w:u w:val="single" w:color="auto"/>
                <w:lang w:eastAsia="zh-CN"/>
              </w:rPr>
              <w:t>（</w:t>
            </w:r>
            <w:r>
              <w:rPr>
                <w:rFonts w:hint="eastAsia"/>
                <w:color w:val="auto"/>
                <w:sz w:val="21"/>
                <w:szCs w:val="21"/>
                <w:u w:val="single" w:color="auto"/>
                <w:lang w:val="en-US" w:eastAsia="zh-CN"/>
              </w:rPr>
              <w:t>DA001</w:t>
            </w:r>
            <w:r>
              <w:rPr>
                <w:rFonts w:hint="eastAsia"/>
                <w:color w:val="auto"/>
                <w:sz w:val="21"/>
                <w:szCs w:val="21"/>
                <w:u w:val="single" w:color="auto"/>
                <w:lang w:eastAsia="zh-CN"/>
              </w:rPr>
              <w:t>）</w:t>
            </w:r>
          </w:p>
        </w:tc>
        <w:tc>
          <w:tcPr>
            <w:tcW w:w="1415" w:type="pct"/>
            <w:tcBorders>
              <w:tl2br w:val="nil"/>
              <w:tr2bl w:val="nil"/>
            </w:tcBorders>
            <w:noWrap w:val="0"/>
            <w:vAlign w:val="center"/>
          </w:tcPr>
          <w:p w14:paraId="3BC01FE0">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颗粒物执行《大气污染物综合排放标准》（GB16297-1996）表2中二级标准限值</w:t>
            </w:r>
          </w:p>
        </w:tc>
      </w:tr>
      <w:tr w14:paraId="2E90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73055067">
            <w:pPr>
              <w:adjustRightInd w:val="0"/>
              <w:snapToGrid w:val="0"/>
              <w:jc w:val="center"/>
              <w:rPr>
                <w:rFonts w:hint="eastAsia" w:ascii="Times New Roman" w:hAnsi="Times New Roman" w:eastAsia="宋体" w:cs="Times New Roman"/>
                <w:color w:val="000000"/>
                <w:sz w:val="21"/>
                <w:szCs w:val="21"/>
                <w:u w:val="single" w:color="auto"/>
                <w:lang w:val="en-US" w:eastAsia="zh-CN"/>
              </w:rPr>
            </w:pPr>
          </w:p>
        </w:tc>
        <w:tc>
          <w:tcPr>
            <w:tcW w:w="967" w:type="pct"/>
            <w:vMerge w:val="restart"/>
            <w:tcBorders>
              <w:tl2br w:val="nil"/>
              <w:tr2bl w:val="nil"/>
            </w:tcBorders>
            <w:noWrap w:val="0"/>
            <w:vAlign w:val="center"/>
          </w:tcPr>
          <w:p w14:paraId="073E150B">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cs="Times New Roman"/>
                <w:color w:val="000000"/>
                <w:sz w:val="21"/>
                <w:szCs w:val="21"/>
                <w:u w:val="single" w:color="auto"/>
                <w:lang w:val="en-US" w:eastAsia="zh-CN"/>
              </w:rPr>
              <w:t>无组织废气</w:t>
            </w:r>
          </w:p>
        </w:tc>
        <w:tc>
          <w:tcPr>
            <w:tcW w:w="829" w:type="pct"/>
            <w:tcBorders>
              <w:tl2br w:val="nil"/>
              <w:tr2bl w:val="nil"/>
            </w:tcBorders>
            <w:noWrap w:val="0"/>
            <w:vAlign w:val="center"/>
          </w:tcPr>
          <w:p w14:paraId="2ECCBAE2">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颗粒物</w:t>
            </w:r>
          </w:p>
        </w:tc>
        <w:tc>
          <w:tcPr>
            <w:tcW w:w="1012" w:type="pct"/>
            <w:gridSpan w:val="2"/>
            <w:tcBorders>
              <w:tl2br w:val="nil"/>
              <w:tr2bl w:val="nil"/>
            </w:tcBorders>
            <w:noWrap w:val="0"/>
            <w:vAlign w:val="center"/>
          </w:tcPr>
          <w:p w14:paraId="2A160B0C">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高压喷淋装置喷水雾抑尘</w:t>
            </w:r>
          </w:p>
        </w:tc>
        <w:tc>
          <w:tcPr>
            <w:tcW w:w="1415" w:type="pct"/>
            <w:tcBorders>
              <w:tl2br w:val="nil"/>
              <w:tr2bl w:val="nil"/>
            </w:tcBorders>
            <w:noWrap w:val="0"/>
            <w:vAlign w:val="center"/>
          </w:tcPr>
          <w:p w14:paraId="0FA495F7">
            <w:pPr>
              <w:adjustRightInd w:val="0"/>
              <w:snapToGrid w:val="0"/>
              <w:jc w:val="center"/>
              <w:rPr>
                <w:rFonts w:hint="eastAsia"/>
                <w:color w:val="000000"/>
                <w:szCs w:val="21"/>
                <w:u w:val="single" w:color="auto"/>
              </w:rPr>
            </w:pPr>
            <w:r>
              <w:rPr>
                <w:rFonts w:hint="eastAsia"/>
                <w:color w:val="000000"/>
                <w:szCs w:val="21"/>
                <w:u w:val="single" w:color="auto"/>
              </w:rPr>
              <w:t>厂界无组织排放颗粒物执行《大气污染物综合排放标准（GB16297-1996）表2中无组织监控浓度限值</w:t>
            </w:r>
          </w:p>
        </w:tc>
      </w:tr>
      <w:tr w14:paraId="1D91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7605C50B">
            <w:pPr>
              <w:adjustRightInd w:val="0"/>
              <w:snapToGrid w:val="0"/>
              <w:jc w:val="center"/>
              <w:rPr>
                <w:rFonts w:hint="eastAsia" w:ascii="Times New Roman" w:hAnsi="Times New Roman" w:eastAsia="宋体" w:cs="Times New Roman"/>
                <w:color w:val="000000"/>
                <w:sz w:val="21"/>
                <w:szCs w:val="21"/>
                <w:u w:val="single" w:color="auto"/>
                <w:lang w:val="en-US" w:eastAsia="zh-CN"/>
              </w:rPr>
            </w:pPr>
          </w:p>
        </w:tc>
        <w:tc>
          <w:tcPr>
            <w:tcW w:w="967" w:type="pct"/>
            <w:vMerge w:val="continue"/>
            <w:tcBorders>
              <w:tl2br w:val="nil"/>
              <w:tr2bl w:val="nil"/>
            </w:tcBorders>
            <w:noWrap w:val="0"/>
            <w:vAlign w:val="center"/>
          </w:tcPr>
          <w:p w14:paraId="77A6A827">
            <w:pPr>
              <w:adjustRightInd w:val="0"/>
              <w:snapToGrid w:val="0"/>
              <w:jc w:val="center"/>
              <w:rPr>
                <w:rFonts w:hint="eastAsia" w:cs="Times New Roman"/>
                <w:color w:val="000000"/>
                <w:sz w:val="21"/>
                <w:szCs w:val="21"/>
                <w:u w:val="single" w:color="auto"/>
                <w:lang w:val="en-US" w:eastAsia="zh-CN"/>
              </w:rPr>
            </w:pPr>
          </w:p>
        </w:tc>
        <w:tc>
          <w:tcPr>
            <w:tcW w:w="829" w:type="pct"/>
            <w:tcBorders>
              <w:tl2br w:val="nil"/>
              <w:tr2bl w:val="nil"/>
            </w:tcBorders>
            <w:noWrap w:val="0"/>
            <w:vAlign w:val="center"/>
          </w:tcPr>
          <w:p w14:paraId="09F29B68">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氨、硫化氢、臭气浓度</w:t>
            </w:r>
          </w:p>
        </w:tc>
        <w:tc>
          <w:tcPr>
            <w:tcW w:w="1012" w:type="pct"/>
            <w:gridSpan w:val="2"/>
            <w:tcBorders>
              <w:tl2br w:val="nil"/>
              <w:tr2bl w:val="nil"/>
            </w:tcBorders>
            <w:noWrap w:val="0"/>
            <w:vAlign w:val="center"/>
          </w:tcPr>
          <w:p w14:paraId="274B7F17">
            <w:pPr>
              <w:adjustRightInd w:val="0"/>
              <w:snapToGrid w:val="0"/>
              <w:jc w:val="center"/>
              <w:rPr>
                <w:rFonts w:hint="eastAsia"/>
                <w:color w:val="auto"/>
                <w:sz w:val="21"/>
                <w:szCs w:val="21"/>
                <w:u w:val="single" w:color="auto"/>
                <w:lang w:val="en-US" w:eastAsia="zh-CN"/>
              </w:rPr>
            </w:pPr>
            <w:r>
              <w:rPr>
                <w:rFonts w:hint="eastAsia"/>
                <w:color w:val="auto"/>
                <w:sz w:val="21"/>
                <w:szCs w:val="21"/>
                <w:u w:val="single" w:color="auto"/>
                <w:lang w:val="en-US" w:eastAsia="zh-CN"/>
              </w:rPr>
              <w:t>加强车间通排风、定期喷洒除臭剂</w:t>
            </w:r>
          </w:p>
        </w:tc>
        <w:tc>
          <w:tcPr>
            <w:tcW w:w="1415" w:type="pct"/>
            <w:tcBorders>
              <w:tl2br w:val="nil"/>
              <w:tr2bl w:val="nil"/>
            </w:tcBorders>
            <w:noWrap w:val="0"/>
            <w:vAlign w:val="center"/>
          </w:tcPr>
          <w:p w14:paraId="47E71954">
            <w:pPr>
              <w:adjustRightInd w:val="0"/>
              <w:snapToGrid w:val="0"/>
              <w:jc w:val="center"/>
              <w:rPr>
                <w:rFonts w:hint="eastAsia"/>
                <w:color w:val="000000"/>
                <w:szCs w:val="21"/>
                <w:u w:val="single" w:color="auto"/>
              </w:rPr>
            </w:pPr>
            <w:r>
              <w:rPr>
                <w:rFonts w:hint="eastAsia"/>
                <w:color w:val="000000"/>
                <w:szCs w:val="21"/>
                <w:u w:val="single" w:color="auto"/>
              </w:rPr>
              <w:t>厂界无组织排放氨、硫化氢、臭气浓度执行《恶臭污染物排放标准》（GB14554-93）表1恶臭污染物厂界二级新改扩建标准值</w:t>
            </w:r>
          </w:p>
        </w:tc>
      </w:tr>
      <w:tr w14:paraId="2BFB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tcBorders>
              <w:tl2br w:val="nil"/>
              <w:tr2bl w:val="nil"/>
            </w:tcBorders>
            <w:noWrap w:val="0"/>
            <w:vAlign w:val="center"/>
          </w:tcPr>
          <w:p w14:paraId="3372BF42">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地表水环境</w:t>
            </w:r>
          </w:p>
        </w:tc>
        <w:tc>
          <w:tcPr>
            <w:tcW w:w="967" w:type="pct"/>
            <w:tcBorders>
              <w:tl2br w:val="nil"/>
              <w:tr2bl w:val="nil"/>
            </w:tcBorders>
            <w:shd w:val="clear" w:color="auto" w:fill="auto"/>
            <w:noWrap w:val="0"/>
            <w:vAlign w:val="center"/>
          </w:tcPr>
          <w:p w14:paraId="0F3E693F">
            <w:pPr>
              <w:adjustRightInd w:val="0"/>
              <w:snapToGrid w:val="0"/>
              <w:jc w:val="center"/>
              <w:rPr>
                <w:rFonts w:hint="default"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sz w:val="21"/>
                <w:szCs w:val="21"/>
                <w:u w:val="single" w:color="auto"/>
                <w:lang w:val="en-US" w:eastAsia="zh-CN"/>
              </w:rPr>
              <w:t>生活污水</w:t>
            </w:r>
          </w:p>
        </w:tc>
        <w:tc>
          <w:tcPr>
            <w:tcW w:w="829" w:type="pct"/>
            <w:tcBorders>
              <w:tl2br w:val="nil"/>
              <w:tr2bl w:val="nil"/>
            </w:tcBorders>
            <w:shd w:val="clear" w:color="auto" w:fill="auto"/>
            <w:noWrap w:val="0"/>
            <w:vAlign w:val="center"/>
          </w:tcPr>
          <w:p w14:paraId="0DC73AC8">
            <w:pPr>
              <w:adjustRightInd w:val="0"/>
              <w:snapToGrid w:val="0"/>
              <w:jc w:val="center"/>
              <w:rPr>
                <w:rFonts w:hint="default"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sz w:val="21"/>
                <w:szCs w:val="21"/>
                <w:u w:val="single" w:color="auto"/>
                <w:lang w:val="en-US" w:eastAsia="zh-CN"/>
              </w:rPr>
              <w:t>COD、BOD</w:t>
            </w:r>
            <w:r>
              <w:rPr>
                <w:rFonts w:hint="eastAsia" w:ascii="Times New Roman" w:hAnsi="Times New Roman" w:eastAsia="宋体" w:cs="Times New Roman"/>
                <w:color w:val="000000"/>
                <w:sz w:val="21"/>
                <w:szCs w:val="21"/>
                <w:u w:val="single" w:color="auto"/>
                <w:vertAlign w:val="subscript"/>
                <w:lang w:val="en-US" w:eastAsia="zh-CN"/>
              </w:rPr>
              <w:t>5</w:t>
            </w:r>
            <w:r>
              <w:rPr>
                <w:rFonts w:hint="eastAsia" w:ascii="Times New Roman" w:hAnsi="Times New Roman" w:eastAsia="宋体" w:cs="Times New Roman"/>
                <w:color w:val="000000"/>
                <w:sz w:val="21"/>
                <w:szCs w:val="21"/>
                <w:u w:val="single" w:color="auto"/>
                <w:lang w:val="en-US" w:eastAsia="zh-CN"/>
              </w:rPr>
              <w:t>、SS、NH</w:t>
            </w:r>
            <w:r>
              <w:rPr>
                <w:rFonts w:hint="eastAsia" w:ascii="Times New Roman" w:hAnsi="Times New Roman" w:eastAsia="宋体" w:cs="Times New Roman"/>
                <w:color w:val="000000"/>
                <w:sz w:val="21"/>
                <w:szCs w:val="21"/>
                <w:u w:val="single" w:color="auto"/>
                <w:vertAlign w:val="subscript"/>
                <w:lang w:val="en-US" w:eastAsia="zh-CN"/>
              </w:rPr>
              <w:t>3</w:t>
            </w:r>
            <w:r>
              <w:rPr>
                <w:rFonts w:hint="eastAsia" w:ascii="Times New Roman" w:hAnsi="Times New Roman" w:eastAsia="宋体" w:cs="Times New Roman"/>
                <w:color w:val="000000"/>
                <w:sz w:val="21"/>
                <w:szCs w:val="21"/>
                <w:u w:val="single" w:color="auto"/>
                <w:lang w:val="en-US" w:eastAsia="zh-CN"/>
              </w:rPr>
              <w:t>-N</w:t>
            </w:r>
          </w:p>
        </w:tc>
        <w:tc>
          <w:tcPr>
            <w:tcW w:w="1012" w:type="pct"/>
            <w:gridSpan w:val="2"/>
            <w:tcBorders>
              <w:tl2br w:val="nil"/>
              <w:tr2bl w:val="nil"/>
            </w:tcBorders>
            <w:shd w:val="clear" w:color="auto" w:fill="auto"/>
            <w:noWrap w:val="0"/>
            <w:vAlign w:val="center"/>
          </w:tcPr>
          <w:p w14:paraId="1DB43473">
            <w:pPr>
              <w:adjustRightInd w:val="0"/>
              <w:snapToGrid w:val="0"/>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cs="Times New Roman"/>
                <w:color w:val="000000"/>
                <w:sz w:val="21"/>
                <w:szCs w:val="21"/>
                <w:u w:val="single" w:color="auto"/>
                <w:lang w:val="en-US" w:eastAsia="zh-CN"/>
              </w:rPr>
              <w:t>化粪池</w:t>
            </w:r>
          </w:p>
        </w:tc>
        <w:tc>
          <w:tcPr>
            <w:tcW w:w="1415" w:type="pct"/>
            <w:tcBorders>
              <w:tl2br w:val="nil"/>
              <w:tr2bl w:val="nil"/>
            </w:tcBorders>
            <w:shd w:val="clear" w:color="auto" w:fill="auto"/>
            <w:noWrap w:val="0"/>
            <w:vAlign w:val="center"/>
          </w:tcPr>
          <w:p w14:paraId="1B3470BD">
            <w:pPr>
              <w:adjustRightInd w:val="0"/>
              <w:snapToGrid w:val="0"/>
              <w:jc w:val="center"/>
              <w:rPr>
                <w:rFonts w:hint="eastAsia" w:ascii="Times New Roman" w:hAnsi="Times New Roman" w:eastAsia="宋体" w:cs="Times New Roman"/>
                <w:color w:val="000000"/>
                <w:kern w:val="2"/>
                <w:sz w:val="21"/>
                <w:szCs w:val="21"/>
                <w:u w:val="single" w:color="auto"/>
                <w:lang w:val="en-US" w:eastAsia="zh-CN" w:bidi="ar-SA"/>
              </w:rPr>
            </w:pPr>
            <w:r>
              <w:rPr>
                <w:rFonts w:hint="eastAsia"/>
                <w:color w:val="000000"/>
                <w:szCs w:val="21"/>
                <w:u w:val="single" w:color="auto"/>
              </w:rPr>
              <w:t>执行《污水综合排放标准》（GB8978- 1996）表4中三级标准及</w:t>
            </w:r>
            <w:r>
              <w:rPr>
                <w:rFonts w:hint="eastAsia"/>
                <w:color w:val="000000"/>
                <w:szCs w:val="21"/>
                <w:u w:val="single" w:color="auto"/>
                <w:lang w:val="en-US" w:eastAsia="zh-CN"/>
              </w:rPr>
              <w:t>新田县</w:t>
            </w:r>
            <w:r>
              <w:rPr>
                <w:rFonts w:hint="eastAsia"/>
                <w:color w:val="000000"/>
                <w:szCs w:val="21"/>
                <w:u w:val="single" w:color="auto"/>
              </w:rPr>
              <w:t>污水处理厂进水水质标准中较严值</w:t>
            </w:r>
          </w:p>
        </w:tc>
      </w:tr>
      <w:tr w14:paraId="23BC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tcBorders>
              <w:tl2br w:val="nil"/>
              <w:tr2bl w:val="nil"/>
            </w:tcBorders>
            <w:noWrap w:val="0"/>
            <w:vAlign w:val="center"/>
          </w:tcPr>
          <w:p w14:paraId="383836A1">
            <w:pPr>
              <w:adjustRightInd w:val="0"/>
              <w:snapToGrid w:val="0"/>
              <w:jc w:val="center"/>
              <w:rPr>
                <w:rFonts w:hint="default" w:ascii="Times New Roman" w:hAnsi="Times New Roman" w:eastAsia="宋体" w:cs="Times New Roman"/>
                <w:color w:val="000000"/>
                <w:sz w:val="21"/>
                <w:szCs w:val="21"/>
                <w:highlight w:val="none"/>
                <w:u w:val="single" w:color="auto"/>
                <w:lang w:val="en-US" w:eastAsia="zh-CN"/>
              </w:rPr>
            </w:pPr>
            <w:r>
              <w:rPr>
                <w:rFonts w:hint="default" w:ascii="Times New Roman" w:hAnsi="Times New Roman" w:eastAsia="宋体" w:cs="Times New Roman"/>
                <w:color w:val="000000"/>
                <w:sz w:val="21"/>
                <w:szCs w:val="21"/>
                <w:highlight w:val="none"/>
                <w:u w:val="single" w:color="auto"/>
                <w:lang w:val="en-US" w:eastAsia="zh-CN"/>
              </w:rPr>
              <w:t>声环境</w:t>
            </w:r>
          </w:p>
        </w:tc>
        <w:tc>
          <w:tcPr>
            <w:tcW w:w="967" w:type="pct"/>
            <w:tcBorders>
              <w:tl2br w:val="nil"/>
              <w:tr2bl w:val="nil"/>
            </w:tcBorders>
            <w:noWrap w:val="0"/>
            <w:vAlign w:val="center"/>
          </w:tcPr>
          <w:p w14:paraId="01C1365F">
            <w:pPr>
              <w:adjustRightInd w:val="0"/>
              <w:snapToGrid w:val="0"/>
              <w:jc w:val="center"/>
              <w:rPr>
                <w:rFonts w:hint="default"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设备噪声</w:t>
            </w:r>
          </w:p>
        </w:tc>
        <w:tc>
          <w:tcPr>
            <w:tcW w:w="829" w:type="pct"/>
            <w:tcBorders>
              <w:tl2br w:val="nil"/>
              <w:tr2bl w:val="nil"/>
            </w:tcBorders>
            <w:noWrap w:val="0"/>
            <w:vAlign w:val="center"/>
          </w:tcPr>
          <w:p w14:paraId="0075D51F">
            <w:pPr>
              <w:adjustRightInd w:val="0"/>
              <w:snapToGrid w:val="0"/>
              <w:jc w:val="center"/>
              <w:rPr>
                <w:rFonts w:hint="eastAsia"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噪声</w:t>
            </w:r>
          </w:p>
        </w:tc>
        <w:tc>
          <w:tcPr>
            <w:tcW w:w="1012" w:type="pct"/>
            <w:gridSpan w:val="2"/>
            <w:tcBorders>
              <w:tl2br w:val="nil"/>
              <w:tr2bl w:val="nil"/>
            </w:tcBorders>
            <w:noWrap w:val="0"/>
            <w:vAlign w:val="center"/>
          </w:tcPr>
          <w:p w14:paraId="4B61BE01">
            <w:pPr>
              <w:adjustRightInd w:val="0"/>
              <w:snapToGrid w:val="0"/>
              <w:jc w:val="center"/>
              <w:rPr>
                <w:rFonts w:hint="eastAsia"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低噪设备、合理</w:t>
            </w:r>
          </w:p>
          <w:p w14:paraId="4987E54B">
            <w:pPr>
              <w:adjustRightInd w:val="0"/>
              <w:snapToGrid w:val="0"/>
              <w:jc w:val="center"/>
              <w:rPr>
                <w:rFonts w:hint="eastAsia" w:ascii="Times New Roman" w:hAnsi="Times New Roman" w:eastAsia="宋体" w:cs="Times New Roman"/>
                <w:color w:val="000000"/>
                <w:sz w:val="21"/>
                <w:szCs w:val="21"/>
                <w:highlight w:val="none"/>
                <w:u w:val="single" w:color="auto"/>
                <w:lang w:val="en-US" w:eastAsia="zh-CN"/>
              </w:rPr>
            </w:pPr>
            <w:r>
              <w:rPr>
                <w:rFonts w:hint="eastAsia" w:ascii="Times New Roman" w:hAnsi="Times New Roman" w:eastAsia="宋体" w:cs="Times New Roman"/>
                <w:color w:val="000000"/>
                <w:sz w:val="21"/>
                <w:szCs w:val="21"/>
                <w:highlight w:val="none"/>
                <w:u w:val="single" w:color="auto"/>
                <w:lang w:val="en-US" w:eastAsia="zh-CN"/>
              </w:rPr>
              <w:t>布局、隔声降噪</w:t>
            </w:r>
          </w:p>
        </w:tc>
        <w:tc>
          <w:tcPr>
            <w:tcW w:w="1415" w:type="pct"/>
            <w:tcBorders>
              <w:tl2br w:val="nil"/>
              <w:tr2bl w:val="nil"/>
            </w:tcBorders>
            <w:noWrap w:val="0"/>
            <w:vAlign w:val="center"/>
          </w:tcPr>
          <w:p w14:paraId="17F864FC">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《工业企业厂界环境噪</w:t>
            </w:r>
            <w:r>
              <w:rPr>
                <w:rFonts w:hint="eastAsia" w:cs="Times New Roman"/>
                <w:color w:val="000000"/>
                <w:sz w:val="21"/>
                <w:szCs w:val="21"/>
                <w:u w:val="single" w:color="auto"/>
                <w:lang w:val="en-US" w:eastAsia="zh-CN"/>
              </w:rPr>
              <w:t>声</w:t>
            </w:r>
            <w:r>
              <w:rPr>
                <w:rFonts w:hint="default" w:ascii="Times New Roman" w:hAnsi="Times New Roman" w:eastAsia="宋体" w:cs="Times New Roman"/>
                <w:color w:val="000000"/>
                <w:sz w:val="21"/>
                <w:szCs w:val="21"/>
                <w:u w:val="single" w:color="auto"/>
                <w:lang w:val="en-US" w:eastAsia="zh-CN"/>
              </w:rPr>
              <w:t>排放标准》</w:t>
            </w:r>
            <w:r>
              <w:rPr>
                <w:rFonts w:hint="eastAsia" w:ascii="Times New Roman" w:hAnsi="Times New Roman" w:eastAsia="宋体" w:cs="Times New Roman"/>
                <w:color w:val="000000"/>
                <w:sz w:val="21"/>
                <w:szCs w:val="21"/>
                <w:u w:val="single" w:color="auto"/>
                <w:lang w:val="en-US" w:eastAsia="zh-CN"/>
              </w:rPr>
              <w:t>（</w:t>
            </w:r>
            <w:r>
              <w:rPr>
                <w:rFonts w:hint="default" w:ascii="Times New Roman" w:hAnsi="Times New Roman" w:eastAsia="宋体" w:cs="Times New Roman"/>
                <w:color w:val="000000"/>
                <w:sz w:val="21"/>
                <w:szCs w:val="21"/>
                <w:u w:val="single" w:color="auto"/>
                <w:lang w:val="en-US" w:eastAsia="zh-CN"/>
              </w:rPr>
              <w:t>GB12348-2008）</w:t>
            </w:r>
            <w:r>
              <w:rPr>
                <w:rFonts w:hint="eastAsia" w:ascii="Times New Roman" w:hAnsi="Times New Roman" w:eastAsia="宋体" w:cs="Times New Roman"/>
                <w:color w:val="000000"/>
                <w:sz w:val="21"/>
                <w:szCs w:val="21"/>
                <w:u w:val="single" w:color="auto"/>
                <w:lang w:val="en-US" w:eastAsia="zh-CN"/>
              </w:rPr>
              <w:t>表1中3</w:t>
            </w:r>
            <w:r>
              <w:rPr>
                <w:rFonts w:hint="default" w:ascii="Times New Roman" w:hAnsi="Times New Roman" w:eastAsia="宋体" w:cs="Times New Roman"/>
                <w:color w:val="000000"/>
                <w:sz w:val="21"/>
                <w:szCs w:val="21"/>
                <w:u w:val="single" w:color="auto"/>
                <w:lang w:val="en-US" w:eastAsia="zh-CN"/>
              </w:rPr>
              <w:t>类标准</w:t>
            </w:r>
          </w:p>
        </w:tc>
      </w:tr>
      <w:tr w14:paraId="42C2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restart"/>
            <w:tcBorders>
              <w:tl2br w:val="nil"/>
              <w:tr2bl w:val="nil"/>
            </w:tcBorders>
            <w:noWrap w:val="0"/>
            <w:vAlign w:val="center"/>
          </w:tcPr>
          <w:p w14:paraId="0A31D94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固体废物</w:t>
            </w:r>
          </w:p>
        </w:tc>
        <w:tc>
          <w:tcPr>
            <w:tcW w:w="1797" w:type="pct"/>
            <w:gridSpan w:val="2"/>
            <w:tcBorders>
              <w:tl2br w:val="nil"/>
              <w:tr2bl w:val="nil"/>
            </w:tcBorders>
            <w:noWrap w:val="0"/>
            <w:vAlign w:val="center"/>
          </w:tcPr>
          <w:p w14:paraId="603FE70D">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生活垃圾</w:t>
            </w:r>
          </w:p>
        </w:tc>
        <w:tc>
          <w:tcPr>
            <w:tcW w:w="1011" w:type="pct"/>
            <w:tcBorders>
              <w:tl2br w:val="nil"/>
              <w:tr2bl w:val="nil"/>
            </w:tcBorders>
            <w:noWrap w:val="0"/>
            <w:vAlign w:val="center"/>
          </w:tcPr>
          <w:p w14:paraId="0851EB4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auto"/>
                <w:spacing w:val="0"/>
                <w:position w:val="0"/>
                <w:sz w:val="21"/>
                <w:szCs w:val="21"/>
                <w:highlight w:val="none"/>
                <w:u w:val="single" w:color="auto"/>
                <w:lang w:eastAsia="zh-CN"/>
              </w:rPr>
              <w:t>垃圾箱</w:t>
            </w:r>
          </w:p>
        </w:tc>
        <w:tc>
          <w:tcPr>
            <w:tcW w:w="1416" w:type="pct"/>
            <w:gridSpan w:val="2"/>
            <w:tcBorders>
              <w:tl2br w:val="nil"/>
              <w:tr2bl w:val="nil"/>
            </w:tcBorders>
            <w:noWrap w:val="0"/>
            <w:vAlign w:val="center"/>
          </w:tcPr>
          <w:p w14:paraId="2B319E58">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auto"/>
                <w:spacing w:val="0"/>
                <w:position w:val="0"/>
                <w:sz w:val="21"/>
                <w:szCs w:val="21"/>
                <w:highlight w:val="none"/>
                <w:u w:val="single" w:color="auto"/>
                <w:lang w:eastAsia="zh-CN"/>
              </w:rPr>
              <w:t>交环卫部门</w:t>
            </w:r>
            <w:r>
              <w:rPr>
                <w:rFonts w:hint="eastAsia" w:ascii="Times New Roman" w:hAnsi="Times New Roman" w:eastAsia="宋体" w:cs="Times New Roman"/>
                <w:color w:val="auto"/>
                <w:spacing w:val="0"/>
                <w:position w:val="0"/>
                <w:sz w:val="21"/>
                <w:szCs w:val="21"/>
                <w:highlight w:val="none"/>
                <w:u w:val="single" w:color="auto"/>
                <w:lang w:val="en-US" w:eastAsia="zh-CN"/>
              </w:rPr>
              <w:t>统一清运处置</w:t>
            </w:r>
          </w:p>
        </w:tc>
      </w:tr>
      <w:tr w14:paraId="0A52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7D760E6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797" w:type="pct"/>
            <w:gridSpan w:val="2"/>
            <w:tcBorders>
              <w:tl2br w:val="nil"/>
              <w:tr2bl w:val="nil"/>
            </w:tcBorders>
            <w:shd w:val="clear" w:color="auto" w:fill="auto"/>
            <w:noWrap w:val="0"/>
            <w:vAlign w:val="center"/>
          </w:tcPr>
          <w:p w14:paraId="01F174D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分拣废料</w:t>
            </w:r>
          </w:p>
        </w:tc>
        <w:tc>
          <w:tcPr>
            <w:tcW w:w="1011" w:type="pct"/>
            <w:vMerge w:val="restart"/>
            <w:tcBorders>
              <w:tl2br w:val="nil"/>
              <w:tr2bl w:val="nil"/>
            </w:tcBorders>
            <w:noWrap w:val="0"/>
            <w:vAlign w:val="center"/>
          </w:tcPr>
          <w:p w14:paraId="734BFDE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auto"/>
                <w:spacing w:val="0"/>
                <w:position w:val="0"/>
                <w:sz w:val="21"/>
                <w:szCs w:val="21"/>
                <w:highlight w:val="none"/>
                <w:u w:val="single" w:color="auto"/>
                <w:lang w:eastAsia="zh-CN"/>
              </w:rPr>
              <w:t>一般固废暂存间</w:t>
            </w:r>
          </w:p>
        </w:tc>
        <w:tc>
          <w:tcPr>
            <w:tcW w:w="1416" w:type="pct"/>
            <w:gridSpan w:val="2"/>
            <w:vMerge w:val="restart"/>
            <w:tcBorders>
              <w:tl2br w:val="nil"/>
              <w:tr2bl w:val="nil"/>
            </w:tcBorders>
            <w:noWrap w:val="0"/>
            <w:vAlign w:val="center"/>
          </w:tcPr>
          <w:p w14:paraId="31C1CA4E">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b w:val="0"/>
                <w:bCs/>
                <w:spacing w:val="0"/>
                <w:position w:val="0"/>
                <w:sz w:val="21"/>
                <w:szCs w:val="21"/>
                <w:u w:val="single" w:color="auto"/>
              </w:rPr>
              <w:t>定期外售</w:t>
            </w:r>
            <w:r>
              <w:rPr>
                <w:rFonts w:hint="eastAsia" w:ascii="Times New Roman" w:hAnsi="Times New Roman" w:eastAsia="宋体" w:cs="Times New Roman"/>
                <w:b w:val="0"/>
                <w:bCs/>
                <w:spacing w:val="0"/>
                <w:position w:val="0"/>
                <w:sz w:val="21"/>
                <w:szCs w:val="21"/>
                <w:u w:val="single" w:color="auto"/>
                <w:lang w:eastAsia="zh-CN"/>
              </w:rPr>
              <w:t>综合利用</w:t>
            </w:r>
            <w:r>
              <w:rPr>
                <w:rFonts w:hint="default" w:ascii="Times New Roman" w:hAnsi="Times New Roman" w:eastAsia="宋体" w:cs="Times New Roman"/>
                <w:b w:val="0"/>
                <w:bCs/>
                <w:spacing w:val="0"/>
                <w:position w:val="0"/>
                <w:sz w:val="21"/>
                <w:szCs w:val="21"/>
                <w:u w:val="single" w:color="auto"/>
              </w:rPr>
              <w:t>或妥善处置</w:t>
            </w:r>
          </w:p>
        </w:tc>
      </w:tr>
      <w:tr w14:paraId="20A7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53329D4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797" w:type="pct"/>
            <w:gridSpan w:val="2"/>
            <w:tcBorders>
              <w:tl2br w:val="nil"/>
              <w:tr2bl w:val="nil"/>
            </w:tcBorders>
            <w:shd w:val="clear" w:color="auto" w:fill="auto"/>
            <w:noWrap w:val="0"/>
            <w:vAlign w:val="center"/>
          </w:tcPr>
          <w:p w14:paraId="13B7233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default" w:ascii="Times New Roman" w:hAnsi="Times New Roman" w:eastAsia="宋体" w:cs="Times New Roman"/>
                <w:b w:val="0"/>
                <w:bCs/>
                <w:color w:val="000000"/>
                <w:sz w:val="21"/>
                <w:szCs w:val="21"/>
                <w:u w:val="single" w:color="auto"/>
                <w:lang w:val="en-US" w:eastAsia="zh-CN"/>
              </w:rPr>
              <w:t>含铁杂质</w:t>
            </w:r>
          </w:p>
        </w:tc>
        <w:tc>
          <w:tcPr>
            <w:tcW w:w="1011" w:type="pct"/>
            <w:vMerge w:val="continue"/>
            <w:tcBorders>
              <w:tl2br w:val="nil"/>
              <w:tr2bl w:val="nil"/>
            </w:tcBorders>
            <w:noWrap w:val="0"/>
            <w:vAlign w:val="center"/>
          </w:tcPr>
          <w:p w14:paraId="21E624A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416" w:type="pct"/>
            <w:gridSpan w:val="2"/>
            <w:vMerge w:val="continue"/>
            <w:tcBorders>
              <w:tl2br w:val="nil"/>
              <w:tr2bl w:val="nil"/>
            </w:tcBorders>
            <w:noWrap w:val="0"/>
            <w:vAlign w:val="center"/>
          </w:tcPr>
          <w:p w14:paraId="5B962494">
            <w:pPr>
              <w:adjustRightInd w:val="0"/>
              <w:snapToGrid w:val="0"/>
              <w:jc w:val="center"/>
              <w:rPr>
                <w:rFonts w:hint="default" w:ascii="Times New Roman" w:hAnsi="Times New Roman" w:eastAsia="宋体" w:cs="Times New Roman"/>
                <w:color w:val="000000"/>
                <w:sz w:val="21"/>
                <w:szCs w:val="21"/>
                <w:u w:val="single" w:color="auto"/>
                <w:lang w:val="en-US" w:eastAsia="zh-CN"/>
              </w:rPr>
            </w:pPr>
          </w:p>
        </w:tc>
      </w:tr>
      <w:tr w14:paraId="3245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3295B84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797" w:type="pct"/>
            <w:gridSpan w:val="2"/>
            <w:tcBorders>
              <w:tl2br w:val="nil"/>
              <w:tr2bl w:val="nil"/>
            </w:tcBorders>
            <w:shd w:val="clear" w:color="auto" w:fill="auto"/>
            <w:noWrap w:val="0"/>
            <w:vAlign w:val="center"/>
          </w:tcPr>
          <w:p w14:paraId="5974C1F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废布袋</w:t>
            </w:r>
          </w:p>
        </w:tc>
        <w:tc>
          <w:tcPr>
            <w:tcW w:w="1011" w:type="pct"/>
            <w:vMerge w:val="continue"/>
            <w:tcBorders>
              <w:tl2br w:val="nil"/>
              <w:tr2bl w:val="nil"/>
            </w:tcBorders>
            <w:noWrap w:val="0"/>
            <w:vAlign w:val="center"/>
          </w:tcPr>
          <w:p w14:paraId="5841E73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416" w:type="pct"/>
            <w:gridSpan w:val="2"/>
            <w:vMerge w:val="continue"/>
            <w:tcBorders>
              <w:tl2br w:val="nil"/>
              <w:tr2bl w:val="nil"/>
            </w:tcBorders>
            <w:noWrap w:val="0"/>
            <w:vAlign w:val="center"/>
          </w:tcPr>
          <w:p w14:paraId="0215679C">
            <w:pPr>
              <w:adjustRightInd w:val="0"/>
              <w:snapToGrid w:val="0"/>
              <w:jc w:val="center"/>
              <w:rPr>
                <w:rFonts w:hint="default" w:ascii="Times New Roman" w:hAnsi="Times New Roman" w:eastAsia="宋体" w:cs="Times New Roman"/>
                <w:color w:val="000000"/>
                <w:sz w:val="21"/>
                <w:szCs w:val="21"/>
                <w:u w:val="single" w:color="auto"/>
                <w:lang w:val="en-US" w:eastAsia="zh-CN"/>
              </w:rPr>
            </w:pPr>
          </w:p>
        </w:tc>
      </w:tr>
      <w:tr w14:paraId="77D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58457A0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797" w:type="pct"/>
            <w:gridSpan w:val="2"/>
            <w:tcBorders>
              <w:tl2br w:val="nil"/>
              <w:tr2bl w:val="nil"/>
            </w:tcBorders>
            <w:shd w:val="clear" w:color="auto" w:fill="auto"/>
            <w:noWrap w:val="0"/>
            <w:vAlign w:val="center"/>
          </w:tcPr>
          <w:p w14:paraId="4D14500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single" w:color="auto"/>
                <w:lang w:val="en-US" w:eastAsia="zh-CN" w:bidi="ar-SA"/>
              </w:rPr>
            </w:pPr>
            <w:r>
              <w:rPr>
                <w:rFonts w:hint="eastAsia" w:ascii="Times New Roman" w:hAnsi="Times New Roman" w:eastAsia="宋体" w:cs="Times New Roman"/>
                <w:b w:val="0"/>
                <w:bCs/>
                <w:color w:val="000000"/>
                <w:sz w:val="21"/>
                <w:szCs w:val="21"/>
                <w:u w:val="single" w:color="auto"/>
                <w:lang w:val="en-US" w:eastAsia="zh-CN"/>
              </w:rPr>
              <w:t>袋式除尘器</w:t>
            </w:r>
            <w:r>
              <w:rPr>
                <w:rFonts w:hint="default" w:ascii="Times New Roman" w:hAnsi="Times New Roman" w:eastAsia="宋体" w:cs="Times New Roman"/>
                <w:b w:val="0"/>
                <w:bCs/>
                <w:color w:val="000000"/>
                <w:sz w:val="21"/>
                <w:szCs w:val="21"/>
                <w:u w:val="single" w:color="auto"/>
              </w:rPr>
              <w:t>收集粉尘</w:t>
            </w:r>
          </w:p>
        </w:tc>
        <w:tc>
          <w:tcPr>
            <w:tcW w:w="1011" w:type="pct"/>
            <w:vMerge w:val="continue"/>
            <w:tcBorders>
              <w:tl2br w:val="nil"/>
              <w:tr2bl w:val="nil"/>
            </w:tcBorders>
            <w:noWrap w:val="0"/>
            <w:vAlign w:val="center"/>
          </w:tcPr>
          <w:p w14:paraId="36C5EB3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416" w:type="pct"/>
            <w:gridSpan w:val="2"/>
            <w:vMerge w:val="continue"/>
            <w:tcBorders>
              <w:tl2br w:val="nil"/>
              <w:tr2bl w:val="nil"/>
            </w:tcBorders>
            <w:noWrap w:val="0"/>
            <w:vAlign w:val="center"/>
          </w:tcPr>
          <w:p w14:paraId="68A1AA5E">
            <w:pPr>
              <w:adjustRightInd w:val="0"/>
              <w:snapToGrid w:val="0"/>
              <w:jc w:val="center"/>
              <w:rPr>
                <w:rFonts w:hint="default" w:ascii="Times New Roman" w:hAnsi="Times New Roman" w:eastAsia="宋体" w:cs="Times New Roman"/>
                <w:color w:val="000000"/>
                <w:sz w:val="21"/>
                <w:szCs w:val="21"/>
                <w:u w:val="single" w:color="auto"/>
                <w:lang w:val="en-US" w:eastAsia="zh-CN"/>
              </w:rPr>
            </w:pPr>
          </w:p>
        </w:tc>
      </w:tr>
      <w:tr w14:paraId="5726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391BD54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p>
        </w:tc>
        <w:tc>
          <w:tcPr>
            <w:tcW w:w="1797" w:type="pct"/>
            <w:gridSpan w:val="2"/>
            <w:tcBorders>
              <w:tl2br w:val="nil"/>
              <w:tr2bl w:val="nil"/>
            </w:tcBorders>
            <w:shd w:val="clear" w:color="auto" w:fill="auto"/>
            <w:noWrap w:val="0"/>
            <w:vAlign w:val="center"/>
          </w:tcPr>
          <w:p w14:paraId="63A11C7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u w:val="single" w:color="auto"/>
                <w:lang w:val="en-US" w:eastAsia="zh-CN" w:bidi="ar-SA"/>
              </w:rPr>
            </w:pPr>
            <w:r>
              <w:rPr>
                <w:rFonts w:hint="default" w:ascii="Times New Roman" w:hAnsi="Times New Roman" w:eastAsia="宋体" w:cs="Times New Roman"/>
                <w:b w:val="0"/>
                <w:bCs/>
                <w:color w:val="000000"/>
                <w:spacing w:val="8"/>
                <w:sz w:val="21"/>
                <w:szCs w:val="21"/>
                <w:u w:val="single" w:color="auto"/>
              </w:rPr>
              <w:t>废</w:t>
            </w:r>
            <w:r>
              <w:rPr>
                <w:rFonts w:hint="eastAsia" w:ascii="Times New Roman" w:hAnsi="Times New Roman" w:eastAsia="宋体" w:cs="Times New Roman"/>
                <w:b w:val="0"/>
                <w:bCs/>
                <w:color w:val="000000"/>
                <w:spacing w:val="8"/>
                <w:sz w:val="21"/>
                <w:szCs w:val="21"/>
                <w:u w:val="single" w:color="auto"/>
                <w:lang w:val="en-US" w:eastAsia="zh-CN"/>
              </w:rPr>
              <w:t>润滑油</w:t>
            </w:r>
          </w:p>
        </w:tc>
        <w:tc>
          <w:tcPr>
            <w:tcW w:w="1011" w:type="pct"/>
            <w:vMerge w:val="restart"/>
            <w:tcBorders>
              <w:tl2br w:val="nil"/>
              <w:tr2bl w:val="nil"/>
            </w:tcBorders>
            <w:noWrap w:val="0"/>
            <w:vAlign w:val="center"/>
          </w:tcPr>
          <w:p w14:paraId="1EBD8DC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auto"/>
                <w:spacing w:val="0"/>
                <w:position w:val="0"/>
                <w:sz w:val="21"/>
                <w:szCs w:val="21"/>
                <w:highlight w:val="none"/>
                <w:u w:val="single" w:color="auto"/>
                <w:lang w:eastAsia="zh-CN"/>
              </w:rPr>
              <w:t>危险废物暂存间</w:t>
            </w:r>
          </w:p>
        </w:tc>
        <w:tc>
          <w:tcPr>
            <w:tcW w:w="1416" w:type="pct"/>
            <w:gridSpan w:val="2"/>
            <w:vMerge w:val="restart"/>
            <w:tcBorders>
              <w:tl2br w:val="nil"/>
              <w:tr2bl w:val="nil"/>
            </w:tcBorders>
            <w:noWrap w:val="0"/>
            <w:vAlign w:val="center"/>
          </w:tcPr>
          <w:p w14:paraId="341AF075">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auto"/>
                <w:spacing w:val="0"/>
                <w:position w:val="0"/>
                <w:sz w:val="21"/>
                <w:szCs w:val="21"/>
                <w:highlight w:val="none"/>
                <w:u w:val="single" w:color="auto"/>
              </w:rPr>
              <w:t>定期交由有资质单位安全处置</w:t>
            </w:r>
          </w:p>
        </w:tc>
      </w:tr>
      <w:tr w14:paraId="1566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5C9A809D">
            <w:pPr>
              <w:adjustRightInd w:val="0"/>
              <w:snapToGrid w:val="0"/>
              <w:jc w:val="center"/>
              <w:rPr>
                <w:rFonts w:hint="default" w:ascii="Times New Roman" w:hAnsi="Times New Roman" w:eastAsia="宋体" w:cs="Times New Roman"/>
                <w:color w:val="000000"/>
                <w:u w:val="single" w:color="auto"/>
                <w:lang w:val="en-US" w:eastAsia="zh-CN"/>
              </w:rPr>
            </w:pPr>
          </w:p>
        </w:tc>
        <w:tc>
          <w:tcPr>
            <w:tcW w:w="1797" w:type="pct"/>
            <w:gridSpan w:val="2"/>
            <w:tcBorders>
              <w:tl2br w:val="nil"/>
              <w:tr2bl w:val="nil"/>
            </w:tcBorders>
            <w:shd w:val="clear" w:color="auto" w:fill="auto"/>
            <w:noWrap w:val="0"/>
            <w:vAlign w:val="center"/>
          </w:tcPr>
          <w:p w14:paraId="07A6F2C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000000"/>
                <w:kern w:val="2"/>
                <w:sz w:val="21"/>
                <w:szCs w:val="21"/>
                <w:u w:val="single" w:color="auto"/>
                <w:lang w:val="en-US" w:eastAsia="zh-CN" w:bidi="ar-SA"/>
              </w:rPr>
            </w:pPr>
            <w:r>
              <w:rPr>
                <w:rFonts w:hint="eastAsia" w:ascii="Times New Roman" w:hAnsi="Times New Roman" w:eastAsia="宋体" w:cs="Times New Roman"/>
                <w:color w:val="000000"/>
                <w:kern w:val="2"/>
                <w:sz w:val="21"/>
                <w:szCs w:val="21"/>
                <w:u w:val="single" w:color="auto"/>
                <w:lang w:val="en-US" w:eastAsia="zh-CN" w:bidi="ar-SA"/>
              </w:rPr>
              <w:t>废液压油</w:t>
            </w:r>
          </w:p>
        </w:tc>
        <w:tc>
          <w:tcPr>
            <w:tcW w:w="1011" w:type="pct"/>
            <w:vMerge w:val="continue"/>
            <w:tcBorders>
              <w:tl2br w:val="nil"/>
              <w:tr2bl w:val="nil"/>
            </w:tcBorders>
            <w:noWrap w:val="0"/>
            <w:vAlign w:val="center"/>
          </w:tcPr>
          <w:p w14:paraId="2A9C4935">
            <w:pPr>
              <w:adjustRightInd w:val="0"/>
              <w:snapToGrid w:val="0"/>
              <w:jc w:val="center"/>
              <w:rPr>
                <w:rFonts w:hint="default" w:ascii="Times New Roman" w:hAnsi="Times New Roman" w:eastAsia="宋体" w:cs="Times New Roman"/>
                <w:color w:val="000000"/>
                <w:u w:val="single" w:color="auto"/>
                <w:lang w:val="en-US" w:eastAsia="zh-CN"/>
              </w:rPr>
            </w:pPr>
          </w:p>
        </w:tc>
        <w:tc>
          <w:tcPr>
            <w:tcW w:w="1416" w:type="pct"/>
            <w:gridSpan w:val="2"/>
            <w:vMerge w:val="continue"/>
            <w:tcBorders>
              <w:tl2br w:val="nil"/>
              <w:tr2bl w:val="nil"/>
            </w:tcBorders>
            <w:noWrap w:val="0"/>
            <w:vAlign w:val="center"/>
          </w:tcPr>
          <w:p w14:paraId="20B3FFB9">
            <w:pPr>
              <w:adjustRightInd w:val="0"/>
              <w:snapToGrid w:val="0"/>
              <w:jc w:val="center"/>
              <w:rPr>
                <w:rFonts w:hint="default" w:ascii="Times New Roman" w:hAnsi="Times New Roman" w:eastAsia="宋体" w:cs="Times New Roman"/>
                <w:color w:val="000000"/>
                <w:u w:val="single" w:color="auto"/>
                <w:lang w:val="en-US" w:eastAsia="zh-CN"/>
              </w:rPr>
            </w:pPr>
          </w:p>
        </w:tc>
      </w:tr>
      <w:tr w14:paraId="707B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34A80C52">
            <w:pPr>
              <w:adjustRightInd w:val="0"/>
              <w:snapToGrid w:val="0"/>
              <w:jc w:val="center"/>
              <w:rPr>
                <w:rFonts w:hint="default" w:ascii="Times New Roman" w:hAnsi="Times New Roman" w:eastAsia="宋体" w:cs="Times New Roman"/>
                <w:color w:val="000000"/>
                <w:u w:val="single" w:color="auto"/>
                <w:lang w:val="en-US" w:eastAsia="zh-CN"/>
              </w:rPr>
            </w:pPr>
          </w:p>
        </w:tc>
        <w:tc>
          <w:tcPr>
            <w:tcW w:w="1797" w:type="pct"/>
            <w:gridSpan w:val="2"/>
            <w:tcBorders>
              <w:tl2br w:val="nil"/>
              <w:tr2bl w:val="nil"/>
            </w:tcBorders>
            <w:shd w:val="clear" w:color="auto" w:fill="auto"/>
            <w:noWrap w:val="0"/>
            <w:vAlign w:val="center"/>
          </w:tcPr>
          <w:p w14:paraId="2D069B0E">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spacing w:val="8"/>
                <w:kern w:val="0"/>
                <w:sz w:val="21"/>
                <w:szCs w:val="21"/>
                <w:u w:val="single" w:color="auto"/>
                <w:lang w:val="en-US" w:eastAsia="zh-CN" w:bidi="ar-SA"/>
              </w:rPr>
            </w:pPr>
            <w:r>
              <w:rPr>
                <w:rFonts w:hint="default" w:ascii="Times New Roman" w:hAnsi="Times New Roman" w:eastAsia="宋体" w:cs="Times New Roman"/>
                <w:b w:val="0"/>
                <w:bCs/>
                <w:color w:val="000000"/>
                <w:spacing w:val="8"/>
                <w:sz w:val="21"/>
                <w:szCs w:val="21"/>
                <w:u w:val="single" w:color="auto"/>
                <w:lang w:eastAsia="zh-CN"/>
              </w:rPr>
              <w:t>废</w:t>
            </w:r>
            <w:r>
              <w:rPr>
                <w:rFonts w:hint="default" w:ascii="Times New Roman" w:hAnsi="Times New Roman" w:eastAsia="宋体" w:cs="Times New Roman"/>
                <w:b w:val="0"/>
                <w:bCs/>
                <w:color w:val="000000"/>
                <w:spacing w:val="8"/>
                <w:sz w:val="21"/>
                <w:szCs w:val="21"/>
                <w:u w:val="single" w:color="auto"/>
                <w:lang w:val="en-US" w:eastAsia="zh-CN"/>
              </w:rPr>
              <w:t>含油抹布及手套</w:t>
            </w:r>
          </w:p>
        </w:tc>
        <w:tc>
          <w:tcPr>
            <w:tcW w:w="1011" w:type="pct"/>
            <w:vMerge w:val="continue"/>
            <w:tcBorders>
              <w:tl2br w:val="nil"/>
              <w:tr2bl w:val="nil"/>
            </w:tcBorders>
            <w:noWrap w:val="0"/>
            <w:vAlign w:val="center"/>
          </w:tcPr>
          <w:p w14:paraId="7046A5BE">
            <w:pPr>
              <w:adjustRightInd w:val="0"/>
              <w:snapToGrid w:val="0"/>
              <w:jc w:val="center"/>
              <w:rPr>
                <w:rFonts w:hint="default" w:ascii="Times New Roman" w:hAnsi="Times New Roman" w:eastAsia="宋体" w:cs="Times New Roman"/>
                <w:color w:val="000000"/>
                <w:u w:val="single" w:color="auto"/>
                <w:lang w:val="en-US" w:eastAsia="zh-CN"/>
              </w:rPr>
            </w:pPr>
          </w:p>
        </w:tc>
        <w:tc>
          <w:tcPr>
            <w:tcW w:w="1416" w:type="pct"/>
            <w:gridSpan w:val="2"/>
            <w:vMerge w:val="continue"/>
            <w:tcBorders>
              <w:tl2br w:val="nil"/>
              <w:tr2bl w:val="nil"/>
            </w:tcBorders>
            <w:noWrap w:val="0"/>
            <w:vAlign w:val="center"/>
          </w:tcPr>
          <w:p w14:paraId="2D773616">
            <w:pPr>
              <w:adjustRightInd w:val="0"/>
              <w:snapToGrid w:val="0"/>
              <w:jc w:val="center"/>
              <w:rPr>
                <w:rFonts w:hint="default" w:ascii="Times New Roman" w:hAnsi="Times New Roman" w:eastAsia="宋体" w:cs="Times New Roman"/>
                <w:color w:val="000000"/>
                <w:u w:val="single" w:color="auto"/>
                <w:lang w:val="en-US" w:eastAsia="zh-CN"/>
              </w:rPr>
            </w:pPr>
          </w:p>
        </w:tc>
      </w:tr>
      <w:tr w14:paraId="66B1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vMerge w:val="continue"/>
            <w:tcBorders>
              <w:tl2br w:val="nil"/>
              <w:tr2bl w:val="nil"/>
            </w:tcBorders>
            <w:noWrap w:val="0"/>
            <w:vAlign w:val="center"/>
          </w:tcPr>
          <w:p w14:paraId="2702FE40">
            <w:pPr>
              <w:adjustRightInd w:val="0"/>
              <w:snapToGrid w:val="0"/>
              <w:jc w:val="center"/>
              <w:rPr>
                <w:rFonts w:hint="default" w:ascii="Times New Roman" w:hAnsi="Times New Roman" w:eastAsia="宋体" w:cs="Times New Roman"/>
                <w:color w:val="000000"/>
                <w:u w:val="single" w:color="auto"/>
                <w:lang w:val="en-US" w:eastAsia="zh-CN"/>
              </w:rPr>
            </w:pPr>
          </w:p>
        </w:tc>
        <w:tc>
          <w:tcPr>
            <w:tcW w:w="1797" w:type="pct"/>
            <w:gridSpan w:val="2"/>
            <w:tcBorders>
              <w:tl2br w:val="nil"/>
              <w:tr2bl w:val="nil"/>
            </w:tcBorders>
            <w:shd w:val="clear" w:color="auto" w:fill="auto"/>
            <w:noWrap w:val="0"/>
            <w:vAlign w:val="center"/>
          </w:tcPr>
          <w:p w14:paraId="7F44019E">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spacing w:val="8"/>
                <w:kern w:val="0"/>
                <w:sz w:val="21"/>
                <w:szCs w:val="21"/>
                <w:u w:val="single" w:color="auto"/>
                <w:lang w:val="en-US" w:eastAsia="zh-CN" w:bidi="ar-SA"/>
              </w:rPr>
            </w:pPr>
            <w:r>
              <w:rPr>
                <w:rFonts w:hint="default" w:ascii="Times New Roman" w:hAnsi="Times New Roman" w:cs="Times New Roman"/>
                <w:b w:val="0"/>
                <w:bCs/>
                <w:spacing w:val="8"/>
                <w:sz w:val="21"/>
                <w:szCs w:val="21"/>
                <w:u w:val="single" w:color="auto"/>
              </w:rPr>
              <w:t>废油桶</w:t>
            </w:r>
          </w:p>
        </w:tc>
        <w:tc>
          <w:tcPr>
            <w:tcW w:w="1011" w:type="pct"/>
            <w:vMerge w:val="continue"/>
            <w:tcBorders>
              <w:tl2br w:val="nil"/>
              <w:tr2bl w:val="nil"/>
            </w:tcBorders>
            <w:noWrap w:val="0"/>
            <w:vAlign w:val="center"/>
          </w:tcPr>
          <w:p w14:paraId="298415EB">
            <w:pPr>
              <w:adjustRightInd w:val="0"/>
              <w:snapToGrid w:val="0"/>
              <w:jc w:val="center"/>
              <w:rPr>
                <w:rFonts w:hint="default" w:ascii="Times New Roman" w:hAnsi="Times New Roman" w:eastAsia="宋体" w:cs="Times New Roman"/>
                <w:color w:val="000000"/>
                <w:u w:val="single" w:color="auto"/>
                <w:lang w:val="en-US" w:eastAsia="zh-CN"/>
              </w:rPr>
            </w:pPr>
          </w:p>
        </w:tc>
        <w:tc>
          <w:tcPr>
            <w:tcW w:w="1416" w:type="pct"/>
            <w:gridSpan w:val="2"/>
            <w:vMerge w:val="continue"/>
            <w:tcBorders>
              <w:tl2br w:val="nil"/>
              <w:tr2bl w:val="nil"/>
            </w:tcBorders>
            <w:noWrap w:val="0"/>
            <w:vAlign w:val="center"/>
          </w:tcPr>
          <w:p w14:paraId="4A299A02">
            <w:pPr>
              <w:adjustRightInd w:val="0"/>
              <w:snapToGrid w:val="0"/>
              <w:jc w:val="center"/>
              <w:rPr>
                <w:rFonts w:hint="default" w:ascii="Times New Roman" w:hAnsi="Times New Roman" w:eastAsia="宋体" w:cs="Times New Roman"/>
                <w:color w:val="000000"/>
                <w:u w:val="single" w:color="auto"/>
                <w:lang w:val="en-US" w:eastAsia="zh-CN"/>
              </w:rPr>
            </w:pPr>
          </w:p>
        </w:tc>
      </w:tr>
      <w:tr w14:paraId="0C91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tcBorders>
              <w:tl2br w:val="nil"/>
              <w:tr2bl w:val="nil"/>
            </w:tcBorders>
            <w:noWrap w:val="0"/>
            <w:vAlign w:val="center"/>
          </w:tcPr>
          <w:p w14:paraId="7A588C63">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环境风险</w:t>
            </w:r>
          </w:p>
          <w:p w14:paraId="59112599">
            <w:pPr>
              <w:adjustRightInd w:val="0"/>
              <w:snapToGrid w:val="0"/>
              <w:jc w:val="center"/>
              <w:rPr>
                <w:rFonts w:hint="default" w:ascii="Times New Roman" w:hAnsi="Times New Roman" w:eastAsia="宋体" w:cs="Times New Roman"/>
                <w:color w:val="000000"/>
                <w:sz w:val="21"/>
                <w:szCs w:val="21"/>
                <w:u w:val="single" w:color="auto"/>
                <w:lang w:val="en-US" w:eastAsia="zh-CN"/>
              </w:rPr>
            </w:pPr>
            <w:r>
              <w:rPr>
                <w:rFonts w:hint="default" w:ascii="Times New Roman" w:hAnsi="Times New Roman" w:eastAsia="宋体" w:cs="Times New Roman"/>
                <w:color w:val="000000"/>
                <w:sz w:val="21"/>
                <w:szCs w:val="21"/>
                <w:u w:val="single" w:color="auto"/>
                <w:lang w:val="en-US" w:eastAsia="zh-CN"/>
              </w:rPr>
              <w:t>防范措施</w:t>
            </w:r>
          </w:p>
        </w:tc>
        <w:tc>
          <w:tcPr>
            <w:tcW w:w="4225" w:type="pct"/>
            <w:gridSpan w:val="5"/>
            <w:tcBorders>
              <w:tl2br w:val="nil"/>
              <w:tr2bl w:val="nil"/>
            </w:tcBorders>
            <w:noWrap w:val="0"/>
            <w:vAlign w:val="center"/>
          </w:tcPr>
          <w:p w14:paraId="64E0C14E">
            <w:pPr>
              <w:keepLines w:val="0"/>
              <w:pageBreakBefore w:val="0"/>
              <w:kinsoku/>
              <w:wordWrap/>
              <w:topLinePunct w:val="0"/>
              <w:autoSpaceDE/>
              <w:autoSpaceDN/>
              <w:bidi w:val="0"/>
              <w:adjustRightInd w:val="0"/>
              <w:snapToGrid w:val="0"/>
              <w:spacing w:line="240" w:lineRule="auto"/>
              <w:ind w:left="0" w:firstLine="0"/>
              <w:jc w:val="left"/>
              <w:textAlignment w:val="auto"/>
              <w:rPr>
                <w:rFonts w:hint="default" w:ascii="Times New Roman" w:hAnsi="Times New Roman" w:eastAsia="宋体" w:cs="Times New Roman"/>
                <w:color w:val="auto"/>
                <w:spacing w:val="0"/>
                <w:position w:val="0"/>
                <w:sz w:val="21"/>
                <w:szCs w:val="21"/>
                <w:highlight w:val="none"/>
                <w:u w:val="single" w:color="auto"/>
              </w:rPr>
            </w:pPr>
            <w:r>
              <w:rPr>
                <w:rFonts w:hint="default" w:ascii="Times New Roman" w:hAnsi="Times New Roman" w:eastAsia="宋体" w:cs="Times New Roman"/>
                <w:color w:val="auto"/>
                <w:spacing w:val="0"/>
                <w:position w:val="0"/>
                <w:sz w:val="21"/>
                <w:szCs w:val="21"/>
                <w:highlight w:val="none"/>
                <w:u w:val="single" w:color="auto"/>
              </w:rPr>
              <w:t>（1）本项目在平面布置中，储存区装置及建筑物间均设置足够的防火安全距离。道路则根据消防车对车道的要求进行设计和布置。</w:t>
            </w:r>
          </w:p>
          <w:p w14:paraId="5985E3B3">
            <w:pPr>
              <w:keepLines w:val="0"/>
              <w:pageBreakBefore w:val="0"/>
              <w:kinsoku/>
              <w:wordWrap/>
              <w:topLinePunct w:val="0"/>
              <w:autoSpaceDE/>
              <w:autoSpaceDN/>
              <w:bidi w:val="0"/>
              <w:adjustRightInd w:val="0"/>
              <w:snapToGrid w:val="0"/>
              <w:spacing w:line="240" w:lineRule="auto"/>
              <w:ind w:left="0" w:firstLine="0"/>
              <w:jc w:val="left"/>
              <w:textAlignment w:val="auto"/>
              <w:rPr>
                <w:rFonts w:hint="default" w:ascii="Times New Roman" w:hAnsi="Times New Roman" w:eastAsia="宋体" w:cs="Times New Roman"/>
                <w:color w:val="auto"/>
                <w:spacing w:val="0"/>
                <w:position w:val="0"/>
                <w:sz w:val="21"/>
                <w:szCs w:val="21"/>
                <w:highlight w:val="none"/>
                <w:u w:val="single" w:color="auto"/>
              </w:rPr>
            </w:pPr>
            <w:r>
              <w:rPr>
                <w:rFonts w:hint="default" w:ascii="Times New Roman" w:hAnsi="Times New Roman" w:eastAsia="宋体" w:cs="Times New Roman"/>
                <w:color w:val="auto"/>
                <w:spacing w:val="0"/>
                <w:position w:val="0"/>
                <w:sz w:val="21"/>
                <w:szCs w:val="21"/>
                <w:highlight w:val="none"/>
                <w:u w:val="single" w:color="auto"/>
              </w:rPr>
              <w:t>（2）在建筑物设计中严格按照《建筑设计防火规范》（GB50016-2014）（2018 年修正）的规定，并按照《建筑灭火器配置设计规范》（GB50140-2005）等要求配置相应的消防器材。</w:t>
            </w:r>
          </w:p>
          <w:p w14:paraId="3050515C">
            <w:pPr>
              <w:keepLines w:val="0"/>
              <w:pageBreakBefore w:val="0"/>
              <w:kinsoku/>
              <w:wordWrap/>
              <w:topLinePunct w:val="0"/>
              <w:autoSpaceDE/>
              <w:autoSpaceDN/>
              <w:bidi w:val="0"/>
              <w:adjustRightInd w:val="0"/>
              <w:snapToGrid w:val="0"/>
              <w:spacing w:line="240" w:lineRule="auto"/>
              <w:ind w:left="0" w:firstLine="0"/>
              <w:jc w:val="left"/>
              <w:textAlignment w:val="auto"/>
              <w:rPr>
                <w:rFonts w:hint="default" w:ascii="Times New Roman" w:hAnsi="Times New Roman" w:eastAsia="宋体" w:cs="Times New Roman"/>
                <w:color w:val="auto"/>
                <w:spacing w:val="0"/>
                <w:position w:val="0"/>
                <w:sz w:val="21"/>
                <w:szCs w:val="21"/>
                <w:highlight w:val="none"/>
                <w:u w:val="single" w:color="auto"/>
              </w:rPr>
            </w:pPr>
            <w:r>
              <w:rPr>
                <w:rFonts w:hint="default" w:ascii="Times New Roman" w:hAnsi="Times New Roman" w:eastAsia="宋体" w:cs="Times New Roman"/>
                <w:color w:val="auto"/>
                <w:spacing w:val="0"/>
                <w:position w:val="0"/>
                <w:sz w:val="21"/>
                <w:szCs w:val="21"/>
                <w:highlight w:val="none"/>
                <w:u w:val="single" w:color="auto"/>
              </w:rPr>
              <w:t>（</w:t>
            </w:r>
            <w:r>
              <w:rPr>
                <w:rFonts w:hint="eastAsia" w:cs="Times New Roman"/>
                <w:color w:val="auto"/>
                <w:spacing w:val="0"/>
                <w:position w:val="0"/>
                <w:sz w:val="21"/>
                <w:szCs w:val="21"/>
                <w:highlight w:val="none"/>
                <w:u w:val="single" w:color="auto"/>
                <w:lang w:val="en-US" w:eastAsia="zh-CN"/>
              </w:rPr>
              <w:t>3</w:t>
            </w:r>
            <w:r>
              <w:rPr>
                <w:rFonts w:hint="default" w:ascii="Times New Roman" w:hAnsi="Times New Roman" w:eastAsia="宋体" w:cs="Times New Roman"/>
                <w:color w:val="auto"/>
                <w:spacing w:val="0"/>
                <w:position w:val="0"/>
                <w:sz w:val="21"/>
                <w:szCs w:val="21"/>
                <w:highlight w:val="none"/>
                <w:u w:val="single" w:color="auto"/>
              </w:rPr>
              <w:t>）购买的电气设备必须是具有国家安全认证标志的产品。</w:t>
            </w:r>
          </w:p>
          <w:p w14:paraId="5F9E2550">
            <w:pPr>
              <w:keepLines w:val="0"/>
              <w:pageBreakBefore w:val="0"/>
              <w:kinsoku/>
              <w:wordWrap/>
              <w:topLinePunct w:val="0"/>
              <w:autoSpaceDE/>
              <w:autoSpaceDN/>
              <w:bidi w:val="0"/>
              <w:adjustRightInd w:val="0"/>
              <w:snapToGrid w:val="0"/>
              <w:spacing w:line="240" w:lineRule="auto"/>
              <w:ind w:left="0" w:firstLine="0"/>
              <w:jc w:val="left"/>
              <w:textAlignment w:val="auto"/>
              <w:rPr>
                <w:rFonts w:hint="default" w:ascii="Times New Roman" w:hAnsi="Times New Roman" w:eastAsia="宋体" w:cs="Times New Roman"/>
                <w:color w:val="auto"/>
                <w:spacing w:val="0"/>
                <w:position w:val="0"/>
                <w:sz w:val="21"/>
                <w:szCs w:val="21"/>
                <w:highlight w:val="none"/>
                <w:u w:val="single" w:color="auto"/>
              </w:rPr>
            </w:pPr>
            <w:r>
              <w:rPr>
                <w:rFonts w:hint="default" w:ascii="Times New Roman" w:hAnsi="Times New Roman" w:eastAsia="宋体" w:cs="Times New Roman"/>
                <w:color w:val="auto"/>
                <w:spacing w:val="0"/>
                <w:position w:val="0"/>
                <w:sz w:val="21"/>
                <w:szCs w:val="21"/>
                <w:highlight w:val="none"/>
                <w:u w:val="single" w:color="auto"/>
              </w:rPr>
              <w:t>（</w:t>
            </w:r>
            <w:r>
              <w:rPr>
                <w:rFonts w:hint="eastAsia" w:cs="Times New Roman"/>
                <w:color w:val="auto"/>
                <w:spacing w:val="0"/>
                <w:position w:val="0"/>
                <w:sz w:val="21"/>
                <w:szCs w:val="21"/>
                <w:highlight w:val="none"/>
                <w:u w:val="single" w:color="auto"/>
                <w:lang w:val="en-US" w:eastAsia="zh-CN"/>
              </w:rPr>
              <w:t>4</w:t>
            </w:r>
            <w:r>
              <w:rPr>
                <w:rFonts w:hint="default" w:ascii="Times New Roman" w:hAnsi="Times New Roman" w:eastAsia="宋体" w:cs="Times New Roman"/>
                <w:color w:val="auto"/>
                <w:spacing w:val="0"/>
                <w:position w:val="0"/>
                <w:sz w:val="21"/>
                <w:szCs w:val="21"/>
                <w:highlight w:val="none"/>
                <w:u w:val="single" w:color="auto"/>
              </w:rPr>
              <w:t>）储存区的电器、仪表设备选型根据介质、防爆等级要求选择防爆电气设备。</w:t>
            </w:r>
          </w:p>
          <w:p w14:paraId="159AA2F6">
            <w:pPr>
              <w:keepLines w:val="0"/>
              <w:pageBreakBefore w:val="0"/>
              <w:kinsoku/>
              <w:wordWrap/>
              <w:topLinePunct w:val="0"/>
              <w:autoSpaceDE/>
              <w:autoSpaceDN/>
              <w:bidi w:val="0"/>
              <w:adjustRightInd w:val="0"/>
              <w:snapToGrid w:val="0"/>
              <w:spacing w:line="240" w:lineRule="auto"/>
              <w:ind w:left="0" w:firstLine="0"/>
              <w:jc w:val="left"/>
              <w:textAlignment w:val="auto"/>
              <w:rPr>
                <w:rFonts w:hint="default" w:ascii="Times New Roman" w:hAnsi="Times New Roman" w:eastAsia="宋体" w:cs="Times New Roman"/>
                <w:color w:val="auto"/>
                <w:spacing w:val="0"/>
                <w:position w:val="0"/>
                <w:sz w:val="21"/>
                <w:szCs w:val="21"/>
                <w:highlight w:val="none"/>
                <w:u w:val="single" w:color="auto"/>
              </w:rPr>
            </w:pPr>
            <w:r>
              <w:rPr>
                <w:rFonts w:hint="default" w:ascii="Times New Roman" w:hAnsi="Times New Roman" w:eastAsia="宋体" w:cs="Times New Roman"/>
                <w:color w:val="auto"/>
                <w:spacing w:val="0"/>
                <w:position w:val="0"/>
                <w:sz w:val="21"/>
                <w:szCs w:val="21"/>
                <w:highlight w:val="none"/>
                <w:u w:val="single" w:color="auto"/>
              </w:rPr>
              <w:t>（</w:t>
            </w:r>
            <w:r>
              <w:rPr>
                <w:rFonts w:hint="eastAsia" w:cs="Times New Roman"/>
                <w:color w:val="auto"/>
                <w:spacing w:val="0"/>
                <w:position w:val="0"/>
                <w:sz w:val="21"/>
                <w:szCs w:val="21"/>
                <w:highlight w:val="none"/>
                <w:u w:val="single" w:color="auto"/>
                <w:lang w:val="en-US" w:eastAsia="zh-CN"/>
              </w:rPr>
              <w:t>5</w:t>
            </w:r>
            <w:r>
              <w:rPr>
                <w:rFonts w:hint="default" w:ascii="Times New Roman" w:hAnsi="Times New Roman" w:eastAsia="宋体" w:cs="Times New Roman"/>
                <w:color w:val="auto"/>
                <w:spacing w:val="0"/>
                <w:position w:val="0"/>
                <w:sz w:val="21"/>
                <w:szCs w:val="21"/>
                <w:highlight w:val="none"/>
                <w:u w:val="single" w:color="auto"/>
              </w:rPr>
              <w:t>）在电气和电讯设备设计中，供电采用双回路电源；消防设施采用单独的回路供电，其配电线路采用非延燃性电缆，明敷时置于配线桥架内或直接埋地敷设，当发生切断生产、生活用电时，仍能保证消防用电。</w:t>
            </w:r>
          </w:p>
          <w:p w14:paraId="358329E8">
            <w:pPr>
              <w:adjustRightInd w:val="0"/>
              <w:snapToGrid w:val="0"/>
              <w:jc w:val="left"/>
              <w:rPr>
                <w:rFonts w:hint="eastAsia" w:ascii="Times New Roman" w:hAnsi="Times New Roman" w:eastAsia="宋体" w:cs="Times New Roman"/>
                <w:color w:val="000000"/>
                <w:u w:val="single" w:color="auto"/>
                <w:lang w:val="en-US" w:eastAsia="zh-CN"/>
              </w:rPr>
            </w:pPr>
            <w:r>
              <w:rPr>
                <w:rFonts w:hint="default" w:ascii="Times New Roman" w:hAnsi="Times New Roman" w:eastAsia="宋体" w:cs="Times New Roman"/>
                <w:color w:val="auto"/>
                <w:spacing w:val="0"/>
                <w:position w:val="0"/>
                <w:sz w:val="21"/>
                <w:szCs w:val="21"/>
                <w:highlight w:val="none"/>
                <w:u w:val="single" w:color="auto"/>
              </w:rPr>
              <w:t>（</w:t>
            </w:r>
            <w:r>
              <w:rPr>
                <w:rFonts w:hint="eastAsia" w:cs="Times New Roman"/>
                <w:color w:val="auto"/>
                <w:spacing w:val="0"/>
                <w:position w:val="0"/>
                <w:sz w:val="21"/>
                <w:szCs w:val="21"/>
                <w:highlight w:val="none"/>
                <w:u w:val="single" w:color="auto"/>
                <w:lang w:val="en-US" w:eastAsia="zh-CN"/>
              </w:rPr>
              <w:t>6</w:t>
            </w:r>
            <w:r>
              <w:rPr>
                <w:rFonts w:hint="default" w:ascii="Times New Roman" w:hAnsi="Times New Roman" w:eastAsia="宋体" w:cs="Times New Roman"/>
                <w:color w:val="auto"/>
                <w:spacing w:val="0"/>
                <w:position w:val="0"/>
                <w:sz w:val="21"/>
                <w:szCs w:val="21"/>
                <w:highlight w:val="none"/>
                <w:u w:val="single" w:color="auto"/>
              </w:rPr>
              <w:t>）为满足意外事故并能及时抢险需要，工程设计应按照有关规范对储存区设置消防系统，防止危险化学品在储运过程发生泄漏、着火等事故；同时，配备检漏、防漏和堵漏装备和工具器材，泄漏报警时，可及时控制泄漏；针对储料的种类和性质，配备相应的个人防护用品，泄漏时用于应急防护，储存区必须设置物料的应急排放设备或场所，以备应急使用，如事故池等。</w:t>
            </w:r>
          </w:p>
        </w:tc>
      </w:tr>
      <w:tr w14:paraId="5C88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4" w:type="pct"/>
            <w:tcBorders>
              <w:tl2br w:val="nil"/>
              <w:tr2bl w:val="nil"/>
            </w:tcBorders>
            <w:noWrap w:val="0"/>
            <w:vAlign w:val="center"/>
          </w:tcPr>
          <w:p w14:paraId="1503B2CC">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其他环境</w:t>
            </w:r>
          </w:p>
          <w:p w14:paraId="1B5E34B2">
            <w:pPr>
              <w:adjustRightInd w:val="0"/>
              <w:snapToGrid w:val="0"/>
              <w:jc w:val="center"/>
              <w:rPr>
                <w:rFonts w:hint="eastAsia" w:ascii="Times New Roman" w:hAnsi="Times New Roman" w:eastAsia="宋体" w:cs="Times New Roman"/>
                <w:color w:val="000000"/>
                <w:sz w:val="21"/>
                <w:szCs w:val="21"/>
                <w:u w:val="single" w:color="auto"/>
                <w:lang w:val="en-US" w:eastAsia="zh-CN"/>
              </w:rPr>
            </w:pPr>
            <w:r>
              <w:rPr>
                <w:rFonts w:hint="eastAsia" w:ascii="Times New Roman" w:hAnsi="Times New Roman" w:eastAsia="宋体" w:cs="Times New Roman"/>
                <w:color w:val="000000"/>
                <w:sz w:val="21"/>
                <w:szCs w:val="21"/>
                <w:u w:val="single" w:color="auto"/>
                <w:lang w:val="en-US" w:eastAsia="zh-CN"/>
              </w:rPr>
              <w:t>管理要求</w:t>
            </w:r>
          </w:p>
        </w:tc>
        <w:tc>
          <w:tcPr>
            <w:tcW w:w="4225" w:type="pct"/>
            <w:gridSpan w:val="5"/>
            <w:tcBorders>
              <w:tl2br w:val="nil"/>
              <w:tr2bl w:val="nil"/>
            </w:tcBorders>
            <w:noWrap w:val="0"/>
            <w:vAlign w:val="center"/>
          </w:tcPr>
          <w:p w14:paraId="3B7A8459">
            <w:pPr>
              <w:keepLines w:val="0"/>
              <w:pageBreakBefore w:val="0"/>
              <w:kinsoku/>
              <w:wordWrap/>
              <w:topLinePunct w:val="0"/>
              <w:autoSpaceDE/>
              <w:autoSpaceDN/>
              <w:bidi w:val="0"/>
              <w:adjustRightInd w:val="0"/>
              <w:snapToGrid w:val="0"/>
              <w:spacing w:line="240" w:lineRule="auto"/>
              <w:ind w:left="0" w:firstLine="0"/>
              <w:jc w:val="left"/>
              <w:textAlignment w:val="auto"/>
              <w:rPr>
                <w:rFonts w:hint="eastAsia" w:ascii="Times New Roman" w:hAnsi="Times New Roman" w:eastAsia="宋体" w:cs="Times New Roman"/>
                <w:color w:val="auto"/>
                <w:spacing w:val="0"/>
                <w:position w:val="0"/>
                <w:sz w:val="21"/>
                <w:szCs w:val="21"/>
                <w:highlight w:val="none"/>
                <w:u w:val="single" w:color="auto"/>
              </w:rPr>
            </w:pPr>
            <w:r>
              <w:rPr>
                <w:rFonts w:hint="eastAsia" w:ascii="Times New Roman" w:hAnsi="Times New Roman" w:eastAsia="宋体" w:cs="Times New Roman"/>
                <w:color w:val="auto"/>
                <w:spacing w:val="0"/>
                <w:position w:val="0"/>
                <w:sz w:val="21"/>
                <w:szCs w:val="21"/>
                <w:highlight w:val="none"/>
                <w:u w:val="single" w:color="auto"/>
              </w:rPr>
              <w:t xml:space="preserve">（1）建设项目竣工后，建设单位或者委托技术机构依照国家有关法律法规、技术规范和审批决定等要求，如实查验、监测、记载建设项目环境保护设施的 </w:t>
            </w:r>
            <w:r>
              <w:rPr>
                <w:rFonts w:hint="eastAsia" w:cs="Times New Roman"/>
                <w:color w:val="auto"/>
                <w:spacing w:val="0"/>
                <w:position w:val="0"/>
                <w:sz w:val="21"/>
                <w:szCs w:val="21"/>
                <w:highlight w:val="none"/>
                <w:u w:val="single" w:color="auto"/>
                <w:lang w:eastAsia="zh-CN"/>
              </w:rPr>
              <w:t>“</w:t>
            </w:r>
            <w:r>
              <w:rPr>
                <w:rFonts w:hint="eastAsia" w:ascii="Times New Roman" w:hAnsi="Times New Roman" w:eastAsia="宋体" w:cs="Times New Roman"/>
                <w:color w:val="auto"/>
                <w:spacing w:val="0"/>
                <w:position w:val="0"/>
                <w:sz w:val="21"/>
                <w:szCs w:val="21"/>
                <w:highlight w:val="none"/>
                <w:u w:val="single" w:color="auto"/>
              </w:rPr>
              <w:t>三同时</w:t>
            </w:r>
            <w:r>
              <w:rPr>
                <w:rFonts w:hint="eastAsia" w:cs="Times New Roman"/>
                <w:color w:val="auto"/>
                <w:spacing w:val="0"/>
                <w:position w:val="0"/>
                <w:sz w:val="21"/>
                <w:szCs w:val="21"/>
                <w:highlight w:val="none"/>
                <w:u w:val="single" w:color="auto"/>
                <w:lang w:eastAsia="zh-CN"/>
              </w:rPr>
              <w:t>”</w:t>
            </w:r>
            <w:r>
              <w:rPr>
                <w:rFonts w:hint="eastAsia" w:ascii="Times New Roman" w:hAnsi="Times New Roman" w:eastAsia="宋体" w:cs="Times New Roman"/>
                <w:color w:val="auto"/>
                <w:spacing w:val="0"/>
                <w:position w:val="0"/>
                <w:sz w:val="21"/>
                <w:szCs w:val="21"/>
                <w:highlight w:val="none"/>
                <w:u w:val="single" w:color="auto"/>
              </w:rPr>
              <w:t xml:space="preserve">落实情况，编制竣工环境保护验收报告，进行竣工环保验收。 </w:t>
            </w:r>
          </w:p>
          <w:p w14:paraId="177E81B0">
            <w:pPr>
              <w:keepNext w:val="0"/>
              <w:keepLines w:val="0"/>
              <w:pageBreakBefore w:val="0"/>
              <w:widowControl/>
              <w:suppressLineNumbers w:val="0"/>
              <w:kinsoku/>
              <w:wordWrap/>
              <w:topLinePunct w:val="0"/>
              <w:autoSpaceDE/>
              <w:autoSpaceDN/>
              <w:bidi w:val="0"/>
              <w:spacing w:line="240" w:lineRule="auto"/>
              <w:ind w:left="0" w:firstLine="0"/>
              <w:jc w:val="left"/>
              <w:textAlignment w:val="auto"/>
              <w:rPr>
                <w:rFonts w:hint="default"/>
                <w:spacing w:val="0"/>
                <w:position w:val="0"/>
                <w:sz w:val="21"/>
                <w:szCs w:val="21"/>
                <w:u w:val="single" w:color="auto"/>
                <w:lang w:val="en-US"/>
              </w:rPr>
            </w:pPr>
            <w:r>
              <w:rPr>
                <w:rFonts w:hint="eastAsia" w:ascii="Times New Roman" w:hAnsi="Times New Roman" w:eastAsia="宋体" w:cs="Times New Roman"/>
                <w:color w:val="auto"/>
                <w:spacing w:val="0"/>
                <w:position w:val="0"/>
                <w:sz w:val="21"/>
                <w:szCs w:val="21"/>
                <w:highlight w:val="none"/>
                <w:u w:val="single" w:color="auto"/>
              </w:rPr>
              <w:t>（2）</w:t>
            </w:r>
            <w:r>
              <w:rPr>
                <w:rFonts w:hint="eastAsia" w:ascii="Times New Roman" w:hAnsi="Times New Roman" w:eastAsia="宋体" w:cs="Times New Roman"/>
                <w:color w:val="auto"/>
                <w:spacing w:val="0"/>
                <w:position w:val="0"/>
                <w:sz w:val="21"/>
                <w:szCs w:val="21"/>
                <w:highlight w:val="none"/>
                <w:u w:val="single" w:color="auto"/>
                <w:lang w:val="en-US" w:eastAsia="zh-CN"/>
              </w:rPr>
              <w:t>根据</w:t>
            </w:r>
            <w:r>
              <w:rPr>
                <w:rFonts w:hint="default" w:ascii="Times New Roman" w:hAnsi="Times New Roman" w:eastAsia="宋体" w:cs="Times New Roman"/>
                <w:color w:val="000000"/>
                <w:spacing w:val="0"/>
                <w:kern w:val="0"/>
                <w:position w:val="0"/>
                <w:sz w:val="21"/>
                <w:szCs w:val="21"/>
                <w:u w:val="single" w:color="auto"/>
                <w:lang w:val="en-US" w:eastAsia="zh-CN" w:bidi="ar"/>
              </w:rPr>
              <w:t>《固定污染源排污许可分类管理名录</w:t>
            </w:r>
            <w:r>
              <w:rPr>
                <w:rFonts w:hint="default" w:ascii="Times New Roman" w:hAnsi="Times New Roman" w:cs="Times New Roman"/>
                <w:color w:val="000000"/>
                <w:spacing w:val="0"/>
                <w:kern w:val="0"/>
                <w:position w:val="0"/>
                <w:sz w:val="21"/>
                <w:szCs w:val="21"/>
                <w:u w:val="single" w:color="auto"/>
                <w:lang w:bidi="ar"/>
              </w:rPr>
              <w:t>（2019 年版）</w:t>
            </w:r>
            <w:r>
              <w:rPr>
                <w:rFonts w:hint="default" w:ascii="Times New Roman" w:hAnsi="Times New Roman" w:eastAsia="宋体" w:cs="Times New Roman"/>
                <w:color w:val="000000"/>
                <w:spacing w:val="0"/>
                <w:kern w:val="0"/>
                <w:position w:val="0"/>
                <w:sz w:val="21"/>
                <w:szCs w:val="21"/>
                <w:u w:val="single" w:color="auto"/>
                <w:lang w:val="en-US" w:eastAsia="zh-CN" w:bidi="ar"/>
              </w:rPr>
              <w:t>》</w:t>
            </w:r>
            <w:r>
              <w:rPr>
                <w:rFonts w:hint="default" w:ascii="Times New Roman" w:hAnsi="Times New Roman" w:cs="Times New Roman"/>
                <w:color w:val="000000"/>
                <w:spacing w:val="0"/>
                <w:kern w:val="0"/>
                <w:position w:val="0"/>
                <w:sz w:val="21"/>
                <w:szCs w:val="21"/>
                <w:u w:val="single" w:color="auto"/>
                <w:lang w:val="en-US" w:eastAsia="zh-CN" w:bidi="ar"/>
              </w:rPr>
              <w:t>，</w:t>
            </w:r>
            <w:r>
              <w:rPr>
                <w:rFonts w:hint="default" w:ascii="Times New Roman" w:hAnsi="Times New Roman" w:cs="Times New Roman"/>
                <w:color w:val="000000"/>
                <w:spacing w:val="0"/>
                <w:kern w:val="0"/>
                <w:position w:val="0"/>
                <w:sz w:val="21"/>
                <w:szCs w:val="21"/>
                <w:u w:val="single" w:color="auto"/>
                <w:lang w:bidi="ar"/>
              </w:rPr>
              <w:t>本项目属于</w:t>
            </w:r>
            <w:r>
              <w:rPr>
                <w:rFonts w:hint="eastAsia" w:cs="Times New Roman"/>
                <w:color w:val="000000"/>
                <w:spacing w:val="0"/>
                <w:kern w:val="0"/>
                <w:position w:val="0"/>
                <w:sz w:val="21"/>
                <w:szCs w:val="21"/>
                <w:u w:val="single" w:color="auto"/>
                <w:lang w:val="en-US" w:eastAsia="zh-CN" w:bidi="ar"/>
              </w:rPr>
              <w:t>简化管理</w:t>
            </w:r>
            <w:r>
              <w:rPr>
                <w:rFonts w:hint="default" w:ascii="Times New Roman" w:hAnsi="Times New Roman" w:cs="Times New Roman"/>
                <w:color w:val="000000"/>
                <w:spacing w:val="0"/>
                <w:kern w:val="0"/>
                <w:position w:val="0"/>
                <w:sz w:val="21"/>
                <w:szCs w:val="21"/>
                <w:u w:val="single" w:color="auto"/>
                <w:lang w:bidi="ar"/>
              </w:rPr>
              <w:t>类别，</w:t>
            </w:r>
            <w:r>
              <w:rPr>
                <w:rFonts w:hint="eastAsia" w:ascii="Times New Roman" w:hAnsi="Times New Roman" w:eastAsia="宋体" w:cs="Times New Roman"/>
                <w:color w:val="auto"/>
                <w:spacing w:val="0"/>
                <w:position w:val="0"/>
                <w:sz w:val="21"/>
                <w:szCs w:val="21"/>
                <w:highlight w:val="none"/>
                <w:u w:val="single" w:color="auto"/>
                <w:lang w:val="en-US" w:eastAsia="zh-CN"/>
              </w:rPr>
              <w:t>建设单位应当在启动本项目生产设施或者发生实际排污之前申请取得</w:t>
            </w:r>
            <w:r>
              <w:rPr>
                <w:rFonts w:hint="eastAsia" w:cs="Times New Roman"/>
                <w:color w:val="auto"/>
                <w:spacing w:val="0"/>
                <w:position w:val="0"/>
                <w:sz w:val="21"/>
                <w:szCs w:val="21"/>
                <w:highlight w:val="none"/>
                <w:u w:val="single" w:color="auto"/>
                <w:lang w:val="en-US" w:eastAsia="zh-CN"/>
              </w:rPr>
              <w:t>排污许可证。</w:t>
            </w:r>
          </w:p>
          <w:p w14:paraId="6AC09D06">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r>
              <w:rPr>
                <w:rFonts w:hint="eastAsia" w:ascii="Times New Roman" w:hAnsi="Times New Roman" w:eastAsia="宋体" w:cs="Times New Roman"/>
                <w:color w:val="auto"/>
                <w:spacing w:val="0"/>
                <w:position w:val="0"/>
                <w:sz w:val="21"/>
                <w:szCs w:val="21"/>
                <w:highlight w:val="none"/>
                <w:u w:val="single" w:color="auto"/>
              </w:rPr>
              <w:t>（3）制定完善的企业环境管理规章制度，各项环保工作落实到人，建立环境管理台账，做好污染治理设施运行记录、环境监测资料等环境保护档案的存档工作。</w:t>
            </w:r>
          </w:p>
          <w:p w14:paraId="7FB18A44">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50AA1B71">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AAC62B1">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6CA1B9ED">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3B18E510">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14F544B5">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0B0A1F88">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2C33B0D">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391C2C9F">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126045EE">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4E29F34A">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6836D3D4">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50062CFE">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63FC8C5">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7C64F23A">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3D56C110">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18EF3FFD">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88BE904">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67C61040">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7D5F8EE7">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C3A41D9">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0BD6DD53">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72672FFB">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30A1118">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0EFC5BA2">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6D54D226">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062AB20C">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1C9D7D90">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796158C5">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3837BB1">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656A17D8">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2B4EC0D">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2978F36A">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7A8BA289">
            <w:pPr>
              <w:adjustRightInd w:val="0"/>
              <w:snapToGrid w:val="0"/>
              <w:jc w:val="left"/>
              <w:rPr>
                <w:rFonts w:hint="eastAsia" w:ascii="Times New Roman" w:hAnsi="Times New Roman" w:eastAsia="宋体" w:cs="Times New Roman"/>
                <w:color w:val="auto"/>
                <w:spacing w:val="0"/>
                <w:position w:val="0"/>
                <w:sz w:val="21"/>
                <w:szCs w:val="21"/>
                <w:highlight w:val="none"/>
                <w:u w:val="single" w:color="auto"/>
              </w:rPr>
            </w:pPr>
          </w:p>
          <w:p w14:paraId="3DBA81FF">
            <w:pPr>
              <w:adjustRightInd w:val="0"/>
              <w:snapToGrid w:val="0"/>
              <w:jc w:val="left"/>
              <w:rPr>
                <w:rFonts w:hint="default" w:ascii="Times New Roman" w:hAnsi="Times New Roman" w:eastAsia="宋体" w:cs="Times New Roman"/>
                <w:color w:val="auto"/>
                <w:spacing w:val="0"/>
                <w:position w:val="0"/>
                <w:sz w:val="21"/>
                <w:szCs w:val="21"/>
                <w:highlight w:val="none"/>
                <w:u w:val="single" w:color="auto"/>
                <w:lang w:val="en-US" w:eastAsia="zh-CN"/>
              </w:rPr>
            </w:pPr>
          </w:p>
        </w:tc>
      </w:tr>
    </w:tbl>
    <w:p w14:paraId="0BB520B8">
      <w:pPr>
        <w:numPr>
          <w:ilvl w:val="0"/>
          <w:numId w:val="0"/>
        </w:numPr>
        <w:jc w:val="center"/>
        <w:outlineLvl w:val="0"/>
        <w:rPr>
          <w:rFonts w:hint="eastAsia" w:ascii="黑体" w:hAnsi="黑体" w:eastAsia="黑体" w:cs="Times New Roman"/>
          <w:snapToGrid w:val="0"/>
          <w:color w:val="000000"/>
          <w:sz w:val="30"/>
          <w:szCs w:val="30"/>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D66F41E">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0"/>
        <w:rPr>
          <w:rFonts w:hint="eastAsia" w:ascii="黑体" w:hAnsi="黑体" w:eastAsia="黑体" w:cs="Times New Roman"/>
          <w:snapToGrid w:val="0"/>
          <w:color w:val="000000"/>
          <w:sz w:val="30"/>
          <w:szCs w:val="30"/>
          <w:u w:val="none" w:color="auto"/>
        </w:rPr>
      </w:pPr>
      <w:bookmarkStart w:id="162" w:name="_Toc465"/>
      <w:bookmarkStart w:id="163" w:name="_Toc18062"/>
      <w:bookmarkStart w:id="164" w:name="_Toc18481"/>
      <w:bookmarkStart w:id="165" w:name="_Toc15073"/>
      <w:bookmarkStart w:id="166" w:name="_Toc12905"/>
      <w:bookmarkStart w:id="167" w:name="_Toc30510"/>
      <w:bookmarkStart w:id="168" w:name="_Toc25530"/>
      <w:bookmarkStart w:id="169" w:name="_Toc11015"/>
      <w:bookmarkStart w:id="170" w:name="_Toc8168"/>
      <w:bookmarkStart w:id="171" w:name="_Toc22760"/>
      <w:bookmarkStart w:id="172" w:name="_Toc2000"/>
      <w:bookmarkStart w:id="173" w:name="_Toc9972"/>
      <w:bookmarkStart w:id="174" w:name="_Toc23806"/>
      <w:bookmarkStart w:id="175" w:name="_Toc12431"/>
      <w:r>
        <w:rPr>
          <w:rFonts w:hint="eastAsia" w:ascii="黑体" w:hAnsi="黑体" w:eastAsia="黑体" w:cs="Times New Roman"/>
          <w:snapToGrid w:val="0"/>
          <w:color w:val="000000"/>
          <w:kern w:val="0"/>
          <w:sz w:val="30"/>
          <w:szCs w:val="30"/>
          <w:u w:val="none" w:color="auto"/>
          <w:lang w:val="en-US" w:eastAsia="zh-CN" w:bidi="ar-SA"/>
        </w:rPr>
        <w:t>六、</w:t>
      </w:r>
      <w:r>
        <w:rPr>
          <w:rFonts w:hint="eastAsia" w:ascii="黑体" w:hAnsi="黑体" w:eastAsia="黑体" w:cs="Times New Roman"/>
          <w:snapToGrid w:val="0"/>
          <w:color w:val="000000"/>
          <w:sz w:val="30"/>
          <w:szCs w:val="30"/>
          <w:u w:val="none" w:color="auto"/>
        </w:rPr>
        <w:t>结论</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tbl>
      <w:tblPr>
        <w:tblStyle w:val="27"/>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F586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4" w:hRule="atLeast"/>
          <w:jc w:val="center"/>
        </w:trPr>
        <w:tc>
          <w:tcPr>
            <w:tcW w:w="9071" w:type="dxa"/>
            <w:noWrap w:val="0"/>
            <w:vAlign w:val="top"/>
          </w:tcPr>
          <w:p w14:paraId="65A1E439">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rPr>
                <w:rFonts w:hint="default" w:ascii="Times New Roman" w:hAnsi="Times New Roman" w:eastAsia="宋体" w:cs="Times New Roman"/>
                <w:color w:val="000000"/>
                <w:sz w:val="24"/>
                <w:u w:val="none" w:color="auto"/>
                <w:lang w:val="en-US" w:eastAsia="zh-CN"/>
              </w:rPr>
            </w:pPr>
            <w:r>
              <w:rPr>
                <w:rFonts w:hint="eastAsia" w:ascii="Times New Roman" w:hAnsi="Times New Roman" w:eastAsia="宋体" w:cs="Times New Roman"/>
                <w:color w:val="000000"/>
                <w:sz w:val="24"/>
                <w:u w:val="none" w:color="auto"/>
                <w:lang w:val="en-US" w:eastAsia="zh-CN"/>
              </w:rPr>
              <w:t>综上所述，本项目的建设符合国家产业政策，符合</w:t>
            </w:r>
            <w:r>
              <w:rPr>
                <w:rFonts w:hint="eastAsia" w:ascii="Times New Roman" w:hAnsi="Times New Roman" w:eastAsia="宋体" w:cs="Times New Roman"/>
                <w:color w:val="000000"/>
                <w:kern w:val="0"/>
                <w:sz w:val="24"/>
                <w:szCs w:val="24"/>
                <w:u w:val="none" w:color="auto"/>
                <w:lang w:val="en-US" w:eastAsia="zh-CN" w:bidi="ar"/>
              </w:rPr>
              <w:t>新田产业开发区</w:t>
            </w:r>
            <w:r>
              <w:rPr>
                <w:rFonts w:hint="eastAsia" w:ascii="Times New Roman" w:hAnsi="Times New Roman" w:eastAsia="宋体" w:cs="Times New Roman"/>
                <w:color w:val="000000"/>
                <w:sz w:val="24"/>
                <w:u w:val="none" w:color="auto"/>
                <w:lang w:val="en-US" w:eastAsia="zh-CN"/>
              </w:rPr>
              <w:t>生态环境准入清单相关要求，</w:t>
            </w:r>
            <w:r>
              <w:rPr>
                <w:rFonts w:hint="default" w:ascii="Times New Roman" w:hAnsi="Times New Roman" w:eastAsia="宋体" w:cs="Times New Roman"/>
                <w:color w:val="000000"/>
                <w:sz w:val="24"/>
                <w:u w:val="none" w:color="auto"/>
                <w:lang w:val="en-US" w:eastAsia="zh-CN"/>
              </w:rPr>
              <w:t>符合</w:t>
            </w:r>
            <w:r>
              <w:rPr>
                <w:rFonts w:hint="eastAsia" w:ascii="Times New Roman" w:hAnsi="Times New Roman" w:eastAsia="宋体" w:cs="Times New Roman"/>
                <w:color w:val="000000"/>
                <w:kern w:val="0"/>
                <w:sz w:val="24"/>
                <w:szCs w:val="24"/>
                <w:u w:val="none" w:color="auto"/>
                <w:lang w:val="en-US" w:eastAsia="zh-CN" w:bidi="ar"/>
              </w:rPr>
              <w:t>新田产业开发区总体规划</w:t>
            </w:r>
            <w:r>
              <w:rPr>
                <w:rFonts w:hint="default" w:ascii="Times New Roman" w:hAnsi="Times New Roman" w:eastAsia="宋体" w:cs="Times New Roman"/>
                <w:color w:val="000000"/>
                <w:sz w:val="24"/>
                <w:u w:val="none" w:color="auto"/>
                <w:lang w:val="en-US" w:eastAsia="zh-CN"/>
              </w:rPr>
              <w:t>的产业定位</w:t>
            </w:r>
            <w:r>
              <w:rPr>
                <w:rFonts w:hint="eastAsia" w:ascii="Times New Roman" w:hAnsi="Times New Roman" w:eastAsia="宋体" w:cs="Times New Roman"/>
                <w:color w:val="000000"/>
                <w:sz w:val="24"/>
                <w:u w:val="none" w:color="auto"/>
                <w:lang w:val="en-US" w:eastAsia="zh-CN"/>
              </w:rPr>
              <w:t>和建设用地等</w:t>
            </w:r>
            <w:r>
              <w:rPr>
                <w:rFonts w:hint="default" w:ascii="Times New Roman" w:hAnsi="Times New Roman" w:eastAsia="宋体" w:cs="Times New Roman"/>
                <w:color w:val="000000"/>
                <w:sz w:val="24"/>
                <w:u w:val="none" w:color="auto"/>
                <w:lang w:val="en-US" w:eastAsia="zh-CN"/>
              </w:rPr>
              <w:t>要求</w:t>
            </w:r>
            <w:r>
              <w:rPr>
                <w:rFonts w:hint="eastAsia" w:ascii="Times New Roman" w:hAnsi="Times New Roman" w:eastAsia="宋体" w:cs="Times New Roman"/>
                <w:color w:val="000000"/>
                <w:sz w:val="24"/>
                <w:u w:val="none" w:color="auto"/>
                <w:lang w:val="en-US" w:eastAsia="zh-CN"/>
              </w:rPr>
              <w:t>。项目建设严格按照环保要求和环评建议落实污染控制和治理措施，使其对环境的不利影响减少到最小限度。因此，建设单位在采取本评价所述措施对项目产生的污染物进行污染控制和治理，确保污染物达标排放，对周围环境影响满足相应标准要求的情况下，从环境保护角度分析，本项目建设可行。</w:t>
            </w:r>
          </w:p>
        </w:tc>
      </w:tr>
    </w:tbl>
    <w:p w14:paraId="30F7E121">
      <w:pPr>
        <w:numPr>
          <w:ilvl w:val="0"/>
          <w:numId w:val="0"/>
        </w:numPr>
        <w:jc w:val="center"/>
        <w:outlineLvl w:val="0"/>
        <w:rPr>
          <w:rFonts w:hint="eastAsia" w:ascii="黑体" w:hAnsi="黑体" w:eastAsia="黑体" w:cs="Times New Roman"/>
          <w:snapToGrid w:val="0"/>
          <w:color w:val="000000"/>
          <w:sz w:val="30"/>
          <w:szCs w:val="30"/>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14E61FF4">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0"/>
        <w:rPr>
          <w:rFonts w:hint="eastAsia" w:ascii="方正小标宋_GBK" w:hAnsi="黑体" w:eastAsia="方正小标宋_GBK"/>
          <w:snapToGrid w:val="0"/>
          <w:color w:val="000000"/>
          <w:sz w:val="38"/>
          <w:szCs w:val="38"/>
          <w:u w:val="none" w:color="auto"/>
        </w:rPr>
      </w:pPr>
      <w:bookmarkStart w:id="176" w:name="_Toc21560"/>
      <w:bookmarkStart w:id="177" w:name="_Toc11050"/>
      <w:bookmarkStart w:id="178" w:name="_Toc2115"/>
      <w:bookmarkStart w:id="179" w:name="_Toc3185"/>
      <w:bookmarkStart w:id="180" w:name="_Toc28728"/>
      <w:bookmarkStart w:id="181" w:name="_Toc5900"/>
      <w:bookmarkStart w:id="182" w:name="_Toc24095"/>
      <w:bookmarkStart w:id="183" w:name="_Toc26576"/>
      <w:bookmarkStart w:id="184" w:name="_Toc26371"/>
      <w:bookmarkStart w:id="185" w:name="_Toc31070"/>
      <w:bookmarkStart w:id="186" w:name="_Toc24424"/>
      <w:bookmarkStart w:id="187" w:name="_Toc14212"/>
      <w:bookmarkStart w:id="188" w:name="_Toc23236"/>
      <w:bookmarkStart w:id="189" w:name="_Toc1949"/>
      <w:r>
        <w:rPr>
          <w:rFonts w:hint="eastAsia" w:ascii="黑体" w:hAnsi="黑体" w:eastAsia="黑体"/>
          <w:snapToGrid w:val="0"/>
          <w:color w:val="000000"/>
          <w:sz w:val="32"/>
          <w:szCs w:val="32"/>
          <w:u w:val="none" w:color="auto"/>
        </w:rPr>
        <w:t>附表</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0259C6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方正小标宋_GBK" w:hAnsi="黑体" w:eastAsia="方正小标宋_GBK"/>
          <w:snapToGrid w:val="0"/>
          <w:color w:val="000000"/>
          <w:sz w:val="38"/>
          <w:szCs w:val="38"/>
          <w:u w:val="none" w:color="auto"/>
        </w:rPr>
      </w:pPr>
      <w:r>
        <w:rPr>
          <w:rFonts w:hint="eastAsia" w:ascii="方正小标宋_GBK" w:hAnsi="黑体" w:eastAsia="方正小标宋_GBK"/>
          <w:snapToGrid w:val="0"/>
          <w:color w:val="000000"/>
          <w:sz w:val="38"/>
          <w:szCs w:val="38"/>
          <w:u w:val="none" w:color="auto"/>
        </w:rPr>
        <w:t>建设项目污染物排放量汇总表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408"/>
        <w:gridCol w:w="1390"/>
        <w:gridCol w:w="1125"/>
        <w:gridCol w:w="1602"/>
        <w:gridCol w:w="1654"/>
        <w:gridCol w:w="1570"/>
        <w:gridCol w:w="1638"/>
        <w:gridCol w:w="1478"/>
      </w:tblGrid>
      <w:tr w14:paraId="3E55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tcBorders>
              <w:tl2br w:val="single" w:color="auto" w:sz="4" w:space="0"/>
            </w:tcBorders>
            <w:noWrap w:val="0"/>
            <w:tcMar>
              <w:left w:w="28" w:type="dxa"/>
              <w:right w:w="28" w:type="dxa"/>
            </w:tcMar>
            <w:vAlign w:val="center"/>
          </w:tcPr>
          <w:p w14:paraId="0F7C1DD7">
            <w:pPr>
              <w:pStyle w:val="11"/>
              <w:spacing w:beforeLines="0" w:afterLines="0" w:line="240" w:lineRule="auto"/>
              <w:ind w:right="0"/>
              <w:jc w:val="right"/>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项目</w:t>
            </w:r>
          </w:p>
          <w:p w14:paraId="3C3B50AE">
            <w:pPr>
              <w:pStyle w:val="11"/>
              <w:spacing w:beforeLines="0" w:afterLines="0" w:line="240" w:lineRule="auto"/>
              <w:ind w:right="0"/>
              <w:jc w:val="left"/>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分类</w:t>
            </w:r>
          </w:p>
        </w:tc>
        <w:tc>
          <w:tcPr>
            <w:tcW w:w="2408" w:type="dxa"/>
            <w:tcBorders>
              <w:tl2br w:val="nil"/>
              <w:tr2bl w:val="nil"/>
            </w:tcBorders>
            <w:noWrap w:val="0"/>
            <w:tcMar>
              <w:left w:w="28" w:type="dxa"/>
              <w:right w:w="28" w:type="dxa"/>
            </w:tcMar>
            <w:vAlign w:val="center"/>
          </w:tcPr>
          <w:p w14:paraId="6E0CC1A7">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污染物名称</w:t>
            </w:r>
          </w:p>
        </w:tc>
        <w:tc>
          <w:tcPr>
            <w:tcW w:w="1390" w:type="dxa"/>
            <w:tcBorders>
              <w:tl2br w:val="nil"/>
              <w:tr2bl w:val="nil"/>
            </w:tcBorders>
            <w:noWrap w:val="0"/>
            <w:tcMar>
              <w:left w:w="28" w:type="dxa"/>
              <w:right w:w="28" w:type="dxa"/>
            </w:tcMar>
            <w:vAlign w:val="center"/>
          </w:tcPr>
          <w:p w14:paraId="66F547A7">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现有工程</w:t>
            </w:r>
          </w:p>
          <w:p w14:paraId="03610157">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排放量（固体废物产生量）</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1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①</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125" w:type="dxa"/>
            <w:tcBorders>
              <w:tl2br w:val="nil"/>
              <w:tr2bl w:val="nil"/>
            </w:tcBorders>
            <w:noWrap w:val="0"/>
            <w:tcMar>
              <w:left w:w="28" w:type="dxa"/>
              <w:right w:w="28" w:type="dxa"/>
            </w:tcMar>
            <w:vAlign w:val="center"/>
          </w:tcPr>
          <w:p w14:paraId="07C319EA">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现有工程</w:t>
            </w:r>
          </w:p>
          <w:p w14:paraId="32DF3910">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许可排放量</w:t>
            </w:r>
          </w:p>
          <w:p w14:paraId="43587B55">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2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②</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602" w:type="dxa"/>
            <w:tcBorders>
              <w:tl2br w:val="nil"/>
              <w:tr2bl w:val="nil"/>
            </w:tcBorders>
            <w:noWrap w:val="0"/>
            <w:tcMar>
              <w:left w:w="28" w:type="dxa"/>
              <w:right w:w="28" w:type="dxa"/>
            </w:tcMar>
            <w:vAlign w:val="center"/>
          </w:tcPr>
          <w:p w14:paraId="3F01A7BC">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在建工程</w:t>
            </w:r>
          </w:p>
          <w:p w14:paraId="4735D2AB">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排放量（固体废物产生量）</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3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③</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654" w:type="dxa"/>
            <w:tcBorders>
              <w:tl2br w:val="nil"/>
              <w:tr2bl w:val="nil"/>
            </w:tcBorders>
            <w:noWrap w:val="0"/>
            <w:tcMar>
              <w:left w:w="28" w:type="dxa"/>
              <w:right w:w="28" w:type="dxa"/>
            </w:tcMar>
            <w:vAlign w:val="center"/>
          </w:tcPr>
          <w:p w14:paraId="10B2A7BD">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本项目</w:t>
            </w:r>
          </w:p>
          <w:p w14:paraId="61308673">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排放量（固体废物产生量）</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4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④</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570" w:type="dxa"/>
            <w:tcBorders>
              <w:tl2br w:val="nil"/>
              <w:tr2bl w:val="nil"/>
            </w:tcBorders>
            <w:noWrap w:val="0"/>
            <w:tcMar>
              <w:left w:w="28" w:type="dxa"/>
              <w:right w:w="28" w:type="dxa"/>
            </w:tcMar>
            <w:vAlign w:val="center"/>
          </w:tcPr>
          <w:p w14:paraId="5EE807CA">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以新带老削减量</w:t>
            </w:r>
          </w:p>
          <w:p w14:paraId="039783E0">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（新建项目不填）</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5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⑤</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638" w:type="dxa"/>
            <w:tcBorders>
              <w:tl2br w:val="nil"/>
              <w:tr2bl w:val="nil"/>
            </w:tcBorders>
            <w:noWrap w:val="0"/>
            <w:tcMar>
              <w:left w:w="28" w:type="dxa"/>
              <w:right w:w="28" w:type="dxa"/>
            </w:tcMar>
            <w:vAlign w:val="center"/>
          </w:tcPr>
          <w:p w14:paraId="5F46179B">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本项目建成后</w:t>
            </w:r>
          </w:p>
          <w:p w14:paraId="4F324D60">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全厂排放量（固体废物产生量）</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6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⑥</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c>
          <w:tcPr>
            <w:tcW w:w="1478" w:type="dxa"/>
            <w:tcBorders>
              <w:tl2br w:val="nil"/>
              <w:tr2bl w:val="nil"/>
            </w:tcBorders>
            <w:noWrap w:val="0"/>
            <w:tcMar>
              <w:left w:w="28" w:type="dxa"/>
              <w:right w:w="28" w:type="dxa"/>
            </w:tcMar>
            <w:vAlign w:val="center"/>
          </w:tcPr>
          <w:p w14:paraId="1807D02E">
            <w:pPr>
              <w:pStyle w:val="11"/>
              <w:spacing w:beforeLines="0" w:afterLines="0" w:line="240" w:lineRule="auto"/>
              <w:ind w:right="0"/>
              <w:rPr>
                <w:rFonts w:hint="eastAsia" w:ascii="Times New Roman" w:hAnsi="Times New Roman" w:eastAsia="宋体" w:cs="Times New Roman"/>
                <w:snapToGrid w:val="0"/>
                <w:color w:val="000000"/>
                <w:spacing w:val="0"/>
                <w:kern w:val="0"/>
                <w:sz w:val="21"/>
                <w:szCs w:val="21"/>
                <w:highlight w:val="none"/>
                <w:u w:val="none" w:color="auto"/>
              </w:rPr>
            </w:pPr>
            <w:r>
              <w:rPr>
                <w:rFonts w:hint="eastAsia" w:ascii="Times New Roman" w:hAnsi="Times New Roman" w:eastAsia="宋体" w:cs="Times New Roman"/>
                <w:snapToGrid w:val="0"/>
                <w:color w:val="000000"/>
                <w:spacing w:val="0"/>
                <w:kern w:val="0"/>
                <w:sz w:val="21"/>
                <w:szCs w:val="21"/>
                <w:highlight w:val="none"/>
                <w:u w:val="none" w:color="auto"/>
              </w:rPr>
              <w:t>变化量</w:t>
            </w:r>
            <w:r>
              <w:rPr>
                <w:rFonts w:hint="eastAsia" w:ascii="Times New Roman" w:hAnsi="Times New Roman" w:eastAsia="宋体" w:cs="Times New Roman"/>
                <w:snapToGrid w:val="0"/>
                <w:color w:val="000000"/>
                <w:spacing w:val="0"/>
                <w:kern w:val="0"/>
                <w:sz w:val="21"/>
                <w:szCs w:val="21"/>
                <w:highlight w:val="none"/>
                <w:u w:val="none" w:color="auto"/>
              </w:rPr>
              <w:fldChar w:fldCharType="begin"/>
            </w:r>
            <w:r>
              <w:rPr>
                <w:rFonts w:hint="eastAsia" w:ascii="Times New Roman" w:hAnsi="Times New Roman" w:eastAsia="宋体" w:cs="Times New Roman"/>
                <w:snapToGrid w:val="0"/>
                <w:color w:val="000000"/>
                <w:spacing w:val="0"/>
                <w:kern w:val="0"/>
                <w:sz w:val="21"/>
                <w:szCs w:val="21"/>
                <w:highlight w:val="none"/>
                <w:u w:val="none" w:color="auto"/>
              </w:rPr>
              <w:instrText xml:space="preserve"> = 7 \* GB3 \* MERGEFORMAT </w:instrText>
            </w:r>
            <w:r>
              <w:rPr>
                <w:rFonts w:hint="eastAsia" w:ascii="Times New Roman" w:hAnsi="Times New Roman" w:eastAsia="宋体" w:cs="Times New Roman"/>
                <w:snapToGrid w:val="0"/>
                <w:color w:val="000000"/>
                <w:spacing w:val="0"/>
                <w:kern w:val="0"/>
                <w:sz w:val="21"/>
                <w:szCs w:val="21"/>
                <w:highlight w:val="none"/>
                <w:u w:val="none" w:color="auto"/>
              </w:rPr>
              <w:fldChar w:fldCharType="separate"/>
            </w:r>
            <w:r>
              <w:rPr>
                <w:rFonts w:hint="eastAsia" w:ascii="Times New Roman" w:hAnsi="Times New Roman" w:eastAsia="宋体" w:cs="Times New Roman"/>
                <w:snapToGrid w:val="0"/>
                <w:color w:val="000000"/>
                <w:spacing w:val="0"/>
                <w:kern w:val="0"/>
                <w:sz w:val="21"/>
                <w:szCs w:val="21"/>
                <w:highlight w:val="none"/>
                <w:u w:val="none" w:color="auto"/>
              </w:rPr>
              <w:t>⑦</w:t>
            </w:r>
            <w:r>
              <w:rPr>
                <w:rFonts w:hint="eastAsia" w:ascii="Times New Roman" w:hAnsi="Times New Roman" w:eastAsia="宋体" w:cs="Times New Roman"/>
                <w:snapToGrid w:val="0"/>
                <w:color w:val="000000"/>
                <w:spacing w:val="0"/>
                <w:kern w:val="0"/>
                <w:sz w:val="21"/>
                <w:szCs w:val="21"/>
                <w:highlight w:val="none"/>
                <w:u w:val="none" w:color="auto"/>
              </w:rPr>
              <w:fldChar w:fldCharType="end"/>
            </w:r>
          </w:p>
        </w:tc>
      </w:tr>
      <w:tr w14:paraId="5A93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tcBorders>
              <w:tl2br w:val="nil"/>
              <w:tr2bl w:val="nil"/>
            </w:tcBorders>
            <w:noWrap w:val="0"/>
            <w:vAlign w:val="center"/>
          </w:tcPr>
          <w:p w14:paraId="78F97210">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废气</w:t>
            </w:r>
          </w:p>
        </w:tc>
        <w:tc>
          <w:tcPr>
            <w:tcW w:w="2408" w:type="dxa"/>
            <w:tcBorders>
              <w:tl2br w:val="nil"/>
              <w:tr2bl w:val="nil"/>
            </w:tcBorders>
            <w:noWrap w:val="0"/>
            <w:vAlign w:val="center"/>
          </w:tcPr>
          <w:p w14:paraId="0E6D332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cs="Times New Roman"/>
                <w:b w:val="0"/>
                <w:bCs w:val="0"/>
                <w:snapToGrid w:val="0"/>
                <w:color w:val="000000"/>
                <w:kern w:val="0"/>
                <w:sz w:val="21"/>
                <w:szCs w:val="21"/>
                <w:highlight w:val="none"/>
                <w:u w:val="none" w:color="auto"/>
                <w:lang w:val="en-US" w:eastAsia="zh-CN" w:bidi="ar-SA"/>
              </w:rPr>
              <w:t>颗粒物</w:t>
            </w:r>
          </w:p>
        </w:tc>
        <w:tc>
          <w:tcPr>
            <w:tcW w:w="1390" w:type="dxa"/>
            <w:tcBorders>
              <w:tl2br w:val="nil"/>
              <w:tr2bl w:val="nil"/>
            </w:tcBorders>
            <w:noWrap w:val="0"/>
            <w:vAlign w:val="center"/>
          </w:tcPr>
          <w:p w14:paraId="601175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405DB8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45F4B6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0F56489E">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2.655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13ACC027">
            <w:pPr>
              <w:pStyle w:val="45"/>
              <w:keepNext w:val="0"/>
              <w:keepLines w:val="0"/>
              <w:pageBreakBefore w:val="0"/>
              <w:kinsoku/>
              <w:wordWrap/>
              <w:overflowPunct/>
              <w:topLinePunct w:val="0"/>
              <w:autoSpaceDE/>
              <w:autoSpaceDN/>
              <w:bidi w:val="0"/>
              <w:snapToGrid w:val="0"/>
              <w:spacing w:before="0" w:beforeLines="0" w:after="0" w:afterLines="0"/>
              <w:ind w:left="0" w:leftChars="0" w:right="0" w:right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1638" w:type="dxa"/>
            <w:tcBorders>
              <w:tl2br w:val="nil"/>
              <w:tr2bl w:val="nil"/>
            </w:tcBorders>
            <w:noWrap w:val="0"/>
            <w:vAlign w:val="center"/>
          </w:tcPr>
          <w:p w14:paraId="702FE710">
            <w:pPr>
              <w:adjustRightInd w:val="0"/>
              <w:snapToGrid w:val="0"/>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2.655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2F922F26">
            <w:pPr>
              <w:adjustRightInd w:val="0"/>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val="en-US" w:eastAsia="zh-CN"/>
              </w:rPr>
              <w:t>2.655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0781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restart"/>
            <w:tcBorders>
              <w:tl2br w:val="nil"/>
              <w:tr2bl w:val="nil"/>
            </w:tcBorders>
            <w:noWrap w:val="0"/>
            <w:vAlign w:val="center"/>
          </w:tcPr>
          <w:p w14:paraId="0909CA03">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废水</w:t>
            </w:r>
          </w:p>
        </w:tc>
        <w:tc>
          <w:tcPr>
            <w:tcW w:w="2408" w:type="dxa"/>
            <w:tcBorders>
              <w:tl2br w:val="nil"/>
              <w:tr2bl w:val="nil"/>
            </w:tcBorders>
            <w:noWrap w:val="0"/>
            <w:vAlign w:val="center"/>
          </w:tcPr>
          <w:p w14:paraId="2C58BA09">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t>COD</w:t>
            </w:r>
          </w:p>
        </w:tc>
        <w:tc>
          <w:tcPr>
            <w:tcW w:w="1390" w:type="dxa"/>
            <w:tcBorders>
              <w:tl2br w:val="nil"/>
              <w:tr2bl w:val="nil"/>
            </w:tcBorders>
            <w:noWrap w:val="0"/>
            <w:vAlign w:val="center"/>
          </w:tcPr>
          <w:p w14:paraId="4F6098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493BD4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149490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373208A4">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0.074</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544F25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1E2C5F3B">
            <w:pPr>
              <w:adjustRightInd w:val="0"/>
              <w:snapToGrid w:val="0"/>
              <w:jc w:val="center"/>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0.074</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0AF2BC11">
            <w:pPr>
              <w:adjustRightInd w:val="0"/>
              <w:snapToGrid w:val="0"/>
              <w:jc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0.074</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0060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54E1412B">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noWrap w:val="0"/>
            <w:vAlign w:val="center"/>
          </w:tcPr>
          <w:p w14:paraId="09C2CF91">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t>BOD</w:t>
            </w:r>
            <w:r>
              <w:rPr>
                <w:rFonts w:hint="default" w:ascii="Times New Roman" w:hAnsi="Times New Roman" w:eastAsia="宋体" w:cs="Times New Roman"/>
                <w:b w:val="0"/>
                <w:bCs w:val="0"/>
                <w:snapToGrid w:val="0"/>
                <w:color w:val="000000"/>
                <w:kern w:val="0"/>
                <w:sz w:val="21"/>
                <w:szCs w:val="21"/>
                <w:highlight w:val="none"/>
                <w:u w:val="none" w:color="auto"/>
                <w:vertAlign w:val="subscript"/>
                <w:lang w:val="en-US" w:eastAsia="zh-CN" w:bidi="ar-SA"/>
              </w:rPr>
              <w:t>5</w:t>
            </w:r>
          </w:p>
        </w:tc>
        <w:tc>
          <w:tcPr>
            <w:tcW w:w="1390" w:type="dxa"/>
            <w:tcBorders>
              <w:tl2br w:val="nil"/>
              <w:tr2bl w:val="nil"/>
            </w:tcBorders>
            <w:noWrap w:val="0"/>
            <w:vAlign w:val="center"/>
          </w:tcPr>
          <w:p w14:paraId="7203DA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05AAF3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28B4E9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720D7767">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0.0319</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75A3CE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72F54BC5">
            <w:pPr>
              <w:adjustRightInd w:val="0"/>
              <w:snapToGrid w:val="0"/>
              <w:jc w:val="center"/>
              <w:rPr>
                <w:rFonts w:hint="eastAsia"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0.0319</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1000069E">
            <w:pPr>
              <w:adjustRightInd w:val="0"/>
              <w:snapToGrid w:val="0"/>
              <w:jc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0.0319</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6CCF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70196837">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noWrap w:val="0"/>
            <w:vAlign w:val="center"/>
          </w:tcPr>
          <w:p w14:paraId="3DBC3FFA">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t>NH</w:t>
            </w:r>
            <w:r>
              <w:rPr>
                <w:rFonts w:hint="default" w:ascii="Times New Roman" w:hAnsi="Times New Roman" w:eastAsia="宋体" w:cs="Times New Roman"/>
                <w:b w:val="0"/>
                <w:bCs w:val="0"/>
                <w:snapToGrid w:val="0"/>
                <w:color w:val="000000"/>
                <w:kern w:val="0"/>
                <w:sz w:val="21"/>
                <w:szCs w:val="21"/>
                <w:highlight w:val="none"/>
                <w:u w:val="none" w:color="auto"/>
                <w:vertAlign w:val="subscript"/>
                <w:lang w:val="en-US" w:eastAsia="zh-CN" w:bidi="ar-SA"/>
              </w:rPr>
              <w:t>3</w:t>
            </w:r>
            <w: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t>-N</w:t>
            </w:r>
          </w:p>
        </w:tc>
        <w:tc>
          <w:tcPr>
            <w:tcW w:w="1390" w:type="dxa"/>
            <w:tcBorders>
              <w:tl2br w:val="nil"/>
              <w:tr2bl w:val="nil"/>
            </w:tcBorders>
            <w:noWrap w:val="0"/>
            <w:vAlign w:val="center"/>
          </w:tcPr>
          <w:p w14:paraId="50963A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26B91D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334921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592DFC5A">
            <w:pPr>
              <w:adjustRightInd w:val="0"/>
              <w:snapToGrid w:val="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0.0088</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0E4617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03E87594">
            <w:pPr>
              <w:adjustRightInd w:val="0"/>
              <w:snapToGrid w:val="0"/>
              <w:jc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0.0088</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6CEA76CC">
            <w:pPr>
              <w:adjustRightInd w:val="0"/>
              <w:snapToGrid w:val="0"/>
              <w:jc w:val="center"/>
              <w:rPr>
                <w:rFonts w:hAnsi="宋体" w:cs="宋体"/>
                <w:snapToGrid w:val="0"/>
                <w:color w:val="000000"/>
                <w:kern w:val="21"/>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0.0088</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0932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4AADA60F">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noWrap w:val="0"/>
            <w:vAlign w:val="center"/>
          </w:tcPr>
          <w:p w14:paraId="5532F030">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t>SS</w:t>
            </w:r>
          </w:p>
        </w:tc>
        <w:tc>
          <w:tcPr>
            <w:tcW w:w="1390" w:type="dxa"/>
            <w:tcBorders>
              <w:tl2br w:val="nil"/>
              <w:tr2bl w:val="nil"/>
            </w:tcBorders>
            <w:noWrap w:val="0"/>
            <w:vAlign w:val="center"/>
          </w:tcPr>
          <w:p w14:paraId="228452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21E832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131778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26FD1734">
            <w:pPr>
              <w:adjustRightInd w:val="0"/>
              <w:snapToGrid w:val="0"/>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0.0426</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7820FA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78C12906">
            <w:pPr>
              <w:adjustRightInd w:val="0"/>
              <w:snapToGrid w:val="0"/>
              <w:jc w:val="center"/>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0.0426</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15789518">
            <w:pPr>
              <w:adjustRightInd w:val="0"/>
              <w:snapToGrid w:val="0"/>
              <w:jc w:val="center"/>
              <w:rPr>
                <w:rFonts w:hAnsi="宋体" w:cs="宋体"/>
                <w:snapToGrid w:val="0"/>
                <w:color w:val="000000"/>
                <w:kern w:val="21"/>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i w:val="0"/>
                <w:iCs w:val="0"/>
                <w:color w:val="000000"/>
                <w:kern w:val="0"/>
                <w:sz w:val="21"/>
                <w:szCs w:val="21"/>
                <w:u w:val="none"/>
                <w:lang w:val="en-US" w:eastAsia="zh-CN" w:bidi="ar"/>
              </w:rPr>
              <w:t>0.0426</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0FEE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restart"/>
            <w:tcBorders>
              <w:tl2br w:val="nil"/>
              <w:tr2bl w:val="nil"/>
            </w:tcBorders>
            <w:noWrap w:val="0"/>
            <w:vAlign w:val="center"/>
          </w:tcPr>
          <w:p w14:paraId="6BA9376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一般工业</w:t>
            </w:r>
          </w:p>
          <w:p w14:paraId="0DBA057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固体废物</w:t>
            </w:r>
          </w:p>
        </w:tc>
        <w:tc>
          <w:tcPr>
            <w:tcW w:w="2408" w:type="dxa"/>
            <w:tcBorders>
              <w:tl2br w:val="nil"/>
              <w:tr2bl w:val="nil"/>
            </w:tcBorders>
            <w:shd w:val="clear" w:color="auto" w:fill="auto"/>
            <w:noWrap w:val="0"/>
            <w:vAlign w:val="center"/>
          </w:tcPr>
          <w:p w14:paraId="2E480DB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分拣废料</w:t>
            </w:r>
          </w:p>
        </w:tc>
        <w:tc>
          <w:tcPr>
            <w:tcW w:w="1390" w:type="dxa"/>
            <w:tcBorders>
              <w:tl2br w:val="nil"/>
              <w:tr2bl w:val="nil"/>
            </w:tcBorders>
            <w:noWrap w:val="0"/>
            <w:vAlign w:val="center"/>
          </w:tcPr>
          <w:p w14:paraId="4F4696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69BEB3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1DDA65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shd w:val="clear" w:color="auto" w:fill="auto"/>
            <w:noWrap w:val="0"/>
            <w:vAlign w:val="center"/>
          </w:tcPr>
          <w:p w14:paraId="5BD156A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729D9E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7907683D">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4D49EA79">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52AB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26CA5F70">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041B81D8">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含铁杂质</w:t>
            </w:r>
          </w:p>
        </w:tc>
        <w:tc>
          <w:tcPr>
            <w:tcW w:w="1390" w:type="dxa"/>
            <w:tcBorders>
              <w:tl2br w:val="nil"/>
              <w:tr2bl w:val="nil"/>
            </w:tcBorders>
            <w:noWrap w:val="0"/>
            <w:vAlign w:val="center"/>
          </w:tcPr>
          <w:p w14:paraId="48933E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2FB27C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592823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266ED26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0.8</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7B2939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77A60B1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0.8</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21ADB61F">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0.8</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6A87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6D834974">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3775ECF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废布袋</w:t>
            </w:r>
          </w:p>
        </w:tc>
        <w:tc>
          <w:tcPr>
            <w:tcW w:w="1390" w:type="dxa"/>
            <w:tcBorders>
              <w:tl2br w:val="nil"/>
              <w:tr2bl w:val="nil"/>
            </w:tcBorders>
            <w:noWrap w:val="0"/>
            <w:vAlign w:val="center"/>
          </w:tcPr>
          <w:p w14:paraId="061FFA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647146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3DFE77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1714C99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1D5626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3242700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053C971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707F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27D70590">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47CE37FA">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袋式除尘器</w:t>
            </w:r>
            <w:r>
              <w:rPr>
                <w:rFonts w:hint="default" w:ascii="Times New Roman" w:hAnsi="Times New Roman" w:eastAsia="宋体" w:cs="Times New Roman"/>
                <w:b w:val="0"/>
                <w:bCs/>
                <w:color w:val="000000"/>
                <w:sz w:val="21"/>
                <w:szCs w:val="21"/>
                <w:u w:val="none" w:color="auto"/>
              </w:rPr>
              <w:t>收集粉尘</w:t>
            </w:r>
          </w:p>
        </w:tc>
        <w:tc>
          <w:tcPr>
            <w:tcW w:w="1390" w:type="dxa"/>
            <w:tcBorders>
              <w:tl2br w:val="nil"/>
              <w:tr2bl w:val="nil"/>
            </w:tcBorders>
            <w:noWrap w:val="0"/>
            <w:vAlign w:val="center"/>
          </w:tcPr>
          <w:p w14:paraId="23F6C8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45D98F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6CBCA5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128D3C7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14.428</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2503EC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0A900CC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spacing w:val="0"/>
                <w:kern w:val="2"/>
                <w:sz w:val="21"/>
                <w:szCs w:val="21"/>
                <w:highlight w:val="none"/>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14.428</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00F3552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宋体" w:eastAsia="宋体" w:cs="宋体"/>
                <w:snapToGrid w:val="0"/>
                <w:color w:val="000000"/>
                <w:kern w:val="21"/>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14.428</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15C2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restart"/>
            <w:tcBorders>
              <w:tl2br w:val="nil"/>
              <w:tr2bl w:val="nil"/>
            </w:tcBorders>
            <w:noWrap w:val="0"/>
            <w:vAlign w:val="center"/>
          </w:tcPr>
          <w:p w14:paraId="4FB545D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危险废物</w:t>
            </w:r>
          </w:p>
        </w:tc>
        <w:tc>
          <w:tcPr>
            <w:tcW w:w="2408" w:type="dxa"/>
            <w:tcBorders>
              <w:tl2br w:val="nil"/>
              <w:tr2bl w:val="nil"/>
            </w:tcBorders>
            <w:shd w:val="clear" w:color="auto" w:fill="auto"/>
            <w:noWrap w:val="0"/>
            <w:vAlign w:val="center"/>
          </w:tcPr>
          <w:p w14:paraId="0301B6B4">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u w:val="none" w:color="auto"/>
                <w:lang w:val="en-US" w:eastAsia="zh-CN" w:bidi="ar-SA"/>
              </w:rPr>
            </w:pPr>
            <w:r>
              <w:rPr>
                <w:rFonts w:hint="default" w:ascii="Times New Roman" w:hAnsi="Times New Roman" w:eastAsia="宋体" w:cs="Times New Roman"/>
                <w:b w:val="0"/>
                <w:bCs/>
                <w:color w:val="000000"/>
                <w:spacing w:val="8"/>
                <w:sz w:val="21"/>
                <w:szCs w:val="21"/>
                <w:u w:val="none" w:color="auto"/>
              </w:rPr>
              <w:t>废</w:t>
            </w:r>
            <w:r>
              <w:rPr>
                <w:rFonts w:hint="eastAsia" w:ascii="Times New Roman" w:hAnsi="Times New Roman" w:eastAsia="宋体" w:cs="Times New Roman"/>
                <w:b w:val="0"/>
                <w:bCs/>
                <w:color w:val="000000"/>
                <w:spacing w:val="8"/>
                <w:sz w:val="21"/>
                <w:szCs w:val="21"/>
                <w:u w:val="none" w:color="auto"/>
                <w:lang w:val="en-US" w:eastAsia="zh-CN"/>
              </w:rPr>
              <w:t>润滑油</w:t>
            </w:r>
          </w:p>
        </w:tc>
        <w:tc>
          <w:tcPr>
            <w:tcW w:w="1390" w:type="dxa"/>
            <w:tcBorders>
              <w:tl2br w:val="nil"/>
              <w:tr2bl w:val="nil"/>
            </w:tcBorders>
            <w:noWrap w:val="0"/>
            <w:vAlign w:val="center"/>
          </w:tcPr>
          <w:p w14:paraId="4563A7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3F7273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5991EE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475F538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Cs/>
                <w:color w:val="000000"/>
                <w:kern w:val="2"/>
                <w:sz w:val="21"/>
                <w:szCs w:val="21"/>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6</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60ED88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29E43C8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6</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79A997C3">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6</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36B1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4ABADF71">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5F495F77">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废液压油</w:t>
            </w:r>
          </w:p>
        </w:tc>
        <w:tc>
          <w:tcPr>
            <w:tcW w:w="1390" w:type="dxa"/>
            <w:tcBorders>
              <w:tl2br w:val="nil"/>
              <w:tr2bl w:val="nil"/>
            </w:tcBorders>
            <w:noWrap w:val="0"/>
            <w:vAlign w:val="center"/>
          </w:tcPr>
          <w:p w14:paraId="3FF110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063F8F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0C427D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0625329C">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0.025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118A8D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4936004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eastAsia" w:ascii="Times New Roman" w:hAnsi="Times New Roman" w:eastAsia="宋体" w:cs="Times New Roman"/>
                <w:b w:val="0"/>
                <w:bCs/>
                <w:color w:val="000000"/>
                <w:sz w:val="21"/>
                <w:szCs w:val="21"/>
                <w:u w:val="none" w:color="auto"/>
                <w:lang w:val="en-US" w:eastAsia="zh-CN"/>
              </w:rPr>
              <w:t>0.025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14B23C3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0.025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06B8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56CF7A59">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3C55C27A">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pacing w:val="8"/>
                <w:kern w:val="0"/>
                <w:sz w:val="21"/>
                <w:szCs w:val="21"/>
                <w:u w:val="none" w:color="auto"/>
                <w:lang w:val="en-US" w:eastAsia="zh-CN" w:bidi="ar-SA"/>
              </w:rPr>
            </w:pPr>
            <w:r>
              <w:rPr>
                <w:rFonts w:hint="default" w:ascii="Times New Roman" w:hAnsi="Times New Roman" w:eastAsia="宋体" w:cs="Times New Roman"/>
                <w:b w:val="0"/>
                <w:bCs/>
                <w:color w:val="000000"/>
                <w:spacing w:val="8"/>
                <w:sz w:val="21"/>
                <w:szCs w:val="21"/>
                <w:u w:val="none" w:color="auto"/>
                <w:lang w:eastAsia="zh-CN"/>
              </w:rPr>
              <w:t>废</w:t>
            </w:r>
            <w:r>
              <w:rPr>
                <w:rFonts w:hint="default" w:ascii="Times New Roman" w:hAnsi="Times New Roman" w:eastAsia="宋体" w:cs="Times New Roman"/>
                <w:b w:val="0"/>
                <w:bCs/>
                <w:color w:val="000000"/>
                <w:spacing w:val="8"/>
                <w:sz w:val="21"/>
                <w:szCs w:val="21"/>
                <w:u w:val="none" w:color="auto"/>
                <w:lang w:val="en-US" w:eastAsia="zh-CN"/>
              </w:rPr>
              <w:t>含油抹布及手套</w:t>
            </w:r>
          </w:p>
        </w:tc>
        <w:tc>
          <w:tcPr>
            <w:tcW w:w="1390" w:type="dxa"/>
            <w:tcBorders>
              <w:tl2br w:val="nil"/>
              <w:tr2bl w:val="nil"/>
            </w:tcBorders>
            <w:noWrap w:val="0"/>
            <w:vAlign w:val="center"/>
          </w:tcPr>
          <w:p w14:paraId="3A57B6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03467B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6F044F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53B10E5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Cs/>
                <w:color w:val="000000"/>
                <w:kern w:val="2"/>
                <w:sz w:val="21"/>
                <w:szCs w:val="21"/>
                <w:u w:val="none" w:color="auto"/>
                <w:lang w:val="en-US" w:eastAsia="zh-CN" w:bidi="ar-SA"/>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.1</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625247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3675F0F2">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sz w:val="21"/>
                <w:szCs w:val="21"/>
                <w:u w:val="none" w:color="auto"/>
              </w:rPr>
            </w:pP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.1</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4DBD7956">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b w:val="0"/>
                <w:bCs/>
                <w:color w:val="000000"/>
                <w:sz w:val="21"/>
                <w:szCs w:val="21"/>
                <w:u w:val="none" w:color="auto"/>
                <w:lang w:val="en-US" w:eastAsia="zh-CN"/>
              </w:rPr>
              <w:t>0</w:t>
            </w:r>
            <w:r>
              <w:rPr>
                <w:rFonts w:hint="eastAsia" w:ascii="Times New Roman" w:hAnsi="Times New Roman" w:eastAsia="宋体" w:cs="Times New Roman"/>
                <w:b w:val="0"/>
                <w:bCs/>
                <w:color w:val="000000"/>
                <w:sz w:val="21"/>
                <w:szCs w:val="21"/>
                <w:u w:val="none" w:color="auto"/>
                <w:lang w:val="en-US" w:eastAsia="zh-CN"/>
              </w:rPr>
              <w:t>.1</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4AF8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vMerge w:val="continue"/>
            <w:tcBorders>
              <w:tl2br w:val="nil"/>
              <w:tr2bl w:val="nil"/>
            </w:tcBorders>
            <w:noWrap w:val="0"/>
            <w:vAlign w:val="center"/>
          </w:tcPr>
          <w:p w14:paraId="46E08FE4">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p>
        </w:tc>
        <w:tc>
          <w:tcPr>
            <w:tcW w:w="2408" w:type="dxa"/>
            <w:tcBorders>
              <w:tl2br w:val="nil"/>
              <w:tr2bl w:val="nil"/>
            </w:tcBorders>
            <w:shd w:val="clear" w:color="auto" w:fill="auto"/>
            <w:noWrap w:val="0"/>
            <w:vAlign w:val="center"/>
          </w:tcPr>
          <w:p w14:paraId="5E31F684">
            <w:pPr>
              <w:pStyle w:val="10"/>
              <w:keepNext w:val="0"/>
              <w:keepLines w:val="0"/>
              <w:pageBreakBefore w:val="0"/>
              <w:widowControl w:val="0"/>
              <w:kinsoku/>
              <w:overflowPunct/>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spacing w:val="8"/>
                <w:kern w:val="0"/>
                <w:sz w:val="21"/>
                <w:szCs w:val="21"/>
                <w:u w:val="none" w:color="auto"/>
                <w:lang w:val="en-US" w:eastAsia="zh-CN" w:bidi="ar-SA"/>
              </w:rPr>
            </w:pPr>
            <w:r>
              <w:rPr>
                <w:rFonts w:hint="default" w:ascii="Times New Roman" w:hAnsi="Times New Roman" w:cs="Times New Roman"/>
                <w:b w:val="0"/>
                <w:bCs/>
                <w:spacing w:val="8"/>
                <w:sz w:val="21"/>
                <w:szCs w:val="21"/>
                <w:u w:val="none" w:color="auto"/>
              </w:rPr>
              <w:t>废油桶</w:t>
            </w:r>
          </w:p>
        </w:tc>
        <w:tc>
          <w:tcPr>
            <w:tcW w:w="1390" w:type="dxa"/>
            <w:tcBorders>
              <w:tl2br w:val="nil"/>
              <w:tr2bl w:val="nil"/>
            </w:tcBorders>
            <w:noWrap w:val="0"/>
            <w:vAlign w:val="center"/>
          </w:tcPr>
          <w:p w14:paraId="49D11A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125" w:type="dxa"/>
            <w:tcBorders>
              <w:tl2br w:val="nil"/>
              <w:tr2bl w:val="nil"/>
            </w:tcBorders>
            <w:noWrap w:val="0"/>
            <w:vAlign w:val="center"/>
          </w:tcPr>
          <w:p w14:paraId="787A71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02" w:type="dxa"/>
            <w:tcBorders>
              <w:tl2br w:val="nil"/>
              <w:tr2bl w:val="nil"/>
            </w:tcBorders>
            <w:noWrap w:val="0"/>
            <w:vAlign w:val="center"/>
          </w:tcPr>
          <w:p w14:paraId="6586E34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2"/>
                <w:sz w:val="21"/>
                <w:szCs w:val="21"/>
                <w:highlight w:val="none"/>
                <w:u w:val="none" w:color="auto"/>
                <w:vertAlign w:val="baseline"/>
                <w:lang w:val="en-US" w:eastAsia="zh-CN" w:bidi="ar-SA"/>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54" w:type="dxa"/>
            <w:tcBorders>
              <w:tl2br w:val="nil"/>
              <w:tr2bl w:val="nil"/>
            </w:tcBorders>
            <w:shd w:val="clear" w:color="auto" w:fill="auto"/>
            <w:noWrap w:val="0"/>
            <w:vAlign w:val="center"/>
          </w:tcPr>
          <w:p w14:paraId="0BE4C17E">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0.15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125A01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u w:val="none" w:color="auto"/>
                <w:vertAlign w:val="baseline"/>
                <w:lang w:val="en-US" w:eastAsia="zh-CN"/>
              </w:rPr>
            </w:pPr>
            <w:r>
              <w:rPr>
                <w:rFonts w:hint="eastAsia" w:ascii="Times New Roman" w:hAnsi="Times New Roman" w:eastAsia="宋体" w:cs="Times New Roman"/>
                <w:color w:val="000000"/>
                <w:sz w:val="21"/>
                <w:szCs w:val="21"/>
                <w:highlight w:val="none"/>
                <w:u w:val="none" w:color="auto"/>
                <w:vertAlign w:val="baseline"/>
                <w:lang w:val="en-US" w:eastAsia="zh-CN"/>
              </w:rPr>
              <w:t>/</w:t>
            </w:r>
          </w:p>
        </w:tc>
        <w:tc>
          <w:tcPr>
            <w:tcW w:w="1638" w:type="dxa"/>
            <w:tcBorders>
              <w:tl2br w:val="nil"/>
              <w:tr2bl w:val="nil"/>
            </w:tcBorders>
            <w:noWrap w:val="0"/>
            <w:vAlign w:val="center"/>
          </w:tcPr>
          <w:p w14:paraId="4AC0DFB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b w:val="0"/>
                <w:bCs/>
                <w:color w:val="000000"/>
                <w:kern w:val="2"/>
                <w:sz w:val="21"/>
                <w:szCs w:val="21"/>
                <w:highlight w:val="none"/>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0.15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0524375B">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eastAsia" w:ascii="Times New Roman" w:hAnsi="Times New Roman" w:eastAsia="宋体" w:cs="Times New Roman"/>
                <w:color w:val="000000"/>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0.15</w:t>
            </w:r>
            <w:r>
              <w:rPr>
                <w:rFonts w:hint="default" w:ascii="Times New Roman" w:hAnsi="Times New Roman" w:eastAsia="宋体" w:cs="Times New Roman"/>
                <w:b w:val="0"/>
                <w:bCs w:val="0"/>
                <w:color w:val="auto"/>
                <w:sz w:val="21"/>
                <w:szCs w:val="21"/>
                <w:highlight w:val="none"/>
                <w:u w:val="none" w:color="auto"/>
                <w:lang w:val="en-US" w:eastAsia="zh-CN"/>
              </w:rPr>
              <w:t>t/a</w:t>
            </w:r>
          </w:p>
        </w:tc>
      </w:tr>
      <w:tr w14:paraId="2E66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7" w:type="dxa"/>
            <w:tcBorders>
              <w:tl2br w:val="nil"/>
              <w:tr2bl w:val="nil"/>
            </w:tcBorders>
            <w:noWrap w:val="0"/>
            <w:vAlign w:val="center"/>
          </w:tcPr>
          <w:p w14:paraId="5768B4AF">
            <w:pPr>
              <w:keepNext w:val="0"/>
              <w:keepLines w:val="0"/>
              <w:pageBreakBefore w:val="0"/>
              <w:widowControl/>
              <w:suppressLineNumbers w:val="0"/>
              <w:kinsoku/>
              <w:wordWrap/>
              <w:overflowPunct/>
              <w:topLinePunct w:val="0"/>
              <w:autoSpaceDE/>
              <w:autoSpaceDN/>
              <w:bidi w:val="0"/>
              <w:jc w:val="center"/>
              <w:textAlignment w:val="cente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val="0"/>
                <w:snapToGrid w:val="0"/>
                <w:color w:val="000000"/>
                <w:kern w:val="0"/>
                <w:sz w:val="21"/>
                <w:szCs w:val="21"/>
                <w:highlight w:val="none"/>
                <w:u w:val="none" w:color="auto"/>
                <w:lang w:val="en-US" w:eastAsia="zh-CN" w:bidi="ar-SA"/>
              </w:rPr>
              <w:t>生活垃圾</w:t>
            </w:r>
          </w:p>
        </w:tc>
        <w:tc>
          <w:tcPr>
            <w:tcW w:w="2408" w:type="dxa"/>
            <w:tcBorders>
              <w:tl2br w:val="nil"/>
              <w:tr2bl w:val="nil"/>
            </w:tcBorders>
            <w:noWrap w:val="0"/>
            <w:vAlign w:val="center"/>
          </w:tcPr>
          <w:p w14:paraId="143AA311">
            <w:pPr>
              <w:keepNext w:val="0"/>
              <w:keepLines w:val="0"/>
              <w:pageBreakBefore w:val="0"/>
              <w:widowControl w:val="0"/>
              <w:kinsoku/>
              <w:wordWrap/>
              <w:overflowPunct/>
              <w:topLinePunct w:val="0"/>
              <w:autoSpaceDE/>
              <w:autoSpaceDN/>
              <w:bidi w:val="0"/>
              <w:snapToGrid/>
              <w:spacing w:line="240" w:lineRule="auto"/>
              <w:ind w:left="0" w:leftChars="0" w:right="0" w:rightChars="0"/>
              <w:jc w:val="center"/>
              <w:textAlignment w:val="auto"/>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color w:val="000000"/>
                <w:kern w:val="0"/>
                <w:sz w:val="21"/>
                <w:szCs w:val="21"/>
                <w:u w:val="none" w:color="auto"/>
                <w:lang w:val="en-US" w:eastAsia="zh-CN"/>
              </w:rPr>
              <w:t>生活垃圾</w:t>
            </w:r>
          </w:p>
        </w:tc>
        <w:tc>
          <w:tcPr>
            <w:tcW w:w="1390" w:type="dxa"/>
            <w:tcBorders>
              <w:tl2br w:val="nil"/>
              <w:tr2bl w:val="nil"/>
            </w:tcBorders>
            <w:noWrap w:val="0"/>
            <w:vAlign w:val="center"/>
          </w:tcPr>
          <w:p w14:paraId="376A6E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125" w:type="dxa"/>
            <w:tcBorders>
              <w:tl2br w:val="nil"/>
              <w:tr2bl w:val="nil"/>
            </w:tcBorders>
            <w:noWrap w:val="0"/>
            <w:vAlign w:val="center"/>
          </w:tcPr>
          <w:p w14:paraId="5613CD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02" w:type="dxa"/>
            <w:tcBorders>
              <w:tl2br w:val="nil"/>
              <w:tr2bl w:val="nil"/>
            </w:tcBorders>
            <w:noWrap w:val="0"/>
            <w:vAlign w:val="center"/>
          </w:tcPr>
          <w:p w14:paraId="6AA005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color="auto"/>
                <w:vertAlign w:val="baseline"/>
                <w:lang w:val="en-US" w:eastAsia="zh-CN"/>
              </w:rPr>
            </w:pPr>
            <w:r>
              <w:rPr>
                <w:rFonts w:hint="eastAsia" w:ascii="Times New Roman" w:hAnsi="Times New Roman" w:eastAsia="宋体" w:cs="Times New Roman"/>
                <w:color w:val="000000"/>
                <w:sz w:val="21"/>
                <w:szCs w:val="21"/>
                <w:u w:val="none" w:color="auto"/>
                <w:vertAlign w:val="baseline"/>
                <w:lang w:val="en-US" w:eastAsia="zh-CN"/>
              </w:rPr>
              <w:t>/</w:t>
            </w:r>
          </w:p>
        </w:tc>
        <w:tc>
          <w:tcPr>
            <w:tcW w:w="1654" w:type="dxa"/>
            <w:tcBorders>
              <w:tl2br w:val="nil"/>
              <w:tr2bl w:val="nil"/>
            </w:tcBorders>
            <w:noWrap w:val="0"/>
            <w:vAlign w:val="center"/>
          </w:tcPr>
          <w:p w14:paraId="0368B56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snapToGrid w:val="0"/>
                <w:color w:val="000000"/>
                <w:kern w:val="0"/>
                <w:sz w:val="21"/>
                <w:szCs w:val="21"/>
                <w:highlight w:val="none"/>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1.5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570" w:type="dxa"/>
            <w:tcBorders>
              <w:tl2br w:val="nil"/>
              <w:tr2bl w:val="nil"/>
            </w:tcBorders>
            <w:noWrap w:val="0"/>
            <w:vAlign w:val="center"/>
          </w:tcPr>
          <w:p w14:paraId="4E1982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u w:val="none" w:color="auto"/>
                <w:vertAlign w:val="baseline"/>
                <w:lang w:val="en-US" w:eastAsia="zh-CN" w:bidi="ar-SA"/>
              </w:rPr>
            </w:pPr>
            <w:r>
              <w:rPr>
                <w:rFonts w:hint="eastAsia" w:ascii="Times New Roman" w:hAnsi="Times New Roman" w:eastAsia="宋体" w:cs="Times New Roman"/>
                <w:color w:val="000000"/>
                <w:sz w:val="21"/>
                <w:szCs w:val="21"/>
                <w:u w:val="none" w:color="auto"/>
                <w:vertAlign w:val="baseline"/>
                <w:lang w:val="en-US" w:eastAsia="zh-CN"/>
              </w:rPr>
              <w:t>/</w:t>
            </w:r>
          </w:p>
        </w:tc>
        <w:tc>
          <w:tcPr>
            <w:tcW w:w="1638" w:type="dxa"/>
            <w:tcBorders>
              <w:tl2br w:val="nil"/>
              <w:tr2bl w:val="nil"/>
            </w:tcBorders>
            <w:noWrap w:val="0"/>
            <w:vAlign w:val="center"/>
          </w:tcPr>
          <w:p w14:paraId="782A425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b w:val="0"/>
                <w:bCs/>
                <w:color w:val="000000"/>
                <w:sz w:val="21"/>
                <w:szCs w:val="21"/>
                <w:u w:val="none" w:color="auto"/>
                <w:lang w:val="en-US" w:eastAsia="zh-CN"/>
              </w:rPr>
              <w:t>1.5</w:t>
            </w:r>
            <w:r>
              <w:rPr>
                <w:rFonts w:hint="default" w:ascii="Times New Roman" w:hAnsi="Times New Roman" w:eastAsia="宋体" w:cs="Times New Roman"/>
                <w:b w:val="0"/>
                <w:bCs w:val="0"/>
                <w:color w:val="auto"/>
                <w:sz w:val="21"/>
                <w:szCs w:val="21"/>
                <w:highlight w:val="none"/>
                <w:u w:val="none" w:color="auto"/>
                <w:lang w:val="en-US" w:eastAsia="zh-CN"/>
              </w:rPr>
              <w:t>t/a</w:t>
            </w:r>
          </w:p>
        </w:tc>
        <w:tc>
          <w:tcPr>
            <w:tcW w:w="1478" w:type="dxa"/>
            <w:tcBorders>
              <w:tl2br w:val="nil"/>
              <w:tr2bl w:val="nil"/>
            </w:tcBorders>
            <w:noWrap w:val="0"/>
            <w:vAlign w:val="center"/>
          </w:tcPr>
          <w:p w14:paraId="0A4B506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b w:val="0"/>
                <w:bCs/>
                <w:color w:val="000000"/>
                <w:sz w:val="21"/>
                <w:szCs w:val="21"/>
                <w:u w:val="none" w:color="auto"/>
                <w:lang w:val="en-US" w:eastAsia="zh-CN"/>
              </w:rPr>
              <w:t>1.5</w:t>
            </w:r>
            <w:r>
              <w:rPr>
                <w:rFonts w:hint="default" w:ascii="Times New Roman" w:hAnsi="Times New Roman" w:eastAsia="宋体" w:cs="Times New Roman"/>
                <w:b w:val="0"/>
                <w:bCs w:val="0"/>
                <w:color w:val="auto"/>
                <w:sz w:val="21"/>
                <w:szCs w:val="21"/>
                <w:highlight w:val="none"/>
                <w:u w:val="none" w:color="auto"/>
                <w:lang w:val="en-US" w:eastAsia="zh-CN"/>
              </w:rPr>
              <w:t>t/a</w:t>
            </w:r>
          </w:p>
        </w:tc>
      </w:tr>
    </w:tbl>
    <w:p w14:paraId="60E8FA5B">
      <w:pPr>
        <w:numPr>
          <w:ilvl w:val="0"/>
          <w:numId w:val="0"/>
        </w:numPr>
        <w:jc w:val="left"/>
        <w:outlineLvl w:val="9"/>
        <w:rPr>
          <w:rFonts w:hint="eastAsia" w:ascii="黑体" w:hAnsi="黑体" w:eastAsia="黑体" w:cs="Times New Roman"/>
          <w:snapToGrid w:val="0"/>
          <w:color w:val="000000"/>
          <w:sz w:val="30"/>
          <w:szCs w:val="30"/>
          <w:u w:val="none" w:color="auto"/>
          <w:lang w:val="en-US" w:eastAsia="zh-CN"/>
        </w:rPr>
      </w:pPr>
      <w:r>
        <w:rPr>
          <w:rFonts w:hAnsi="宋体"/>
          <w:snapToGrid w:val="0"/>
          <w:color w:val="000000"/>
          <w:kern w:val="21"/>
          <w:szCs w:val="21"/>
          <w:u w:val="none" w:color="auto"/>
        </w:rPr>
        <w:t>注：</w:t>
      </w:r>
      <w:r>
        <w:rPr>
          <w:rFonts w:hAnsi="宋体"/>
          <w:snapToGrid w:val="0"/>
          <w:color w:val="000000"/>
          <w:spacing w:val="-16"/>
          <w:kern w:val="21"/>
          <w:szCs w:val="21"/>
          <w:u w:val="none" w:color="auto"/>
        </w:rPr>
        <w:fldChar w:fldCharType="begin"/>
      </w:r>
      <w:r>
        <w:rPr>
          <w:rFonts w:hAnsi="宋体"/>
          <w:snapToGrid w:val="0"/>
          <w:color w:val="000000"/>
          <w:spacing w:val="-16"/>
          <w:kern w:val="21"/>
          <w:szCs w:val="21"/>
          <w:u w:val="none" w:color="auto"/>
        </w:rPr>
        <w:instrText xml:space="preserve"> = 6 \* GB3 \* MERGEFORMAT </w:instrText>
      </w:r>
      <w:r>
        <w:rPr>
          <w:rFonts w:hAnsi="宋体"/>
          <w:snapToGrid w:val="0"/>
          <w:color w:val="000000"/>
          <w:spacing w:val="-16"/>
          <w:kern w:val="21"/>
          <w:szCs w:val="21"/>
          <w:u w:val="none" w:color="auto"/>
        </w:rPr>
        <w:fldChar w:fldCharType="separate"/>
      </w:r>
      <w:r>
        <w:rPr>
          <w:rFonts w:hint="eastAsia" w:hAnsi="宋体"/>
          <w:color w:val="000000"/>
          <w:szCs w:val="21"/>
          <w:u w:val="none" w:color="auto"/>
        </w:rPr>
        <w:t>⑥</w:t>
      </w:r>
      <w:r>
        <w:rPr>
          <w:rFonts w:hAnsi="宋体"/>
          <w:snapToGrid w:val="0"/>
          <w:color w:val="000000"/>
          <w:spacing w:val="-16"/>
          <w:kern w:val="21"/>
          <w:szCs w:val="21"/>
          <w:u w:val="none" w:color="auto"/>
        </w:rPr>
        <w:fldChar w:fldCharType="end"/>
      </w:r>
      <w:r>
        <w:rPr>
          <w:rFonts w:hAnsi="宋体"/>
          <w:snapToGrid w:val="0"/>
          <w:color w:val="000000"/>
          <w:spacing w:val="-16"/>
          <w:kern w:val="21"/>
          <w:szCs w:val="21"/>
          <w:u w:val="none" w:color="auto"/>
        </w:rPr>
        <w:t>=</w:t>
      </w:r>
      <w:r>
        <w:rPr>
          <w:rFonts w:hAnsi="宋体"/>
          <w:snapToGrid w:val="0"/>
          <w:color w:val="000000"/>
          <w:spacing w:val="-6"/>
          <w:kern w:val="21"/>
          <w:szCs w:val="21"/>
          <w:u w:val="none" w:color="auto"/>
        </w:rPr>
        <w:fldChar w:fldCharType="begin"/>
      </w:r>
      <w:r>
        <w:rPr>
          <w:rFonts w:hAnsi="宋体"/>
          <w:snapToGrid w:val="0"/>
          <w:color w:val="000000"/>
          <w:spacing w:val="-6"/>
          <w:kern w:val="21"/>
          <w:szCs w:val="21"/>
          <w:u w:val="none" w:color="auto"/>
        </w:rPr>
        <w:instrText xml:space="preserve"> = 1 \* GB3 \* MERGEFORMAT </w:instrText>
      </w:r>
      <w:r>
        <w:rPr>
          <w:rFonts w:hAnsi="宋体"/>
          <w:snapToGrid w:val="0"/>
          <w:color w:val="000000"/>
          <w:spacing w:val="-6"/>
          <w:kern w:val="21"/>
          <w:szCs w:val="21"/>
          <w:u w:val="none" w:color="auto"/>
        </w:rPr>
        <w:fldChar w:fldCharType="separate"/>
      </w:r>
      <w:r>
        <w:rPr>
          <w:rFonts w:hint="eastAsia" w:hAnsi="宋体"/>
          <w:color w:val="000000"/>
          <w:szCs w:val="21"/>
          <w:u w:val="none" w:color="auto"/>
        </w:rPr>
        <w:t>①</w:t>
      </w:r>
      <w:r>
        <w:rPr>
          <w:rFonts w:hAnsi="宋体"/>
          <w:snapToGrid w:val="0"/>
          <w:color w:val="000000"/>
          <w:spacing w:val="-6"/>
          <w:kern w:val="21"/>
          <w:szCs w:val="21"/>
          <w:u w:val="none" w:color="auto"/>
        </w:rPr>
        <w:fldChar w:fldCharType="end"/>
      </w:r>
      <w:r>
        <w:rPr>
          <w:rFonts w:hAnsi="宋体"/>
          <w:snapToGrid w:val="0"/>
          <w:color w:val="000000"/>
          <w:spacing w:val="-6"/>
          <w:kern w:val="21"/>
          <w:szCs w:val="21"/>
          <w:u w:val="none" w:color="auto"/>
        </w:rPr>
        <w:t>+</w:t>
      </w:r>
      <w:r>
        <w:rPr>
          <w:rFonts w:hAnsi="宋体"/>
          <w:snapToGrid w:val="0"/>
          <w:color w:val="000000"/>
          <w:spacing w:val="-6"/>
          <w:kern w:val="21"/>
          <w:szCs w:val="21"/>
          <w:u w:val="none" w:color="auto"/>
        </w:rPr>
        <w:fldChar w:fldCharType="begin"/>
      </w:r>
      <w:r>
        <w:rPr>
          <w:rFonts w:hAnsi="宋体"/>
          <w:snapToGrid w:val="0"/>
          <w:color w:val="000000"/>
          <w:spacing w:val="-6"/>
          <w:kern w:val="21"/>
          <w:szCs w:val="21"/>
          <w:u w:val="none" w:color="auto"/>
        </w:rPr>
        <w:instrText xml:space="preserve"> = 3 \* GB3 \* MERGEFORMAT </w:instrText>
      </w:r>
      <w:r>
        <w:rPr>
          <w:rFonts w:hAnsi="宋体"/>
          <w:snapToGrid w:val="0"/>
          <w:color w:val="000000"/>
          <w:spacing w:val="-6"/>
          <w:kern w:val="21"/>
          <w:szCs w:val="21"/>
          <w:u w:val="none" w:color="auto"/>
        </w:rPr>
        <w:fldChar w:fldCharType="separate"/>
      </w:r>
      <w:r>
        <w:rPr>
          <w:rFonts w:hint="eastAsia" w:hAnsi="宋体"/>
          <w:color w:val="000000"/>
          <w:szCs w:val="21"/>
          <w:u w:val="none" w:color="auto"/>
        </w:rPr>
        <w:t>③</w:t>
      </w:r>
      <w:r>
        <w:rPr>
          <w:rFonts w:hAnsi="宋体"/>
          <w:snapToGrid w:val="0"/>
          <w:color w:val="000000"/>
          <w:spacing w:val="-6"/>
          <w:kern w:val="21"/>
          <w:szCs w:val="21"/>
          <w:u w:val="none" w:color="auto"/>
        </w:rPr>
        <w:fldChar w:fldCharType="end"/>
      </w:r>
      <w:r>
        <w:rPr>
          <w:rFonts w:hAnsi="宋体"/>
          <w:snapToGrid w:val="0"/>
          <w:color w:val="000000"/>
          <w:spacing w:val="-6"/>
          <w:kern w:val="21"/>
          <w:szCs w:val="21"/>
          <w:u w:val="none" w:color="auto"/>
        </w:rPr>
        <w:t>+</w:t>
      </w:r>
      <w:r>
        <w:rPr>
          <w:rFonts w:hAnsi="宋体"/>
          <w:snapToGrid w:val="0"/>
          <w:color w:val="000000"/>
          <w:spacing w:val="-6"/>
          <w:kern w:val="21"/>
          <w:szCs w:val="21"/>
          <w:u w:val="none" w:color="auto"/>
        </w:rPr>
        <w:fldChar w:fldCharType="begin"/>
      </w:r>
      <w:r>
        <w:rPr>
          <w:rFonts w:hAnsi="宋体"/>
          <w:snapToGrid w:val="0"/>
          <w:color w:val="000000"/>
          <w:spacing w:val="-6"/>
          <w:kern w:val="21"/>
          <w:szCs w:val="21"/>
          <w:u w:val="none" w:color="auto"/>
        </w:rPr>
        <w:instrText xml:space="preserve"> = 4 \* GB3 \* MERGEFORMAT </w:instrText>
      </w:r>
      <w:r>
        <w:rPr>
          <w:rFonts w:hAnsi="宋体"/>
          <w:snapToGrid w:val="0"/>
          <w:color w:val="000000"/>
          <w:spacing w:val="-6"/>
          <w:kern w:val="21"/>
          <w:szCs w:val="21"/>
          <w:u w:val="none" w:color="auto"/>
        </w:rPr>
        <w:fldChar w:fldCharType="separate"/>
      </w:r>
      <w:r>
        <w:rPr>
          <w:rFonts w:hint="eastAsia" w:hAnsi="宋体"/>
          <w:color w:val="000000"/>
          <w:szCs w:val="21"/>
          <w:u w:val="none" w:color="auto"/>
        </w:rPr>
        <w:t>④</w:t>
      </w:r>
      <w:r>
        <w:rPr>
          <w:rFonts w:hAnsi="宋体"/>
          <w:snapToGrid w:val="0"/>
          <w:color w:val="000000"/>
          <w:spacing w:val="-6"/>
          <w:kern w:val="21"/>
          <w:szCs w:val="21"/>
          <w:u w:val="none" w:color="auto"/>
        </w:rPr>
        <w:fldChar w:fldCharType="end"/>
      </w:r>
      <w:r>
        <w:rPr>
          <w:rFonts w:hAnsi="宋体"/>
          <w:snapToGrid w:val="0"/>
          <w:color w:val="000000"/>
          <w:spacing w:val="-6"/>
          <w:kern w:val="21"/>
          <w:szCs w:val="21"/>
          <w:u w:val="none" w:color="auto"/>
        </w:rPr>
        <w:t>-</w:t>
      </w:r>
      <w:r>
        <w:rPr>
          <w:rFonts w:hAnsi="宋体"/>
          <w:snapToGrid w:val="0"/>
          <w:color w:val="000000"/>
          <w:spacing w:val="-16"/>
          <w:kern w:val="21"/>
          <w:szCs w:val="21"/>
          <w:u w:val="none" w:color="auto"/>
        </w:rPr>
        <w:fldChar w:fldCharType="begin"/>
      </w:r>
      <w:r>
        <w:rPr>
          <w:rFonts w:hAnsi="宋体"/>
          <w:snapToGrid w:val="0"/>
          <w:color w:val="000000"/>
          <w:spacing w:val="-16"/>
          <w:kern w:val="21"/>
          <w:szCs w:val="21"/>
          <w:u w:val="none" w:color="auto"/>
        </w:rPr>
        <w:instrText xml:space="preserve"> = 5 \* GB3 \* MERGEFORMAT </w:instrText>
      </w:r>
      <w:r>
        <w:rPr>
          <w:rFonts w:hAnsi="宋体"/>
          <w:snapToGrid w:val="0"/>
          <w:color w:val="000000"/>
          <w:spacing w:val="-16"/>
          <w:kern w:val="21"/>
          <w:szCs w:val="21"/>
          <w:u w:val="none" w:color="auto"/>
        </w:rPr>
        <w:fldChar w:fldCharType="separate"/>
      </w:r>
      <w:r>
        <w:rPr>
          <w:rFonts w:hint="eastAsia" w:hAnsi="宋体"/>
          <w:color w:val="000000"/>
          <w:szCs w:val="21"/>
          <w:u w:val="none" w:color="auto"/>
        </w:rPr>
        <w:t>⑤</w:t>
      </w:r>
      <w:r>
        <w:rPr>
          <w:rFonts w:hAnsi="宋体"/>
          <w:snapToGrid w:val="0"/>
          <w:color w:val="000000"/>
          <w:spacing w:val="-16"/>
          <w:kern w:val="21"/>
          <w:szCs w:val="21"/>
          <w:u w:val="none" w:color="auto"/>
        </w:rPr>
        <w:fldChar w:fldCharType="end"/>
      </w:r>
      <w:r>
        <w:rPr>
          <w:rFonts w:hAnsi="宋体"/>
          <w:snapToGrid w:val="0"/>
          <w:color w:val="000000"/>
          <w:spacing w:val="-16"/>
          <w:kern w:val="21"/>
          <w:szCs w:val="21"/>
          <w:u w:val="none" w:color="auto"/>
        </w:rPr>
        <w:t>；</w:t>
      </w:r>
      <w:r>
        <w:rPr>
          <w:rFonts w:hAnsi="宋体"/>
          <w:snapToGrid w:val="0"/>
          <w:color w:val="000000"/>
          <w:spacing w:val="-6"/>
          <w:kern w:val="21"/>
          <w:szCs w:val="21"/>
          <w:u w:val="none" w:color="auto"/>
        </w:rPr>
        <w:fldChar w:fldCharType="begin"/>
      </w:r>
      <w:r>
        <w:rPr>
          <w:rFonts w:hAnsi="宋体"/>
          <w:snapToGrid w:val="0"/>
          <w:color w:val="000000"/>
          <w:spacing w:val="-6"/>
          <w:kern w:val="21"/>
          <w:szCs w:val="21"/>
          <w:u w:val="none" w:color="auto"/>
        </w:rPr>
        <w:instrText xml:space="preserve"> = 7 \* GB3 \* MERGEFORMAT </w:instrText>
      </w:r>
      <w:r>
        <w:rPr>
          <w:rFonts w:hAnsi="宋体"/>
          <w:snapToGrid w:val="0"/>
          <w:color w:val="000000"/>
          <w:spacing w:val="-6"/>
          <w:kern w:val="21"/>
          <w:szCs w:val="21"/>
          <w:u w:val="none" w:color="auto"/>
        </w:rPr>
        <w:fldChar w:fldCharType="separate"/>
      </w:r>
      <w:r>
        <w:rPr>
          <w:rFonts w:hint="eastAsia" w:hAnsi="宋体"/>
          <w:color w:val="000000"/>
          <w:szCs w:val="21"/>
          <w:u w:val="none" w:color="auto"/>
        </w:rPr>
        <w:t>⑦</w:t>
      </w:r>
      <w:r>
        <w:rPr>
          <w:rFonts w:hAnsi="宋体"/>
          <w:snapToGrid w:val="0"/>
          <w:color w:val="000000"/>
          <w:spacing w:val="-6"/>
          <w:kern w:val="21"/>
          <w:szCs w:val="21"/>
          <w:u w:val="none" w:color="auto"/>
        </w:rPr>
        <w:fldChar w:fldCharType="end"/>
      </w:r>
      <w:r>
        <w:rPr>
          <w:rFonts w:hAnsi="宋体"/>
          <w:snapToGrid w:val="0"/>
          <w:color w:val="000000"/>
          <w:spacing w:val="-6"/>
          <w:kern w:val="21"/>
          <w:szCs w:val="21"/>
          <w:u w:val="none" w:color="auto"/>
        </w:rPr>
        <w:t>=</w:t>
      </w:r>
      <w:r>
        <w:rPr>
          <w:rFonts w:hAnsi="宋体"/>
          <w:snapToGrid w:val="0"/>
          <w:color w:val="000000"/>
          <w:spacing w:val="-16"/>
          <w:kern w:val="21"/>
          <w:szCs w:val="21"/>
          <w:u w:val="none" w:color="auto"/>
        </w:rPr>
        <w:fldChar w:fldCharType="begin"/>
      </w:r>
      <w:r>
        <w:rPr>
          <w:rFonts w:hAnsi="宋体"/>
          <w:snapToGrid w:val="0"/>
          <w:color w:val="000000"/>
          <w:spacing w:val="-16"/>
          <w:kern w:val="21"/>
          <w:szCs w:val="21"/>
          <w:u w:val="none" w:color="auto"/>
        </w:rPr>
        <w:instrText xml:space="preserve"> = 6 \* GB3 \* MERGEFORMAT </w:instrText>
      </w:r>
      <w:r>
        <w:rPr>
          <w:rFonts w:hAnsi="宋体"/>
          <w:snapToGrid w:val="0"/>
          <w:color w:val="000000"/>
          <w:spacing w:val="-16"/>
          <w:kern w:val="21"/>
          <w:szCs w:val="21"/>
          <w:u w:val="none" w:color="auto"/>
        </w:rPr>
        <w:fldChar w:fldCharType="separate"/>
      </w:r>
      <w:r>
        <w:rPr>
          <w:rFonts w:hint="eastAsia" w:hAnsi="宋体"/>
          <w:color w:val="000000"/>
          <w:szCs w:val="21"/>
          <w:u w:val="none" w:color="auto"/>
        </w:rPr>
        <w:t>⑥</w:t>
      </w:r>
      <w:r>
        <w:rPr>
          <w:rFonts w:hAnsi="宋体"/>
          <w:snapToGrid w:val="0"/>
          <w:color w:val="000000"/>
          <w:spacing w:val="-16"/>
          <w:kern w:val="21"/>
          <w:szCs w:val="21"/>
          <w:u w:val="none" w:color="auto"/>
        </w:rPr>
        <w:fldChar w:fldCharType="end"/>
      </w:r>
      <w:r>
        <w:rPr>
          <w:rFonts w:hAnsi="宋体"/>
          <w:snapToGrid w:val="0"/>
          <w:color w:val="000000"/>
          <w:spacing w:val="-16"/>
          <w:kern w:val="21"/>
          <w:szCs w:val="21"/>
          <w:u w:val="none" w:color="auto"/>
        </w:rPr>
        <w:t>-</w:t>
      </w:r>
      <w:r>
        <w:rPr>
          <w:rFonts w:hAnsi="宋体"/>
          <w:snapToGrid w:val="0"/>
          <w:color w:val="000000"/>
          <w:spacing w:val="-6"/>
          <w:kern w:val="21"/>
          <w:szCs w:val="21"/>
          <w:u w:val="none" w:color="auto"/>
        </w:rPr>
        <w:fldChar w:fldCharType="begin"/>
      </w:r>
      <w:r>
        <w:rPr>
          <w:rFonts w:hAnsi="宋体"/>
          <w:snapToGrid w:val="0"/>
          <w:color w:val="000000"/>
          <w:spacing w:val="-6"/>
          <w:kern w:val="21"/>
          <w:szCs w:val="21"/>
          <w:u w:val="none" w:color="auto"/>
        </w:rPr>
        <w:instrText xml:space="preserve"> = 1 \* GB3 \* MERGEFORMAT </w:instrText>
      </w:r>
      <w:r>
        <w:rPr>
          <w:rFonts w:hAnsi="宋体"/>
          <w:snapToGrid w:val="0"/>
          <w:color w:val="000000"/>
          <w:spacing w:val="-6"/>
          <w:kern w:val="21"/>
          <w:szCs w:val="21"/>
          <w:u w:val="none" w:color="auto"/>
        </w:rPr>
        <w:fldChar w:fldCharType="separate"/>
      </w:r>
      <w:r>
        <w:rPr>
          <w:rFonts w:hint="eastAsia" w:hAnsi="宋体"/>
          <w:color w:val="000000"/>
          <w:szCs w:val="21"/>
          <w:u w:val="none" w:color="auto"/>
        </w:rPr>
        <w:t>①</w:t>
      </w:r>
      <w:r>
        <w:rPr>
          <w:rFonts w:hAnsi="宋体"/>
          <w:snapToGrid w:val="0"/>
          <w:color w:val="000000"/>
          <w:spacing w:val="-6"/>
          <w:kern w:val="21"/>
          <w:szCs w:val="21"/>
          <w:u w:val="none" w:color="auto"/>
        </w:rPr>
        <w:fldChar w:fldCharType="end"/>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73AE">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36057">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7E36057">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807227"/>
      <w:showingPlcHdr/>
      <w:docPartObj>
        <w:docPartGallery w:val="autotext"/>
      </w:docPartObj>
    </w:sdtPr>
    <w:sdtContent>
      <w:p w14:paraId="51BD74AE">
        <w:pPr>
          <w:pStyle w:val="22"/>
          <w:pBdr>
            <w:bottom w:val="none" w:color="auto" w:sz="0" w:space="1"/>
          </w:pBd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234AEA"/>
    <w:multiLevelType w:val="singleLevel"/>
    <w:tmpl w:val="6E234AEA"/>
    <w:lvl w:ilvl="0" w:tentative="0">
      <w:start w:val="1"/>
      <w:numFmt w:val="bullet"/>
      <w:pStyle w:val="6"/>
      <w:lvlText w:val=""/>
      <w:lvlJc w:val="left"/>
      <w:pPr>
        <w:tabs>
          <w:tab w:val="left" w:pos="780"/>
        </w:tabs>
        <w:ind w:left="7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80B99"/>
    <w:rsid w:val="0ABD7042"/>
    <w:rsid w:val="0ED308B1"/>
    <w:rsid w:val="151064A6"/>
    <w:rsid w:val="1D3F6468"/>
    <w:rsid w:val="21053123"/>
    <w:rsid w:val="21417158"/>
    <w:rsid w:val="22BF55B9"/>
    <w:rsid w:val="2AE279F9"/>
    <w:rsid w:val="2D963282"/>
    <w:rsid w:val="2F6F20EC"/>
    <w:rsid w:val="3073090C"/>
    <w:rsid w:val="31726543"/>
    <w:rsid w:val="35433153"/>
    <w:rsid w:val="37382DA9"/>
    <w:rsid w:val="3777671F"/>
    <w:rsid w:val="41A902B2"/>
    <w:rsid w:val="42AD2987"/>
    <w:rsid w:val="45A02B9E"/>
    <w:rsid w:val="487E51D1"/>
    <w:rsid w:val="4C39158D"/>
    <w:rsid w:val="4E9816C0"/>
    <w:rsid w:val="4FD621F7"/>
    <w:rsid w:val="601B524A"/>
    <w:rsid w:val="66FA669F"/>
    <w:rsid w:val="70785D38"/>
    <w:rsid w:val="76021840"/>
    <w:rsid w:val="760E6753"/>
    <w:rsid w:val="7728297D"/>
    <w:rsid w:val="78ED3957"/>
    <w:rsid w:val="7CA9011A"/>
    <w:rsid w:val="7D023685"/>
    <w:rsid w:val="7D63475E"/>
    <w:rsid w:val="7ED97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3">
    <w:name w:val="E-mail Signature"/>
    <w:basedOn w:val="1"/>
    <w:next w:val="4"/>
    <w:qFormat/>
    <w:uiPriority w:val="0"/>
  </w:style>
  <w:style w:type="paragraph" w:customStyle="1" w:styleId="4">
    <w:name w:val="文章"/>
    <w:basedOn w:val="1"/>
    <w:next w:val="5"/>
    <w:qFormat/>
    <w:uiPriority w:val="0"/>
    <w:pPr>
      <w:widowControl/>
      <w:ind w:firstLine="480"/>
      <w:jc w:val="center"/>
    </w:pPr>
    <w:rPr>
      <w:rFonts w:ascii="Times New Roman" w:hAnsi="Times New Roman" w:eastAsia="宋体" w:cs="Times New Roman"/>
      <w:sz w:val="26"/>
    </w:rPr>
  </w:style>
  <w:style w:type="paragraph" w:styleId="5">
    <w:name w:val="List"/>
    <w:basedOn w:val="1"/>
    <w:next w:val="6"/>
    <w:qFormat/>
    <w:uiPriority w:val="0"/>
    <w:pPr>
      <w:ind w:left="200" w:hanging="200" w:hangingChars="200"/>
    </w:pPr>
  </w:style>
  <w:style w:type="paragraph" w:styleId="6">
    <w:name w:val="List Bullet 2"/>
    <w:basedOn w:val="1"/>
    <w:next w:val="1"/>
    <w:qFormat/>
    <w:uiPriority w:val="0"/>
    <w:pPr>
      <w:numPr>
        <w:ilvl w:val="0"/>
        <w:numId w:val="1"/>
      </w:numPr>
    </w:pPr>
  </w:style>
  <w:style w:type="paragraph" w:styleId="7">
    <w:name w:val="Normal Indent"/>
    <w:basedOn w:val="1"/>
    <w:next w:val="1"/>
    <w:qFormat/>
    <w:uiPriority w:val="99"/>
    <w:pPr>
      <w:adjustRightInd w:val="0"/>
      <w:ind w:firstLine="420"/>
      <w:jc w:val="left"/>
    </w:pPr>
    <w:rPr>
      <w:sz w:val="24"/>
      <w:szCs w:val="20"/>
    </w:rPr>
  </w:style>
  <w:style w:type="paragraph" w:styleId="8">
    <w:name w:val="caption"/>
    <w:basedOn w:val="1"/>
    <w:next w:val="9"/>
    <w:unhideWhenUsed/>
    <w:qFormat/>
    <w:uiPriority w:val="0"/>
    <w:rPr>
      <w:rFonts w:ascii="Arial" w:hAnsi="Arial" w:eastAsia="黑体" w:cs="Arial"/>
      <w:sz w:val="20"/>
      <w:szCs w:val="20"/>
    </w:rPr>
  </w:style>
  <w:style w:type="paragraph" w:customStyle="1" w:styleId="9">
    <w:name w:val="表格内格式"/>
    <w:basedOn w:val="10"/>
    <w:next w:val="14"/>
    <w:qFormat/>
    <w:uiPriority w:val="0"/>
    <w:pPr>
      <w:spacing w:line="360" w:lineRule="exact"/>
    </w:pPr>
  </w:style>
  <w:style w:type="paragraph" w:customStyle="1" w:styleId="10">
    <w:name w:val="表格内容"/>
    <w:basedOn w:val="11"/>
    <w:next w:val="1"/>
    <w:qFormat/>
    <w:uiPriority w:val="0"/>
    <w:pPr>
      <w:jc w:val="center"/>
    </w:pPr>
  </w:style>
  <w:style w:type="paragraph" w:customStyle="1" w:styleId="11">
    <w:name w:val="表格"/>
    <w:basedOn w:val="12"/>
    <w:next w:val="13"/>
    <w:qFormat/>
    <w:uiPriority w:val="0"/>
    <w:pPr>
      <w:adjustRightInd w:val="0"/>
      <w:snapToGrid w:val="0"/>
      <w:spacing w:beforeLines="10" w:afterLines="10" w:line="259" w:lineRule="auto"/>
      <w:jc w:val="center"/>
    </w:pPr>
    <w:rPr>
      <w:rFonts w:ascii="宋体"/>
      <w:kern w:val="0"/>
      <w:szCs w:val="20"/>
    </w:rPr>
  </w:style>
  <w:style w:type="paragraph" w:styleId="12">
    <w:name w:val="Plain Text"/>
    <w:basedOn w:val="1"/>
    <w:qFormat/>
    <w:uiPriority w:val="0"/>
    <w:rPr>
      <w:rFonts w:ascii="宋体"/>
      <w:kern w:val="0"/>
      <w:szCs w:val="20"/>
    </w:rPr>
  </w:style>
  <w:style w:type="paragraph" w:styleId="13">
    <w:name w:val="Body Text"/>
    <w:basedOn w:val="1"/>
    <w:next w:val="1"/>
    <w:qFormat/>
    <w:uiPriority w:val="0"/>
    <w:pPr>
      <w:widowControl/>
      <w:snapToGrid w:val="0"/>
      <w:spacing w:before="60" w:after="160" w:line="259" w:lineRule="auto"/>
      <w:ind w:right="113"/>
    </w:pPr>
    <w:rPr>
      <w:kern w:val="0"/>
      <w:sz w:val="18"/>
      <w:szCs w:val="20"/>
    </w:rPr>
  </w:style>
  <w:style w:type="paragraph" w:customStyle="1" w:styleId="14">
    <w:name w:val="（正文）"/>
    <w:basedOn w:val="12"/>
    <w:qFormat/>
    <w:uiPriority w:val="0"/>
    <w:pPr>
      <w:adjustRightInd w:val="0"/>
      <w:snapToGrid w:val="0"/>
      <w:spacing w:line="360" w:lineRule="auto"/>
      <w:ind w:firstLine="200" w:firstLineChars="200"/>
    </w:pPr>
    <w:rPr>
      <w:rFonts w:ascii="Times New Roman" w:hAnsi="Times New Roman" w:eastAsia="宋体"/>
      <w:sz w:val="24"/>
    </w:rPr>
  </w:style>
  <w:style w:type="paragraph" w:styleId="15">
    <w:name w:val="annotation text"/>
    <w:basedOn w:val="1"/>
    <w:qFormat/>
    <w:uiPriority w:val="0"/>
    <w:pPr>
      <w:jc w:val="left"/>
    </w:pPr>
  </w:style>
  <w:style w:type="paragraph" w:styleId="16">
    <w:name w:val="Body Text Indent"/>
    <w:basedOn w:val="1"/>
    <w:next w:val="17"/>
    <w:qFormat/>
    <w:uiPriority w:val="0"/>
    <w:pPr>
      <w:spacing w:after="120"/>
      <w:ind w:left="420" w:leftChars="200"/>
    </w:pPr>
    <w:rPr>
      <w:kern w:val="0"/>
      <w:sz w:val="24"/>
      <w:szCs w:val="20"/>
    </w:rPr>
  </w:style>
  <w:style w:type="paragraph" w:styleId="17">
    <w:name w:val="Body Text First Indent 2"/>
    <w:basedOn w:val="16"/>
    <w:next w:val="18"/>
    <w:qFormat/>
    <w:uiPriority w:val="0"/>
    <w:pPr>
      <w:ind w:firstLine="420" w:firstLineChars="200"/>
    </w:pPr>
  </w:style>
  <w:style w:type="paragraph" w:styleId="18">
    <w:name w:val="Body Text First Indent"/>
    <w:basedOn w:val="13"/>
    <w:next w:val="1"/>
    <w:qFormat/>
    <w:uiPriority w:val="0"/>
    <w:pPr>
      <w:overflowPunct w:val="0"/>
      <w:autoSpaceDE w:val="0"/>
      <w:autoSpaceDN w:val="0"/>
      <w:adjustRightInd w:val="0"/>
      <w:spacing w:line="360" w:lineRule="auto"/>
      <w:ind w:firstLine="539"/>
    </w:pPr>
  </w:style>
  <w:style w:type="paragraph" w:styleId="19">
    <w:name w:val="toc 5"/>
    <w:basedOn w:val="1"/>
    <w:next w:val="1"/>
    <w:qFormat/>
    <w:uiPriority w:val="0"/>
    <w:pPr>
      <w:ind w:left="1680" w:leftChars="800"/>
    </w:pPr>
  </w:style>
  <w:style w:type="paragraph" w:styleId="20">
    <w:name w:val="Body Text Indent 2"/>
    <w:basedOn w:val="1"/>
    <w:next w:val="1"/>
    <w:qFormat/>
    <w:uiPriority w:val="0"/>
    <w:pPr>
      <w:spacing w:after="120" w:afterLines="0" w:line="480" w:lineRule="auto"/>
      <w:ind w:left="420" w:leftChars="200"/>
    </w:p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qFormat/>
    <w:uiPriority w:val="0"/>
  </w:style>
  <w:style w:type="paragraph" w:styleId="24">
    <w:name w:val="Body Text Indent 3"/>
    <w:basedOn w:val="1"/>
    <w:qFormat/>
    <w:uiPriority w:val="0"/>
    <w:pPr>
      <w:spacing w:after="120"/>
      <w:ind w:left="420" w:leftChars="200"/>
    </w:pPr>
    <w:rPr>
      <w:sz w:val="16"/>
      <w:szCs w:val="16"/>
    </w:rPr>
  </w:style>
  <w:style w:type="paragraph" w:styleId="25">
    <w:name w:val="toc 2"/>
    <w:basedOn w:val="1"/>
    <w:next w:val="3"/>
    <w:qFormat/>
    <w:uiPriority w:val="0"/>
    <w:pPr>
      <w:tabs>
        <w:tab w:val="left" w:pos="840"/>
        <w:tab w:val="right" w:leader="dot" w:pos="8302"/>
      </w:tabs>
      <w:spacing w:line="360" w:lineRule="auto"/>
      <w:ind w:left="358" w:leftChars="170" w:hanging="1"/>
    </w:pPr>
    <w:rPr>
      <w:rFonts w:ascii="宋体" w:hAnsi="宋体"/>
      <w:bCs/>
      <w:szCs w:val="24"/>
    </w:rPr>
  </w:style>
  <w:style w:type="paragraph" w:styleId="26">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Default"/>
    <w:basedOn w:val="31"/>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1">
    <w:name w:val="纯文本1"/>
    <w:basedOn w:val="1"/>
    <w:qFormat/>
    <w:uiPriority w:val="0"/>
    <w:pPr>
      <w:adjustRightInd w:val="0"/>
    </w:pPr>
    <w:rPr>
      <w:rFonts w:ascii="宋体" w:hAnsi="Courier New"/>
    </w:rPr>
  </w:style>
  <w:style w:type="paragraph" w:customStyle="1" w:styleId="32">
    <w:name w:val="Table Paragraph"/>
    <w:basedOn w:val="1"/>
    <w:autoRedefine/>
    <w:qFormat/>
    <w:uiPriority w:val="99"/>
    <w:pPr>
      <w:autoSpaceDE w:val="0"/>
      <w:autoSpaceDN w:val="0"/>
      <w:jc w:val="left"/>
    </w:pPr>
    <w:rPr>
      <w:rFonts w:ascii="宋体" w:hAnsi="宋体" w:cs="宋体"/>
      <w:kern w:val="0"/>
      <w:sz w:val="22"/>
      <w:szCs w:val="22"/>
    </w:rPr>
  </w:style>
  <w:style w:type="paragraph" w:customStyle="1" w:styleId="33">
    <w:name w:val="Table Text"/>
    <w:basedOn w:val="1"/>
    <w:autoRedefine/>
    <w:semiHidden/>
    <w:qFormat/>
    <w:uiPriority w:val="0"/>
    <w:rPr>
      <w:rFonts w:ascii="宋体" w:hAnsi="宋体" w:eastAsia="宋体" w:cs="宋体"/>
      <w:sz w:val="24"/>
      <w:szCs w:val="24"/>
      <w:lang w:val="en-US" w:eastAsia="en-US" w:bidi="ar-SA"/>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xl27"/>
    <w:basedOn w:val="1"/>
    <w:next w:val="20"/>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6">
    <w:name w:val="文本"/>
    <w:basedOn w:val="1"/>
    <w:qFormat/>
    <w:uiPriority w:val="0"/>
    <w:pPr>
      <w:spacing w:line="360" w:lineRule="auto"/>
      <w:ind w:firstLine="422" w:firstLineChars="200"/>
    </w:pPr>
    <w:rPr>
      <w:kern w:val="0"/>
      <w:szCs w:val="20"/>
    </w:rPr>
  </w:style>
  <w:style w:type="paragraph" w:customStyle="1" w:styleId="37">
    <w:name w:val="ctrl+~  正文"/>
    <w:basedOn w:val="1"/>
    <w:qFormat/>
    <w:uiPriority w:val="0"/>
    <w:pPr>
      <w:spacing w:line="480" w:lineRule="exact"/>
      <w:ind w:firstLine="480" w:firstLineChars="200"/>
    </w:pPr>
    <w:rPr>
      <w:rFonts w:eastAsia="Times New Roman"/>
    </w:rPr>
  </w:style>
  <w:style w:type="paragraph" w:customStyle="1" w:styleId="38">
    <w:name w:val=" Char1"/>
    <w:basedOn w:val="1"/>
    <w:qFormat/>
    <w:uiPriority w:val="0"/>
    <w:pPr>
      <w:spacing w:line="360" w:lineRule="auto"/>
      <w:ind w:firstLine="200" w:firstLineChars="200"/>
    </w:pPr>
    <w:rPr>
      <w:rFonts w:ascii="宋体"/>
      <w:kern w:val="0"/>
      <w:sz w:val="24"/>
      <w:szCs w:val="20"/>
    </w:rPr>
  </w:style>
  <w:style w:type="paragraph" w:customStyle="1" w:styleId="39">
    <w:name w:val="表文字"/>
    <w:basedOn w:val="1"/>
    <w:qFormat/>
    <w:uiPriority w:val="0"/>
    <w:pPr>
      <w:overflowPunct w:val="0"/>
      <w:autoSpaceDE w:val="0"/>
      <w:autoSpaceDN w:val="0"/>
      <w:adjustRightInd w:val="0"/>
      <w:spacing w:line="240" w:lineRule="atLeast"/>
      <w:textAlignment w:val="baseline"/>
    </w:pPr>
    <w:rPr>
      <w:rFonts w:eastAsia="宋体"/>
      <w:sz w:val="24"/>
      <w:szCs w:val="21"/>
    </w:rPr>
  </w:style>
  <w:style w:type="character" w:customStyle="1" w:styleId="40">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41">
    <w:name w:val="font51"/>
    <w:basedOn w:val="29"/>
    <w:qFormat/>
    <w:uiPriority w:val="0"/>
    <w:rPr>
      <w:rFonts w:hint="default" w:ascii="Times New Roman" w:hAnsi="Times New Roman" w:cs="Times New Roman"/>
      <w:color w:val="000000"/>
      <w:sz w:val="21"/>
      <w:szCs w:val="21"/>
      <w:u w:val="none"/>
      <w:vertAlign w:val="superscript"/>
    </w:rPr>
  </w:style>
  <w:style w:type="paragraph" w:customStyle="1" w:styleId="42">
    <w:name w:val="样式 样式 行距: 1.5 倍行距 + 首行缩进:  2 字符"/>
    <w:basedOn w:val="1"/>
    <w:qFormat/>
    <w:uiPriority w:val="0"/>
    <w:pPr>
      <w:adjustRightInd w:val="0"/>
      <w:snapToGrid w:val="0"/>
      <w:spacing w:line="360" w:lineRule="auto"/>
      <w:ind w:firstLine="480" w:firstLineChars="200"/>
    </w:pPr>
    <w:rPr>
      <w:sz w:val="24"/>
      <w:szCs w:val="20"/>
    </w:rPr>
  </w:style>
  <w:style w:type="paragraph" w:customStyle="1" w:styleId="43">
    <w:name w:val="表格文字"/>
    <w:basedOn w:val="18"/>
    <w:next w:val="1"/>
    <w:qFormat/>
    <w:uiPriority w:val="0"/>
    <w:pPr>
      <w:adjustRightInd w:val="0"/>
      <w:snapToGrid w:val="0"/>
      <w:jc w:val="center"/>
    </w:pPr>
    <w:rPr>
      <w:rFonts w:ascii="宋体" w:hAnsi="宋体"/>
      <w:szCs w:val="20"/>
    </w:rPr>
  </w:style>
  <w:style w:type="paragraph" w:styleId="44">
    <w:name w:val="List Paragraph"/>
    <w:basedOn w:val="1"/>
    <w:autoRedefine/>
    <w:qFormat/>
    <w:uiPriority w:val="1"/>
    <w:pPr>
      <w:ind w:firstLine="420" w:firstLineChars="200"/>
    </w:pPr>
  </w:style>
  <w:style w:type="paragraph" w:customStyle="1" w:styleId="45">
    <w:name w:val="表文"/>
    <w:basedOn w:val="1"/>
    <w:qFormat/>
    <w:uiPriority w:val="0"/>
    <w:pPr>
      <w:tabs>
        <w:tab w:val="left" w:pos="1021"/>
      </w:tabs>
      <w:adjustRightInd w:val="0"/>
      <w:snapToGrid w:val="0"/>
      <w:spacing w:before="62" w:beforeLines="20" w:after="62" w:afterLines="20"/>
      <w:ind w:left="-105" w:leftChars="-50" w:right="-105" w:rightChars="-50"/>
      <w:jc w:val="center"/>
    </w:pPr>
    <w:rPr>
      <w:snapToGrid w:val="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emf"/><Relationship Id="rId17" Type="http://schemas.openxmlformats.org/officeDocument/2006/relationships/oleObject" Target="embeddings/oleObject2.bin"/><Relationship Id="rId16" Type="http://schemas.openxmlformats.org/officeDocument/2006/relationships/image" Target="media/image10.emf"/><Relationship Id="rId15" Type="http://schemas.openxmlformats.org/officeDocument/2006/relationships/oleObject" Target="embeddings/oleObject1.bin"/><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8941</Words>
  <Characters>9390</Characters>
  <Lines>0</Lines>
  <Paragraphs>0</Paragraphs>
  <TotalTime>0</TotalTime>
  <ScaleCrop>false</ScaleCrop>
  <LinksUpToDate>false</LinksUpToDate>
  <CharactersWithSpaces>9487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2024-11-25T01:13:00Z</dcterms:created>
  <dc:creator>Administrator</dc:creator>
  <cp:lastModifiedBy>WPS_1621395920</cp:lastModifiedBy>
  <dcterms:modified xsi:type="dcterms:W3CDTF">2024-12-25T09:21:46Z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42BD2535454849B2B94600DA389D17F3_12</vt:lpwstr>
  </property>
</Properties>
</file>