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color w:val="auto"/>
        </w:rPr>
      </w:pPr>
    </w:p>
    <w:p>
      <w:pPr>
        <w:rPr>
          <w:rFonts w:eastAsia="仿宋_GB2312" w:cs="仿宋_GB2312"/>
          <w:color w:val="auto"/>
          <w:sz w:val="36"/>
          <w:szCs w:val="36"/>
        </w:rPr>
      </w:pPr>
    </w:p>
    <w:p>
      <w:pPr>
        <w:rPr>
          <w:rFonts w:eastAsia="仿宋_GB2312" w:cs="仿宋_GB2312"/>
          <w:color w:val="auto"/>
          <w:sz w:val="36"/>
          <w:szCs w:val="36"/>
        </w:rPr>
      </w:pPr>
    </w:p>
    <w:p>
      <w:pPr>
        <w:rPr>
          <w:rFonts w:hint="eastAsia" w:eastAsia="仿宋_GB2312" w:cs="仿宋_GB2312"/>
          <w:color w:val="auto"/>
          <w:sz w:val="36"/>
          <w:szCs w:val="36"/>
        </w:rPr>
      </w:pPr>
    </w:p>
    <w:p>
      <w:pPr>
        <w:adjustRightInd w:val="0"/>
        <w:snapToGrid w:val="0"/>
        <w:jc w:val="center"/>
        <w:outlineLvl w:val="0"/>
        <w:rPr>
          <w:rFonts w:hint="eastAsia" w:eastAsia="方正小标宋_GBK"/>
          <w:bCs/>
          <w:color w:val="auto"/>
          <w:sz w:val="72"/>
          <w:szCs w:val="72"/>
        </w:rPr>
      </w:pPr>
      <w:bookmarkStart w:id="0" w:name="_Toc23571"/>
      <w:r>
        <w:rPr>
          <w:rFonts w:hint="eastAsia" w:eastAsia="方正小标宋_GBK"/>
          <w:bCs/>
          <w:color w:val="auto"/>
          <w:sz w:val="72"/>
          <w:szCs w:val="72"/>
        </w:rPr>
        <w:t>建设项目环</w:t>
      </w:r>
      <w:bookmarkStart w:id="13" w:name="_GoBack"/>
      <w:bookmarkEnd w:id="13"/>
      <w:r>
        <w:rPr>
          <w:rFonts w:hint="eastAsia" w:eastAsia="方正小标宋_GBK"/>
          <w:bCs/>
          <w:color w:val="auto"/>
          <w:sz w:val="72"/>
          <w:szCs w:val="72"/>
        </w:rPr>
        <w:t>境影响报告表</w:t>
      </w:r>
      <w:bookmarkEnd w:id="0"/>
    </w:p>
    <w:p>
      <w:pPr>
        <w:adjustRightInd w:val="0"/>
        <w:snapToGrid w:val="0"/>
        <w:spacing w:before="192" w:beforeLines="80"/>
        <w:jc w:val="center"/>
        <w:rPr>
          <w:rFonts w:hint="eastAsia" w:eastAsia="楷体_GB2312"/>
          <w:bCs/>
          <w:color w:val="auto"/>
          <w:sz w:val="48"/>
          <w:szCs w:val="48"/>
        </w:rPr>
      </w:pPr>
      <w:r>
        <w:rPr>
          <w:rFonts w:hint="eastAsia" w:eastAsia="楷体_GB2312"/>
          <w:bCs/>
          <w:color w:val="auto"/>
          <w:sz w:val="48"/>
          <w:szCs w:val="48"/>
        </w:rPr>
        <w:t>（污染影响类）</w:t>
      </w:r>
    </w:p>
    <w:p>
      <w:pPr>
        <w:adjustRightInd w:val="0"/>
        <w:snapToGrid w:val="0"/>
        <w:spacing w:line="288" w:lineRule="auto"/>
        <w:jc w:val="center"/>
        <w:rPr>
          <w:rFonts w:hint="eastAsia" w:eastAsia="华文仿宋" w:cs="华文仿宋"/>
          <w:color w:val="auto"/>
          <w:kern w:val="44"/>
          <w:sz w:val="44"/>
          <w:szCs w:val="44"/>
          <w:lang w:val="en-US" w:eastAsia="zh-CN"/>
        </w:rPr>
      </w:pPr>
      <w:r>
        <w:rPr>
          <w:rFonts w:hint="eastAsia" w:eastAsia="华文仿宋" w:cs="华文仿宋"/>
          <w:color w:val="auto"/>
          <w:kern w:val="44"/>
          <w:sz w:val="44"/>
          <w:szCs w:val="44"/>
          <w:lang w:val="en-US" w:eastAsia="zh-CN"/>
        </w:rPr>
        <w:t>报批稿</w:t>
      </w:r>
    </w:p>
    <w:p>
      <w:pPr>
        <w:jc w:val="center"/>
        <w:rPr>
          <w:rFonts w:eastAsia="仿宋"/>
          <w:color w:val="auto"/>
          <w:sz w:val="52"/>
          <w:szCs w:val="52"/>
        </w:rPr>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p>
      <w:pPr>
        <w:pStyle w:val="10"/>
        <w:rPr>
          <w:color w:val="auto"/>
        </w:rPr>
      </w:pPr>
    </w:p>
    <w:p>
      <w:pPr>
        <w:keepNext w:val="0"/>
        <w:keepLines w:val="0"/>
        <w:pageBreakBefore w:val="0"/>
        <w:widowControl w:val="0"/>
        <w:kinsoku/>
        <w:wordWrap/>
        <w:overflowPunct/>
        <w:topLinePunct w:val="0"/>
        <w:autoSpaceDE/>
        <w:autoSpaceDN/>
        <w:bidi w:val="0"/>
        <w:adjustRightInd w:val="0"/>
        <w:snapToGrid w:val="0"/>
        <w:spacing w:line="480" w:lineRule="auto"/>
        <w:ind w:firstLine="360" w:firstLineChars="100"/>
        <w:textAlignment w:val="auto"/>
        <w:rPr>
          <w:rFonts w:hint="default" w:eastAsia="仿宋_GB2312"/>
          <w:color w:val="auto"/>
          <w:sz w:val="36"/>
          <w:szCs w:val="36"/>
          <w:u w:val="single"/>
          <w:lang w:val="en-US" w:eastAsia="zh-CN"/>
        </w:rPr>
      </w:pPr>
      <w:r>
        <w:rPr>
          <w:rFonts w:hint="eastAsia" w:eastAsia="仿宋_GB2312"/>
          <w:color w:val="auto"/>
          <w:sz w:val="36"/>
          <w:szCs w:val="36"/>
        </w:rPr>
        <w:t>项目名称：</w:t>
      </w:r>
      <w:r>
        <w:rPr>
          <w:rFonts w:hint="eastAsia" w:eastAsia="仿宋_GB2312"/>
          <w:color w:val="auto"/>
          <w:sz w:val="36"/>
          <w:szCs w:val="36"/>
          <w:u w:val="single"/>
          <w:lang w:val="en-US" w:eastAsia="zh-CN"/>
        </w:rPr>
        <w:t>湖南鲁丽木业有限公司综合污水处理项目</w:t>
      </w:r>
    </w:p>
    <w:p>
      <w:pPr>
        <w:keepNext w:val="0"/>
        <w:keepLines w:val="0"/>
        <w:pageBreakBefore w:val="0"/>
        <w:widowControl w:val="0"/>
        <w:kinsoku/>
        <w:wordWrap/>
        <w:overflowPunct/>
        <w:topLinePunct w:val="0"/>
        <w:autoSpaceDE/>
        <w:autoSpaceDN/>
        <w:bidi w:val="0"/>
        <w:adjustRightInd/>
        <w:snapToGrid w:val="0"/>
        <w:spacing w:line="480" w:lineRule="auto"/>
        <w:ind w:firstLine="360" w:firstLineChars="100"/>
        <w:textAlignment w:val="auto"/>
        <w:rPr>
          <w:rFonts w:hint="default" w:eastAsia="仿宋_GB2312"/>
          <w:color w:val="auto"/>
          <w:sz w:val="36"/>
          <w:szCs w:val="36"/>
          <w:u w:val="single"/>
          <w:lang w:val="en-US" w:eastAsia="zh-CN"/>
        </w:rPr>
      </w:pPr>
      <w:r>
        <w:rPr>
          <w:rFonts w:hint="eastAsia" w:eastAsia="仿宋_GB2312"/>
          <w:color w:val="auto"/>
          <w:sz w:val="36"/>
          <w:szCs w:val="36"/>
        </w:rPr>
        <w:t>建设单位（盖章）：</w:t>
      </w:r>
      <w:r>
        <w:rPr>
          <w:rFonts w:hint="eastAsia" w:eastAsia="仿宋_GB2312"/>
          <w:color w:val="auto"/>
          <w:sz w:val="36"/>
          <w:szCs w:val="36"/>
          <w:u w:val="single"/>
          <w:lang w:val="en-US" w:eastAsia="zh-CN"/>
        </w:rPr>
        <w:t>湖南鲁丽木业有限公司</w:t>
      </w:r>
    </w:p>
    <w:p>
      <w:pPr>
        <w:keepNext w:val="0"/>
        <w:keepLines w:val="0"/>
        <w:pageBreakBefore w:val="0"/>
        <w:widowControl w:val="0"/>
        <w:kinsoku/>
        <w:wordWrap/>
        <w:overflowPunct/>
        <w:topLinePunct w:val="0"/>
        <w:autoSpaceDE/>
        <w:autoSpaceDN/>
        <w:bidi w:val="0"/>
        <w:adjustRightInd/>
        <w:snapToGrid w:val="0"/>
        <w:spacing w:line="480" w:lineRule="auto"/>
        <w:ind w:firstLine="360" w:firstLineChars="100"/>
        <w:textAlignment w:val="auto"/>
        <w:rPr>
          <w:rFonts w:hint="eastAsia" w:eastAsia="仿宋_GB2312"/>
          <w:color w:val="auto"/>
          <w:sz w:val="36"/>
          <w:szCs w:val="36"/>
          <w:u w:val="single"/>
          <w:lang w:eastAsia="zh-CN"/>
        </w:rPr>
      </w:pPr>
      <w:r>
        <w:rPr>
          <w:rFonts w:hint="eastAsia" w:eastAsia="仿宋_GB2312"/>
          <w:color w:val="auto"/>
          <w:sz w:val="36"/>
          <w:szCs w:val="36"/>
        </w:rPr>
        <w:t>编制日期：</w:t>
      </w:r>
      <w:r>
        <w:rPr>
          <w:rFonts w:hint="eastAsia" w:eastAsia="仿宋_GB2312"/>
          <w:color w:val="auto"/>
          <w:sz w:val="36"/>
          <w:szCs w:val="36"/>
          <w:u w:val="single"/>
        </w:rPr>
        <w:t>202</w:t>
      </w:r>
      <w:r>
        <w:rPr>
          <w:rFonts w:hint="eastAsia" w:eastAsia="仿宋_GB2312"/>
          <w:color w:val="auto"/>
          <w:sz w:val="36"/>
          <w:szCs w:val="36"/>
          <w:u w:val="single"/>
          <w:lang w:val="en-US" w:eastAsia="zh-CN"/>
        </w:rPr>
        <w:t>4</w:t>
      </w:r>
      <w:r>
        <w:rPr>
          <w:rFonts w:hint="eastAsia" w:eastAsia="仿宋_GB2312"/>
          <w:color w:val="auto"/>
          <w:sz w:val="36"/>
          <w:szCs w:val="36"/>
          <w:u w:val="single"/>
        </w:rPr>
        <w:t>年</w:t>
      </w:r>
      <w:r>
        <w:rPr>
          <w:rFonts w:hint="eastAsia" w:eastAsia="仿宋_GB2312"/>
          <w:color w:val="auto"/>
          <w:sz w:val="36"/>
          <w:szCs w:val="36"/>
          <w:u w:val="single"/>
          <w:lang w:val="en-US" w:eastAsia="zh-CN"/>
        </w:rPr>
        <w:t>2</w:t>
      </w:r>
      <w:r>
        <w:rPr>
          <w:rFonts w:hint="eastAsia" w:eastAsia="仿宋_GB2312"/>
          <w:color w:val="auto"/>
          <w:sz w:val="36"/>
          <w:szCs w:val="36"/>
          <w:u w:val="single"/>
        </w:rPr>
        <w:t>月</w:t>
      </w:r>
    </w:p>
    <w:p>
      <w:pPr>
        <w:adjustRightInd w:val="0"/>
        <w:snapToGrid w:val="0"/>
        <w:spacing w:line="288" w:lineRule="auto"/>
        <w:ind w:firstLine="1040"/>
        <w:rPr>
          <w:rFonts w:eastAsia="仿宋_GB2312"/>
          <w:color w:val="auto"/>
          <w:sz w:val="36"/>
          <w:szCs w:val="36"/>
        </w:rPr>
      </w:pPr>
      <w:bookmarkStart w:id="1" w:name="_Hlk57884087"/>
    </w:p>
    <w:p>
      <w:pPr>
        <w:adjustRightInd w:val="0"/>
        <w:snapToGrid w:val="0"/>
        <w:spacing w:line="288" w:lineRule="auto"/>
        <w:ind w:firstLine="1040"/>
        <w:rPr>
          <w:rFonts w:eastAsia="仿宋_GB2312"/>
          <w:color w:val="auto"/>
          <w:sz w:val="36"/>
          <w:szCs w:val="36"/>
          <w:u w:val="single"/>
        </w:rPr>
      </w:pPr>
    </w:p>
    <w:p>
      <w:pPr>
        <w:adjustRightInd w:val="0"/>
        <w:snapToGrid w:val="0"/>
        <w:spacing w:line="288" w:lineRule="auto"/>
        <w:ind w:firstLine="1040"/>
        <w:rPr>
          <w:rFonts w:eastAsia="仿宋_GB2312"/>
          <w:color w:val="auto"/>
          <w:sz w:val="36"/>
          <w:szCs w:val="36"/>
        </w:rPr>
      </w:pPr>
    </w:p>
    <w:p>
      <w:pPr>
        <w:adjustRightInd w:val="0"/>
        <w:snapToGrid w:val="0"/>
        <w:spacing w:line="288" w:lineRule="auto"/>
        <w:ind w:firstLine="1040"/>
        <w:rPr>
          <w:rFonts w:hint="eastAsia" w:eastAsia="仿宋_GB2312"/>
          <w:color w:val="auto"/>
          <w:sz w:val="36"/>
          <w:szCs w:val="36"/>
        </w:rPr>
      </w:pPr>
    </w:p>
    <w:bookmarkEnd w:id="1"/>
    <w:p>
      <w:pPr>
        <w:adjustRightInd w:val="0"/>
        <w:snapToGrid w:val="0"/>
        <w:spacing w:line="288" w:lineRule="auto"/>
        <w:jc w:val="center"/>
        <w:rPr>
          <w:rFonts w:hint="eastAsia" w:eastAsia="楷体_GB2312"/>
          <w:color w:val="auto"/>
          <w:sz w:val="36"/>
          <w:szCs w:val="36"/>
        </w:rPr>
        <w:sectPr>
          <w:footerReference r:id="rId3" w:type="default"/>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r>
        <w:rPr>
          <w:rFonts w:hint="eastAsia" w:eastAsia="楷体_GB2312"/>
          <w:color w:val="auto"/>
          <w:sz w:val="36"/>
          <w:szCs w:val="36"/>
        </w:rPr>
        <w:t>中华人民共和国生态环境部制</w:t>
      </w:r>
    </w:p>
    <w:p>
      <w:pPr>
        <w:pStyle w:val="10"/>
        <w:jc w:val="center"/>
        <w:rPr>
          <w:rFonts w:hint="eastAsia"/>
          <w:b/>
          <w:bCs/>
          <w:color w:val="auto"/>
          <w:sz w:val="32"/>
          <w:szCs w:val="32"/>
        </w:rPr>
      </w:pPr>
      <w:r>
        <w:rPr>
          <w:rFonts w:hint="eastAsia"/>
          <w:b/>
          <w:bCs/>
          <w:color w:val="auto"/>
          <w:sz w:val="32"/>
          <w:szCs w:val="32"/>
        </w:rPr>
        <w:t>目录</w:t>
      </w:r>
    </w:p>
    <w:p>
      <w:pPr>
        <w:pStyle w:val="19"/>
        <w:tabs>
          <w:tab w:val="right" w:leader="dot" w:pos="8844"/>
        </w:tabs>
        <w:spacing w:line="360" w:lineRule="auto"/>
        <w:rPr>
          <w:color w:val="auto"/>
          <w:sz w:val="24"/>
        </w:rPr>
      </w:pPr>
      <w:r>
        <w:rPr>
          <w:rFonts w:cs="仿宋_GB2312"/>
          <w:color w:val="auto"/>
          <w:sz w:val="24"/>
        </w:rPr>
        <w:fldChar w:fldCharType="begin"/>
      </w:r>
      <w:r>
        <w:rPr>
          <w:rFonts w:cs="仿宋_GB2312"/>
          <w:color w:val="auto"/>
          <w:sz w:val="24"/>
        </w:rPr>
        <w:instrText xml:space="preserve">TOC \o "1-3" \t "" \h \z \u </w:instrText>
      </w:r>
      <w:r>
        <w:rPr>
          <w:rFonts w:cs="仿宋_GB2312"/>
          <w:color w:val="auto"/>
          <w:sz w:val="24"/>
        </w:rPr>
        <w:fldChar w:fldCharType="separate"/>
      </w:r>
      <w:r>
        <w:rPr>
          <w:color w:val="auto"/>
          <w:sz w:val="24"/>
        </w:rPr>
        <w:fldChar w:fldCharType="begin"/>
      </w:r>
      <w:r>
        <w:rPr>
          <w:color w:val="auto"/>
          <w:sz w:val="24"/>
        </w:rPr>
        <w:instrText xml:space="preserve"> HYPERLINK \l _Toc536 </w:instrText>
      </w:r>
      <w:r>
        <w:rPr>
          <w:color w:val="auto"/>
          <w:sz w:val="24"/>
        </w:rPr>
        <w:fldChar w:fldCharType="separate"/>
      </w:r>
      <w:r>
        <w:rPr>
          <w:rFonts w:hint="eastAsia"/>
          <w:snapToGrid w:val="0"/>
          <w:color w:val="auto"/>
          <w:sz w:val="24"/>
        </w:rPr>
        <w:t>一、建设项目基本情况</w:t>
      </w:r>
      <w:r>
        <w:rPr>
          <w:color w:val="auto"/>
          <w:sz w:val="24"/>
        </w:rPr>
        <w:tab/>
      </w:r>
      <w:r>
        <w:rPr>
          <w:color w:val="auto"/>
          <w:sz w:val="24"/>
        </w:rPr>
        <w:fldChar w:fldCharType="begin"/>
      </w:r>
      <w:r>
        <w:rPr>
          <w:color w:val="auto"/>
          <w:sz w:val="24"/>
        </w:rPr>
        <w:instrText xml:space="preserve"> PAGEREF _Toc536 </w:instrText>
      </w:r>
      <w:r>
        <w:rPr>
          <w:color w:val="auto"/>
          <w:sz w:val="24"/>
        </w:rPr>
        <w:fldChar w:fldCharType="separate"/>
      </w:r>
      <w:r>
        <w:rPr>
          <w:color w:val="auto"/>
          <w:sz w:val="24"/>
        </w:rPr>
        <w:t>1</w:t>
      </w:r>
      <w:r>
        <w:rPr>
          <w:color w:val="auto"/>
          <w:sz w:val="24"/>
        </w:rPr>
        <w:fldChar w:fldCharType="end"/>
      </w:r>
      <w:r>
        <w:rPr>
          <w:color w:val="auto"/>
          <w:sz w:val="24"/>
        </w:rPr>
        <w:fldChar w:fldCharType="end"/>
      </w:r>
    </w:p>
    <w:p>
      <w:pPr>
        <w:pStyle w:val="19"/>
        <w:tabs>
          <w:tab w:val="right" w:leader="dot" w:pos="8844"/>
        </w:tabs>
        <w:spacing w:line="360" w:lineRule="auto"/>
        <w:rPr>
          <w:color w:val="auto"/>
          <w:sz w:val="24"/>
        </w:rPr>
      </w:pPr>
      <w:r>
        <w:rPr>
          <w:color w:val="auto"/>
          <w:sz w:val="24"/>
        </w:rPr>
        <w:fldChar w:fldCharType="begin"/>
      </w:r>
      <w:r>
        <w:rPr>
          <w:color w:val="auto"/>
          <w:sz w:val="24"/>
        </w:rPr>
        <w:instrText xml:space="preserve"> HYPERLINK \l _Toc24919 </w:instrText>
      </w:r>
      <w:r>
        <w:rPr>
          <w:color w:val="auto"/>
          <w:sz w:val="24"/>
        </w:rPr>
        <w:fldChar w:fldCharType="separate"/>
      </w:r>
      <w:r>
        <w:rPr>
          <w:rFonts w:hint="eastAsia"/>
          <w:snapToGrid w:val="0"/>
          <w:color w:val="auto"/>
          <w:sz w:val="24"/>
        </w:rPr>
        <w:t>二、建设项目工程分析</w:t>
      </w:r>
      <w:r>
        <w:rPr>
          <w:color w:val="auto"/>
          <w:sz w:val="24"/>
        </w:rPr>
        <w:tab/>
      </w:r>
      <w:r>
        <w:rPr>
          <w:color w:val="auto"/>
          <w:sz w:val="24"/>
        </w:rPr>
        <w:fldChar w:fldCharType="begin"/>
      </w:r>
      <w:r>
        <w:rPr>
          <w:color w:val="auto"/>
          <w:sz w:val="24"/>
        </w:rPr>
        <w:instrText xml:space="preserve"> PAGEREF _Toc24919 </w:instrText>
      </w:r>
      <w:r>
        <w:rPr>
          <w:color w:val="auto"/>
          <w:sz w:val="24"/>
        </w:rPr>
        <w:fldChar w:fldCharType="separate"/>
      </w:r>
      <w:r>
        <w:rPr>
          <w:color w:val="auto"/>
          <w:sz w:val="24"/>
        </w:rPr>
        <w:t>7</w:t>
      </w:r>
      <w:r>
        <w:rPr>
          <w:color w:val="auto"/>
          <w:sz w:val="24"/>
        </w:rPr>
        <w:fldChar w:fldCharType="end"/>
      </w:r>
      <w:r>
        <w:rPr>
          <w:color w:val="auto"/>
          <w:sz w:val="24"/>
        </w:rPr>
        <w:fldChar w:fldCharType="end"/>
      </w:r>
    </w:p>
    <w:p>
      <w:pPr>
        <w:pStyle w:val="19"/>
        <w:tabs>
          <w:tab w:val="right" w:leader="dot" w:pos="8844"/>
        </w:tabs>
        <w:spacing w:line="360" w:lineRule="auto"/>
        <w:rPr>
          <w:color w:val="auto"/>
          <w:sz w:val="24"/>
        </w:rPr>
      </w:pPr>
      <w:r>
        <w:rPr>
          <w:color w:val="auto"/>
          <w:sz w:val="24"/>
        </w:rPr>
        <w:fldChar w:fldCharType="begin"/>
      </w:r>
      <w:r>
        <w:rPr>
          <w:color w:val="auto"/>
          <w:sz w:val="24"/>
        </w:rPr>
        <w:instrText xml:space="preserve"> HYPERLINK \l _Toc19360 </w:instrText>
      </w:r>
      <w:r>
        <w:rPr>
          <w:color w:val="auto"/>
          <w:sz w:val="24"/>
        </w:rPr>
        <w:fldChar w:fldCharType="separate"/>
      </w:r>
      <w:r>
        <w:rPr>
          <w:rFonts w:hint="eastAsia"/>
          <w:snapToGrid w:val="0"/>
          <w:color w:val="auto"/>
          <w:sz w:val="24"/>
        </w:rPr>
        <w:t>三、区域环境质量现状、环境保护目标及评价标准</w:t>
      </w:r>
      <w:r>
        <w:rPr>
          <w:color w:val="auto"/>
          <w:sz w:val="24"/>
        </w:rPr>
        <w:tab/>
      </w:r>
      <w:r>
        <w:rPr>
          <w:color w:val="auto"/>
          <w:sz w:val="24"/>
        </w:rPr>
        <w:fldChar w:fldCharType="begin"/>
      </w:r>
      <w:r>
        <w:rPr>
          <w:color w:val="auto"/>
          <w:sz w:val="24"/>
        </w:rPr>
        <w:instrText xml:space="preserve"> PAGEREF _Toc19360 </w:instrText>
      </w:r>
      <w:r>
        <w:rPr>
          <w:color w:val="auto"/>
          <w:sz w:val="24"/>
        </w:rPr>
        <w:fldChar w:fldCharType="separate"/>
      </w:r>
      <w:r>
        <w:rPr>
          <w:color w:val="auto"/>
          <w:sz w:val="24"/>
        </w:rPr>
        <w:t>21</w:t>
      </w:r>
      <w:r>
        <w:rPr>
          <w:color w:val="auto"/>
          <w:sz w:val="24"/>
        </w:rPr>
        <w:fldChar w:fldCharType="end"/>
      </w:r>
      <w:r>
        <w:rPr>
          <w:color w:val="auto"/>
          <w:sz w:val="24"/>
        </w:rPr>
        <w:fldChar w:fldCharType="end"/>
      </w:r>
    </w:p>
    <w:p>
      <w:pPr>
        <w:pStyle w:val="19"/>
        <w:tabs>
          <w:tab w:val="right" w:leader="dot" w:pos="8844"/>
        </w:tabs>
        <w:spacing w:line="360" w:lineRule="auto"/>
        <w:rPr>
          <w:color w:val="auto"/>
          <w:sz w:val="24"/>
        </w:rPr>
      </w:pPr>
      <w:r>
        <w:rPr>
          <w:color w:val="auto"/>
          <w:sz w:val="24"/>
        </w:rPr>
        <w:fldChar w:fldCharType="begin"/>
      </w:r>
      <w:r>
        <w:rPr>
          <w:color w:val="auto"/>
          <w:sz w:val="24"/>
        </w:rPr>
        <w:instrText xml:space="preserve"> HYPERLINK \l _Toc16613 </w:instrText>
      </w:r>
      <w:r>
        <w:rPr>
          <w:color w:val="auto"/>
          <w:sz w:val="24"/>
        </w:rPr>
        <w:fldChar w:fldCharType="separate"/>
      </w:r>
      <w:r>
        <w:rPr>
          <w:rFonts w:hint="eastAsia"/>
          <w:snapToGrid w:val="0"/>
          <w:color w:val="auto"/>
          <w:sz w:val="24"/>
        </w:rPr>
        <w:t>四、主要环境影响和保护措施</w:t>
      </w:r>
      <w:r>
        <w:rPr>
          <w:color w:val="auto"/>
          <w:sz w:val="24"/>
        </w:rPr>
        <w:tab/>
      </w:r>
      <w:r>
        <w:rPr>
          <w:color w:val="auto"/>
          <w:sz w:val="24"/>
        </w:rPr>
        <w:fldChar w:fldCharType="begin"/>
      </w:r>
      <w:r>
        <w:rPr>
          <w:color w:val="auto"/>
          <w:sz w:val="24"/>
        </w:rPr>
        <w:instrText xml:space="preserve"> PAGEREF _Toc16613 </w:instrText>
      </w:r>
      <w:r>
        <w:rPr>
          <w:color w:val="auto"/>
          <w:sz w:val="24"/>
        </w:rPr>
        <w:fldChar w:fldCharType="separate"/>
      </w:r>
      <w:r>
        <w:rPr>
          <w:color w:val="auto"/>
          <w:sz w:val="24"/>
        </w:rPr>
        <w:t>26</w:t>
      </w:r>
      <w:r>
        <w:rPr>
          <w:color w:val="auto"/>
          <w:sz w:val="24"/>
        </w:rPr>
        <w:fldChar w:fldCharType="end"/>
      </w:r>
      <w:r>
        <w:rPr>
          <w:color w:val="auto"/>
          <w:sz w:val="24"/>
        </w:rPr>
        <w:fldChar w:fldCharType="end"/>
      </w:r>
    </w:p>
    <w:p>
      <w:pPr>
        <w:pStyle w:val="19"/>
        <w:tabs>
          <w:tab w:val="right" w:leader="dot" w:pos="8844"/>
        </w:tabs>
        <w:spacing w:line="360" w:lineRule="auto"/>
        <w:rPr>
          <w:color w:val="auto"/>
          <w:sz w:val="24"/>
        </w:rPr>
      </w:pPr>
      <w:r>
        <w:rPr>
          <w:color w:val="auto"/>
          <w:sz w:val="24"/>
        </w:rPr>
        <w:fldChar w:fldCharType="begin"/>
      </w:r>
      <w:r>
        <w:rPr>
          <w:color w:val="auto"/>
          <w:sz w:val="24"/>
        </w:rPr>
        <w:instrText xml:space="preserve"> HYPERLINK \l _Toc8229 </w:instrText>
      </w:r>
      <w:r>
        <w:rPr>
          <w:color w:val="auto"/>
          <w:sz w:val="24"/>
        </w:rPr>
        <w:fldChar w:fldCharType="separate"/>
      </w:r>
      <w:r>
        <w:rPr>
          <w:rFonts w:hint="eastAsia"/>
          <w:snapToGrid w:val="0"/>
          <w:color w:val="auto"/>
          <w:sz w:val="24"/>
        </w:rPr>
        <w:t>五、环境保护措施监督检查清单</w:t>
      </w:r>
      <w:r>
        <w:rPr>
          <w:color w:val="auto"/>
          <w:sz w:val="24"/>
        </w:rPr>
        <w:tab/>
      </w:r>
      <w:r>
        <w:rPr>
          <w:color w:val="auto"/>
          <w:sz w:val="24"/>
        </w:rPr>
        <w:fldChar w:fldCharType="begin"/>
      </w:r>
      <w:r>
        <w:rPr>
          <w:color w:val="auto"/>
          <w:sz w:val="24"/>
        </w:rPr>
        <w:instrText xml:space="preserve"> PAGEREF _Toc8229 </w:instrText>
      </w:r>
      <w:r>
        <w:rPr>
          <w:color w:val="auto"/>
          <w:sz w:val="24"/>
        </w:rPr>
        <w:fldChar w:fldCharType="separate"/>
      </w:r>
      <w:r>
        <w:rPr>
          <w:color w:val="auto"/>
          <w:sz w:val="24"/>
        </w:rPr>
        <w:t>53</w:t>
      </w:r>
      <w:r>
        <w:rPr>
          <w:color w:val="auto"/>
          <w:sz w:val="24"/>
        </w:rPr>
        <w:fldChar w:fldCharType="end"/>
      </w:r>
      <w:r>
        <w:rPr>
          <w:color w:val="auto"/>
          <w:sz w:val="24"/>
        </w:rPr>
        <w:fldChar w:fldCharType="end"/>
      </w:r>
    </w:p>
    <w:p>
      <w:pPr>
        <w:pStyle w:val="19"/>
        <w:tabs>
          <w:tab w:val="right" w:leader="dot" w:pos="8844"/>
        </w:tabs>
        <w:spacing w:line="360" w:lineRule="auto"/>
        <w:rPr>
          <w:color w:val="auto"/>
          <w:sz w:val="24"/>
        </w:rPr>
      </w:pPr>
      <w:r>
        <w:rPr>
          <w:color w:val="auto"/>
          <w:sz w:val="24"/>
        </w:rPr>
        <w:fldChar w:fldCharType="begin"/>
      </w:r>
      <w:r>
        <w:rPr>
          <w:color w:val="auto"/>
          <w:sz w:val="24"/>
        </w:rPr>
        <w:instrText xml:space="preserve"> HYPERLINK \l _Toc29415 </w:instrText>
      </w:r>
      <w:r>
        <w:rPr>
          <w:color w:val="auto"/>
          <w:sz w:val="24"/>
        </w:rPr>
        <w:fldChar w:fldCharType="separate"/>
      </w:r>
      <w:r>
        <w:rPr>
          <w:rFonts w:hint="eastAsia"/>
          <w:snapToGrid w:val="0"/>
          <w:color w:val="auto"/>
          <w:sz w:val="24"/>
        </w:rPr>
        <w:t>六、结论</w:t>
      </w:r>
      <w:r>
        <w:rPr>
          <w:color w:val="auto"/>
          <w:sz w:val="24"/>
        </w:rPr>
        <w:tab/>
      </w:r>
      <w:r>
        <w:rPr>
          <w:color w:val="auto"/>
          <w:sz w:val="24"/>
        </w:rPr>
        <w:fldChar w:fldCharType="begin"/>
      </w:r>
      <w:r>
        <w:rPr>
          <w:color w:val="auto"/>
          <w:sz w:val="24"/>
        </w:rPr>
        <w:instrText xml:space="preserve"> PAGEREF _Toc29415 </w:instrText>
      </w:r>
      <w:r>
        <w:rPr>
          <w:color w:val="auto"/>
          <w:sz w:val="24"/>
        </w:rPr>
        <w:fldChar w:fldCharType="separate"/>
      </w:r>
      <w:r>
        <w:rPr>
          <w:color w:val="auto"/>
          <w:sz w:val="24"/>
        </w:rPr>
        <w:t>55</w:t>
      </w:r>
      <w:r>
        <w:rPr>
          <w:color w:val="auto"/>
          <w:sz w:val="24"/>
        </w:rPr>
        <w:fldChar w:fldCharType="end"/>
      </w:r>
      <w:r>
        <w:rPr>
          <w:color w:val="auto"/>
          <w:sz w:val="24"/>
        </w:rPr>
        <w:fldChar w:fldCharType="end"/>
      </w:r>
    </w:p>
    <w:p>
      <w:pPr>
        <w:pStyle w:val="19"/>
        <w:tabs>
          <w:tab w:val="right" w:leader="dot" w:pos="8844"/>
        </w:tabs>
        <w:spacing w:line="360" w:lineRule="auto"/>
        <w:rPr>
          <w:color w:val="auto"/>
          <w:sz w:val="24"/>
        </w:rPr>
      </w:pPr>
      <w:r>
        <w:rPr>
          <w:color w:val="auto"/>
          <w:sz w:val="24"/>
        </w:rPr>
        <w:fldChar w:fldCharType="begin"/>
      </w:r>
      <w:r>
        <w:rPr>
          <w:color w:val="auto"/>
          <w:sz w:val="24"/>
        </w:rPr>
        <w:instrText xml:space="preserve"> HYPERLINK \l _Toc24591 </w:instrText>
      </w:r>
      <w:r>
        <w:rPr>
          <w:color w:val="auto"/>
          <w:sz w:val="24"/>
        </w:rPr>
        <w:fldChar w:fldCharType="separate"/>
      </w:r>
      <w:r>
        <w:rPr>
          <w:rFonts w:hint="eastAsia"/>
          <w:snapToGrid w:val="0"/>
          <w:color w:val="auto"/>
          <w:sz w:val="24"/>
        </w:rPr>
        <w:t>附表</w:t>
      </w:r>
      <w:r>
        <w:rPr>
          <w:color w:val="auto"/>
          <w:sz w:val="24"/>
        </w:rPr>
        <w:tab/>
      </w:r>
      <w:r>
        <w:rPr>
          <w:color w:val="auto"/>
          <w:sz w:val="24"/>
        </w:rPr>
        <w:fldChar w:fldCharType="begin"/>
      </w:r>
      <w:r>
        <w:rPr>
          <w:color w:val="auto"/>
          <w:sz w:val="24"/>
        </w:rPr>
        <w:instrText xml:space="preserve"> PAGEREF _Toc24591 </w:instrText>
      </w:r>
      <w:r>
        <w:rPr>
          <w:color w:val="auto"/>
          <w:sz w:val="24"/>
        </w:rPr>
        <w:fldChar w:fldCharType="separate"/>
      </w:r>
      <w:r>
        <w:rPr>
          <w:color w:val="auto"/>
          <w:sz w:val="24"/>
        </w:rPr>
        <w:t>56</w:t>
      </w:r>
      <w:r>
        <w:rPr>
          <w:color w:val="auto"/>
          <w:sz w:val="24"/>
        </w:rPr>
        <w:fldChar w:fldCharType="end"/>
      </w:r>
      <w:r>
        <w:rPr>
          <w:color w:val="auto"/>
          <w:sz w:val="24"/>
        </w:rPr>
        <w:fldChar w:fldCharType="end"/>
      </w:r>
    </w:p>
    <w:p>
      <w:pPr>
        <w:pStyle w:val="19"/>
        <w:tabs>
          <w:tab w:val="right" w:leader="dot" w:pos="8844"/>
        </w:tabs>
        <w:spacing w:line="360" w:lineRule="auto"/>
        <w:rPr>
          <w:color w:val="auto"/>
          <w:sz w:val="24"/>
        </w:rPr>
      </w:pPr>
      <w:r>
        <w:rPr>
          <w:color w:val="auto"/>
          <w:sz w:val="24"/>
        </w:rPr>
        <w:fldChar w:fldCharType="begin"/>
      </w:r>
      <w:r>
        <w:rPr>
          <w:color w:val="auto"/>
          <w:sz w:val="24"/>
        </w:rPr>
        <w:instrText xml:space="preserve"> HYPERLINK \l _Toc895 </w:instrText>
      </w:r>
      <w:r>
        <w:rPr>
          <w:color w:val="auto"/>
          <w:sz w:val="24"/>
        </w:rPr>
        <w:fldChar w:fldCharType="separate"/>
      </w:r>
      <w:r>
        <w:rPr>
          <w:rFonts w:hint="eastAsia"/>
          <w:snapToGrid w:val="0"/>
          <w:color w:val="auto"/>
          <w:sz w:val="24"/>
        </w:rPr>
        <w:t>建设项目污染物排放量汇总表</w:t>
      </w:r>
      <w:r>
        <w:rPr>
          <w:color w:val="auto"/>
          <w:sz w:val="24"/>
        </w:rPr>
        <w:tab/>
      </w:r>
      <w:r>
        <w:rPr>
          <w:color w:val="auto"/>
          <w:sz w:val="24"/>
        </w:rPr>
        <w:fldChar w:fldCharType="begin"/>
      </w:r>
      <w:r>
        <w:rPr>
          <w:color w:val="auto"/>
          <w:sz w:val="24"/>
        </w:rPr>
        <w:instrText xml:space="preserve"> PAGEREF _Toc895 </w:instrText>
      </w:r>
      <w:r>
        <w:rPr>
          <w:color w:val="auto"/>
          <w:sz w:val="24"/>
        </w:rPr>
        <w:fldChar w:fldCharType="separate"/>
      </w:r>
      <w:r>
        <w:rPr>
          <w:color w:val="auto"/>
          <w:sz w:val="24"/>
        </w:rPr>
        <w:t>56</w:t>
      </w:r>
      <w:r>
        <w:rPr>
          <w:color w:val="auto"/>
          <w:sz w:val="24"/>
        </w:rPr>
        <w:fldChar w:fldCharType="end"/>
      </w:r>
      <w:r>
        <w:rPr>
          <w:color w:val="auto"/>
          <w:sz w:val="24"/>
        </w:rPr>
        <w:fldChar w:fldCharType="end"/>
      </w:r>
    </w:p>
    <w:p>
      <w:pPr>
        <w:keepNext/>
        <w:keepLines w:val="0"/>
        <w:pageBreakBefore w:val="0"/>
        <w:widowControl w:val="0"/>
        <w:kinsoku/>
        <w:wordWrap/>
        <w:overflowPunct w:val="0"/>
        <w:topLinePunct w:val="0"/>
        <w:autoSpaceDE/>
        <w:autoSpaceDN/>
        <w:bidi w:val="0"/>
        <w:adjustRightInd/>
        <w:snapToGrid w:val="0"/>
        <w:spacing w:before="0" w:after="0" w:line="360" w:lineRule="auto"/>
        <w:ind w:left="0" w:firstLine="0"/>
        <w:textAlignment w:val="auto"/>
        <w:outlineLvl w:val="9"/>
        <w:rPr>
          <w:color w:val="auto"/>
          <w:sz w:val="24"/>
        </w:rPr>
      </w:pPr>
      <w:r>
        <w:rPr>
          <w:color w:val="auto"/>
          <w:sz w:val="24"/>
        </w:rPr>
        <w:fldChar w:fldCharType="end"/>
      </w:r>
    </w:p>
    <w:p>
      <w:pPr>
        <w:keepNext/>
        <w:keepLines w:val="0"/>
        <w:pageBreakBefore w:val="0"/>
        <w:widowControl w:val="0"/>
        <w:kinsoku/>
        <w:wordWrap/>
        <w:overflowPunct w:val="0"/>
        <w:topLinePunct w:val="0"/>
        <w:autoSpaceDE/>
        <w:autoSpaceDN/>
        <w:bidi w:val="0"/>
        <w:adjustRightInd/>
        <w:snapToGrid w:val="0"/>
        <w:spacing w:before="0" w:after="0" w:line="300" w:lineRule="auto"/>
        <w:ind w:left="0" w:firstLine="0"/>
        <w:textAlignment w:val="auto"/>
        <w:outlineLvl w:val="9"/>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附图</w:t>
      </w:r>
    </w:p>
    <w:p>
      <w:pPr>
        <w:keepNext/>
        <w:keepLines w:val="0"/>
        <w:pageBreakBefore w:val="0"/>
        <w:widowControl w:val="0"/>
        <w:kinsoku/>
        <w:wordWrap/>
        <w:overflowPunct w:val="0"/>
        <w:topLinePunct w:val="0"/>
        <w:autoSpaceDE/>
        <w:autoSpaceDN/>
        <w:bidi w:val="0"/>
        <w:adjustRightInd/>
        <w:snapToGrid w:val="0"/>
        <w:spacing w:before="0" w:after="0" w:line="300" w:lineRule="auto"/>
        <w:ind w:left="0" w:firstLine="0"/>
        <w:textAlignment w:val="auto"/>
        <w:outlineLvl w:val="9"/>
        <w:rPr>
          <w:rFonts w:eastAsia="宋体"/>
          <w:b w:val="0"/>
          <w:bCs w:val="0"/>
          <w:color w:val="auto"/>
          <w:sz w:val="24"/>
          <w:szCs w:val="24"/>
        </w:rPr>
      </w:pPr>
      <w:r>
        <w:rPr>
          <w:rFonts w:eastAsia="宋体"/>
          <w:b w:val="0"/>
          <w:bCs w:val="0"/>
          <w:color w:val="auto"/>
          <w:sz w:val="24"/>
          <w:szCs w:val="24"/>
        </w:rPr>
        <w:t>附图1项目地理位置图</w:t>
      </w:r>
    </w:p>
    <w:p>
      <w:pPr>
        <w:keepNext/>
        <w:keepLines w:val="0"/>
        <w:pageBreakBefore w:val="0"/>
        <w:widowControl w:val="0"/>
        <w:kinsoku/>
        <w:wordWrap/>
        <w:overflowPunct w:val="0"/>
        <w:topLinePunct w:val="0"/>
        <w:autoSpaceDE/>
        <w:autoSpaceDN/>
        <w:bidi w:val="0"/>
        <w:adjustRightInd/>
        <w:snapToGrid w:val="0"/>
        <w:spacing w:before="0" w:after="0" w:line="300" w:lineRule="auto"/>
        <w:ind w:left="0" w:firstLine="0"/>
        <w:textAlignment w:val="auto"/>
        <w:outlineLvl w:val="9"/>
        <w:rPr>
          <w:rFonts w:eastAsia="宋体"/>
          <w:b w:val="0"/>
          <w:bCs w:val="0"/>
          <w:color w:val="auto"/>
          <w:sz w:val="24"/>
          <w:szCs w:val="24"/>
        </w:rPr>
      </w:pPr>
      <w:r>
        <w:rPr>
          <w:rFonts w:eastAsia="宋体"/>
          <w:b w:val="0"/>
          <w:bCs w:val="0"/>
          <w:color w:val="auto"/>
          <w:sz w:val="24"/>
          <w:szCs w:val="24"/>
        </w:rPr>
        <w:t>附图2</w:t>
      </w:r>
      <w:r>
        <w:rPr>
          <w:rFonts w:hint="eastAsia" w:eastAsia="宋体"/>
          <w:b w:val="0"/>
          <w:bCs w:val="0"/>
          <w:color w:val="auto"/>
          <w:sz w:val="24"/>
          <w:szCs w:val="24"/>
        </w:rPr>
        <w:t>项目周边大气和水环境敏感目标分布图、环境质量监测点位图</w:t>
      </w:r>
    </w:p>
    <w:p>
      <w:pPr>
        <w:keepNext/>
        <w:keepLines w:val="0"/>
        <w:pageBreakBefore w:val="0"/>
        <w:widowControl w:val="0"/>
        <w:kinsoku/>
        <w:wordWrap/>
        <w:overflowPunct w:val="0"/>
        <w:topLinePunct w:val="0"/>
        <w:autoSpaceDE/>
        <w:autoSpaceDN/>
        <w:bidi w:val="0"/>
        <w:adjustRightInd/>
        <w:snapToGrid w:val="0"/>
        <w:spacing w:before="0" w:after="0" w:line="300" w:lineRule="auto"/>
        <w:ind w:left="0" w:firstLine="0"/>
        <w:textAlignment w:val="auto"/>
        <w:outlineLvl w:val="9"/>
        <w:rPr>
          <w:rFonts w:hint="eastAsia" w:eastAsia="宋体"/>
          <w:b w:val="0"/>
          <w:bCs w:val="0"/>
          <w:color w:val="auto"/>
          <w:sz w:val="24"/>
          <w:szCs w:val="24"/>
        </w:rPr>
      </w:pPr>
      <w:r>
        <w:rPr>
          <w:rFonts w:eastAsia="宋体"/>
          <w:b w:val="0"/>
          <w:bCs w:val="0"/>
          <w:color w:val="auto"/>
          <w:sz w:val="24"/>
          <w:szCs w:val="24"/>
        </w:rPr>
        <w:t>附图3</w:t>
      </w:r>
      <w:r>
        <w:rPr>
          <w:rFonts w:hint="eastAsia" w:eastAsia="宋体"/>
          <w:b w:val="0"/>
          <w:bCs w:val="0"/>
          <w:color w:val="auto"/>
          <w:sz w:val="24"/>
          <w:szCs w:val="24"/>
        </w:rPr>
        <w:t>湖南鲁丽木业绿色新材料科技产业园平面布置示意图</w:t>
      </w:r>
    </w:p>
    <w:p>
      <w:pPr>
        <w:keepNext/>
        <w:keepLines w:val="0"/>
        <w:pageBreakBefore w:val="0"/>
        <w:widowControl w:val="0"/>
        <w:kinsoku/>
        <w:wordWrap/>
        <w:overflowPunct w:val="0"/>
        <w:topLinePunct w:val="0"/>
        <w:autoSpaceDE/>
        <w:autoSpaceDN/>
        <w:bidi w:val="0"/>
        <w:adjustRightInd/>
        <w:snapToGrid w:val="0"/>
        <w:spacing w:before="0" w:after="0" w:line="300" w:lineRule="auto"/>
        <w:ind w:left="0" w:firstLine="0"/>
        <w:textAlignment w:val="auto"/>
        <w:outlineLvl w:val="9"/>
        <w:rPr>
          <w:rFonts w:ascii="Times New Roman" w:hAnsi="Times New Roman" w:eastAsia="宋体" w:cs="Times New Roman"/>
          <w:b w:val="0"/>
          <w:bCs w:val="0"/>
          <w:color w:val="auto"/>
          <w:sz w:val="24"/>
          <w:szCs w:val="24"/>
        </w:rPr>
      </w:pPr>
      <w:r>
        <w:rPr>
          <w:rFonts w:hint="eastAsia" w:ascii="Times New Roman" w:hAnsi="Times New Roman" w:eastAsia="宋体" w:cs="Times New Roman"/>
          <w:b w:val="0"/>
          <w:bCs w:val="0"/>
          <w:color w:val="auto"/>
          <w:sz w:val="24"/>
          <w:szCs w:val="24"/>
        </w:rPr>
        <w:t>附图4本项目平面布置示意图</w:t>
      </w:r>
    </w:p>
    <w:p>
      <w:pPr>
        <w:keepNext/>
        <w:keepLines w:val="0"/>
        <w:pageBreakBefore w:val="0"/>
        <w:widowControl w:val="0"/>
        <w:kinsoku/>
        <w:wordWrap/>
        <w:overflowPunct w:val="0"/>
        <w:topLinePunct w:val="0"/>
        <w:autoSpaceDE/>
        <w:autoSpaceDN/>
        <w:bidi w:val="0"/>
        <w:adjustRightInd/>
        <w:snapToGrid w:val="0"/>
        <w:spacing w:before="0" w:after="0" w:line="300" w:lineRule="auto"/>
        <w:ind w:left="0" w:firstLine="0"/>
        <w:textAlignment w:val="auto"/>
        <w:outlineLvl w:val="9"/>
        <w:rPr>
          <w:rFonts w:eastAsia="宋体"/>
          <w:b w:val="0"/>
          <w:bCs w:val="0"/>
          <w:color w:val="auto"/>
          <w:sz w:val="24"/>
          <w:szCs w:val="24"/>
        </w:rPr>
      </w:pPr>
      <w:r>
        <w:rPr>
          <w:rFonts w:eastAsia="宋体"/>
          <w:b w:val="0"/>
          <w:bCs w:val="0"/>
          <w:color w:val="auto"/>
          <w:sz w:val="24"/>
          <w:szCs w:val="24"/>
        </w:rPr>
        <w:t>附图</w:t>
      </w:r>
      <w:r>
        <w:rPr>
          <w:rFonts w:hint="eastAsia" w:eastAsia="宋体"/>
          <w:b w:val="0"/>
          <w:bCs w:val="0"/>
          <w:color w:val="auto"/>
          <w:sz w:val="24"/>
          <w:szCs w:val="24"/>
        </w:rPr>
        <w:t>5新田县县城近期建设规划图</w:t>
      </w:r>
    </w:p>
    <w:p>
      <w:pPr>
        <w:keepNext/>
        <w:keepLines w:val="0"/>
        <w:pageBreakBefore w:val="0"/>
        <w:widowControl w:val="0"/>
        <w:kinsoku/>
        <w:wordWrap/>
        <w:overflowPunct w:val="0"/>
        <w:topLinePunct w:val="0"/>
        <w:autoSpaceDE/>
        <w:autoSpaceDN/>
        <w:bidi w:val="0"/>
        <w:adjustRightInd/>
        <w:snapToGrid w:val="0"/>
        <w:spacing w:before="0" w:after="0" w:line="300" w:lineRule="auto"/>
        <w:ind w:left="0" w:firstLine="0"/>
        <w:textAlignment w:val="auto"/>
        <w:outlineLvl w:val="9"/>
        <w:rPr>
          <w:rFonts w:hint="eastAsia" w:eastAsia="宋体"/>
          <w:b w:val="0"/>
          <w:bCs w:val="0"/>
          <w:color w:val="auto"/>
          <w:sz w:val="24"/>
          <w:szCs w:val="24"/>
        </w:rPr>
      </w:pPr>
      <w:r>
        <w:rPr>
          <w:rFonts w:eastAsia="宋体"/>
          <w:b w:val="0"/>
          <w:bCs w:val="0"/>
          <w:color w:val="auto"/>
          <w:sz w:val="24"/>
          <w:szCs w:val="24"/>
        </w:rPr>
        <w:t>附图</w:t>
      </w:r>
      <w:r>
        <w:rPr>
          <w:rFonts w:hint="eastAsia" w:eastAsia="宋体"/>
          <w:b w:val="0"/>
          <w:bCs w:val="0"/>
          <w:color w:val="auto"/>
          <w:sz w:val="24"/>
          <w:szCs w:val="24"/>
        </w:rPr>
        <w:t>6新田县环境保护规划图</w:t>
      </w:r>
    </w:p>
    <w:p>
      <w:pPr>
        <w:keepNext/>
        <w:keepLines w:val="0"/>
        <w:pageBreakBefore w:val="0"/>
        <w:widowControl w:val="0"/>
        <w:kinsoku/>
        <w:wordWrap/>
        <w:overflowPunct w:val="0"/>
        <w:topLinePunct w:val="0"/>
        <w:autoSpaceDE/>
        <w:autoSpaceDN/>
        <w:bidi w:val="0"/>
        <w:adjustRightInd/>
        <w:snapToGrid w:val="0"/>
        <w:spacing w:before="0" w:after="0" w:line="300" w:lineRule="auto"/>
        <w:ind w:left="0" w:firstLine="0"/>
        <w:textAlignment w:val="auto"/>
        <w:outlineLvl w:val="9"/>
        <w:rPr>
          <w:rFonts w:eastAsia="宋体"/>
          <w:b w:val="0"/>
          <w:bCs w:val="0"/>
          <w:color w:val="auto"/>
          <w:sz w:val="24"/>
          <w:szCs w:val="24"/>
        </w:rPr>
      </w:pPr>
      <w:r>
        <w:rPr>
          <w:rFonts w:hint="eastAsia"/>
          <w:b w:val="0"/>
          <w:bCs w:val="0"/>
          <w:color w:val="auto"/>
          <w:sz w:val="24"/>
          <w:szCs w:val="24"/>
          <w:lang w:val="en-US" w:eastAsia="zh-CN"/>
        </w:rPr>
        <w:t>附图7项目与湖南省“三线一单”生态环境管控单元位置关系图</w:t>
      </w:r>
    </w:p>
    <w:p>
      <w:pPr>
        <w:keepNext/>
        <w:keepLines w:val="0"/>
        <w:pageBreakBefore w:val="0"/>
        <w:widowControl w:val="0"/>
        <w:kinsoku/>
        <w:wordWrap/>
        <w:overflowPunct w:val="0"/>
        <w:topLinePunct w:val="0"/>
        <w:autoSpaceDE/>
        <w:autoSpaceDN/>
        <w:bidi w:val="0"/>
        <w:adjustRightInd/>
        <w:snapToGrid w:val="0"/>
        <w:spacing w:before="0" w:after="0" w:line="300" w:lineRule="auto"/>
        <w:ind w:left="0" w:firstLine="0"/>
        <w:textAlignment w:val="auto"/>
        <w:outlineLvl w:val="9"/>
        <w:rPr>
          <w:rFonts w:hint="eastAsia" w:eastAsia="宋体"/>
          <w:b w:val="0"/>
          <w:bCs w:val="0"/>
          <w:color w:val="auto"/>
          <w:sz w:val="24"/>
          <w:szCs w:val="24"/>
        </w:rPr>
      </w:pPr>
      <w:r>
        <w:rPr>
          <w:rFonts w:eastAsia="宋体"/>
          <w:b w:val="0"/>
          <w:bCs w:val="0"/>
          <w:color w:val="auto"/>
          <w:sz w:val="24"/>
          <w:szCs w:val="24"/>
        </w:rPr>
        <w:t>附图</w:t>
      </w:r>
      <w:r>
        <w:rPr>
          <w:rFonts w:hint="eastAsia"/>
          <w:b w:val="0"/>
          <w:bCs w:val="0"/>
          <w:color w:val="auto"/>
          <w:sz w:val="24"/>
          <w:szCs w:val="24"/>
          <w:lang w:val="en-US" w:eastAsia="zh-CN"/>
        </w:rPr>
        <w:t>8项目与永州市“三线一单”生态环境管控单元位置关系图</w:t>
      </w:r>
    </w:p>
    <w:p>
      <w:pPr>
        <w:keepNext/>
        <w:keepLines w:val="0"/>
        <w:pageBreakBefore w:val="0"/>
        <w:widowControl w:val="0"/>
        <w:kinsoku/>
        <w:wordWrap/>
        <w:overflowPunct w:val="0"/>
        <w:topLinePunct w:val="0"/>
        <w:autoSpaceDE/>
        <w:autoSpaceDN/>
        <w:bidi w:val="0"/>
        <w:adjustRightInd/>
        <w:snapToGrid w:val="0"/>
        <w:spacing w:before="0" w:after="0" w:line="300" w:lineRule="auto"/>
        <w:ind w:left="0" w:firstLine="0"/>
        <w:textAlignment w:val="auto"/>
        <w:outlineLvl w:val="9"/>
        <w:rPr>
          <w:rFonts w:hint="eastAsia"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附图</w:t>
      </w:r>
      <w:r>
        <w:rPr>
          <w:rFonts w:hint="eastAsia" w:ascii="Times New Roman" w:hAnsi="Times New Roman" w:eastAsia="宋体" w:cs="Times New Roman"/>
          <w:b w:val="0"/>
          <w:bCs w:val="0"/>
          <w:color w:val="auto"/>
          <w:sz w:val="24"/>
          <w:szCs w:val="24"/>
          <w:lang w:val="en-US" w:eastAsia="zh-CN"/>
        </w:rPr>
        <w:t>9项目与新田县生态保护红线的位置关系图</w:t>
      </w:r>
    </w:p>
    <w:p>
      <w:pPr>
        <w:keepNext/>
        <w:keepLines w:val="0"/>
        <w:pageBreakBefore w:val="0"/>
        <w:widowControl w:val="0"/>
        <w:kinsoku/>
        <w:wordWrap/>
        <w:overflowPunct w:val="0"/>
        <w:topLinePunct w:val="0"/>
        <w:autoSpaceDE/>
        <w:autoSpaceDN/>
        <w:bidi w:val="0"/>
        <w:adjustRightInd/>
        <w:snapToGrid w:val="0"/>
        <w:spacing w:before="0" w:after="0" w:line="300" w:lineRule="auto"/>
        <w:ind w:left="0" w:firstLine="0"/>
        <w:textAlignment w:val="auto"/>
        <w:outlineLvl w:val="9"/>
        <w:rPr>
          <w:rFonts w:hint="eastAsia"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附图10项目所在区域水系图</w:t>
      </w:r>
    </w:p>
    <w:p>
      <w:pPr>
        <w:keepNext/>
        <w:keepLines w:val="0"/>
        <w:pageBreakBefore w:val="0"/>
        <w:widowControl w:val="0"/>
        <w:kinsoku/>
        <w:wordWrap/>
        <w:overflowPunct w:val="0"/>
        <w:topLinePunct w:val="0"/>
        <w:autoSpaceDE/>
        <w:autoSpaceDN/>
        <w:bidi w:val="0"/>
        <w:adjustRightInd/>
        <w:snapToGrid w:val="0"/>
        <w:spacing w:before="0" w:after="0" w:line="300" w:lineRule="auto"/>
        <w:ind w:left="0" w:firstLine="0"/>
        <w:textAlignment w:val="auto"/>
        <w:outlineLvl w:val="9"/>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附图11新田工业集中区污水管网图</w:t>
      </w:r>
    </w:p>
    <w:p>
      <w:pPr>
        <w:keepNext/>
        <w:keepLines w:val="0"/>
        <w:pageBreakBefore w:val="0"/>
        <w:widowControl w:val="0"/>
        <w:kinsoku/>
        <w:wordWrap/>
        <w:overflowPunct w:val="0"/>
        <w:topLinePunct w:val="0"/>
        <w:autoSpaceDE/>
        <w:autoSpaceDN/>
        <w:bidi w:val="0"/>
        <w:adjustRightInd/>
        <w:snapToGrid w:val="0"/>
        <w:spacing w:before="0" w:after="0" w:line="300" w:lineRule="auto"/>
        <w:ind w:left="0" w:firstLine="0"/>
        <w:textAlignment w:val="auto"/>
        <w:outlineLvl w:val="9"/>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附图</w:t>
      </w:r>
      <w:r>
        <w:rPr>
          <w:rFonts w:hint="default" w:ascii="Times New Roman" w:hAnsi="Times New Roman" w:eastAsia="宋体" w:cs="Times New Roman"/>
          <w:b w:val="0"/>
          <w:bCs w:val="0"/>
          <w:color w:val="auto"/>
          <w:sz w:val="24"/>
          <w:szCs w:val="24"/>
          <w:lang w:val="en-US" w:eastAsia="zh-CN"/>
        </w:rPr>
        <w:t>12</w:t>
      </w:r>
      <w:r>
        <w:rPr>
          <w:rFonts w:hint="eastAsia" w:ascii="Times New Roman" w:hAnsi="Times New Roman" w:eastAsia="宋体" w:cs="Times New Roman"/>
          <w:b w:val="0"/>
          <w:bCs w:val="0"/>
          <w:color w:val="auto"/>
          <w:sz w:val="24"/>
          <w:szCs w:val="24"/>
          <w:lang w:val="en-US" w:eastAsia="zh-CN"/>
        </w:rPr>
        <w:t>项目拟建地及周边现状照片</w:t>
      </w:r>
    </w:p>
    <w:p>
      <w:pPr>
        <w:keepNext/>
        <w:keepLines w:val="0"/>
        <w:pageBreakBefore w:val="0"/>
        <w:widowControl w:val="0"/>
        <w:kinsoku/>
        <w:wordWrap/>
        <w:overflowPunct w:val="0"/>
        <w:topLinePunct w:val="0"/>
        <w:autoSpaceDE/>
        <w:autoSpaceDN/>
        <w:bidi w:val="0"/>
        <w:adjustRightInd/>
        <w:snapToGrid w:val="0"/>
        <w:spacing w:before="0" w:after="0" w:line="300" w:lineRule="auto"/>
        <w:ind w:left="0" w:firstLine="0"/>
        <w:textAlignment w:val="auto"/>
        <w:outlineLvl w:val="9"/>
        <w:rPr>
          <w:rFonts w:eastAsia="宋体"/>
          <w:b/>
          <w:bCs/>
          <w:color w:val="auto"/>
          <w:sz w:val="24"/>
          <w:szCs w:val="24"/>
        </w:rPr>
      </w:pPr>
      <w:r>
        <w:rPr>
          <w:rFonts w:eastAsia="宋体"/>
          <w:b/>
          <w:bCs/>
          <w:color w:val="auto"/>
          <w:sz w:val="24"/>
          <w:szCs w:val="24"/>
        </w:rPr>
        <w:t>附件</w:t>
      </w:r>
    </w:p>
    <w:p>
      <w:pPr>
        <w:keepNext/>
        <w:keepLines w:val="0"/>
        <w:pageBreakBefore w:val="0"/>
        <w:widowControl w:val="0"/>
        <w:kinsoku/>
        <w:wordWrap/>
        <w:overflowPunct w:val="0"/>
        <w:topLinePunct w:val="0"/>
        <w:autoSpaceDE/>
        <w:autoSpaceDN/>
        <w:bidi w:val="0"/>
        <w:adjustRightInd/>
        <w:snapToGrid w:val="0"/>
        <w:spacing w:before="0" w:after="0" w:line="300" w:lineRule="auto"/>
        <w:ind w:left="0" w:firstLine="0"/>
        <w:textAlignment w:val="auto"/>
        <w:outlineLvl w:val="9"/>
        <w:rPr>
          <w:rFonts w:eastAsia="宋体"/>
          <w:b w:val="0"/>
          <w:bCs w:val="0"/>
          <w:color w:val="auto"/>
          <w:sz w:val="24"/>
          <w:szCs w:val="24"/>
          <w:highlight w:val="none"/>
        </w:rPr>
      </w:pPr>
      <w:r>
        <w:rPr>
          <w:rFonts w:eastAsia="宋体"/>
          <w:b w:val="0"/>
          <w:bCs w:val="0"/>
          <w:color w:val="auto"/>
          <w:sz w:val="24"/>
          <w:szCs w:val="24"/>
          <w:highlight w:val="none"/>
        </w:rPr>
        <w:t>附件1环评委托书</w:t>
      </w:r>
    </w:p>
    <w:p>
      <w:pPr>
        <w:keepNext/>
        <w:keepLines w:val="0"/>
        <w:pageBreakBefore w:val="0"/>
        <w:widowControl w:val="0"/>
        <w:kinsoku/>
        <w:wordWrap/>
        <w:overflowPunct w:val="0"/>
        <w:topLinePunct w:val="0"/>
        <w:autoSpaceDE/>
        <w:autoSpaceDN/>
        <w:bidi w:val="0"/>
        <w:adjustRightInd/>
        <w:snapToGrid w:val="0"/>
        <w:spacing w:before="0" w:after="0" w:line="300" w:lineRule="auto"/>
        <w:ind w:left="0" w:firstLine="0"/>
        <w:textAlignment w:val="auto"/>
        <w:outlineLvl w:val="9"/>
        <w:rPr>
          <w:rFonts w:eastAsia="宋体"/>
          <w:b w:val="0"/>
          <w:bCs w:val="0"/>
          <w:color w:val="auto"/>
          <w:sz w:val="24"/>
          <w:szCs w:val="24"/>
        </w:rPr>
      </w:pPr>
      <w:r>
        <w:rPr>
          <w:rFonts w:eastAsia="宋体"/>
          <w:b w:val="0"/>
          <w:bCs w:val="0"/>
          <w:color w:val="auto"/>
          <w:sz w:val="24"/>
          <w:szCs w:val="24"/>
        </w:rPr>
        <w:t>附件2企业营业执照</w:t>
      </w:r>
    </w:p>
    <w:p>
      <w:pPr>
        <w:keepNext/>
        <w:keepLines w:val="0"/>
        <w:pageBreakBefore w:val="0"/>
        <w:widowControl w:val="0"/>
        <w:kinsoku/>
        <w:wordWrap/>
        <w:overflowPunct w:val="0"/>
        <w:topLinePunct w:val="0"/>
        <w:autoSpaceDE/>
        <w:autoSpaceDN/>
        <w:bidi w:val="0"/>
        <w:adjustRightInd/>
        <w:snapToGrid w:val="0"/>
        <w:spacing w:before="0" w:after="0" w:line="300" w:lineRule="auto"/>
        <w:ind w:left="0" w:firstLine="0"/>
        <w:textAlignment w:val="auto"/>
        <w:outlineLvl w:val="9"/>
        <w:rPr>
          <w:rFonts w:eastAsia="宋体"/>
          <w:b w:val="0"/>
          <w:bCs w:val="0"/>
          <w:color w:val="auto"/>
          <w:sz w:val="24"/>
          <w:szCs w:val="24"/>
          <w:highlight w:val="none"/>
        </w:rPr>
      </w:pPr>
      <w:r>
        <w:rPr>
          <w:rFonts w:eastAsia="宋体"/>
          <w:b w:val="0"/>
          <w:bCs w:val="0"/>
          <w:color w:val="auto"/>
          <w:sz w:val="24"/>
          <w:szCs w:val="24"/>
        </w:rPr>
        <w:t>附件3</w:t>
      </w:r>
      <w:r>
        <w:rPr>
          <w:rFonts w:hint="eastAsia" w:eastAsia="宋体"/>
          <w:b w:val="0"/>
          <w:bCs w:val="0"/>
          <w:color w:val="auto"/>
          <w:sz w:val="24"/>
          <w:szCs w:val="24"/>
          <w:highlight w:val="none"/>
        </w:rPr>
        <w:t>发改备案文件</w:t>
      </w:r>
    </w:p>
    <w:p>
      <w:pPr>
        <w:keepNext/>
        <w:keepLines w:val="0"/>
        <w:pageBreakBefore w:val="0"/>
        <w:widowControl w:val="0"/>
        <w:kinsoku/>
        <w:wordWrap/>
        <w:overflowPunct w:val="0"/>
        <w:topLinePunct w:val="0"/>
        <w:autoSpaceDE/>
        <w:autoSpaceDN/>
        <w:bidi w:val="0"/>
        <w:adjustRightInd/>
        <w:snapToGrid w:val="0"/>
        <w:spacing w:before="0" w:after="0" w:line="300" w:lineRule="auto"/>
        <w:ind w:left="0" w:firstLine="0"/>
        <w:textAlignment w:val="auto"/>
        <w:outlineLvl w:val="9"/>
        <w:rPr>
          <w:rFonts w:hint="eastAsia"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附件4湖南省自然资源厅关于开发区发展方向区文件</w:t>
      </w:r>
    </w:p>
    <w:p>
      <w:pPr>
        <w:keepNext/>
        <w:keepLines w:val="0"/>
        <w:pageBreakBefore w:val="0"/>
        <w:widowControl w:val="0"/>
        <w:kinsoku/>
        <w:wordWrap/>
        <w:overflowPunct w:val="0"/>
        <w:topLinePunct w:val="0"/>
        <w:autoSpaceDE/>
        <w:autoSpaceDN/>
        <w:bidi w:val="0"/>
        <w:adjustRightInd/>
        <w:snapToGrid w:val="0"/>
        <w:spacing w:before="0" w:after="0" w:line="300" w:lineRule="auto"/>
        <w:ind w:left="0" w:firstLine="0"/>
        <w:textAlignment w:val="auto"/>
        <w:outlineLvl w:val="9"/>
        <w:rPr>
          <w:rFonts w:hint="eastAsia"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附件5园区规划环境影响跟踪评价审查意见</w:t>
      </w:r>
    </w:p>
    <w:p>
      <w:pPr>
        <w:keepNext/>
        <w:keepLines w:val="0"/>
        <w:pageBreakBefore w:val="0"/>
        <w:widowControl w:val="0"/>
        <w:kinsoku/>
        <w:wordWrap/>
        <w:overflowPunct w:val="0"/>
        <w:topLinePunct w:val="0"/>
        <w:autoSpaceDE/>
        <w:autoSpaceDN/>
        <w:bidi w:val="0"/>
        <w:adjustRightInd/>
        <w:snapToGrid w:val="0"/>
        <w:spacing w:before="0" w:after="0" w:line="300" w:lineRule="auto"/>
        <w:ind w:left="0" w:firstLine="0"/>
        <w:textAlignment w:val="auto"/>
        <w:outlineLvl w:val="9"/>
        <w:rPr>
          <w:rFonts w:hint="eastAsia"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附件6园区管委会关于本项目符合产业规划的意见</w:t>
      </w:r>
    </w:p>
    <w:p>
      <w:pPr>
        <w:keepNext/>
        <w:keepLines w:val="0"/>
        <w:pageBreakBefore w:val="0"/>
        <w:widowControl w:val="0"/>
        <w:kinsoku/>
        <w:wordWrap/>
        <w:overflowPunct w:val="0"/>
        <w:topLinePunct w:val="0"/>
        <w:autoSpaceDE/>
        <w:autoSpaceDN/>
        <w:bidi w:val="0"/>
        <w:adjustRightInd/>
        <w:snapToGrid w:val="0"/>
        <w:spacing w:before="0" w:after="0" w:line="300" w:lineRule="auto"/>
        <w:ind w:left="0" w:firstLine="0"/>
        <w:textAlignment w:val="auto"/>
        <w:outlineLvl w:val="9"/>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附件</w:t>
      </w:r>
      <w:r>
        <w:rPr>
          <w:rFonts w:hint="eastAsia" w:cs="Times New Roman"/>
          <w:b w:val="0"/>
          <w:bCs w:val="0"/>
          <w:color w:val="auto"/>
          <w:sz w:val="24"/>
          <w:szCs w:val="24"/>
          <w:lang w:val="en-US" w:eastAsia="zh-CN"/>
        </w:rPr>
        <w:t>7现有刨花板环评批复</w:t>
      </w:r>
    </w:p>
    <w:p>
      <w:pPr>
        <w:keepNext/>
        <w:keepLines w:val="0"/>
        <w:pageBreakBefore w:val="0"/>
        <w:widowControl w:val="0"/>
        <w:kinsoku/>
        <w:wordWrap/>
        <w:overflowPunct w:val="0"/>
        <w:topLinePunct w:val="0"/>
        <w:autoSpaceDE/>
        <w:autoSpaceDN/>
        <w:bidi w:val="0"/>
        <w:adjustRightInd/>
        <w:snapToGrid w:val="0"/>
        <w:spacing w:before="0" w:after="0" w:line="300" w:lineRule="auto"/>
        <w:ind w:left="0" w:firstLine="0"/>
        <w:textAlignment w:val="auto"/>
        <w:outlineLvl w:val="9"/>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附件</w:t>
      </w:r>
      <w:r>
        <w:rPr>
          <w:rFonts w:hint="eastAsia" w:cs="Times New Roman"/>
          <w:b w:val="0"/>
          <w:bCs w:val="0"/>
          <w:color w:val="auto"/>
          <w:sz w:val="24"/>
          <w:szCs w:val="24"/>
          <w:lang w:val="en-US" w:eastAsia="zh-CN"/>
        </w:rPr>
        <w:t>8</w:t>
      </w:r>
      <w:r>
        <w:rPr>
          <w:rFonts w:hint="eastAsia" w:ascii="Times New Roman" w:hAnsi="Times New Roman" w:eastAsia="宋体" w:cs="Times New Roman"/>
          <w:b w:val="0"/>
          <w:bCs w:val="0"/>
          <w:color w:val="auto"/>
          <w:sz w:val="24"/>
          <w:szCs w:val="24"/>
          <w:lang w:val="en-US" w:eastAsia="zh-CN"/>
        </w:rPr>
        <w:t>湖南鲁丽木业绿色新材料科技产业园木材加工项目批复</w:t>
      </w:r>
    </w:p>
    <w:p>
      <w:pPr>
        <w:pStyle w:val="44"/>
        <w:rPr>
          <w:rFonts w:hint="default"/>
          <w:color w:val="auto"/>
          <w:lang w:val="en-US" w:eastAsia="zh-CN"/>
        </w:rPr>
        <w:sectPr>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25"/>
        <w:spacing w:before="0" w:beforeAutospacing="0" w:after="0" w:afterAutospacing="0"/>
        <w:jc w:val="center"/>
        <w:outlineLvl w:val="0"/>
        <w:rPr>
          <w:rFonts w:hint="eastAsia" w:ascii="Times New Roman" w:hAnsi="Times New Roman" w:eastAsia="黑体"/>
          <w:snapToGrid w:val="0"/>
          <w:color w:val="auto"/>
          <w:sz w:val="30"/>
          <w:szCs w:val="30"/>
        </w:rPr>
      </w:pPr>
      <w:bookmarkStart w:id="2" w:name="_Toc536"/>
      <w:r>
        <w:rPr>
          <w:rFonts w:hint="eastAsia" w:ascii="Times New Roman" w:hAnsi="Times New Roman" w:eastAsia="黑体"/>
          <w:snapToGrid w:val="0"/>
          <w:color w:val="auto"/>
          <w:sz w:val="30"/>
          <w:szCs w:val="30"/>
        </w:rPr>
        <w:t>一、建设项目基本情况</w:t>
      </w:r>
      <w:bookmarkEnd w:id="2"/>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968"/>
        <w:gridCol w:w="2142"/>
        <w:gridCol w:w="2099"/>
        <w:gridCol w:w="28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68"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cs="宋体"/>
                <w:color w:val="auto"/>
                <w:sz w:val="24"/>
              </w:rPr>
            </w:pPr>
            <w:r>
              <w:rPr>
                <w:rFonts w:hint="eastAsia" w:cs="宋体"/>
                <w:color w:val="auto"/>
                <w:sz w:val="24"/>
              </w:rPr>
              <w:t>建设项目名称</w:t>
            </w:r>
          </w:p>
        </w:tc>
        <w:tc>
          <w:tcPr>
            <w:tcW w:w="7103" w:type="dxa"/>
            <w:gridSpan w:val="3"/>
            <w:noWrap w:val="0"/>
            <w:vAlign w:val="center"/>
          </w:tcPr>
          <w:p>
            <w:pPr>
              <w:keepNext w:val="0"/>
              <w:keepLines w:val="0"/>
              <w:suppressLineNumbers w:val="0"/>
              <w:adjustRightInd w:val="0"/>
              <w:snapToGrid w:val="0"/>
              <w:spacing w:before="0" w:beforeAutospacing="0" w:after="0" w:afterAutospacing="0"/>
              <w:ind w:left="0" w:right="0"/>
              <w:jc w:val="center"/>
              <w:rPr>
                <w:rFonts w:hint="eastAsia" w:cs="宋体"/>
                <w:color w:val="auto"/>
                <w:sz w:val="24"/>
              </w:rPr>
            </w:pPr>
            <w:r>
              <w:rPr>
                <w:rFonts w:hint="eastAsia" w:cs="宋体"/>
                <w:color w:val="auto"/>
                <w:sz w:val="24"/>
              </w:rPr>
              <w:t>湖南鲁丽木业有限公司综合污水处理项目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68"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cs="宋体"/>
                <w:color w:val="auto"/>
                <w:sz w:val="24"/>
              </w:rPr>
            </w:pPr>
            <w:r>
              <w:rPr>
                <w:rFonts w:hint="eastAsia" w:cs="宋体"/>
                <w:color w:val="auto"/>
                <w:sz w:val="24"/>
              </w:rPr>
              <w:t>项目代码</w:t>
            </w:r>
          </w:p>
        </w:tc>
        <w:tc>
          <w:tcPr>
            <w:tcW w:w="7103" w:type="dxa"/>
            <w:gridSpan w:val="3"/>
            <w:noWrap w:val="0"/>
            <w:vAlign w:val="center"/>
          </w:tcPr>
          <w:p>
            <w:pPr>
              <w:keepNext w:val="0"/>
              <w:keepLines w:val="0"/>
              <w:suppressLineNumbers w:val="0"/>
              <w:adjustRightInd w:val="0"/>
              <w:snapToGrid w:val="0"/>
              <w:spacing w:before="0" w:beforeAutospacing="0" w:after="0" w:afterAutospacing="0"/>
              <w:ind w:left="0" w:right="0"/>
              <w:jc w:val="center"/>
              <w:rPr>
                <w:rFonts w:hint="default" w:eastAsia="宋体" w:cs="宋体"/>
                <w:color w:val="auto"/>
                <w:sz w:val="24"/>
                <w:lang w:val="en-US" w:eastAsia="zh-CN"/>
              </w:rPr>
            </w:pPr>
            <w:r>
              <w:rPr>
                <w:rFonts w:hint="eastAsia" w:cs="宋体"/>
                <w:color w:val="auto"/>
                <w:sz w:val="24"/>
                <w:lang w:val="en-US" w:eastAsia="zh-CN"/>
              </w:rPr>
              <w:t>2307—431128—04-01—343238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68"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eastAsia" w:cs="宋体"/>
                <w:color w:val="auto"/>
                <w:sz w:val="24"/>
              </w:rPr>
            </w:pPr>
            <w:r>
              <w:rPr>
                <w:rFonts w:hint="eastAsia" w:cs="宋体"/>
                <w:color w:val="auto"/>
                <w:sz w:val="24"/>
              </w:rPr>
              <w:t>建设单位联系人</w:t>
            </w:r>
          </w:p>
        </w:tc>
        <w:tc>
          <w:tcPr>
            <w:tcW w:w="214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eastAsia="宋体" w:cs="宋体"/>
                <w:color w:val="auto"/>
                <w:sz w:val="24"/>
                <w:lang w:val="en-US" w:eastAsia="zh-CN"/>
              </w:rPr>
            </w:pPr>
            <w:r>
              <w:rPr>
                <w:rFonts w:hint="eastAsia" w:cs="宋体"/>
                <w:color w:val="auto"/>
                <w:sz w:val="24"/>
                <w:lang w:val="en-US" w:eastAsia="zh-CN"/>
              </w:rPr>
              <w:t>郑翔</w:t>
            </w:r>
          </w:p>
        </w:tc>
        <w:tc>
          <w:tcPr>
            <w:tcW w:w="209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s="宋体"/>
                <w:color w:val="auto"/>
                <w:sz w:val="24"/>
              </w:rPr>
            </w:pPr>
            <w:r>
              <w:rPr>
                <w:rFonts w:hint="eastAsia" w:cs="宋体"/>
                <w:color w:val="auto"/>
                <w:sz w:val="24"/>
              </w:rPr>
              <w:t>联系方式</w:t>
            </w:r>
          </w:p>
        </w:tc>
        <w:tc>
          <w:tcPr>
            <w:tcW w:w="286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eastAsia="宋体" w:cs="宋体"/>
                <w:color w:val="auto"/>
                <w:sz w:val="24"/>
                <w:lang w:val="en-US" w:eastAsia="zh-CN"/>
              </w:rPr>
            </w:pPr>
            <w:r>
              <w:rPr>
                <w:rFonts w:hint="eastAsia" w:cs="宋体"/>
                <w:color w:val="auto"/>
                <w:sz w:val="24"/>
                <w:lang w:val="en-US" w:eastAsia="zh-CN"/>
              </w:rPr>
              <w:t>18153385316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68"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cs="宋体"/>
                <w:color w:val="auto"/>
                <w:sz w:val="24"/>
              </w:rPr>
            </w:pPr>
            <w:r>
              <w:rPr>
                <w:rFonts w:hint="eastAsia" w:cs="宋体"/>
                <w:color w:val="auto"/>
                <w:sz w:val="24"/>
              </w:rPr>
              <w:t>建设地点</w:t>
            </w:r>
          </w:p>
        </w:tc>
        <w:tc>
          <w:tcPr>
            <w:tcW w:w="7103" w:type="dxa"/>
            <w:gridSpan w:val="3"/>
            <w:noWrap w:val="0"/>
            <w:vAlign w:val="center"/>
          </w:tcPr>
          <w:p>
            <w:pPr>
              <w:keepNext w:val="0"/>
              <w:keepLines w:val="0"/>
              <w:suppressLineNumbers w:val="0"/>
              <w:adjustRightInd w:val="0"/>
              <w:snapToGrid w:val="0"/>
              <w:spacing w:before="0" w:beforeAutospacing="0" w:after="0" w:afterAutospacing="0"/>
              <w:ind w:left="0" w:right="0"/>
              <w:jc w:val="center"/>
              <w:rPr>
                <w:rFonts w:hint="eastAsia" w:cs="宋体"/>
                <w:color w:val="auto"/>
                <w:sz w:val="24"/>
              </w:rPr>
            </w:pPr>
            <w:r>
              <w:rPr>
                <w:rFonts w:hint="eastAsia" w:cs="宋体"/>
                <w:color w:val="auto"/>
                <w:sz w:val="24"/>
              </w:rPr>
              <w:t>湖南省永州市新田县龙泉街道工业集中区工业南园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68"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cs="宋体"/>
                <w:color w:val="auto"/>
                <w:sz w:val="24"/>
              </w:rPr>
            </w:pPr>
            <w:r>
              <w:rPr>
                <w:rFonts w:hint="eastAsia" w:cs="宋体"/>
                <w:color w:val="auto"/>
                <w:sz w:val="24"/>
              </w:rPr>
              <w:t>地理坐标</w:t>
            </w:r>
          </w:p>
        </w:tc>
        <w:tc>
          <w:tcPr>
            <w:tcW w:w="7103" w:type="dxa"/>
            <w:gridSpan w:val="3"/>
            <w:noWrap w:val="0"/>
            <w:vAlign w:val="center"/>
          </w:tcPr>
          <w:p>
            <w:pPr>
              <w:keepNext w:val="0"/>
              <w:keepLines w:val="0"/>
              <w:suppressLineNumbers w:val="0"/>
              <w:spacing w:before="0" w:beforeAutospacing="0" w:after="0" w:afterAutospacing="0"/>
              <w:ind w:left="0" w:right="0"/>
              <w:jc w:val="center"/>
              <w:rPr>
                <w:rFonts w:hint="eastAsia" w:cs="宋体"/>
                <w:color w:val="auto"/>
                <w:sz w:val="24"/>
              </w:rPr>
            </w:pPr>
            <w:r>
              <w:rPr>
                <w:rFonts w:hint="eastAsia" w:cs="宋体"/>
                <w:color w:val="auto"/>
                <w:sz w:val="24"/>
              </w:rPr>
              <w:t>经度：112°11′25.3644″；纬度：25°52′52.485599″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968"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eastAsia" w:cs="宋体"/>
                <w:color w:val="auto"/>
                <w:sz w:val="24"/>
              </w:rPr>
            </w:pPr>
            <w:r>
              <w:rPr>
                <w:rFonts w:hint="eastAsia" w:cs="宋体"/>
                <w:color w:val="auto"/>
                <w:sz w:val="24"/>
              </w:rPr>
              <w:t>国民经济</w:t>
            </w:r>
          </w:p>
          <w:p>
            <w:pPr>
              <w:keepNext w:val="0"/>
              <w:keepLines w:val="0"/>
              <w:suppressLineNumbers w:val="0"/>
              <w:adjustRightInd w:val="0"/>
              <w:snapToGrid w:val="0"/>
              <w:spacing w:before="0" w:beforeAutospacing="0" w:after="0" w:afterAutospacing="0"/>
              <w:ind w:left="0" w:right="0"/>
              <w:jc w:val="center"/>
              <w:rPr>
                <w:rFonts w:hint="default" w:cs="宋体"/>
                <w:color w:val="auto"/>
                <w:sz w:val="24"/>
              </w:rPr>
            </w:pPr>
            <w:r>
              <w:rPr>
                <w:rFonts w:hint="eastAsia" w:cs="宋体"/>
                <w:color w:val="auto"/>
                <w:sz w:val="24"/>
              </w:rPr>
              <w:t>行业类别</w:t>
            </w:r>
          </w:p>
        </w:tc>
        <w:tc>
          <w:tcPr>
            <w:tcW w:w="2142" w:type="dxa"/>
            <w:noWrap w:val="0"/>
            <w:vAlign w:val="center"/>
          </w:tcPr>
          <w:p>
            <w:pPr>
              <w:pStyle w:val="10"/>
              <w:keepNext w:val="0"/>
              <w:keepLines w:val="0"/>
              <w:suppressLineNumbers w:val="0"/>
              <w:spacing w:beforeAutospacing="0" w:afterAutospacing="0"/>
              <w:ind w:left="0"/>
              <w:rPr>
                <w:rFonts w:hint="default" w:eastAsia="宋体"/>
                <w:color w:val="auto"/>
                <w:lang w:val="en-US" w:eastAsia="zh-CN"/>
              </w:rPr>
            </w:pPr>
            <w:r>
              <w:rPr>
                <w:rFonts w:hint="eastAsia"/>
                <w:color w:val="auto"/>
                <w:sz w:val="24"/>
                <w:szCs w:val="24"/>
                <w:lang w:val="en-US" w:eastAsia="zh-CN"/>
              </w:rPr>
              <w:t>D4620污水处理及其再生利用</w:t>
            </w:r>
          </w:p>
        </w:tc>
        <w:tc>
          <w:tcPr>
            <w:tcW w:w="209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s="宋体"/>
                <w:color w:val="auto"/>
                <w:sz w:val="24"/>
              </w:rPr>
            </w:pPr>
            <w:bookmarkStart w:id="3" w:name="_Hlk49843745"/>
            <w:r>
              <w:rPr>
                <w:rFonts w:hint="eastAsia" w:cs="宋体"/>
                <w:color w:val="auto"/>
                <w:sz w:val="24"/>
              </w:rPr>
              <w:t>建设项目</w:t>
            </w:r>
          </w:p>
          <w:p>
            <w:pPr>
              <w:keepNext w:val="0"/>
              <w:keepLines w:val="0"/>
              <w:suppressLineNumbers w:val="0"/>
              <w:adjustRightInd w:val="0"/>
              <w:snapToGrid w:val="0"/>
              <w:spacing w:before="0" w:beforeAutospacing="0" w:after="0" w:afterAutospacing="0"/>
              <w:ind w:left="0" w:right="0"/>
              <w:jc w:val="center"/>
              <w:rPr>
                <w:rFonts w:hint="default" w:cs="宋体"/>
                <w:color w:val="auto"/>
                <w:sz w:val="24"/>
              </w:rPr>
            </w:pPr>
            <w:r>
              <w:rPr>
                <w:rFonts w:hint="eastAsia" w:cs="宋体"/>
                <w:color w:val="auto"/>
                <w:sz w:val="24"/>
              </w:rPr>
              <w:t>行业类别</w:t>
            </w:r>
            <w:bookmarkEnd w:id="3"/>
          </w:p>
        </w:tc>
        <w:tc>
          <w:tcPr>
            <w:tcW w:w="2862" w:type="dxa"/>
            <w:noWrap w:val="0"/>
            <w:vAlign w:val="center"/>
          </w:tcPr>
          <w:p>
            <w:pPr>
              <w:pStyle w:val="44"/>
              <w:keepNext w:val="0"/>
              <w:keepLines w:val="0"/>
              <w:suppressLineNumbers w:val="0"/>
              <w:spacing w:beforeAutospacing="0" w:afterAutospacing="0"/>
              <w:ind w:left="0"/>
              <w:rPr>
                <w:rFonts w:hint="default" w:ascii="Times New Roman" w:hAnsi="Times New Roman"/>
                <w:color w:val="auto"/>
              </w:rPr>
            </w:pPr>
            <w:r>
              <w:rPr>
                <w:rFonts w:hint="default" w:ascii="Times New Roman" w:hAnsi="Times New Roman"/>
                <w:color w:val="auto"/>
              </w:rPr>
              <w:t>四十三、水的生产和供应业</w:t>
            </w:r>
          </w:p>
          <w:p>
            <w:pPr>
              <w:pStyle w:val="44"/>
              <w:keepNext w:val="0"/>
              <w:keepLines w:val="0"/>
              <w:suppressLineNumbers w:val="0"/>
              <w:spacing w:beforeAutospacing="0" w:afterAutospacing="0"/>
              <w:ind w:left="0"/>
              <w:rPr>
                <w:rFonts w:hint="default" w:ascii="Times New Roman" w:hAnsi="Times New Roman"/>
                <w:color w:val="auto"/>
              </w:rPr>
            </w:pPr>
            <w:r>
              <w:rPr>
                <w:rFonts w:hint="default" w:ascii="Times New Roman" w:hAnsi="Times New Roman"/>
                <w:color w:val="auto"/>
              </w:rPr>
              <w:t>95污水处理及其再生利用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968"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cs="宋体"/>
                <w:color w:val="auto"/>
                <w:sz w:val="24"/>
              </w:rPr>
            </w:pPr>
            <w:r>
              <w:rPr>
                <w:rFonts w:hint="eastAsia" w:cs="宋体"/>
                <w:color w:val="auto"/>
                <w:sz w:val="24"/>
              </w:rPr>
              <w:t>建设性质</w:t>
            </w:r>
          </w:p>
        </w:tc>
        <w:tc>
          <w:tcPr>
            <w:tcW w:w="2142" w:type="dxa"/>
            <w:noWrap w:val="0"/>
            <w:vAlign w:val="center"/>
          </w:tcPr>
          <w:p>
            <w:pPr>
              <w:keepNext w:val="0"/>
              <w:keepLines w:val="0"/>
              <w:suppressLineNumbers w:val="0"/>
              <w:spacing w:before="0" w:beforeAutospacing="0" w:after="0" w:afterAutospacing="0"/>
              <w:ind w:left="0" w:right="0"/>
              <w:jc w:val="left"/>
              <w:rPr>
                <w:rFonts w:hint="default" w:cs="宋体"/>
                <w:color w:val="auto"/>
                <w:sz w:val="24"/>
                <w:u w:val="none"/>
              </w:rPr>
            </w:pPr>
            <w:r>
              <w:rPr>
                <w:rFonts w:hint="eastAsia" w:cs="宋体"/>
                <w:color w:val="auto"/>
                <w:sz w:val="24"/>
                <w:u w:val="none"/>
                <w:lang w:eastAsia="zh-CN"/>
              </w:rPr>
              <w:sym w:font="Wingdings 2" w:char="0052"/>
            </w:r>
            <w:r>
              <w:rPr>
                <w:rFonts w:hint="eastAsia" w:cs="宋体"/>
                <w:color w:val="auto"/>
                <w:sz w:val="24"/>
                <w:u w:val="none"/>
              </w:rPr>
              <w:t>新建（迁建）</w:t>
            </w:r>
          </w:p>
          <w:p>
            <w:pPr>
              <w:keepNext w:val="0"/>
              <w:keepLines w:val="0"/>
              <w:suppressLineNumbers w:val="0"/>
              <w:spacing w:before="0" w:beforeAutospacing="0" w:after="0" w:afterAutospacing="0"/>
              <w:ind w:left="0" w:right="0"/>
              <w:jc w:val="left"/>
              <w:rPr>
                <w:rFonts w:hint="eastAsia" w:cs="宋体"/>
                <w:color w:val="auto"/>
                <w:sz w:val="24"/>
              </w:rPr>
            </w:pPr>
            <w:r>
              <w:rPr>
                <w:rFonts w:hint="eastAsia" w:cs="宋体"/>
                <w:color w:val="auto"/>
                <w:sz w:val="24"/>
              </w:rPr>
              <w:t>□改建</w:t>
            </w:r>
          </w:p>
          <w:p>
            <w:pPr>
              <w:keepNext w:val="0"/>
              <w:keepLines w:val="0"/>
              <w:suppressLineNumbers w:val="0"/>
              <w:spacing w:before="0" w:beforeAutospacing="0" w:after="0" w:afterAutospacing="0"/>
              <w:ind w:left="0" w:right="0"/>
              <w:jc w:val="left"/>
              <w:rPr>
                <w:rFonts w:hint="eastAsia" w:cs="宋体"/>
                <w:color w:val="auto"/>
                <w:sz w:val="24"/>
              </w:rPr>
            </w:pPr>
            <w:r>
              <w:rPr>
                <w:rFonts w:hint="eastAsia" w:cs="宋体"/>
                <w:color w:val="auto"/>
                <w:sz w:val="24"/>
              </w:rPr>
              <w:sym w:font="Wingdings 2" w:char="00A3"/>
            </w:r>
            <w:r>
              <w:rPr>
                <w:rFonts w:hint="eastAsia" w:cs="宋体"/>
                <w:color w:val="auto"/>
                <w:sz w:val="24"/>
              </w:rPr>
              <w:t>扩建</w:t>
            </w:r>
          </w:p>
          <w:p>
            <w:pPr>
              <w:keepNext w:val="0"/>
              <w:keepLines w:val="0"/>
              <w:suppressLineNumbers w:val="0"/>
              <w:spacing w:before="0" w:beforeAutospacing="0" w:after="0" w:afterAutospacing="0"/>
              <w:ind w:left="0" w:right="0"/>
              <w:jc w:val="left"/>
              <w:rPr>
                <w:rFonts w:hint="default" w:cs="宋体"/>
                <w:color w:val="auto"/>
                <w:sz w:val="24"/>
              </w:rPr>
            </w:pPr>
            <w:r>
              <w:rPr>
                <w:rFonts w:hint="eastAsia" w:cs="宋体"/>
                <w:color w:val="auto"/>
                <w:sz w:val="24"/>
              </w:rPr>
              <w:t>□技术改造</w:t>
            </w:r>
          </w:p>
        </w:tc>
        <w:tc>
          <w:tcPr>
            <w:tcW w:w="2099"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cs="宋体"/>
                <w:color w:val="auto"/>
                <w:sz w:val="24"/>
              </w:rPr>
            </w:pPr>
            <w:r>
              <w:rPr>
                <w:rFonts w:hint="eastAsia" w:cs="宋体"/>
                <w:color w:val="auto"/>
                <w:sz w:val="24"/>
              </w:rPr>
              <w:t>建设项目</w:t>
            </w:r>
          </w:p>
          <w:p>
            <w:pPr>
              <w:keepNext w:val="0"/>
              <w:keepLines w:val="0"/>
              <w:suppressLineNumbers w:val="0"/>
              <w:adjustRightInd w:val="0"/>
              <w:snapToGrid w:val="0"/>
              <w:spacing w:before="0" w:beforeAutospacing="0" w:after="0" w:afterAutospacing="0"/>
              <w:ind w:left="0" w:right="0"/>
              <w:jc w:val="center"/>
              <w:rPr>
                <w:rFonts w:hint="default" w:cs="宋体"/>
                <w:color w:val="auto"/>
                <w:sz w:val="24"/>
              </w:rPr>
            </w:pPr>
            <w:r>
              <w:rPr>
                <w:rFonts w:hint="eastAsia" w:cs="宋体"/>
                <w:color w:val="auto"/>
                <w:sz w:val="24"/>
              </w:rPr>
              <w:t>申报情形</w:t>
            </w:r>
          </w:p>
        </w:tc>
        <w:tc>
          <w:tcPr>
            <w:tcW w:w="2862" w:type="dxa"/>
            <w:noWrap w:val="0"/>
            <w:vAlign w:val="center"/>
          </w:tcPr>
          <w:p>
            <w:pPr>
              <w:keepNext w:val="0"/>
              <w:keepLines w:val="0"/>
              <w:suppressLineNumbers w:val="0"/>
              <w:spacing w:before="0" w:beforeAutospacing="0" w:after="0" w:afterAutospacing="0"/>
              <w:ind w:left="0" w:right="0"/>
              <w:jc w:val="left"/>
              <w:rPr>
                <w:rFonts w:hint="default" w:cs="宋体"/>
                <w:color w:val="auto"/>
                <w:sz w:val="24"/>
              </w:rPr>
            </w:pPr>
            <w:r>
              <w:rPr>
                <w:rFonts w:hint="eastAsia" w:cs="宋体"/>
                <w:color w:val="auto"/>
                <w:sz w:val="24"/>
              </w:rPr>
              <w:t>☑首次申报项目</w:t>
            </w:r>
          </w:p>
          <w:p>
            <w:pPr>
              <w:keepNext w:val="0"/>
              <w:keepLines w:val="0"/>
              <w:suppressLineNumbers w:val="0"/>
              <w:spacing w:before="0" w:beforeAutospacing="0" w:after="0" w:afterAutospacing="0"/>
              <w:ind w:left="0" w:right="0"/>
              <w:jc w:val="left"/>
              <w:rPr>
                <w:rFonts w:hint="default" w:cs="宋体"/>
                <w:color w:val="auto"/>
                <w:sz w:val="24"/>
              </w:rPr>
            </w:pPr>
            <w:r>
              <w:rPr>
                <w:rFonts w:hint="eastAsia" w:cs="宋体"/>
                <w:color w:val="auto"/>
                <w:sz w:val="24"/>
              </w:rPr>
              <w:t>□不予批准后再次申报项目</w:t>
            </w:r>
          </w:p>
          <w:p>
            <w:pPr>
              <w:keepNext w:val="0"/>
              <w:keepLines w:val="0"/>
              <w:suppressLineNumbers w:val="0"/>
              <w:spacing w:before="0" w:beforeAutospacing="0" w:after="0" w:afterAutospacing="0"/>
              <w:ind w:left="0" w:right="0"/>
              <w:jc w:val="left"/>
              <w:rPr>
                <w:rFonts w:hint="eastAsia" w:eastAsia="宋体" w:cs="宋体"/>
                <w:color w:val="auto"/>
                <w:sz w:val="24"/>
                <w:lang w:eastAsia="zh-CN"/>
              </w:rPr>
            </w:pPr>
            <w:r>
              <w:rPr>
                <w:rFonts w:hint="eastAsia" w:cs="宋体"/>
                <w:color w:val="auto"/>
                <w:sz w:val="24"/>
              </w:rPr>
              <w:t>□超五年重新审核项目</w:t>
            </w:r>
          </w:p>
          <w:p>
            <w:pPr>
              <w:keepNext w:val="0"/>
              <w:keepLines w:val="0"/>
              <w:suppressLineNumbers w:val="0"/>
              <w:spacing w:before="0" w:beforeAutospacing="0" w:after="0" w:afterAutospacing="0"/>
              <w:ind w:left="0" w:right="0"/>
              <w:jc w:val="left"/>
              <w:rPr>
                <w:rFonts w:hint="default" w:cs="宋体"/>
                <w:color w:val="auto"/>
                <w:sz w:val="24"/>
              </w:rPr>
            </w:pPr>
            <w:r>
              <w:rPr>
                <w:rFonts w:hint="eastAsia" w:cs="宋体"/>
                <w:color w:val="auto"/>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968"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eastAsia" w:cs="宋体"/>
                <w:color w:val="auto"/>
                <w:sz w:val="24"/>
              </w:rPr>
            </w:pPr>
            <w:r>
              <w:rPr>
                <w:rFonts w:hint="eastAsia" w:cs="宋体"/>
                <w:color w:val="auto"/>
                <w:sz w:val="24"/>
              </w:rPr>
              <w:t>项目审批（核准</w:t>
            </w:r>
            <w:r>
              <w:rPr>
                <w:rFonts w:hint="default" w:cs="宋体"/>
                <w:color w:val="auto"/>
                <w:sz w:val="24"/>
              </w:rPr>
              <w:t>/</w:t>
            </w:r>
          </w:p>
          <w:p>
            <w:pPr>
              <w:keepNext w:val="0"/>
              <w:keepLines w:val="0"/>
              <w:suppressLineNumbers w:val="0"/>
              <w:adjustRightInd w:val="0"/>
              <w:snapToGrid w:val="0"/>
              <w:spacing w:before="0" w:beforeAutospacing="0" w:after="0" w:afterAutospacing="0"/>
              <w:ind w:left="0" w:right="0"/>
              <w:jc w:val="center"/>
              <w:rPr>
                <w:rFonts w:hint="default" w:cs="宋体"/>
                <w:color w:val="auto"/>
                <w:sz w:val="24"/>
              </w:rPr>
            </w:pPr>
            <w:r>
              <w:rPr>
                <w:rFonts w:hint="eastAsia" w:cs="宋体"/>
                <w:color w:val="auto"/>
                <w:sz w:val="24"/>
              </w:rPr>
              <w:t>备案）部门（选填）</w:t>
            </w:r>
          </w:p>
        </w:tc>
        <w:tc>
          <w:tcPr>
            <w:tcW w:w="214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eastAsia="宋体" w:cs="宋体"/>
                <w:color w:val="auto"/>
                <w:sz w:val="24"/>
                <w:lang w:val="en-US" w:eastAsia="zh-CN"/>
              </w:rPr>
            </w:pPr>
            <w:r>
              <w:rPr>
                <w:rFonts w:hint="eastAsia" w:cs="宋体"/>
                <w:color w:val="auto"/>
                <w:sz w:val="24"/>
                <w:lang w:val="en-US" w:eastAsia="zh-CN"/>
              </w:rPr>
              <w:t>新田县发展和改革局</w:t>
            </w:r>
          </w:p>
        </w:tc>
        <w:tc>
          <w:tcPr>
            <w:tcW w:w="2099"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cs="宋体"/>
                <w:color w:val="auto"/>
                <w:sz w:val="24"/>
              </w:rPr>
            </w:pPr>
            <w:r>
              <w:rPr>
                <w:rFonts w:hint="eastAsia" w:cs="宋体"/>
                <w:color w:val="auto"/>
                <w:sz w:val="24"/>
              </w:rPr>
              <w:t>项目审批（核准</w:t>
            </w:r>
            <w:r>
              <w:rPr>
                <w:rFonts w:hint="default" w:cs="宋体"/>
                <w:color w:val="auto"/>
                <w:sz w:val="24"/>
              </w:rPr>
              <w:t>/</w:t>
            </w:r>
          </w:p>
          <w:p>
            <w:pPr>
              <w:keepNext w:val="0"/>
              <w:keepLines w:val="0"/>
              <w:suppressLineNumbers w:val="0"/>
              <w:adjustRightInd w:val="0"/>
              <w:snapToGrid w:val="0"/>
              <w:spacing w:before="0" w:beforeAutospacing="0" w:after="0" w:afterAutospacing="0"/>
              <w:ind w:left="0" w:right="0"/>
              <w:jc w:val="center"/>
              <w:rPr>
                <w:rFonts w:hint="eastAsia" w:cs="宋体"/>
                <w:color w:val="auto"/>
                <w:sz w:val="24"/>
              </w:rPr>
            </w:pPr>
            <w:r>
              <w:rPr>
                <w:rFonts w:hint="eastAsia" w:cs="宋体"/>
                <w:color w:val="auto"/>
                <w:sz w:val="24"/>
              </w:rPr>
              <w:t>备案）文号（选填）</w:t>
            </w:r>
          </w:p>
        </w:tc>
        <w:tc>
          <w:tcPr>
            <w:tcW w:w="286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eastAsia="宋体" w:cs="宋体"/>
                <w:color w:val="auto"/>
                <w:sz w:val="24"/>
                <w:lang w:val="en-US" w:eastAsia="zh-CN"/>
              </w:rPr>
            </w:pPr>
            <w:r>
              <w:rPr>
                <w:rFonts w:hint="eastAsia" w:cs="宋体"/>
                <w:color w:val="auto"/>
                <w:sz w:val="24"/>
                <w:lang w:val="en-US" w:eastAsia="zh-CN"/>
              </w:rPr>
              <w:t>新发改备案[2023]31号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68"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cs="宋体"/>
                <w:color w:val="auto"/>
                <w:sz w:val="24"/>
              </w:rPr>
            </w:pPr>
            <w:r>
              <w:rPr>
                <w:rFonts w:hint="eastAsia" w:cs="宋体"/>
                <w:color w:val="auto"/>
                <w:sz w:val="24"/>
              </w:rPr>
              <w:t>总投资（万元）</w:t>
            </w:r>
          </w:p>
        </w:tc>
        <w:tc>
          <w:tcPr>
            <w:tcW w:w="214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s="宋体"/>
                <w:color w:val="auto"/>
                <w:sz w:val="24"/>
                <w:lang w:val="en-US"/>
              </w:rPr>
            </w:pPr>
            <w:r>
              <w:rPr>
                <w:rFonts w:hint="eastAsia" w:cs="宋体"/>
                <w:color w:val="auto"/>
                <w:sz w:val="24"/>
                <w:lang w:val="en-US" w:eastAsia="zh-CN"/>
              </w:rPr>
              <w:t>3000</w:t>
            </w:r>
          </w:p>
        </w:tc>
        <w:tc>
          <w:tcPr>
            <w:tcW w:w="2099"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cs="宋体"/>
                <w:color w:val="auto"/>
                <w:sz w:val="24"/>
              </w:rPr>
            </w:pPr>
            <w:r>
              <w:rPr>
                <w:rFonts w:hint="eastAsia" w:cs="宋体"/>
                <w:color w:val="auto"/>
                <w:sz w:val="24"/>
              </w:rPr>
              <w:t>环保投资（万元）</w:t>
            </w:r>
          </w:p>
        </w:tc>
        <w:tc>
          <w:tcPr>
            <w:tcW w:w="286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eastAsia="宋体" w:cs="宋体"/>
                <w:color w:val="auto"/>
                <w:sz w:val="24"/>
                <w:lang w:val="en-US" w:eastAsia="zh-CN"/>
              </w:rPr>
            </w:pPr>
            <w:r>
              <w:rPr>
                <w:rFonts w:hint="eastAsia" w:cs="宋体"/>
                <w:color w:val="auto"/>
                <w:sz w:val="24"/>
                <w:lang w:val="en-US" w:eastAsia="zh-CN"/>
              </w:rPr>
              <w:t>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68"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cs="宋体"/>
                <w:color w:val="auto"/>
                <w:sz w:val="24"/>
              </w:rPr>
            </w:pPr>
            <w:r>
              <w:rPr>
                <w:rFonts w:hint="eastAsia" w:cs="宋体"/>
                <w:color w:val="auto"/>
                <w:sz w:val="24"/>
              </w:rPr>
              <w:t>环保投资占比（</w:t>
            </w:r>
            <w:r>
              <w:rPr>
                <w:rFonts w:hint="default" w:cs="宋体"/>
                <w:color w:val="auto"/>
                <w:sz w:val="24"/>
              </w:rPr>
              <w:t>%</w:t>
            </w:r>
            <w:r>
              <w:rPr>
                <w:rFonts w:hint="eastAsia" w:cs="宋体"/>
                <w:color w:val="auto"/>
                <w:sz w:val="24"/>
              </w:rPr>
              <w:t>）</w:t>
            </w:r>
          </w:p>
        </w:tc>
        <w:tc>
          <w:tcPr>
            <w:tcW w:w="214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s="宋体"/>
                <w:color w:val="auto"/>
                <w:sz w:val="24"/>
                <w:lang w:val="en-US"/>
              </w:rPr>
            </w:pPr>
            <w:r>
              <w:rPr>
                <w:rFonts w:hint="eastAsia" w:cs="宋体"/>
                <w:color w:val="auto"/>
                <w:sz w:val="24"/>
                <w:lang w:val="en-US" w:eastAsia="zh-CN"/>
              </w:rPr>
              <w:t>2.2</w:t>
            </w:r>
          </w:p>
        </w:tc>
        <w:tc>
          <w:tcPr>
            <w:tcW w:w="2099"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cs="宋体"/>
                <w:color w:val="auto"/>
                <w:sz w:val="24"/>
              </w:rPr>
            </w:pPr>
            <w:r>
              <w:rPr>
                <w:rFonts w:hint="eastAsia" w:cs="宋体"/>
                <w:color w:val="auto"/>
                <w:sz w:val="24"/>
              </w:rPr>
              <w:t>施工工期</w:t>
            </w:r>
          </w:p>
        </w:tc>
        <w:tc>
          <w:tcPr>
            <w:tcW w:w="286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s="宋体"/>
                <w:color w:val="auto"/>
                <w:sz w:val="24"/>
              </w:rPr>
            </w:pPr>
            <w:r>
              <w:rPr>
                <w:rFonts w:hint="eastAsia" w:cs="宋体"/>
                <w:color w:val="auto"/>
                <w:sz w:val="24"/>
                <w:lang w:val="en-US" w:eastAsia="zh-CN"/>
              </w:rPr>
              <w:t>12</w:t>
            </w:r>
            <w:r>
              <w:rPr>
                <w:rFonts w:hint="eastAsia" w:cs="宋体"/>
                <w:color w:val="auto"/>
                <w:sz w:val="24"/>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68"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eastAsia" w:cs="宋体"/>
                <w:color w:val="auto"/>
                <w:sz w:val="24"/>
              </w:rPr>
            </w:pPr>
            <w:r>
              <w:rPr>
                <w:rFonts w:hint="eastAsia" w:cs="宋体"/>
                <w:color w:val="auto"/>
                <w:sz w:val="24"/>
              </w:rPr>
              <w:t>是否开工建设</w:t>
            </w:r>
          </w:p>
        </w:tc>
        <w:tc>
          <w:tcPr>
            <w:tcW w:w="2142" w:type="dxa"/>
            <w:noWrap w:val="0"/>
            <w:vAlign w:val="center"/>
          </w:tcPr>
          <w:p>
            <w:pPr>
              <w:keepNext w:val="0"/>
              <w:keepLines w:val="0"/>
              <w:suppressLineNumbers w:val="0"/>
              <w:adjustRightInd w:val="0"/>
              <w:snapToGrid w:val="0"/>
              <w:spacing w:before="0" w:beforeAutospacing="0" w:after="0" w:afterAutospacing="0"/>
              <w:ind w:left="0" w:right="0"/>
              <w:rPr>
                <w:rFonts w:hint="default" w:cs="宋体"/>
                <w:color w:val="auto"/>
                <w:sz w:val="24"/>
              </w:rPr>
            </w:pPr>
            <w:r>
              <w:rPr>
                <w:rFonts w:hint="eastAsia" w:cs="宋体"/>
                <w:color w:val="auto"/>
                <w:sz w:val="24"/>
              </w:rPr>
              <w:t>☑否</w:t>
            </w:r>
          </w:p>
          <w:p>
            <w:pPr>
              <w:keepNext w:val="0"/>
              <w:keepLines w:val="0"/>
              <w:suppressLineNumbers w:val="0"/>
              <w:adjustRightInd w:val="0"/>
              <w:snapToGrid w:val="0"/>
              <w:spacing w:before="0" w:beforeAutospacing="0" w:after="0" w:afterAutospacing="0"/>
              <w:ind w:left="0" w:right="0"/>
              <w:rPr>
                <w:rFonts w:hint="eastAsia" w:eastAsia="宋体" w:cs="宋体"/>
                <w:color w:val="auto"/>
                <w:sz w:val="24"/>
                <w:lang w:eastAsia="zh-CN"/>
              </w:rPr>
            </w:pPr>
            <w:r>
              <w:rPr>
                <w:rFonts w:hint="eastAsia" w:cs="宋体"/>
                <w:color w:val="auto"/>
                <w:sz w:val="24"/>
              </w:rPr>
              <w:t>□是：</w:t>
            </w:r>
          </w:p>
        </w:tc>
        <w:tc>
          <w:tcPr>
            <w:tcW w:w="2099" w:type="dxa"/>
            <w:noWrap w:val="0"/>
            <w:tcMar>
              <w:top w:w="16" w:type="dxa"/>
              <w:left w:w="16" w:type="dxa"/>
              <w:right w:w="16" w:type="dxa"/>
            </w:tcMar>
            <w:vAlign w:val="center"/>
          </w:tcPr>
          <w:p>
            <w:pPr>
              <w:keepNext w:val="0"/>
              <w:keepLines w:val="0"/>
              <w:suppressLineNumbers w:val="0"/>
              <w:adjustRightInd w:val="0"/>
              <w:snapToGrid w:val="0"/>
              <w:spacing w:before="0" w:beforeAutospacing="0" w:after="0" w:afterAutospacing="0"/>
              <w:ind w:left="0" w:right="0"/>
              <w:jc w:val="center"/>
              <w:rPr>
                <w:rFonts w:hint="default" w:cs="宋体"/>
                <w:color w:val="auto"/>
                <w:spacing w:val="-6"/>
                <w:sz w:val="24"/>
              </w:rPr>
            </w:pPr>
            <w:r>
              <w:rPr>
                <w:rFonts w:hint="eastAsia" w:cs="宋体"/>
                <w:color w:val="auto"/>
                <w:spacing w:val="-6"/>
                <w:sz w:val="24"/>
              </w:rPr>
              <w:t>用地（用海）</w:t>
            </w:r>
          </w:p>
          <w:p>
            <w:pPr>
              <w:keepNext w:val="0"/>
              <w:keepLines w:val="0"/>
              <w:suppressLineNumbers w:val="0"/>
              <w:adjustRightInd w:val="0"/>
              <w:snapToGrid w:val="0"/>
              <w:spacing w:before="0" w:beforeAutospacing="0" w:after="0" w:afterAutospacing="0"/>
              <w:ind w:left="0" w:right="0"/>
              <w:jc w:val="center"/>
              <w:rPr>
                <w:rFonts w:hint="eastAsia" w:cs="宋体"/>
                <w:color w:val="auto"/>
                <w:sz w:val="24"/>
              </w:rPr>
            </w:pPr>
            <w:r>
              <w:rPr>
                <w:rFonts w:hint="eastAsia" w:cs="宋体"/>
                <w:color w:val="auto"/>
                <w:spacing w:val="-6"/>
                <w:sz w:val="24"/>
              </w:rPr>
              <w:t>面积（</w:t>
            </w:r>
            <w:r>
              <w:rPr>
                <w:rFonts w:hint="default" w:cs="宋体"/>
                <w:color w:val="auto"/>
                <w:spacing w:val="-6"/>
                <w:sz w:val="24"/>
              </w:rPr>
              <w:t>m</w:t>
            </w:r>
            <w:r>
              <w:rPr>
                <w:rFonts w:hint="default" w:cs="宋体"/>
                <w:color w:val="auto"/>
                <w:spacing w:val="-6"/>
                <w:sz w:val="24"/>
                <w:vertAlign w:val="superscript"/>
              </w:rPr>
              <w:t>2</w:t>
            </w:r>
            <w:r>
              <w:rPr>
                <w:rFonts w:hint="eastAsia" w:cs="宋体"/>
                <w:color w:val="auto"/>
                <w:spacing w:val="-6"/>
                <w:sz w:val="24"/>
              </w:rPr>
              <w:t>）</w:t>
            </w:r>
          </w:p>
        </w:tc>
        <w:tc>
          <w:tcPr>
            <w:tcW w:w="2862"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eastAsia="宋体" w:cs="宋体"/>
                <w:color w:val="auto"/>
                <w:sz w:val="24"/>
                <w:lang w:eastAsia="zh-CN"/>
              </w:rPr>
            </w:pPr>
            <w:r>
              <w:rPr>
                <w:rFonts w:hint="eastAsia" w:cs="宋体"/>
                <w:color w:val="auto"/>
                <w:sz w:val="24"/>
                <w:lang w:val="en-US" w:eastAsia="zh-CN"/>
              </w:rPr>
              <w:t>2400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968" w:type="dxa"/>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宋体"/>
                <w:color w:val="auto"/>
                <w:kern w:val="0"/>
                <w:sz w:val="24"/>
              </w:rPr>
            </w:pPr>
            <w:r>
              <w:rPr>
                <w:rFonts w:hint="eastAsia" w:cs="宋体"/>
                <w:color w:val="auto"/>
                <w:kern w:val="0"/>
                <w:sz w:val="24"/>
              </w:rPr>
              <w:t>专项评价设置情况</w:t>
            </w:r>
          </w:p>
        </w:tc>
        <w:tc>
          <w:tcPr>
            <w:tcW w:w="7103" w:type="dxa"/>
            <w:gridSpan w:val="3"/>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cs="宋体"/>
                <w:color w:val="auto"/>
                <w:kern w:val="0"/>
                <w:sz w:val="24"/>
              </w:rPr>
            </w:pPr>
            <w:r>
              <w:rPr>
                <w:rFonts w:hint="eastAsia" w:cs="宋体"/>
                <w:color w:val="auto"/>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968"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jc w:val="center"/>
              <w:textAlignment w:val="auto"/>
              <w:rPr>
                <w:rFonts w:hint="eastAsia"/>
                <w:color w:val="auto"/>
                <w:sz w:val="24"/>
                <w:u w:val="single"/>
                <w:lang w:val="en-US" w:eastAsia="zh-CN"/>
              </w:rPr>
            </w:pPr>
            <w:r>
              <w:rPr>
                <w:rFonts w:hint="eastAsia"/>
                <w:color w:val="auto"/>
                <w:sz w:val="24"/>
                <w:u w:val="single"/>
                <w:lang w:val="en-US" w:eastAsia="zh-CN"/>
              </w:rPr>
              <w:t>规划情况</w:t>
            </w:r>
          </w:p>
        </w:tc>
        <w:tc>
          <w:tcPr>
            <w:tcW w:w="7103" w:type="dxa"/>
            <w:gridSpan w:val="3"/>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jc w:val="left"/>
              <w:textAlignment w:val="auto"/>
              <w:rPr>
                <w:rFonts w:hint="eastAsia"/>
                <w:color w:val="auto"/>
                <w:sz w:val="24"/>
                <w:u w:val="none"/>
                <w:lang w:val="en-US" w:eastAsia="zh-CN"/>
              </w:rPr>
            </w:pPr>
            <w:r>
              <w:rPr>
                <w:rFonts w:hint="eastAsia"/>
                <w:color w:val="auto"/>
                <w:sz w:val="24"/>
                <w:u w:val="none"/>
                <w:lang w:val="en-US" w:eastAsia="zh-CN"/>
              </w:rPr>
              <w:t>规划名称：《新田工业集中区发展规划（2011～2020）》</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jc w:val="left"/>
              <w:textAlignment w:val="auto"/>
              <w:rPr>
                <w:rFonts w:hint="eastAsia"/>
                <w:color w:val="auto"/>
                <w:sz w:val="24"/>
                <w:u w:val="none"/>
                <w:lang w:val="en-US" w:eastAsia="zh-CN"/>
              </w:rPr>
            </w:pPr>
            <w:r>
              <w:rPr>
                <w:rFonts w:hint="eastAsia"/>
                <w:color w:val="auto"/>
                <w:sz w:val="24"/>
                <w:u w:val="none"/>
                <w:lang w:val="en-US" w:eastAsia="zh-CN"/>
              </w:rPr>
              <w:t>规划单位：新田县人民政府</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jc w:val="left"/>
              <w:textAlignment w:val="auto"/>
              <w:rPr>
                <w:rFonts w:hint="eastAsia"/>
                <w:color w:val="auto"/>
                <w:sz w:val="24"/>
                <w:u w:val="none"/>
                <w:lang w:val="en-US" w:eastAsia="zh-CN"/>
              </w:rPr>
            </w:pPr>
            <w:r>
              <w:rPr>
                <w:rFonts w:hint="eastAsia"/>
                <w:color w:val="auto"/>
                <w:sz w:val="24"/>
                <w:u w:val="none"/>
                <w:lang w:val="en-US" w:eastAsia="zh-CN"/>
              </w:rPr>
              <w:t>规划时间：2012年6月</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jc w:val="left"/>
              <w:textAlignment w:val="auto"/>
              <w:rPr>
                <w:rFonts w:hint="default"/>
                <w:color w:val="auto"/>
                <w:sz w:val="24"/>
                <w:u w:val="none"/>
                <w:lang w:val="en-US" w:eastAsia="zh-CN"/>
              </w:rPr>
            </w:pPr>
            <w:r>
              <w:rPr>
                <w:rFonts w:hint="eastAsia"/>
                <w:color w:val="auto"/>
                <w:sz w:val="24"/>
                <w:u w:val="none"/>
                <w:lang w:val="en-US" w:eastAsia="zh-CN"/>
              </w:rPr>
              <w:t>审批部门：湖南省发展和改革委</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jc w:val="left"/>
              <w:textAlignment w:val="auto"/>
              <w:rPr>
                <w:rFonts w:hint="eastAsia"/>
                <w:color w:val="auto"/>
                <w:sz w:val="24"/>
                <w:u w:val="none"/>
                <w:lang w:val="en-US" w:eastAsia="zh-CN"/>
              </w:rPr>
            </w:pPr>
            <w:r>
              <w:rPr>
                <w:rFonts w:hint="eastAsia"/>
                <w:color w:val="auto"/>
                <w:sz w:val="24"/>
                <w:u w:val="none"/>
                <w:lang w:val="en-US" w:eastAsia="zh-CN"/>
              </w:rPr>
              <w:t>审批时间：2012年10月8日</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jc w:val="left"/>
              <w:textAlignment w:val="auto"/>
              <w:rPr>
                <w:rFonts w:hint="default"/>
                <w:color w:val="auto"/>
                <w:sz w:val="24"/>
                <w:u w:val="none"/>
                <w:lang w:val="en-US" w:eastAsia="zh-CN"/>
              </w:rPr>
            </w:pPr>
            <w:r>
              <w:rPr>
                <w:rFonts w:hint="eastAsia"/>
                <w:color w:val="auto"/>
                <w:sz w:val="24"/>
                <w:u w:val="none"/>
                <w:lang w:val="en-US" w:eastAsia="zh-CN"/>
              </w:rPr>
              <w:t>审批文号：《关于新田工业集中区发展规划（2011-2020）的批复》（湘发改地区[2012]1564号）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968"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s="宋体"/>
                <w:color w:val="auto"/>
                <w:sz w:val="24"/>
              </w:rPr>
            </w:pPr>
            <w:r>
              <w:rPr>
                <w:rFonts w:hint="eastAsia" w:cs="宋体"/>
                <w:color w:val="auto"/>
                <w:sz w:val="24"/>
              </w:rPr>
              <w:t>规划环境影响</w:t>
            </w:r>
          </w:p>
          <w:p>
            <w:pPr>
              <w:keepNext w:val="0"/>
              <w:keepLines w:val="0"/>
              <w:suppressLineNumbers w:val="0"/>
              <w:autoSpaceDE w:val="0"/>
              <w:autoSpaceDN w:val="0"/>
              <w:adjustRightInd w:val="0"/>
              <w:snapToGrid w:val="0"/>
              <w:spacing w:before="0" w:beforeAutospacing="0" w:after="0" w:afterAutospacing="0"/>
              <w:ind w:left="0" w:right="0"/>
              <w:jc w:val="center"/>
              <w:rPr>
                <w:rFonts w:hint="eastAsia" w:cs="宋体"/>
                <w:color w:val="auto"/>
                <w:sz w:val="24"/>
              </w:rPr>
            </w:pPr>
            <w:r>
              <w:rPr>
                <w:rFonts w:hint="eastAsia" w:cs="宋体"/>
                <w:color w:val="auto"/>
                <w:sz w:val="24"/>
              </w:rPr>
              <w:t>评价情况</w:t>
            </w:r>
          </w:p>
        </w:tc>
        <w:tc>
          <w:tcPr>
            <w:tcW w:w="7103" w:type="dxa"/>
            <w:gridSpan w:val="3"/>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157" w:beforeLines="50" w:beforeAutospacing="0" w:after="0" w:afterAutospacing="0" w:line="360" w:lineRule="auto"/>
              <w:ind w:left="0" w:right="0"/>
              <w:jc w:val="center"/>
              <w:textAlignment w:val="auto"/>
              <w:rPr>
                <w:rFonts w:hint="eastAsia"/>
                <w:color w:val="auto"/>
                <w:sz w:val="24"/>
                <w:u w:val="none"/>
                <w:lang w:val="en-US" w:eastAsia="zh-CN"/>
              </w:rPr>
            </w:pPr>
            <w:r>
              <w:rPr>
                <w:rFonts w:hint="eastAsia"/>
                <w:color w:val="auto"/>
                <w:sz w:val="24"/>
                <w:u w:val="none"/>
                <w:lang w:val="en-US" w:eastAsia="zh-CN"/>
              </w:rPr>
              <w:t>《新田工业集中区规划环境影响跟踪评价报告书》（湘环评[2008]80号）、《新田工业集中区规划环境影响跟踪评价》（湘环评函[2021]22号）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968" w:type="dxa"/>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cs="宋体"/>
                <w:color w:val="auto"/>
                <w:kern w:val="0"/>
                <w:sz w:val="24"/>
              </w:rPr>
            </w:pPr>
            <w:r>
              <w:rPr>
                <w:rFonts w:hint="eastAsia" w:cs="宋体"/>
                <w:color w:val="auto"/>
                <w:kern w:val="0"/>
                <w:sz w:val="24"/>
              </w:rPr>
              <w:t>规划及规划环境</w:t>
            </w:r>
          </w:p>
          <w:p>
            <w:pPr>
              <w:keepNext w:val="0"/>
              <w:keepLines w:val="0"/>
              <w:suppressLineNumbers w:val="0"/>
              <w:autoSpaceDE w:val="0"/>
              <w:autoSpaceDN w:val="0"/>
              <w:adjustRightInd w:val="0"/>
              <w:snapToGrid w:val="0"/>
              <w:spacing w:before="0" w:beforeAutospacing="0" w:after="0" w:afterAutospacing="0"/>
              <w:ind w:left="0" w:right="0"/>
              <w:jc w:val="center"/>
              <w:rPr>
                <w:rFonts w:hint="default" w:cs="宋体"/>
                <w:color w:val="auto"/>
                <w:kern w:val="0"/>
                <w:sz w:val="24"/>
              </w:rPr>
            </w:pPr>
            <w:r>
              <w:rPr>
                <w:rFonts w:hint="eastAsia" w:cs="宋体"/>
                <w:color w:val="auto"/>
                <w:kern w:val="0"/>
                <w:sz w:val="24"/>
              </w:rPr>
              <w:t>影响评价符合性分析</w:t>
            </w:r>
          </w:p>
        </w:tc>
        <w:tc>
          <w:tcPr>
            <w:tcW w:w="7103" w:type="dxa"/>
            <w:gridSpan w:val="3"/>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157" w:beforeLines="50" w:beforeAutospacing="0" w:after="0" w:afterAutospacing="0" w:line="360" w:lineRule="auto"/>
              <w:ind w:left="0" w:right="0" w:firstLine="480" w:firstLineChars="200"/>
              <w:jc w:val="left"/>
              <w:textAlignment w:val="auto"/>
              <w:rPr>
                <w:rFonts w:hint="default" w:ascii="Times New Roman" w:hAnsi="Times New Roman" w:eastAsia="宋体" w:cs="Times New Roman"/>
                <w:color w:val="auto"/>
                <w:sz w:val="24"/>
                <w:u w:val="none"/>
                <w:lang w:val="en-US" w:eastAsia="zh-CN"/>
              </w:rPr>
            </w:pPr>
            <w:r>
              <w:rPr>
                <w:rFonts w:hint="default" w:ascii="Times New Roman" w:hAnsi="Times New Roman" w:eastAsia="宋体" w:cs="Times New Roman"/>
                <w:color w:val="auto"/>
                <w:sz w:val="24"/>
                <w:u w:val="none"/>
                <w:lang w:val="en-US" w:eastAsia="zh-CN"/>
              </w:rPr>
              <w:t>根据《新田工业集中区规划环境影响跟踪评价报告书》及其《湖南省生态环境厅关于新田工业集中区规划环境影响跟踪评价工作意见的函》（湘环评函[2021]22号），本项目与相关规划及审查意见要求的相符性分析见下表</w:t>
            </w:r>
          </w:p>
          <w:p>
            <w:pPr>
              <w:keepNext w:val="0"/>
              <w:keepLines w:val="0"/>
              <w:suppressLineNumbers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b/>
                <w:bCs/>
                <w:color w:val="auto"/>
                <w:kern w:val="0"/>
                <w:sz w:val="21"/>
                <w:u w:val="none"/>
              </w:rPr>
            </w:pPr>
            <w:r>
              <w:rPr>
                <w:rFonts w:hint="default" w:ascii="Times New Roman" w:hAnsi="Times New Roman" w:eastAsia="宋体" w:cs="Times New Roman"/>
                <w:b/>
                <w:bCs/>
                <w:color w:val="auto"/>
                <w:kern w:val="0"/>
                <w:sz w:val="21"/>
                <w:u w:val="none"/>
              </w:rPr>
              <w:t>表1-</w:t>
            </w:r>
            <w:r>
              <w:rPr>
                <w:rFonts w:hint="eastAsia" w:ascii="Times New Roman" w:hAnsi="Times New Roman" w:eastAsia="宋体" w:cs="Times New Roman"/>
                <w:b/>
                <w:bCs/>
                <w:color w:val="auto"/>
                <w:kern w:val="0"/>
                <w:sz w:val="21"/>
                <w:u w:val="none"/>
                <w:lang w:val="en-US" w:eastAsia="zh-CN"/>
              </w:rPr>
              <w:t>1</w:t>
            </w:r>
            <w:r>
              <w:rPr>
                <w:rFonts w:hint="default" w:ascii="Times New Roman" w:hAnsi="Times New Roman" w:eastAsia="宋体" w:cs="Times New Roman"/>
                <w:b/>
                <w:bCs/>
                <w:color w:val="auto"/>
                <w:kern w:val="0"/>
                <w:sz w:val="21"/>
                <w:u w:val="none"/>
              </w:rPr>
              <w:t>本项目与园区规划及其审查意见要求相符性分析</w:t>
            </w:r>
          </w:p>
          <w:tbl>
            <w:tblPr>
              <w:tblStyle w:val="29"/>
              <w:tblW w:w="69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55"/>
              <w:gridCol w:w="767"/>
              <w:gridCol w:w="2775"/>
              <w:gridCol w:w="2191"/>
              <w:gridCol w:w="5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73"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center"/>
                    <w:textAlignment w:val="auto"/>
                    <w:rPr>
                      <w:rFonts w:hint="default" w:eastAsia="宋体" w:cs="Times New Roman"/>
                      <w:color w:val="auto"/>
                      <w:sz w:val="18"/>
                      <w:szCs w:val="18"/>
                      <w:highlight w:val="none"/>
                      <w:u w:val="none"/>
                      <w:vertAlign w:val="baseline"/>
                      <w:lang w:val="en-US" w:eastAsia="zh-CN"/>
                    </w:rPr>
                  </w:pPr>
                  <w:r>
                    <w:rPr>
                      <w:rFonts w:hint="eastAsia" w:eastAsia="宋体" w:cs="Times New Roman"/>
                      <w:color w:val="auto"/>
                      <w:sz w:val="18"/>
                      <w:szCs w:val="18"/>
                      <w:highlight w:val="none"/>
                      <w:u w:val="none"/>
                      <w:vertAlign w:val="baseline"/>
                      <w:lang w:val="en-US" w:eastAsia="zh-CN"/>
                    </w:rPr>
                    <w:t>序号</w:t>
                  </w:r>
                </w:p>
              </w:tc>
              <w:tc>
                <w:tcPr>
                  <w:tcW w:w="2560" w:type="pct"/>
                  <w:gridSpan w:val="2"/>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center"/>
                    <w:textAlignment w:val="auto"/>
                    <w:rPr>
                      <w:rFonts w:hint="default" w:eastAsia="宋体" w:cs="Times New Roman"/>
                      <w:color w:val="auto"/>
                      <w:sz w:val="18"/>
                      <w:szCs w:val="18"/>
                      <w:highlight w:val="none"/>
                      <w:u w:val="none"/>
                      <w:vertAlign w:val="baseline"/>
                      <w:lang w:val="en-US" w:eastAsia="zh-CN"/>
                    </w:rPr>
                  </w:pPr>
                  <w:r>
                    <w:rPr>
                      <w:rFonts w:hint="default" w:eastAsia="宋体" w:cs="Times New Roman"/>
                      <w:color w:val="auto"/>
                      <w:sz w:val="18"/>
                      <w:szCs w:val="18"/>
                      <w:highlight w:val="none"/>
                      <w:u w:val="none"/>
                      <w:vertAlign w:val="baseline"/>
                      <w:lang w:val="en-US" w:eastAsia="zh-CN"/>
                    </w:rPr>
                    <w:t>园区规划及其审查意见要求</w:t>
                  </w:r>
                </w:p>
              </w:tc>
              <w:tc>
                <w:tcPr>
                  <w:tcW w:w="1583"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center"/>
                    <w:textAlignment w:val="auto"/>
                    <w:rPr>
                      <w:rFonts w:hint="default" w:eastAsia="宋体" w:cs="Times New Roman"/>
                      <w:color w:val="auto"/>
                      <w:sz w:val="18"/>
                      <w:szCs w:val="18"/>
                      <w:highlight w:val="none"/>
                      <w:u w:val="none"/>
                      <w:vertAlign w:val="baseline"/>
                      <w:lang w:val="en-US" w:eastAsia="zh-CN"/>
                    </w:rPr>
                  </w:pPr>
                  <w:r>
                    <w:rPr>
                      <w:rFonts w:hint="default" w:eastAsia="宋体" w:cs="Times New Roman"/>
                      <w:color w:val="auto"/>
                      <w:sz w:val="18"/>
                      <w:szCs w:val="18"/>
                      <w:highlight w:val="none"/>
                      <w:u w:val="none"/>
                      <w:vertAlign w:val="baseline"/>
                      <w:lang w:val="en-US" w:eastAsia="zh-CN"/>
                    </w:rPr>
                    <w:t>本项目情况</w:t>
                  </w:r>
                </w:p>
              </w:tc>
              <w:tc>
                <w:tcPr>
                  <w:tcW w:w="38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center"/>
                    <w:textAlignment w:val="auto"/>
                    <w:rPr>
                      <w:rFonts w:hint="default" w:eastAsia="宋体" w:cs="Times New Roman"/>
                      <w:color w:val="auto"/>
                      <w:sz w:val="18"/>
                      <w:szCs w:val="18"/>
                      <w:highlight w:val="none"/>
                      <w:u w:val="none"/>
                      <w:vertAlign w:val="baseline"/>
                      <w:lang w:val="en-US" w:eastAsia="zh-CN"/>
                    </w:rPr>
                  </w:pPr>
                  <w:r>
                    <w:rPr>
                      <w:rFonts w:hint="default" w:eastAsia="宋体" w:cs="Times New Roman"/>
                      <w:color w:val="auto"/>
                      <w:sz w:val="18"/>
                      <w:szCs w:val="18"/>
                      <w:highlight w:val="none"/>
                      <w:u w:val="none"/>
                      <w:vertAlign w:val="baseline"/>
                      <w:lang w:val="en-US" w:eastAsia="zh-CN"/>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73"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center"/>
                    <w:textAlignment w:val="auto"/>
                    <w:rPr>
                      <w:rFonts w:hint="default" w:eastAsia="宋体" w:cs="Times New Roman"/>
                      <w:color w:val="auto"/>
                      <w:sz w:val="18"/>
                      <w:szCs w:val="18"/>
                      <w:highlight w:val="none"/>
                      <w:u w:val="none"/>
                      <w:vertAlign w:val="baseline"/>
                      <w:lang w:val="en-US" w:eastAsia="zh-CN"/>
                    </w:rPr>
                  </w:pPr>
                  <w:r>
                    <w:rPr>
                      <w:rFonts w:hint="eastAsia" w:eastAsia="宋体" w:cs="Times New Roman"/>
                      <w:color w:val="auto"/>
                      <w:sz w:val="18"/>
                      <w:szCs w:val="18"/>
                      <w:highlight w:val="none"/>
                      <w:u w:val="none"/>
                      <w:vertAlign w:val="baseline"/>
                      <w:lang w:val="en-US" w:eastAsia="zh-CN"/>
                    </w:rPr>
                    <w:t>1</w:t>
                  </w:r>
                </w:p>
              </w:tc>
              <w:tc>
                <w:tcPr>
                  <w:tcW w:w="55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u w:val="none"/>
                      <w:vertAlign w:val="baseline"/>
                      <w:lang w:val="en-US" w:eastAsia="zh-CN"/>
                    </w:rPr>
                  </w:pPr>
                  <w:r>
                    <w:rPr>
                      <w:rFonts w:hint="eastAsia" w:eastAsia="宋体" w:cs="Times New Roman"/>
                      <w:color w:val="auto"/>
                      <w:sz w:val="18"/>
                      <w:szCs w:val="18"/>
                      <w:highlight w:val="none"/>
                      <w:u w:val="none"/>
                      <w:vertAlign w:val="baseline"/>
                      <w:lang w:val="en-US" w:eastAsia="zh-CN"/>
                    </w:rPr>
                    <w:t>产业准入条件</w:t>
                  </w:r>
                </w:p>
              </w:tc>
              <w:tc>
                <w:tcPr>
                  <w:tcW w:w="2005"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u w:val="none"/>
                      <w:vertAlign w:val="baseline"/>
                      <w:lang w:val="en-US" w:eastAsia="zh-CN"/>
                    </w:rPr>
                  </w:pPr>
                  <w:r>
                    <w:rPr>
                      <w:rFonts w:hint="default" w:eastAsia="宋体" w:cs="Times New Roman"/>
                      <w:color w:val="auto"/>
                      <w:sz w:val="18"/>
                      <w:szCs w:val="18"/>
                      <w:highlight w:val="none"/>
                      <w:u w:val="none"/>
                      <w:vertAlign w:val="baseline"/>
                      <w:lang w:val="en-US" w:eastAsia="zh-CN"/>
                    </w:rPr>
                    <w:t>主导产业为以农林产品深加工、机械制造、服装鞋帽加工贸易等产业为主的特色综合型工业集中区的总体发展定位。</w:t>
                  </w:r>
                </w:p>
              </w:tc>
              <w:tc>
                <w:tcPr>
                  <w:tcW w:w="1583"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u w:val="none"/>
                      <w:vertAlign w:val="baseline"/>
                      <w:lang w:val="en-US" w:eastAsia="zh-CN"/>
                    </w:rPr>
                  </w:pPr>
                  <w:r>
                    <w:rPr>
                      <w:rFonts w:hint="default" w:eastAsia="宋体" w:cs="Times New Roman"/>
                      <w:color w:val="auto"/>
                      <w:sz w:val="18"/>
                      <w:szCs w:val="18"/>
                      <w:highlight w:val="none"/>
                      <w:u w:val="none"/>
                      <w:vertAlign w:val="baseline"/>
                      <w:lang w:val="en-US" w:eastAsia="zh-CN"/>
                    </w:rPr>
                    <w:t>本项目</w:t>
                  </w:r>
                  <w:r>
                    <w:rPr>
                      <w:rFonts w:hint="eastAsia" w:cs="Times New Roman"/>
                      <w:color w:val="auto"/>
                      <w:sz w:val="18"/>
                      <w:szCs w:val="18"/>
                      <w:highlight w:val="none"/>
                      <w:u w:val="none"/>
                      <w:vertAlign w:val="baseline"/>
                      <w:lang w:val="en-US" w:eastAsia="zh-CN"/>
                    </w:rPr>
                    <w:t>主要进行生产废水处理</w:t>
                  </w:r>
                  <w:r>
                    <w:rPr>
                      <w:rFonts w:hint="default" w:cs="Times New Roman"/>
                      <w:color w:val="auto"/>
                      <w:sz w:val="18"/>
                      <w:szCs w:val="18"/>
                      <w:highlight w:val="none"/>
                      <w:u w:val="none"/>
                      <w:vertAlign w:val="baseline"/>
                      <w:lang w:val="en-US" w:eastAsia="zh-CN"/>
                    </w:rPr>
                    <w:t>，</w:t>
                  </w:r>
                  <w:r>
                    <w:rPr>
                      <w:rFonts w:hint="eastAsia" w:cs="Times New Roman"/>
                      <w:color w:val="auto"/>
                      <w:sz w:val="18"/>
                      <w:szCs w:val="18"/>
                      <w:highlight w:val="none"/>
                      <w:u w:val="none"/>
                      <w:vertAlign w:val="baseline"/>
                      <w:lang w:val="en-US" w:eastAsia="zh-CN"/>
                    </w:rPr>
                    <w:t>为湖南鲁丽木业有限公司配套环保污染防治设施，</w:t>
                  </w:r>
                  <w:r>
                    <w:rPr>
                      <w:rFonts w:hint="default" w:cs="Times New Roman"/>
                      <w:color w:val="auto"/>
                      <w:sz w:val="18"/>
                      <w:szCs w:val="18"/>
                      <w:highlight w:val="none"/>
                      <w:u w:val="none"/>
                      <w:vertAlign w:val="baseline"/>
                      <w:lang w:val="en-US" w:eastAsia="zh-CN"/>
                    </w:rPr>
                    <w:t>符合园</w:t>
                  </w:r>
                  <w:r>
                    <w:rPr>
                      <w:rFonts w:hint="default" w:eastAsia="宋体" w:cs="Times New Roman"/>
                      <w:color w:val="auto"/>
                      <w:sz w:val="18"/>
                      <w:szCs w:val="18"/>
                      <w:highlight w:val="none"/>
                      <w:u w:val="none"/>
                      <w:vertAlign w:val="baseline"/>
                      <w:lang w:val="en-US" w:eastAsia="zh-CN"/>
                    </w:rPr>
                    <w:t>区主导产业要求。</w:t>
                  </w:r>
                </w:p>
              </w:tc>
              <w:tc>
                <w:tcPr>
                  <w:tcW w:w="38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center"/>
                    <w:textAlignment w:val="auto"/>
                    <w:rPr>
                      <w:rFonts w:hint="default" w:eastAsia="宋体" w:cs="Times New Roman"/>
                      <w:color w:val="auto"/>
                      <w:sz w:val="18"/>
                      <w:szCs w:val="18"/>
                      <w:highlight w:val="none"/>
                      <w:u w:val="none"/>
                      <w:vertAlign w:val="baseline"/>
                      <w:lang w:val="en-US" w:eastAsia="zh-CN"/>
                    </w:rPr>
                  </w:pPr>
                  <w:r>
                    <w:rPr>
                      <w:rFonts w:hint="default" w:eastAsia="宋体" w:cs="Times New Roman"/>
                      <w:color w:val="auto"/>
                      <w:sz w:val="18"/>
                      <w:szCs w:val="18"/>
                      <w:highlight w:val="none"/>
                      <w:u w:val="none"/>
                      <w:vertAlign w:val="baseli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73" w:type="pct"/>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center"/>
                    <w:textAlignment w:val="auto"/>
                    <w:rPr>
                      <w:rFonts w:hint="default" w:eastAsia="宋体" w:cs="Times New Roman"/>
                      <w:color w:val="auto"/>
                      <w:sz w:val="18"/>
                      <w:szCs w:val="18"/>
                      <w:highlight w:val="none"/>
                      <w:u w:val="none"/>
                      <w:vertAlign w:val="baseline"/>
                      <w:lang w:val="en-US" w:eastAsia="zh-CN"/>
                    </w:rPr>
                  </w:pPr>
                  <w:r>
                    <w:rPr>
                      <w:rFonts w:hint="eastAsia" w:eastAsia="宋体" w:cs="Times New Roman"/>
                      <w:color w:val="auto"/>
                      <w:sz w:val="18"/>
                      <w:szCs w:val="18"/>
                      <w:highlight w:val="none"/>
                      <w:u w:val="none"/>
                      <w:vertAlign w:val="baseline"/>
                      <w:lang w:val="en-US" w:eastAsia="zh-CN"/>
                    </w:rPr>
                    <w:t>2</w:t>
                  </w:r>
                </w:p>
              </w:tc>
              <w:tc>
                <w:tcPr>
                  <w:tcW w:w="554" w:type="pct"/>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u w:val="none"/>
                      <w:vertAlign w:val="baseline"/>
                      <w:lang w:val="en-US" w:eastAsia="zh-CN"/>
                    </w:rPr>
                  </w:pPr>
                  <w:r>
                    <w:rPr>
                      <w:rFonts w:hint="default" w:eastAsia="宋体" w:cs="Times New Roman"/>
                      <w:color w:val="auto"/>
                      <w:sz w:val="18"/>
                      <w:szCs w:val="18"/>
                      <w:highlight w:val="none"/>
                      <w:u w:val="none"/>
                      <w:vertAlign w:val="baseline"/>
                      <w:lang w:val="en-US" w:eastAsia="zh-CN"/>
                    </w:rPr>
                    <w:t>污染控制措施要求</w:t>
                  </w:r>
                </w:p>
              </w:tc>
              <w:tc>
                <w:tcPr>
                  <w:tcW w:w="2005"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u w:val="none"/>
                      <w:vertAlign w:val="baseline"/>
                      <w:lang w:val="en-US" w:eastAsia="zh-CN"/>
                    </w:rPr>
                  </w:pPr>
                  <w:r>
                    <w:rPr>
                      <w:rFonts w:hint="default" w:eastAsia="宋体" w:cs="Times New Roman"/>
                      <w:color w:val="auto"/>
                      <w:sz w:val="18"/>
                      <w:szCs w:val="18"/>
                      <w:highlight w:val="none"/>
                      <w:u w:val="none"/>
                      <w:vertAlign w:val="baseline"/>
                      <w:lang w:val="en-US" w:eastAsia="zh-CN"/>
                    </w:rPr>
                    <w:t>园区各企业废水需经自行处理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u w:val="none"/>
                      <w:vertAlign w:val="baseline"/>
                      <w:lang w:val="en-US" w:eastAsia="zh-CN"/>
                    </w:rPr>
                  </w:pPr>
                  <w:r>
                    <w:rPr>
                      <w:rFonts w:hint="default" w:eastAsia="宋体" w:cs="Times New Roman"/>
                      <w:color w:val="auto"/>
                      <w:sz w:val="18"/>
                      <w:szCs w:val="18"/>
                      <w:highlight w:val="none"/>
                      <w:u w:val="none"/>
                      <w:vertAlign w:val="baseline"/>
                      <w:lang w:val="en-US" w:eastAsia="zh-CN"/>
                    </w:rPr>
                    <w:t>达到污水处理厂进水水质后方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u w:val="none"/>
                      <w:vertAlign w:val="baseline"/>
                      <w:lang w:val="en-US" w:eastAsia="zh-CN"/>
                    </w:rPr>
                  </w:pPr>
                  <w:r>
                    <w:rPr>
                      <w:rFonts w:hint="default" w:eastAsia="宋体" w:cs="Times New Roman"/>
                      <w:color w:val="auto"/>
                      <w:sz w:val="18"/>
                      <w:szCs w:val="18"/>
                      <w:highlight w:val="none"/>
                      <w:u w:val="none"/>
                      <w:vertAlign w:val="baseline"/>
                      <w:lang w:val="en-US" w:eastAsia="zh-CN"/>
                    </w:rPr>
                    <w:t>可进入污水处理厂深度处理达</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u w:val="none"/>
                      <w:vertAlign w:val="baseline"/>
                      <w:lang w:val="en-US" w:eastAsia="zh-CN"/>
                    </w:rPr>
                  </w:pPr>
                  <w:r>
                    <w:rPr>
                      <w:rFonts w:hint="default" w:eastAsia="宋体" w:cs="Times New Roman"/>
                      <w:color w:val="auto"/>
                      <w:sz w:val="18"/>
                      <w:szCs w:val="18"/>
                      <w:highlight w:val="none"/>
                      <w:u w:val="none"/>
                      <w:vertAlign w:val="baseline"/>
                      <w:lang w:val="en-US" w:eastAsia="zh-CN"/>
                    </w:rPr>
                    <w:t>标后外排新田河。</w:t>
                  </w:r>
                </w:p>
              </w:tc>
              <w:tc>
                <w:tcPr>
                  <w:tcW w:w="1583"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u w:val="none"/>
                      <w:vertAlign w:val="baseline"/>
                      <w:lang w:val="en-US" w:eastAsia="zh-CN"/>
                    </w:rPr>
                  </w:pPr>
                  <w:r>
                    <w:rPr>
                      <w:rFonts w:hint="default" w:eastAsia="宋体" w:cs="Times New Roman"/>
                      <w:color w:val="auto"/>
                      <w:sz w:val="18"/>
                      <w:szCs w:val="18"/>
                      <w:highlight w:val="none"/>
                      <w:u w:val="none"/>
                      <w:vertAlign w:val="baseline"/>
                      <w:lang w:val="en-US" w:eastAsia="zh-CN"/>
                    </w:rPr>
                    <w:t>本项目运营期</w:t>
                  </w:r>
                  <w:r>
                    <w:rPr>
                      <w:rFonts w:hint="eastAsia" w:cs="Times New Roman"/>
                      <w:color w:val="auto"/>
                      <w:sz w:val="18"/>
                      <w:szCs w:val="18"/>
                      <w:highlight w:val="none"/>
                      <w:u w:val="none"/>
                      <w:vertAlign w:val="baseline"/>
                      <w:lang w:val="en-US" w:eastAsia="zh-CN"/>
                    </w:rPr>
                    <w:t>近期内处理后水量不外排，全部进行回用，远期部分回用后多余水量</w:t>
                  </w:r>
                  <w:r>
                    <w:rPr>
                      <w:rFonts w:hint="default" w:eastAsia="宋体" w:cs="Times New Roman"/>
                      <w:color w:val="auto"/>
                      <w:sz w:val="18"/>
                      <w:szCs w:val="18"/>
                      <w:highlight w:val="none"/>
                      <w:u w:val="none"/>
                      <w:vertAlign w:val="baseline"/>
                      <w:lang w:val="en-US" w:eastAsia="zh-CN"/>
                    </w:rPr>
                    <w:t>经预处理达到污水处理厂进水水质后纳入新田县南部新城工业园污水处理厂集中处理。</w:t>
                  </w:r>
                </w:p>
              </w:tc>
              <w:tc>
                <w:tcPr>
                  <w:tcW w:w="38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center"/>
                    <w:textAlignment w:val="auto"/>
                    <w:rPr>
                      <w:rFonts w:hint="default" w:eastAsia="宋体" w:cs="Times New Roman"/>
                      <w:color w:val="auto"/>
                      <w:sz w:val="18"/>
                      <w:szCs w:val="18"/>
                      <w:highlight w:val="none"/>
                      <w:u w:val="none"/>
                      <w:vertAlign w:val="baseline"/>
                      <w:lang w:val="en-US" w:eastAsia="zh-CN"/>
                    </w:rPr>
                  </w:pPr>
                  <w:r>
                    <w:rPr>
                      <w:rFonts w:hint="default" w:eastAsia="宋体" w:cs="Times New Roman"/>
                      <w:color w:val="auto"/>
                      <w:sz w:val="18"/>
                      <w:szCs w:val="18"/>
                      <w:highlight w:val="none"/>
                      <w:u w:val="none"/>
                      <w:vertAlign w:val="baseli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73" w:type="pct"/>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center"/>
                    <w:textAlignment w:val="auto"/>
                    <w:rPr>
                      <w:rFonts w:hint="default" w:eastAsia="宋体" w:cs="Times New Roman"/>
                      <w:color w:val="auto"/>
                      <w:sz w:val="18"/>
                      <w:szCs w:val="18"/>
                      <w:highlight w:val="none"/>
                      <w:u w:val="none"/>
                      <w:vertAlign w:val="baseline"/>
                      <w:lang w:val="en-US" w:eastAsia="zh-CN"/>
                    </w:rPr>
                  </w:pPr>
                </w:p>
              </w:tc>
              <w:tc>
                <w:tcPr>
                  <w:tcW w:w="554" w:type="pct"/>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u w:val="none"/>
                      <w:vertAlign w:val="baseline"/>
                      <w:lang w:val="en-US" w:eastAsia="zh-CN"/>
                    </w:rPr>
                  </w:pPr>
                </w:p>
              </w:tc>
              <w:tc>
                <w:tcPr>
                  <w:tcW w:w="2005"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u w:val="none"/>
                      <w:vertAlign w:val="baseline"/>
                      <w:lang w:val="en-US" w:eastAsia="zh-CN"/>
                    </w:rPr>
                  </w:pPr>
                  <w:r>
                    <w:rPr>
                      <w:rFonts w:hint="default" w:eastAsia="宋体" w:cs="Times New Roman"/>
                      <w:color w:val="auto"/>
                      <w:sz w:val="18"/>
                      <w:szCs w:val="18"/>
                      <w:highlight w:val="none"/>
                      <w:u w:val="none"/>
                      <w:vertAlign w:val="baseline"/>
                      <w:lang w:val="en-US" w:eastAsia="zh-CN"/>
                    </w:rPr>
                    <w:t>优化能源结构，推动清洁能源替代，加强对园区大气污染物特别是VOCs的防治，采取有效措施减少污染物排放总量，严格控制无组织排放。</w:t>
                  </w:r>
                </w:p>
              </w:tc>
              <w:tc>
                <w:tcPr>
                  <w:tcW w:w="1583"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u w:val="none"/>
                      <w:vertAlign w:val="baseline"/>
                      <w:lang w:val="en-US" w:eastAsia="zh-CN"/>
                    </w:rPr>
                  </w:pPr>
                  <w:r>
                    <w:rPr>
                      <w:rFonts w:hint="default" w:eastAsia="宋体" w:cs="Times New Roman"/>
                      <w:color w:val="auto"/>
                      <w:sz w:val="18"/>
                      <w:szCs w:val="18"/>
                      <w:highlight w:val="none"/>
                      <w:u w:val="none"/>
                      <w:vertAlign w:val="baseline"/>
                      <w:lang w:val="en-US" w:eastAsia="zh-CN"/>
                    </w:rPr>
                    <w:t>本项目厂内不设燃煤设施。生产过程中供电由</w:t>
                  </w:r>
                  <w:r>
                    <w:rPr>
                      <w:rFonts w:hint="eastAsia" w:eastAsia="宋体" w:cs="Times New Roman"/>
                      <w:color w:val="auto"/>
                      <w:sz w:val="18"/>
                      <w:szCs w:val="18"/>
                      <w:highlight w:val="none"/>
                      <w:u w:val="none"/>
                      <w:vertAlign w:val="baseline"/>
                      <w:lang w:val="en-US" w:eastAsia="zh-CN"/>
                    </w:rPr>
                    <w:t>公司</w:t>
                  </w:r>
                  <w:r>
                    <w:rPr>
                      <w:rFonts w:hint="default" w:eastAsia="宋体" w:cs="Times New Roman"/>
                      <w:color w:val="auto"/>
                      <w:sz w:val="18"/>
                      <w:szCs w:val="18"/>
                      <w:highlight w:val="none"/>
                      <w:u w:val="none"/>
                      <w:vertAlign w:val="baseline"/>
                      <w:lang w:val="en-US" w:eastAsia="zh-CN"/>
                    </w:rPr>
                    <w:t>配套生物质热电厂提供。</w:t>
                  </w:r>
                </w:p>
              </w:tc>
              <w:tc>
                <w:tcPr>
                  <w:tcW w:w="38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center"/>
                    <w:textAlignment w:val="auto"/>
                    <w:rPr>
                      <w:rFonts w:hint="default" w:eastAsia="宋体" w:cs="Times New Roman"/>
                      <w:color w:val="auto"/>
                      <w:sz w:val="18"/>
                      <w:szCs w:val="18"/>
                      <w:highlight w:val="none"/>
                      <w:u w:val="none"/>
                      <w:vertAlign w:val="baseline"/>
                      <w:lang w:val="en-US" w:eastAsia="zh-CN"/>
                    </w:rPr>
                  </w:pPr>
                  <w:r>
                    <w:rPr>
                      <w:rFonts w:hint="default" w:eastAsia="宋体" w:cs="Times New Roman"/>
                      <w:color w:val="auto"/>
                      <w:sz w:val="18"/>
                      <w:szCs w:val="18"/>
                      <w:highlight w:val="none"/>
                      <w:u w:val="none"/>
                      <w:vertAlign w:val="baseli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73" w:type="pct"/>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center"/>
                    <w:textAlignment w:val="auto"/>
                    <w:rPr>
                      <w:rFonts w:hint="default" w:eastAsia="宋体" w:cs="Times New Roman"/>
                      <w:color w:val="auto"/>
                      <w:sz w:val="18"/>
                      <w:szCs w:val="18"/>
                      <w:highlight w:val="none"/>
                      <w:u w:val="none"/>
                      <w:vertAlign w:val="baseline"/>
                      <w:lang w:val="en-US" w:eastAsia="zh-CN"/>
                    </w:rPr>
                  </w:pPr>
                </w:p>
              </w:tc>
              <w:tc>
                <w:tcPr>
                  <w:tcW w:w="554" w:type="pct"/>
                  <w:vMerge w:val="continu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u w:val="none"/>
                      <w:vertAlign w:val="baseline"/>
                      <w:lang w:val="en-US" w:eastAsia="zh-CN"/>
                    </w:rPr>
                  </w:pPr>
                </w:p>
              </w:tc>
              <w:tc>
                <w:tcPr>
                  <w:tcW w:w="2005"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u w:val="none"/>
                      <w:vertAlign w:val="baseline"/>
                      <w:lang w:val="en-US" w:eastAsia="zh-CN"/>
                    </w:rPr>
                  </w:pPr>
                  <w:r>
                    <w:rPr>
                      <w:rFonts w:hint="default" w:eastAsia="宋体" w:cs="Times New Roman"/>
                      <w:color w:val="auto"/>
                      <w:sz w:val="18"/>
                      <w:szCs w:val="18"/>
                      <w:highlight w:val="none"/>
                      <w:u w:val="none"/>
                      <w:vertAlign w:val="baseline"/>
                      <w:lang w:val="en-US" w:eastAsia="zh-CN"/>
                    </w:rPr>
                    <w:t>做好工业固体废物和生活垃圾</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u w:val="none"/>
                      <w:vertAlign w:val="baseline"/>
                      <w:lang w:val="en-US" w:eastAsia="zh-CN"/>
                    </w:rPr>
                  </w:pPr>
                  <w:r>
                    <w:rPr>
                      <w:rFonts w:hint="default" w:eastAsia="宋体" w:cs="Times New Roman"/>
                      <w:color w:val="auto"/>
                      <w:sz w:val="18"/>
                      <w:szCs w:val="18"/>
                      <w:highlight w:val="none"/>
                      <w:u w:val="none"/>
                      <w:vertAlign w:val="baseline"/>
                      <w:lang w:val="en-US" w:eastAsia="zh-CN"/>
                    </w:rPr>
                    <w:t>的分类收集、转运、综合利用和无害化处理，建立完善的固废管理体系。对危险固废应严格按照国家有关规定综合利用或妥善处置，对危险废物产生企业和经营单位，应强化日常环境监管。</w:t>
                  </w:r>
                </w:p>
              </w:tc>
              <w:tc>
                <w:tcPr>
                  <w:tcW w:w="1583"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u w:val="none"/>
                      <w:vertAlign w:val="baseline"/>
                      <w:lang w:val="en-US" w:eastAsia="zh-CN"/>
                    </w:rPr>
                  </w:pPr>
                  <w:r>
                    <w:rPr>
                      <w:rFonts w:hint="default" w:eastAsia="宋体" w:cs="Times New Roman"/>
                      <w:color w:val="auto"/>
                      <w:sz w:val="18"/>
                      <w:szCs w:val="18"/>
                      <w:highlight w:val="none"/>
                      <w:u w:val="none"/>
                      <w:vertAlign w:val="baseline"/>
                      <w:lang w:val="en-US" w:eastAsia="zh-CN"/>
                    </w:rPr>
                    <w:t>本项目运营期间产生的固体废物采取分类收集、分类处置的方式。严格落实各类危险废物的收集、暂存及委外处置的措施。</w:t>
                  </w:r>
                </w:p>
              </w:tc>
              <w:tc>
                <w:tcPr>
                  <w:tcW w:w="38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center"/>
                    <w:textAlignment w:val="auto"/>
                    <w:rPr>
                      <w:rFonts w:hint="default" w:eastAsia="宋体" w:cs="Times New Roman"/>
                      <w:color w:val="auto"/>
                      <w:sz w:val="18"/>
                      <w:szCs w:val="18"/>
                      <w:highlight w:val="none"/>
                      <w:u w:val="none"/>
                      <w:vertAlign w:val="baseline"/>
                      <w:lang w:val="en-US" w:eastAsia="zh-CN"/>
                    </w:rPr>
                  </w:pPr>
                  <w:r>
                    <w:rPr>
                      <w:rFonts w:hint="default" w:eastAsia="宋体" w:cs="Times New Roman"/>
                      <w:color w:val="auto"/>
                      <w:sz w:val="18"/>
                      <w:szCs w:val="18"/>
                      <w:highlight w:val="none"/>
                      <w:u w:val="none"/>
                      <w:vertAlign w:val="baseline"/>
                      <w:lang w:val="en-US" w:eastAsia="zh-CN"/>
                    </w:rPr>
                    <w:t>符合</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eastAsia="宋体" w:cs="宋体"/>
                <w:color w:val="auto"/>
                <w:kern w:val="0"/>
                <w:sz w:val="24"/>
                <w:u w:val="none"/>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968" w:type="dxa"/>
            <w:noWrap w:val="0"/>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cs="宋体"/>
                <w:color w:val="auto"/>
                <w:kern w:val="0"/>
                <w:sz w:val="24"/>
              </w:rPr>
            </w:pPr>
            <w:r>
              <w:rPr>
                <w:rFonts w:hint="eastAsia" w:cs="宋体"/>
                <w:color w:val="auto"/>
                <w:kern w:val="0"/>
                <w:sz w:val="24"/>
              </w:rPr>
              <w:t>其他符合性分析</w:t>
            </w:r>
          </w:p>
        </w:tc>
        <w:tc>
          <w:tcPr>
            <w:tcW w:w="7103" w:type="dxa"/>
            <w:gridSpan w:val="3"/>
            <w:noWrap w:val="0"/>
            <w:vAlign w:val="center"/>
          </w:tcPr>
          <w:p>
            <w:pPr>
              <w:keepNext w:val="0"/>
              <w:keepLines w:val="0"/>
              <w:suppressLineNumbers w:val="0"/>
              <w:spacing w:before="0" w:beforeAutospacing="0" w:after="0" w:afterAutospacing="0" w:line="360" w:lineRule="auto"/>
              <w:ind w:left="0" w:right="0" w:firstLine="482" w:firstLineChars="200"/>
              <w:rPr>
                <w:rFonts w:hint="eastAsia"/>
                <w:b/>
                <w:bCs/>
                <w:color w:val="auto"/>
                <w:sz w:val="24"/>
              </w:rPr>
            </w:pPr>
            <w:r>
              <w:rPr>
                <w:rFonts w:hint="eastAsia"/>
                <w:b/>
                <w:bCs/>
                <w:color w:val="auto"/>
                <w:sz w:val="24"/>
              </w:rPr>
              <w:t>1、产业政策符合性分析</w:t>
            </w:r>
          </w:p>
          <w:p>
            <w:pPr>
              <w:keepNext w:val="0"/>
              <w:keepLines w:val="0"/>
              <w:suppressLineNumbers w:val="0"/>
              <w:spacing w:before="0" w:beforeAutospacing="0" w:after="0" w:afterAutospacing="0" w:line="360" w:lineRule="auto"/>
              <w:ind w:left="0" w:right="0" w:firstLine="480" w:firstLineChars="200"/>
              <w:rPr>
                <w:rFonts w:hint="eastAsia"/>
                <w:color w:val="auto"/>
                <w:sz w:val="24"/>
              </w:rPr>
            </w:pPr>
            <w:r>
              <w:rPr>
                <w:rFonts w:hint="eastAsia"/>
                <w:color w:val="auto"/>
                <w:sz w:val="24"/>
              </w:rPr>
              <w:t>本项目不属于</w:t>
            </w:r>
            <w:r>
              <w:rPr>
                <w:rFonts w:hint="eastAsia"/>
                <w:color w:val="auto"/>
                <w:sz w:val="24"/>
                <w:u w:val="single"/>
              </w:rPr>
              <w:t>《产业结构调整指导目录（2024年本）》</w:t>
            </w:r>
            <w:r>
              <w:rPr>
                <w:rFonts w:hint="eastAsia"/>
                <w:color w:val="auto"/>
                <w:sz w:val="24"/>
              </w:rPr>
              <w:t>中鼓励类、限制类和淘汰类的范围，为允许建设的项目，项目选用设备型号不在</w:t>
            </w:r>
            <w:r>
              <w:rPr>
                <w:rFonts w:hint="eastAsia"/>
                <w:color w:val="auto"/>
                <w:sz w:val="24"/>
                <w:u w:val="single"/>
              </w:rPr>
              <w:t>《产业结构调整指导目录（2024年本）》</w:t>
            </w:r>
            <w:r>
              <w:rPr>
                <w:rFonts w:hint="eastAsia"/>
                <w:color w:val="auto"/>
                <w:sz w:val="24"/>
              </w:rPr>
              <w:t>限制类和淘汰类之列，符合国家产业政策。</w:t>
            </w:r>
            <w:r>
              <w:rPr>
                <w:rFonts w:hint="eastAsia"/>
                <w:color w:val="auto"/>
                <w:sz w:val="24"/>
                <w:lang w:val="en-US" w:eastAsia="zh-CN"/>
              </w:rPr>
              <w:t>且本项目已于2023年7月2日通过“湖南省工程建设项目审批管理系统”申报，项目代码：</w:t>
            </w:r>
            <w:r>
              <w:rPr>
                <w:rFonts w:hint="eastAsia" w:cs="宋体"/>
                <w:color w:val="auto"/>
                <w:sz w:val="24"/>
                <w:lang w:val="en-US" w:eastAsia="zh-CN"/>
              </w:rPr>
              <w:t>2307—431128—04-01—343238，也于2023年7月3日在新田县发展和改革局进行了备案，备案号：新发改备案[2023]31号。</w:t>
            </w:r>
            <w:r>
              <w:rPr>
                <w:rFonts w:hint="eastAsia"/>
                <w:color w:val="auto"/>
                <w:sz w:val="24"/>
              </w:rPr>
              <w:t>因此，本项目符合国家、地方产业政策。</w:t>
            </w:r>
          </w:p>
          <w:p>
            <w:pPr>
              <w:keepNext w:val="0"/>
              <w:keepLines w:val="0"/>
              <w:suppressLineNumbers w:val="0"/>
              <w:spacing w:before="0" w:beforeAutospacing="0" w:after="0" w:afterAutospacing="0" w:line="360" w:lineRule="auto"/>
              <w:ind w:left="0" w:right="0" w:firstLine="482" w:firstLineChars="200"/>
              <w:rPr>
                <w:rFonts w:hint="eastAsia"/>
                <w:b/>
                <w:bCs/>
                <w:color w:val="auto"/>
                <w:sz w:val="24"/>
              </w:rPr>
            </w:pPr>
          </w:p>
          <w:p>
            <w:pPr>
              <w:keepNext w:val="0"/>
              <w:keepLines w:val="0"/>
              <w:suppressLineNumbers w:val="0"/>
              <w:spacing w:before="0" w:beforeAutospacing="0" w:after="0" w:afterAutospacing="0" w:line="360" w:lineRule="auto"/>
              <w:ind w:left="0" w:right="0" w:firstLine="482" w:firstLineChars="200"/>
              <w:rPr>
                <w:rFonts w:hint="eastAsia"/>
                <w:b/>
                <w:bCs/>
                <w:color w:val="auto"/>
                <w:sz w:val="24"/>
              </w:rPr>
            </w:pPr>
            <w:r>
              <w:rPr>
                <w:rFonts w:hint="eastAsia"/>
                <w:b/>
                <w:bCs/>
                <w:color w:val="auto"/>
                <w:sz w:val="24"/>
              </w:rPr>
              <w:t>2、“三线一单”符合性分析</w:t>
            </w:r>
          </w:p>
          <w:p>
            <w:pPr>
              <w:keepNext w:val="0"/>
              <w:keepLines w:val="0"/>
              <w:suppressLineNumbers w:val="0"/>
              <w:spacing w:before="0" w:beforeAutospacing="0" w:after="0" w:afterAutospacing="0" w:line="360" w:lineRule="auto"/>
              <w:ind w:left="0" w:right="0" w:firstLine="480" w:firstLineChars="200"/>
              <w:rPr>
                <w:rFonts w:hint="eastAsia" w:eastAsia="宋体"/>
                <w:color w:val="auto"/>
                <w:sz w:val="24"/>
                <w:lang w:eastAsia="zh-CN"/>
              </w:rPr>
            </w:pPr>
            <w:r>
              <w:rPr>
                <w:rFonts w:hint="eastAsia"/>
                <w:color w:val="auto"/>
                <w:sz w:val="24"/>
              </w:rPr>
              <w:t>本项目选址位于新田工业集中区调区扩区范围内，根据调查可知，项目四周均为园区规划用地</w:t>
            </w:r>
            <w:r>
              <w:rPr>
                <w:rFonts w:hint="eastAsia"/>
                <w:color w:val="auto"/>
                <w:sz w:val="24"/>
                <w:lang w:eastAsia="zh-CN"/>
              </w:rPr>
              <w:t>。根据《湖南省人民政府关于实施“三线一单”生态环境分区管控的意见》（湘政发〔2020〕12号）等文件可知，本项目</w:t>
            </w:r>
            <w:r>
              <w:rPr>
                <w:rFonts w:hint="eastAsia"/>
                <w:color w:val="auto"/>
                <w:sz w:val="24"/>
                <w:lang w:val="en-US" w:eastAsia="zh-CN"/>
              </w:rPr>
              <w:t>所在的</w:t>
            </w:r>
            <w:r>
              <w:rPr>
                <w:rFonts w:hint="eastAsia"/>
                <w:color w:val="auto"/>
                <w:sz w:val="24"/>
              </w:rPr>
              <w:t>新田工业集中区</w:t>
            </w:r>
            <w:r>
              <w:rPr>
                <w:rFonts w:hint="eastAsia"/>
                <w:color w:val="auto"/>
                <w:sz w:val="24"/>
                <w:lang w:eastAsia="zh-CN"/>
              </w:rPr>
              <w:t>属于重点管控单元（环境管控单元编码为：ZH43112820004）。</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1</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生态红线</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根据《湖南省湖南省“三线一单”生态环境总体管控要求暨省级以上产业园区生态环境准入清单》（2020年11月发布）中湖南省</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eastAsia="zh-CN"/>
              </w:rPr>
              <w:t>三线一单</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eastAsia="zh-CN"/>
              </w:rPr>
              <w:t>生态环境总体管控要求：生态保护红线是生态空间范围内具有特殊重要生态功能、必须强制性严格保护的区域。生态保护红线内，自然保护地核心保护区原则上禁止人为活动，其他区域严格禁止开发性、生产性建设活动，在符合现行法律法规前提下，除国家重大战略项目外，仅允许对生态功能不造成破坏的有限人为活动；生态保护红线内的国家公园、自然保护区、风景名胜区、森林公园、地质公园、世界自然遗产、湿地公园、石漠公园、饮用水水源保护区等各类自然保护地还应执行现有法律、法规、规章及自然资源部、国家林业和草原局《关于做好自然保护区范围及功能分区优化调整前期工作的函》等相关规定；国家公园和自然保护区实行分区管控，原则上核心保护区内禁止人为活动，一般控制区内限制人为活动。</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本项目位于</w:t>
            </w:r>
            <w:r>
              <w:rPr>
                <w:rFonts w:hint="default" w:ascii="Times New Roman" w:hAnsi="Times New Roman" w:eastAsia="宋体" w:cs="Times New Roman"/>
                <w:color w:val="auto"/>
                <w:sz w:val="24"/>
                <w:lang w:val="en-US" w:eastAsia="zh-CN"/>
              </w:rPr>
              <w:t>湖南省永州市</w:t>
            </w:r>
            <w:r>
              <w:rPr>
                <w:rFonts w:hint="eastAsia" w:cs="宋体"/>
                <w:color w:val="auto"/>
                <w:sz w:val="24"/>
              </w:rPr>
              <w:t>新田县龙泉街道工业集中区工业南园</w:t>
            </w:r>
            <w:r>
              <w:rPr>
                <w:rFonts w:hint="default" w:ascii="Times New Roman" w:hAnsi="Times New Roman" w:eastAsia="宋体" w:cs="Times New Roman"/>
                <w:color w:val="auto"/>
                <w:sz w:val="24"/>
                <w:lang w:eastAsia="zh-CN"/>
              </w:rPr>
              <w:t>，根据《湖南省人民政府关于印发&lt;湖南省生态保护红线&gt;的通知》（湘政发〔2018〕20号），本项目不在生态保护红线范围内。</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2</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eastAsia="zh-CN"/>
              </w:rPr>
              <w:t>环境质量底线</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本项目所在区域空气质量为《环境空气质量标准》（GB3095-2012）二级，地表水环境质量为《地表水环境质量标准》（GB3838-2002）Ⅲ类，声环境质量为《声环境质量标准》（GB3096-2008）3类。本项目产生的</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eastAsia="zh-CN"/>
              </w:rPr>
              <w:t>三废</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eastAsia="zh-CN"/>
              </w:rPr>
              <w:t>均能有效处理，采取相应治理措施后可达标排放。因此本项目建设不会对当地环境质量底线造成冲击。</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3</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eastAsia="zh-CN"/>
              </w:rPr>
              <w:t>与资源利用上线的对照分析</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本项目运营过程中不可避免会消耗一定量的电、水资源，通过内部管理、节能器材的选用、污染治理等多方面防治措施相结合，以“节能、降耗、减污”为目标，有效地控制能耗和污染。项目的水、电等资源利用不会突破区域的资源利用上线。</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4</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eastAsia="zh-CN"/>
              </w:rPr>
              <w:t>环境准入负面清单</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lang w:val="zh-CN" w:eastAsia="zh-CN"/>
              </w:rPr>
              <w:t>经核查《湖南省国家重点生态功能区产业准入负面清单（试行）》（湘发改规划[2016]659号）中《新田县产业准入负面清单》，本项目所从事的生产内容均不属于其中所列的禁止、限制类项目。项目符合国家及地方产业政策，未被列入环境准入负面清单。项目采取有效三废处理措施，符合区域总体规划、产业定位及环保规划要求。</w:t>
            </w:r>
          </w:p>
          <w:p>
            <w:pPr>
              <w:keepNext w:val="0"/>
              <w:keepLines w:val="0"/>
              <w:suppressLineNumbers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b/>
                <w:bCs/>
                <w:color w:val="auto"/>
                <w:kern w:val="0"/>
                <w:sz w:val="21"/>
                <w:u w:val="none"/>
              </w:rPr>
            </w:pPr>
            <w:r>
              <w:rPr>
                <w:rFonts w:hint="default" w:ascii="Times New Roman" w:hAnsi="Times New Roman" w:eastAsia="宋体" w:cs="Times New Roman"/>
                <w:b/>
                <w:bCs/>
                <w:color w:val="auto"/>
                <w:kern w:val="0"/>
                <w:sz w:val="21"/>
                <w:u w:val="none"/>
              </w:rPr>
              <w:t>表1-2省级“三线一单”关于新田工业集中区相关管控要求</w:t>
            </w:r>
          </w:p>
          <w:tbl>
            <w:tblPr>
              <w:tblStyle w:val="29"/>
              <w:tblW w:w="5043"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55"/>
              <w:gridCol w:w="3638"/>
              <w:gridCol w:w="2094"/>
              <w:gridCol w:w="5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473"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center"/>
                    <w:textAlignment w:val="auto"/>
                    <w:rPr>
                      <w:rFonts w:hint="default" w:eastAsia="宋体" w:cs="Times New Roman"/>
                      <w:color w:val="auto"/>
                      <w:sz w:val="18"/>
                      <w:szCs w:val="18"/>
                      <w:highlight w:val="none"/>
                      <w:vertAlign w:val="baseline"/>
                      <w:lang w:val="en-US" w:eastAsia="zh-CN"/>
                    </w:rPr>
                  </w:pPr>
                  <w:r>
                    <w:rPr>
                      <w:rFonts w:hint="default" w:eastAsia="宋体" w:cs="Times New Roman"/>
                      <w:color w:val="auto"/>
                      <w:sz w:val="18"/>
                      <w:szCs w:val="18"/>
                      <w:highlight w:val="none"/>
                      <w:vertAlign w:val="baseline"/>
                      <w:lang w:val="en-US" w:eastAsia="zh-CN"/>
                    </w:rPr>
                    <w:t>管控维度</w:t>
                  </w:r>
                </w:p>
              </w:tc>
              <w:tc>
                <w:tcPr>
                  <w:tcW w:w="2630"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center"/>
                    <w:textAlignment w:val="auto"/>
                    <w:rPr>
                      <w:rFonts w:hint="default" w:eastAsia="宋体" w:cs="Times New Roman"/>
                      <w:color w:val="auto"/>
                      <w:sz w:val="18"/>
                      <w:szCs w:val="18"/>
                      <w:highlight w:val="none"/>
                      <w:vertAlign w:val="baseline"/>
                      <w:lang w:val="en-US" w:eastAsia="zh-CN"/>
                    </w:rPr>
                  </w:pPr>
                  <w:r>
                    <w:rPr>
                      <w:rFonts w:hint="default" w:eastAsia="宋体" w:cs="Times New Roman"/>
                      <w:color w:val="auto"/>
                      <w:sz w:val="18"/>
                      <w:szCs w:val="18"/>
                      <w:highlight w:val="none"/>
                      <w:vertAlign w:val="baseline"/>
                      <w:lang w:val="en-US" w:eastAsia="zh-CN"/>
                    </w:rPr>
                    <w:t>清单中管控要求</w:t>
                  </w:r>
                </w:p>
              </w:tc>
              <w:tc>
                <w:tcPr>
                  <w:tcW w:w="1513"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center"/>
                    <w:textAlignment w:val="auto"/>
                    <w:rPr>
                      <w:rFonts w:hint="default" w:eastAsia="宋体" w:cs="Times New Roman"/>
                      <w:color w:val="auto"/>
                      <w:sz w:val="18"/>
                      <w:szCs w:val="18"/>
                      <w:highlight w:val="none"/>
                      <w:vertAlign w:val="baseline"/>
                      <w:lang w:val="en-US" w:eastAsia="zh-CN"/>
                    </w:rPr>
                  </w:pPr>
                  <w:r>
                    <w:rPr>
                      <w:rFonts w:hint="default" w:eastAsia="宋体" w:cs="Times New Roman"/>
                      <w:color w:val="auto"/>
                      <w:sz w:val="18"/>
                      <w:szCs w:val="18"/>
                      <w:highlight w:val="none"/>
                      <w:vertAlign w:val="baseline"/>
                      <w:lang w:val="en-US" w:eastAsia="zh-CN"/>
                    </w:rPr>
                    <w:t>本项目符合情况</w:t>
                  </w:r>
                </w:p>
              </w:tc>
              <w:tc>
                <w:tcPr>
                  <w:tcW w:w="38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center"/>
                    <w:textAlignment w:val="auto"/>
                    <w:rPr>
                      <w:rFonts w:hint="default" w:eastAsia="宋体" w:cs="Times New Roman"/>
                      <w:color w:val="auto"/>
                      <w:sz w:val="18"/>
                      <w:szCs w:val="18"/>
                      <w:highlight w:val="none"/>
                      <w:vertAlign w:val="baseline"/>
                      <w:lang w:val="en-US" w:eastAsia="zh-CN"/>
                    </w:rPr>
                  </w:pPr>
                  <w:r>
                    <w:rPr>
                      <w:rFonts w:hint="default" w:eastAsia="宋体" w:cs="Times New Roman"/>
                      <w:color w:val="auto"/>
                      <w:sz w:val="18"/>
                      <w:szCs w:val="18"/>
                      <w:highlight w:val="none"/>
                      <w:vertAlign w:val="baseline"/>
                      <w:lang w:val="en-US" w:eastAsia="zh-CN"/>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473"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center"/>
                    <w:textAlignment w:val="auto"/>
                    <w:rPr>
                      <w:rFonts w:hint="default" w:eastAsia="宋体" w:cs="Times New Roman"/>
                      <w:color w:val="auto"/>
                      <w:sz w:val="18"/>
                      <w:szCs w:val="18"/>
                      <w:highlight w:val="none"/>
                      <w:vertAlign w:val="baseline"/>
                      <w:lang w:val="en-US" w:eastAsia="zh-CN"/>
                    </w:rPr>
                  </w:pPr>
                  <w:r>
                    <w:rPr>
                      <w:rFonts w:hint="default" w:eastAsia="宋体" w:cs="Times New Roman"/>
                      <w:color w:val="auto"/>
                      <w:sz w:val="18"/>
                      <w:szCs w:val="18"/>
                      <w:highlight w:val="none"/>
                      <w:vertAlign w:val="baseline"/>
                      <w:lang w:val="en-US" w:eastAsia="zh-CN"/>
                    </w:rPr>
                    <w:t>空间布局约束</w:t>
                  </w:r>
                </w:p>
              </w:tc>
              <w:tc>
                <w:tcPr>
                  <w:tcW w:w="2630"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u w:val="single"/>
                      <w:vertAlign w:val="baseline"/>
                      <w:lang w:val="en-US" w:eastAsia="zh-CN"/>
                    </w:rPr>
                  </w:pPr>
                  <w:r>
                    <w:rPr>
                      <w:rFonts w:hint="default" w:eastAsia="宋体" w:cs="Times New Roman"/>
                      <w:color w:val="auto"/>
                      <w:sz w:val="18"/>
                      <w:szCs w:val="18"/>
                      <w:highlight w:val="none"/>
                      <w:u w:val="single"/>
                      <w:vertAlign w:val="baseline"/>
                      <w:lang w:val="en-US" w:eastAsia="zh-CN"/>
                    </w:rPr>
                    <w:t>（1.1）集中区引入项目应符合</w:t>
                  </w:r>
                  <w:r>
                    <w:rPr>
                      <w:rFonts w:hint="eastAsia" w:eastAsia="宋体" w:cs="Times New Roman"/>
                      <w:color w:val="auto"/>
                      <w:sz w:val="18"/>
                      <w:szCs w:val="18"/>
                      <w:highlight w:val="none"/>
                      <w:u w:val="single"/>
                      <w:vertAlign w:val="baseline"/>
                      <w:lang w:val="en-US" w:eastAsia="zh-CN"/>
                    </w:rPr>
                    <w:t>“</w:t>
                  </w:r>
                  <w:r>
                    <w:rPr>
                      <w:rFonts w:hint="default" w:eastAsia="宋体" w:cs="Times New Roman"/>
                      <w:color w:val="auto"/>
                      <w:sz w:val="18"/>
                      <w:szCs w:val="18"/>
                      <w:highlight w:val="none"/>
                      <w:u w:val="single"/>
                      <w:vertAlign w:val="baseline"/>
                      <w:lang w:val="en-US" w:eastAsia="zh-CN"/>
                    </w:rPr>
                    <w:t>新田县产业准入负面清单</w:t>
                  </w:r>
                  <w:r>
                    <w:rPr>
                      <w:rFonts w:hint="eastAsia" w:eastAsia="宋体" w:cs="Times New Roman"/>
                      <w:color w:val="auto"/>
                      <w:sz w:val="18"/>
                      <w:szCs w:val="18"/>
                      <w:highlight w:val="none"/>
                      <w:u w:val="single"/>
                      <w:vertAlign w:val="baseline"/>
                      <w:lang w:val="en-US" w:eastAsia="zh-CN"/>
                    </w:rPr>
                    <w:t>”</w:t>
                  </w:r>
                  <w:r>
                    <w:rPr>
                      <w:rFonts w:hint="default" w:eastAsia="宋体" w:cs="Times New Roman"/>
                      <w:color w:val="auto"/>
                      <w:sz w:val="18"/>
                      <w:szCs w:val="18"/>
                      <w:highlight w:val="none"/>
                      <w:u w:val="single"/>
                      <w:vertAlign w:val="baseline"/>
                      <w:lang w:val="en-US" w:eastAsia="zh-CN"/>
                    </w:rPr>
                    <w:t>的有关规定。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u w:val="single"/>
                      <w:vertAlign w:val="baseline"/>
                      <w:lang w:val="en-US" w:eastAsia="zh-CN"/>
                    </w:rPr>
                  </w:pPr>
                  <w:r>
                    <w:rPr>
                      <w:rFonts w:hint="default" w:eastAsia="宋体" w:cs="Times New Roman"/>
                      <w:color w:val="auto"/>
                      <w:sz w:val="18"/>
                      <w:szCs w:val="18"/>
                      <w:highlight w:val="none"/>
                      <w:u w:val="single"/>
                      <w:vertAlign w:val="baseline"/>
                      <w:lang w:val="en-US" w:eastAsia="zh-CN"/>
                    </w:rPr>
                    <w:t>（1.2）园区仅允许发展一、二类工业，禁止引进和建设三类工业；禁止引进和建设三类工业，按照园区主导产业定位要求，限制农产品初加工、半导体器件生产（前工序）项目进入；禁止建设印染、印刷电路板、半导体材料制造、电池生产、集成电路芯片（封装）、集成电路芯片（清洗前工序）、玻壳、电真空器件生产项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u w:val="single"/>
                      <w:vertAlign w:val="baseline"/>
                      <w:lang w:val="en-US" w:eastAsia="zh-CN"/>
                    </w:rPr>
                  </w:pPr>
                  <w:r>
                    <w:rPr>
                      <w:rFonts w:hint="default" w:eastAsia="宋体" w:cs="Times New Roman"/>
                      <w:color w:val="auto"/>
                      <w:sz w:val="18"/>
                      <w:szCs w:val="18"/>
                      <w:highlight w:val="none"/>
                      <w:u w:val="single"/>
                      <w:vertAlign w:val="baseline"/>
                      <w:lang w:val="en-US" w:eastAsia="zh-CN"/>
                    </w:rPr>
                    <w:t>（1.3）严格限制大气污染物排放量较大的企业，防止对县城空气质量产生不利影响。</w:t>
                  </w:r>
                </w:p>
              </w:tc>
              <w:tc>
                <w:tcPr>
                  <w:tcW w:w="1513"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u w:val="single"/>
                      <w:vertAlign w:val="baseline"/>
                      <w:lang w:val="en-US" w:eastAsia="zh-CN"/>
                    </w:rPr>
                  </w:pPr>
                  <w:r>
                    <w:rPr>
                      <w:rFonts w:hint="default" w:eastAsia="宋体" w:cs="Times New Roman"/>
                      <w:color w:val="auto"/>
                      <w:sz w:val="18"/>
                      <w:szCs w:val="18"/>
                      <w:highlight w:val="none"/>
                      <w:u w:val="single"/>
                      <w:vertAlign w:val="baseline"/>
                      <w:lang w:val="en-US" w:eastAsia="zh-CN"/>
                    </w:rPr>
                    <w:t>本项目为污水处理项目，利用自有空地进行建设，项目建成后可以进一步</w:t>
                  </w:r>
                  <w:r>
                    <w:rPr>
                      <w:rFonts w:hint="eastAsia" w:cs="Times New Roman"/>
                      <w:color w:val="auto"/>
                      <w:sz w:val="18"/>
                      <w:szCs w:val="18"/>
                      <w:highlight w:val="none"/>
                      <w:u w:val="single"/>
                      <w:vertAlign w:val="baseline"/>
                      <w:lang w:val="en-US" w:eastAsia="zh-CN"/>
                    </w:rPr>
                    <w:t>对鲁丽木业产生生产废水进行处理后回用</w:t>
                  </w:r>
                  <w:r>
                    <w:rPr>
                      <w:rFonts w:hint="default" w:eastAsia="宋体" w:cs="Times New Roman"/>
                      <w:color w:val="auto"/>
                      <w:sz w:val="18"/>
                      <w:szCs w:val="18"/>
                      <w:highlight w:val="none"/>
                      <w:u w:val="single"/>
                      <w:vertAlign w:val="baseline"/>
                      <w:lang w:val="en-US" w:eastAsia="zh-CN"/>
                    </w:rPr>
                    <w:t>，减少环境污染。</w:t>
                  </w:r>
                </w:p>
              </w:tc>
              <w:tc>
                <w:tcPr>
                  <w:tcW w:w="38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center"/>
                    <w:textAlignment w:val="auto"/>
                    <w:rPr>
                      <w:rFonts w:hint="default" w:eastAsia="宋体" w:cs="Times New Roman"/>
                      <w:color w:val="auto"/>
                      <w:sz w:val="18"/>
                      <w:szCs w:val="18"/>
                      <w:highlight w:val="none"/>
                      <w:vertAlign w:val="baseline"/>
                      <w:lang w:val="en-US" w:eastAsia="zh-CN"/>
                    </w:rPr>
                  </w:pPr>
                  <w:r>
                    <w:rPr>
                      <w:rFonts w:hint="default" w:eastAsia="宋体" w:cs="Times New Roman"/>
                      <w:color w:val="auto"/>
                      <w:sz w:val="18"/>
                      <w:szCs w:val="18"/>
                      <w:highlight w:val="none"/>
                      <w:vertAlign w:val="baseli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473"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center"/>
                    <w:textAlignment w:val="auto"/>
                    <w:rPr>
                      <w:rFonts w:hint="default" w:eastAsia="宋体" w:cs="Times New Roman"/>
                      <w:color w:val="auto"/>
                      <w:sz w:val="18"/>
                      <w:szCs w:val="18"/>
                      <w:highlight w:val="none"/>
                      <w:vertAlign w:val="baseline"/>
                      <w:lang w:val="en-US" w:eastAsia="zh-CN"/>
                    </w:rPr>
                  </w:pPr>
                  <w:r>
                    <w:rPr>
                      <w:rFonts w:hint="default" w:eastAsia="宋体" w:cs="Times New Roman"/>
                      <w:color w:val="auto"/>
                      <w:sz w:val="18"/>
                      <w:szCs w:val="18"/>
                      <w:highlight w:val="none"/>
                      <w:vertAlign w:val="baseline"/>
                      <w:lang w:val="en-US" w:eastAsia="zh-CN"/>
                    </w:rPr>
                    <w:t>污染物排放管控</w:t>
                  </w:r>
                </w:p>
              </w:tc>
              <w:tc>
                <w:tcPr>
                  <w:tcW w:w="2630"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vertAlign w:val="baseline"/>
                      <w:lang w:val="en-US" w:eastAsia="zh-CN"/>
                    </w:rPr>
                  </w:pPr>
                  <w:r>
                    <w:rPr>
                      <w:rFonts w:hint="default" w:eastAsia="宋体" w:cs="Times New Roman"/>
                      <w:color w:val="auto"/>
                      <w:sz w:val="18"/>
                      <w:szCs w:val="18"/>
                      <w:highlight w:val="none"/>
                      <w:vertAlign w:val="baseline"/>
                      <w:lang w:val="en-US" w:eastAsia="zh-CN"/>
                    </w:rPr>
                    <w:t>（2.1）废水：园区实行雨污分流，废污水依托新田县污水处理厂处理达标后排入新田河；雨水通过雨水管网排入新田河，初期雨水可能产生环境污染的企业应建设初期雨水池。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vertAlign w:val="baseline"/>
                      <w:lang w:val="en-US" w:eastAsia="zh-CN"/>
                    </w:rPr>
                  </w:pPr>
                  <w:r>
                    <w:rPr>
                      <w:rFonts w:hint="default" w:eastAsia="宋体" w:cs="Times New Roman"/>
                      <w:color w:val="auto"/>
                      <w:sz w:val="18"/>
                      <w:szCs w:val="18"/>
                      <w:highlight w:val="none"/>
                      <w:vertAlign w:val="baseline"/>
                      <w:lang w:val="en-US" w:eastAsia="zh-CN"/>
                    </w:rPr>
                    <w:t>（2.2）废气：全面推进工业VOCs综合治理，按要求完成包装印刷、工业涂装、家具制造等重点行业VOCs污染治理。建立VOCs排放清单信息库，完善企业一企一档制度。重点推进水泥等行业炉窑深度治理，特护期按要求实施错峰生产。园区内水泥等行业及涉锅炉大气污染物排放应满足《湖南省生态环境厅关于执行污染物特别排放限值（第一批）的公告》中的要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vertAlign w:val="baseline"/>
                      <w:lang w:val="en-US" w:eastAsia="zh-CN"/>
                    </w:rPr>
                  </w:pPr>
                  <w:r>
                    <w:rPr>
                      <w:rFonts w:hint="default" w:eastAsia="宋体" w:cs="Times New Roman"/>
                      <w:color w:val="auto"/>
                      <w:sz w:val="18"/>
                      <w:szCs w:val="18"/>
                      <w:highlight w:val="none"/>
                      <w:vertAlign w:val="baseline"/>
                      <w:lang w:val="en-US" w:eastAsia="zh-CN"/>
                    </w:rPr>
                    <w:t>（2.3）固废：集中区应建立统一的固废收集、贮存、运输、综合利用和安全处置的运营管理体系，做好工业固体废物和生活垃圾的分类收集、转运、综合利用和无害化处理。对各类工业企业产生固体废物特别是危险固废应严格按照国家有关规定综合利用或妥善处置，严防二次污染。</w:t>
                  </w:r>
                </w:p>
              </w:tc>
              <w:tc>
                <w:tcPr>
                  <w:tcW w:w="1513"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vertAlign w:val="baseline"/>
                      <w:lang w:val="en-US" w:eastAsia="zh-CN"/>
                    </w:rPr>
                  </w:pPr>
                  <w:r>
                    <w:rPr>
                      <w:rFonts w:hint="default" w:eastAsia="宋体" w:cs="Times New Roman"/>
                      <w:color w:val="auto"/>
                      <w:sz w:val="18"/>
                      <w:szCs w:val="18"/>
                      <w:highlight w:val="none"/>
                      <w:vertAlign w:val="baseline"/>
                      <w:lang w:val="en-US" w:eastAsia="zh-CN"/>
                    </w:rPr>
                    <w:t>本项目运营期近期内处理后水量不外排，全部进行回用，远期部分回用后多余水量经预处理达到污水处理厂进水水质后纳入新田县南部新城工业园污水处理厂集中处理。产生的废气配套处理设施处理达标后排放。固废分类收集，妥善处理。综上本项目符合要求。</w:t>
                  </w:r>
                </w:p>
              </w:tc>
              <w:tc>
                <w:tcPr>
                  <w:tcW w:w="38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center"/>
                    <w:textAlignment w:val="auto"/>
                    <w:rPr>
                      <w:rFonts w:hint="default" w:eastAsia="宋体" w:cs="Times New Roman"/>
                      <w:color w:val="auto"/>
                      <w:sz w:val="18"/>
                      <w:szCs w:val="18"/>
                      <w:highlight w:val="none"/>
                      <w:vertAlign w:val="baseline"/>
                      <w:lang w:val="en-US" w:eastAsia="zh-CN"/>
                    </w:rPr>
                  </w:pPr>
                  <w:r>
                    <w:rPr>
                      <w:rFonts w:hint="default" w:eastAsia="宋体" w:cs="Times New Roman"/>
                      <w:color w:val="auto"/>
                      <w:sz w:val="18"/>
                      <w:szCs w:val="18"/>
                      <w:highlight w:val="none"/>
                      <w:vertAlign w:val="baseli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473"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center"/>
                    <w:textAlignment w:val="auto"/>
                    <w:rPr>
                      <w:rFonts w:hint="default" w:eastAsia="宋体" w:cs="Times New Roman"/>
                      <w:color w:val="auto"/>
                      <w:sz w:val="18"/>
                      <w:szCs w:val="18"/>
                      <w:highlight w:val="none"/>
                      <w:vertAlign w:val="baseline"/>
                      <w:lang w:val="en-US" w:eastAsia="zh-CN"/>
                    </w:rPr>
                  </w:pPr>
                  <w:r>
                    <w:rPr>
                      <w:rFonts w:hint="default" w:eastAsia="宋体" w:cs="Times New Roman"/>
                      <w:color w:val="auto"/>
                      <w:sz w:val="18"/>
                      <w:szCs w:val="18"/>
                      <w:highlight w:val="none"/>
                      <w:vertAlign w:val="baseline"/>
                      <w:lang w:val="en-US" w:eastAsia="zh-CN"/>
                    </w:rPr>
                    <w:t>环境风险防控</w:t>
                  </w:r>
                </w:p>
              </w:tc>
              <w:tc>
                <w:tcPr>
                  <w:tcW w:w="2630"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vertAlign w:val="baseline"/>
                      <w:lang w:val="en-US" w:eastAsia="zh-CN"/>
                    </w:rPr>
                  </w:pPr>
                  <w:r>
                    <w:rPr>
                      <w:rFonts w:hint="default" w:eastAsia="宋体" w:cs="Times New Roman"/>
                      <w:color w:val="auto"/>
                      <w:sz w:val="18"/>
                      <w:szCs w:val="18"/>
                      <w:highlight w:val="none"/>
                      <w:vertAlign w:val="baseline"/>
                      <w:lang w:val="en-US" w:eastAsia="zh-CN"/>
                    </w:rPr>
                    <w:t>（3.1）集中区应建立健全环境风险防控体系，组织严格落实《新田工业集中区突发环境事件应急预案》的相关要求，加强环境风险事故防范和应急管理。产生危险废物的企业应设专门的危废存储间，并做好地面防腐防渗防淋等处理，设置警示标志。</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vertAlign w:val="baseline"/>
                      <w:lang w:val="en-US" w:eastAsia="zh-CN"/>
                    </w:rPr>
                  </w:pPr>
                  <w:r>
                    <w:rPr>
                      <w:rFonts w:hint="default" w:eastAsia="宋体" w:cs="Times New Roman"/>
                      <w:color w:val="auto"/>
                      <w:sz w:val="18"/>
                      <w:szCs w:val="18"/>
                      <w:highlight w:val="none"/>
                      <w:vertAlign w:val="baseline"/>
                      <w:lang w:val="en-US" w:eastAsia="zh-CN"/>
                    </w:rPr>
                    <w:t>（3.2）园区可能发生突发环境事件的污染物排放企业，生产、储存、运输、使用危险化学品的企业，产生、收集、贮存、运输危险废物的企业，应当编制和实施环境应急预案；鼓励其他企业制定单独的环境应急预案，或在突发事件应急预案中制定环境应急预案专章，并备案。</w:t>
                  </w:r>
                </w:p>
              </w:tc>
              <w:tc>
                <w:tcPr>
                  <w:tcW w:w="1513"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vertAlign w:val="baseline"/>
                      <w:lang w:val="en-US" w:eastAsia="zh-CN"/>
                    </w:rPr>
                  </w:pPr>
                  <w:r>
                    <w:rPr>
                      <w:rFonts w:hint="default" w:eastAsia="宋体" w:cs="Times New Roman"/>
                      <w:color w:val="auto"/>
                      <w:sz w:val="18"/>
                      <w:szCs w:val="18"/>
                      <w:highlight w:val="none"/>
                      <w:vertAlign w:val="baseline"/>
                      <w:lang w:val="en-US" w:eastAsia="zh-CN"/>
                    </w:rPr>
                    <w:t>项目建成后将及时按照相</w:t>
                  </w:r>
                  <w:r>
                    <w:rPr>
                      <w:rFonts w:hint="eastAsia" w:eastAsia="宋体" w:cs="Times New Roman"/>
                      <w:color w:val="auto"/>
                      <w:sz w:val="18"/>
                      <w:szCs w:val="18"/>
                      <w:highlight w:val="none"/>
                      <w:vertAlign w:val="baseline"/>
                      <w:lang w:val="en-US" w:eastAsia="zh-CN"/>
                    </w:rPr>
                    <w:t>关</w:t>
                  </w:r>
                  <w:r>
                    <w:rPr>
                      <w:rFonts w:hint="default" w:eastAsia="宋体" w:cs="Times New Roman"/>
                      <w:color w:val="auto"/>
                      <w:sz w:val="18"/>
                      <w:szCs w:val="18"/>
                      <w:highlight w:val="none"/>
                      <w:vertAlign w:val="baseline"/>
                      <w:lang w:val="en-US" w:eastAsia="zh-CN"/>
                    </w:rPr>
                    <w:t>要求</w:t>
                  </w:r>
                  <w:r>
                    <w:rPr>
                      <w:rFonts w:hint="eastAsia" w:cs="Times New Roman"/>
                      <w:color w:val="auto"/>
                      <w:sz w:val="18"/>
                      <w:szCs w:val="18"/>
                      <w:highlight w:val="none"/>
                      <w:vertAlign w:val="baseline"/>
                      <w:lang w:val="en-US" w:eastAsia="zh-CN"/>
                    </w:rPr>
                    <w:t>完善</w:t>
                  </w:r>
                  <w:r>
                    <w:rPr>
                      <w:rFonts w:hint="default" w:eastAsia="宋体" w:cs="Times New Roman"/>
                      <w:color w:val="auto"/>
                      <w:sz w:val="18"/>
                      <w:szCs w:val="18"/>
                      <w:highlight w:val="none"/>
                      <w:vertAlign w:val="baseline"/>
                      <w:lang w:val="en-US" w:eastAsia="zh-CN"/>
                    </w:rPr>
                    <w:t>环境应急预案的编制</w:t>
                  </w:r>
                  <w:r>
                    <w:rPr>
                      <w:rFonts w:hint="eastAsia" w:eastAsia="宋体" w:cs="Times New Roman"/>
                      <w:color w:val="auto"/>
                      <w:sz w:val="18"/>
                      <w:szCs w:val="18"/>
                      <w:highlight w:val="none"/>
                      <w:vertAlign w:val="baseline"/>
                      <w:lang w:val="en-US" w:eastAsia="zh-CN"/>
                    </w:rPr>
                    <w:t>，落实相应的环境风险防控措施</w:t>
                  </w:r>
                  <w:r>
                    <w:rPr>
                      <w:rFonts w:hint="default" w:eastAsia="宋体" w:cs="Times New Roman"/>
                      <w:color w:val="auto"/>
                      <w:sz w:val="18"/>
                      <w:szCs w:val="18"/>
                      <w:highlight w:val="none"/>
                      <w:vertAlign w:val="baseline"/>
                      <w:lang w:val="en-US" w:eastAsia="zh-CN"/>
                    </w:rPr>
                    <w:t>。</w:t>
                  </w:r>
                </w:p>
              </w:tc>
              <w:tc>
                <w:tcPr>
                  <w:tcW w:w="38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center"/>
                    <w:textAlignment w:val="auto"/>
                    <w:rPr>
                      <w:rFonts w:hint="default" w:eastAsia="宋体" w:cs="Times New Roman"/>
                      <w:color w:val="auto"/>
                      <w:sz w:val="18"/>
                      <w:szCs w:val="18"/>
                      <w:highlight w:val="none"/>
                      <w:vertAlign w:val="baseline"/>
                      <w:lang w:val="en-US" w:eastAsia="zh-CN"/>
                    </w:rPr>
                  </w:pPr>
                  <w:r>
                    <w:rPr>
                      <w:rFonts w:hint="default" w:eastAsia="宋体" w:cs="Times New Roman"/>
                      <w:color w:val="auto"/>
                      <w:sz w:val="18"/>
                      <w:szCs w:val="18"/>
                      <w:highlight w:val="none"/>
                      <w:vertAlign w:val="baseli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c>
                <w:tcPr>
                  <w:tcW w:w="473"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center"/>
                    <w:textAlignment w:val="auto"/>
                    <w:rPr>
                      <w:rFonts w:hint="default" w:eastAsia="宋体" w:cs="Times New Roman"/>
                      <w:color w:val="auto"/>
                      <w:sz w:val="18"/>
                      <w:szCs w:val="18"/>
                      <w:highlight w:val="none"/>
                      <w:vertAlign w:val="baseline"/>
                      <w:lang w:val="en-US" w:eastAsia="zh-CN"/>
                    </w:rPr>
                  </w:pPr>
                  <w:r>
                    <w:rPr>
                      <w:rFonts w:hint="default" w:eastAsia="宋体" w:cs="Times New Roman"/>
                      <w:color w:val="auto"/>
                      <w:sz w:val="18"/>
                      <w:szCs w:val="18"/>
                      <w:highlight w:val="none"/>
                      <w:vertAlign w:val="baseline"/>
                      <w:lang w:val="en-US" w:eastAsia="zh-CN"/>
                    </w:rPr>
                    <w:t>资源开发效率要求</w:t>
                  </w:r>
                </w:p>
              </w:tc>
              <w:tc>
                <w:tcPr>
                  <w:tcW w:w="2630"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vertAlign w:val="baseline"/>
                      <w:lang w:val="en-US" w:eastAsia="zh-CN"/>
                    </w:rPr>
                  </w:pPr>
                  <w:r>
                    <w:rPr>
                      <w:rFonts w:hint="default" w:eastAsia="宋体" w:cs="Times New Roman"/>
                      <w:color w:val="auto"/>
                      <w:sz w:val="18"/>
                      <w:szCs w:val="18"/>
                      <w:highlight w:val="none"/>
                      <w:vertAlign w:val="baseline"/>
                      <w:lang w:val="en-US" w:eastAsia="zh-CN"/>
                    </w:rPr>
                    <w:t>（4.1）能源：全面淘汰燃煤锅炉，全面推广天然气等清洁能源。2020年，园区综合能源消费量预测当量值为34655.72吨标煤，单位GDP能耗预测值为0.180吨标煤/万元；到2025年，园区单位GDP能耗控制在0.152吨标煤/万元，能源消费总量控制在39866.40吨标煤（当量值）以内。</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vertAlign w:val="baseline"/>
                      <w:lang w:val="en-US" w:eastAsia="zh-CN"/>
                    </w:rPr>
                  </w:pPr>
                  <w:r>
                    <w:rPr>
                      <w:rFonts w:hint="default" w:eastAsia="宋体" w:cs="Times New Roman"/>
                      <w:color w:val="auto"/>
                      <w:sz w:val="18"/>
                      <w:szCs w:val="18"/>
                      <w:highlight w:val="none"/>
                      <w:vertAlign w:val="baseline"/>
                      <w:lang w:val="en-US" w:eastAsia="zh-CN"/>
                    </w:rPr>
                    <w:t>（4.2）水资源：严格用水强度指标管理，建立重点用水单位监控名录，对纳入取水许可管理的单位和其他用水大户实行计划用水管理；鼓励纺织印染等高耗水企业废水深度处理回用。2020年，新田县水资源开发利用总量控制红线为14562万立方米；万元工业增加值用水量62立方米。</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vertAlign w:val="baseline"/>
                      <w:lang w:val="en-US" w:eastAsia="zh-CN"/>
                    </w:rPr>
                  </w:pPr>
                  <w:r>
                    <w:rPr>
                      <w:rFonts w:hint="default" w:eastAsia="宋体" w:cs="Times New Roman"/>
                      <w:color w:val="auto"/>
                      <w:sz w:val="18"/>
                      <w:szCs w:val="18"/>
                      <w:highlight w:val="none"/>
                      <w:vertAlign w:val="baseline"/>
                      <w:lang w:val="en-US" w:eastAsia="zh-CN"/>
                    </w:rPr>
                    <w:t>（4.3）土地资源：按照严控增量、盘活存量、管住总量、集约高效的原则，着力调整建设用地结构，保障重点建设项目用地，加大存量建设用地盘活力度，提高土地利用效益，切实推进土地利用向集约型利用方式转变。确保园区平均土地投资强度不低于150万元/亩。</w:t>
                  </w:r>
                </w:p>
              </w:tc>
              <w:tc>
                <w:tcPr>
                  <w:tcW w:w="1513"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both"/>
                    <w:textAlignment w:val="auto"/>
                    <w:rPr>
                      <w:rFonts w:hint="default" w:eastAsia="宋体" w:cs="Times New Roman"/>
                      <w:color w:val="auto"/>
                      <w:sz w:val="18"/>
                      <w:szCs w:val="18"/>
                      <w:highlight w:val="none"/>
                      <w:vertAlign w:val="baseline"/>
                      <w:lang w:val="en-US" w:eastAsia="zh-CN"/>
                    </w:rPr>
                  </w:pPr>
                  <w:r>
                    <w:rPr>
                      <w:rFonts w:hint="default" w:eastAsia="宋体" w:cs="Times New Roman"/>
                      <w:color w:val="auto"/>
                      <w:sz w:val="18"/>
                      <w:szCs w:val="18"/>
                      <w:highlight w:val="none"/>
                      <w:vertAlign w:val="baseline"/>
                      <w:lang w:val="en-US" w:eastAsia="zh-CN"/>
                    </w:rPr>
                    <w:t>本项目为废水治理工程，</w:t>
                  </w:r>
                  <w:r>
                    <w:rPr>
                      <w:rFonts w:hint="eastAsia" w:cs="Times New Roman"/>
                      <w:color w:val="auto"/>
                      <w:sz w:val="18"/>
                      <w:szCs w:val="18"/>
                      <w:highlight w:val="none"/>
                      <w:vertAlign w:val="baseline"/>
                      <w:lang w:val="en-US" w:eastAsia="zh-CN"/>
                    </w:rPr>
                    <w:t>不属于</w:t>
                  </w:r>
                  <w:r>
                    <w:rPr>
                      <w:rFonts w:hint="default" w:eastAsia="宋体" w:cs="Times New Roman"/>
                      <w:color w:val="auto"/>
                      <w:sz w:val="18"/>
                      <w:szCs w:val="18"/>
                      <w:highlight w:val="none"/>
                      <w:vertAlign w:val="baseline"/>
                      <w:lang w:val="en-US" w:eastAsia="zh-CN"/>
                    </w:rPr>
                    <w:t>高耗能行业，综上本项目符合要求。</w:t>
                  </w:r>
                </w:p>
              </w:tc>
              <w:tc>
                <w:tcPr>
                  <w:tcW w:w="382"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 w:leftChars="20" w:right="42" w:rightChars="20" w:firstLine="0" w:firstLineChars="0"/>
                    <w:jc w:val="center"/>
                    <w:textAlignment w:val="auto"/>
                    <w:rPr>
                      <w:rFonts w:hint="default" w:eastAsia="宋体" w:cs="Times New Roman"/>
                      <w:color w:val="auto"/>
                      <w:sz w:val="18"/>
                      <w:szCs w:val="18"/>
                      <w:highlight w:val="none"/>
                      <w:vertAlign w:val="baseline"/>
                      <w:lang w:val="en-US" w:eastAsia="zh-CN"/>
                    </w:rPr>
                  </w:pPr>
                  <w:r>
                    <w:rPr>
                      <w:rFonts w:hint="default" w:eastAsia="宋体" w:cs="Times New Roman"/>
                      <w:color w:val="auto"/>
                      <w:sz w:val="18"/>
                      <w:szCs w:val="18"/>
                      <w:highlight w:val="none"/>
                      <w:vertAlign w:val="baseline"/>
                      <w:lang w:val="en-US" w:eastAsia="zh-CN"/>
                    </w:rPr>
                    <w:t>符合</w:t>
                  </w:r>
                </w:p>
              </w:tc>
            </w:tr>
          </w:tbl>
          <w:p>
            <w:pPr>
              <w:keepNext w:val="0"/>
              <w:keepLines w:val="0"/>
              <w:suppressLineNumbers w:val="0"/>
              <w:spacing w:before="0" w:beforeAutospacing="0" w:after="0" w:afterAutospacing="0" w:line="360" w:lineRule="auto"/>
              <w:ind w:left="0" w:right="0" w:firstLine="482" w:firstLineChars="200"/>
              <w:rPr>
                <w:rFonts w:hint="eastAsia"/>
                <w:b/>
                <w:bCs/>
                <w:color w:val="auto"/>
                <w:sz w:val="24"/>
                <w:u w:val="none"/>
              </w:rPr>
            </w:pPr>
            <w:r>
              <w:rPr>
                <w:rFonts w:hint="eastAsia"/>
                <w:b/>
                <w:bCs/>
                <w:color w:val="auto"/>
                <w:sz w:val="24"/>
                <w:u w:val="none"/>
                <w:lang w:val="en-US" w:eastAsia="zh-CN"/>
              </w:rPr>
              <w:t>3</w:t>
            </w:r>
            <w:r>
              <w:rPr>
                <w:rFonts w:hint="eastAsia"/>
                <w:b/>
                <w:bCs/>
                <w:color w:val="auto"/>
                <w:sz w:val="24"/>
                <w:u w:val="none"/>
              </w:rPr>
              <w:t>、选址合理性分析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firstLine="480" w:firstLineChars="200"/>
              <w:textAlignment w:val="auto"/>
              <w:rPr>
                <w:rFonts w:hint="default" w:eastAsia="宋体"/>
                <w:color w:val="auto"/>
                <w:sz w:val="24"/>
                <w:u w:val="single"/>
                <w:lang w:val="en-US" w:eastAsia="zh-CN"/>
              </w:rPr>
            </w:pPr>
            <w:r>
              <w:rPr>
                <w:rFonts w:hint="eastAsia"/>
                <w:color w:val="auto"/>
                <w:sz w:val="24"/>
                <w:u w:val="single"/>
              </w:rPr>
              <w:t>根据2022年2月7日《湖南省自然资源厅关于新田产业开发区发展方向区划定成果审核意见的复函》，湖南鲁丽木业</w:t>
            </w:r>
            <w:r>
              <w:rPr>
                <w:rFonts w:hint="eastAsia"/>
                <w:color w:val="auto"/>
                <w:sz w:val="24"/>
                <w:u w:val="single"/>
                <w:lang w:val="en-US" w:eastAsia="zh-CN"/>
              </w:rPr>
              <w:t>工业园</w:t>
            </w:r>
            <w:r>
              <w:rPr>
                <w:rFonts w:hint="eastAsia"/>
                <w:color w:val="auto"/>
                <w:sz w:val="24"/>
                <w:u w:val="single"/>
              </w:rPr>
              <w:t>选址位于新田工业集中区调区扩区范围内</w:t>
            </w:r>
            <w:r>
              <w:rPr>
                <w:rFonts w:hint="eastAsia"/>
                <w:color w:val="auto"/>
                <w:sz w:val="24"/>
                <w:u w:val="single"/>
                <w:lang w:eastAsia="zh-CN"/>
              </w:rPr>
              <w:t>（</w:t>
            </w:r>
            <w:r>
              <w:rPr>
                <w:rFonts w:hint="eastAsia"/>
                <w:color w:val="auto"/>
                <w:sz w:val="24"/>
                <w:u w:val="single"/>
              </w:rPr>
              <w:t>位于新田产业开发区备选区区块三</w:t>
            </w:r>
            <w:r>
              <w:rPr>
                <w:rFonts w:hint="eastAsia"/>
                <w:color w:val="auto"/>
                <w:sz w:val="24"/>
                <w:u w:val="single"/>
                <w:lang w:eastAsia="zh-CN"/>
              </w:rPr>
              <w:t>，</w:t>
            </w:r>
            <w:r>
              <w:rPr>
                <w:rFonts w:hint="eastAsia"/>
                <w:color w:val="auto"/>
                <w:sz w:val="24"/>
                <w:u w:val="single"/>
                <w:lang w:val="en-US" w:eastAsia="zh-CN"/>
              </w:rPr>
              <w:t>见附件</w:t>
            </w:r>
            <w:r>
              <w:rPr>
                <w:rFonts w:hint="eastAsia"/>
                <w:color w:val="auto"/>
                <w:sz w:val="24"/>
                <w:u w:val="single"/>
                <w:lang w:eastAsia="zh-CN"/>
              </w:rPr>
              <w:t>），</w:t>
            </w:r>
            <w:r>
              <w:rPr>
                <w:rFonts w:hint="eastAsia"/>
                <w:color w:val="auto"/>
                <w:sz w:val="24"/>
                <w:u w:val="single"/>
                <w:lang w:val="en-US" w:eastAsia="zh-CN"/>
              </w:rPr>
              <w:t>为开发区重点支持发展项目。本项目为</w:t>
            </w:r>
            <w:r>
              <w:rPr>
                <w:rFonts w:hint="eastAsia"/>
                <w:color w:val="auto"/>
                <w:sz w:val="24"/>
                <w:u w:val="single"/>
              </w:rPr>
              <w:t>湖南鲁丽木业</w:t>
            </w:r>
            <w:r>
              <w:rPr>
                <w:rFonts w:hint="eastAsia"/>
                <w:color w:val="auto"/>
                <w:sz w:val="24"/>
                <w:u w:val="single"/>
                <w:lang w:val="en-US" w:eastAsia="zh-CN"/>
              </w:rPr>
              <w:t>工业园配套水污染防治设施，</w:t>
            </w:r>
            <w:r>
              <w:rPr>
                <w:rFonts w:hint="eastAsia"/>
                <w:color w:val="auto"/>
                <w:sz w:val="24"/>
                <w:u w:val="single"/>
              </w:rPr>
              <w:t>故本项目符合《湖南省自然资源厅关于新田产业开发区发展方向区划定成果审核意见的复函》</w:t>
            </w:r>
            <w:r>
              <w:rPr>
                <w:rFonts w:hint="eastAsia"/>
                <w:color w:val="auto"/>
                <w:sz w:val="24"/>
                <w:u w:val="singl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firstLine="480" w:firstLineChars="200"/>
              <w:textAlignment w:val="auto"/>
              <w:rPr>
                <w:rFonts w:hint="eastAsia"/>
                <w:color w:val="auto"/>
                <w:sz w:val="24"/>
                <w:u w:val="single"/>
              </w:rPr>
            </w:pPr>
            <w:r>
              <w:rPr>
                <w:rFonts w:hint="eastAsia"/>
                <w:color w:val="auto"/>
                <w:sz w:val="24"/>
                <w:u w:val="single"/>
              </w:rPr>
              <w:t>本项目选址位于新田产业开发区备选区区块三，地理位置优越，交通便利。项目拟建地不属于</w:t>
            </w:r>
            <w:r>
              <w:rPr>
                <w:rFonts w:hint="eastAsia"/>
                <w:color w:val="auto"/>
                <w:sz w:val="24"/>
                <w:u w:val="single"/>
                <w:lang w:val="en-US" w:eastAsia="zh-CN"/>
              </w:rPr>
              <w:t>新田县</w:t>
            </w:r>
            <w:r>
              <w:rPr>
                <w:rFonts w:hint="eastAsia"/>
                <w:color w:val="auto"/>
                <w:sz w:val="24"/>
                <w:u w:val="single"/>
              </w:rPr>
              <w:t>生态保护红线范围内，符合环境功能区划要求，</w:t>
            </w:r>
            <w:r>
              <w:rPr>
                <w:rFonts w:hint="eastAsia"/>
                <w:color w:val="auto"/>
                <w:sz w:val="24"/>
                <w:u w:val="single"/>
                <w:lang w:val="en-US" w:eastAsia="zh-CN"/>
              </w:rPr>
              <w:t>不与当地相关规划冲突。项目周边1km范围内无自然保护区、文物景观、水源地等环境敏感点，</w:t>
            </w:r>
            <w:r>
              <w:rPr>
                <w:rFonts w:hint="eastAsia"/>
                <w:color w:val="auto"/>
                <w:sz w:val="24"/>
                <w:u w:val="single"/>
              </w:rPr>
              <w:t>项目采取相应的治理措施后，污染物能做到达标排放，对外界环境影响较小。因此，项目的选址是可行的。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firstLine="480" w:firstLineChars="200"/>
              <w:textAlignment w:val="auto"/>
              <w:rPr>
                <w:rFonts w:hint="eastAsia"/>
                <w:color w:val="auto"/>
                <w:sz w:val="24"/>
                <w:u w:val="single"/>
              </w:rPr>
            </w:pPr>
            <w:r>
              <w:rPr>
                <w:rFonts w:hint="eastAsia"/>
                <w:color w:val="auto"/>
                <w:sz w:val="24"/>
                <w:u w:val="single"/>
              </w:rPr>
              <w:t>综合上述，从环保角度考虑，本项目选址合理。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8" w:lineRule="auto"/>
              <w:ind w:left="0" w:right="0"/>
              <w:textAlignment w:val="auto"/>
              <w:rPr>
                <w:rFonts w:hint="default" w:cs="宋体"/>
                <w:color w:val="auto"/>
                <w:kern w:val="0"/>
                <w:sz w:val="24"/>
              </w:rPr>
            </w:pPr>
          </w:p>
        </w:tc>
      </w:tr>
    </w:tbl>
    <w:p>
      <w:pPr>
        <w:spacing w:line="360" w:lineRule="auto"/>
        <w:outlineLvl w:val="0"/>
        <w:rPr>
          <w:rFonts w:eastAsia="黑体"/>
          <w:color w:val="auto"/>
          <w:sz w:val="30"/>
        </w:rPr>
        <w:sectPr>
          <w:footerReference r:id="rId4" w:type="default"/>
          <w:pgSz w:w="11906" w:h="16838"/>
          <w:pgMar w:top="1440" w:right="1417" w:bottom="1440" w:left="1417" w:header="992" w:footer="850" w:gutter="0"/>
          <w:pgBorders>
            <w:top w:val="none" w:sz="0" w:space="0"/>
            <w:left w:val="none" w:sz="0" w:space="0"/>
            <w:bottom w:val="none" w:sz="0" w:space="0"/>
            <w:right w:val="none" w:sz="0" w:space="0"/>
          </w:pgBorders>
          <w:pgNumType w:start="1"/>
          <w:cols w:space="720" w:num="1"/>
          <w:docGrid w:type="lines" w:linePitch="312" w:charSpace="0"/>
        </w:sectPr>
      </w:pPr>
    </w:p>
    <w:p>
      <w:pPr>
        <w:pStyle w:val="25"/>
        <w:spacing w:before="0" w:beforeAutospacing="0" w:after="0" w:afterAutospacing="0"/>
        <w:jc w:val="center"/>
        <w:outlineLvl w:val="0"/>
        <w:rPr>
          <w:rFonts w:hint="eastAsia" w:ascii="Times New Roman" w:hAnsi="Times New Roman" w:eastAsia="黑体"/>
          <w:snapToGrid w:val="0"/>
          <w:color w:val="auto"/>
          <w:sz w:val="30"/>
          <w:szCs w:val="30"/>
        </w:rPr>
      </w:pPr>
      <w:bookmarkStart w:id="4" w:name="_Toc24919"/>
      <w:r>
        <w:rPr>
          <w:rFonts w:hint="eastAsia" w:ascii="Times New Roman" w:hAnsi="Times New Roman" w:eastAsia="黑体"/>
          <w:snapToGrid w:val="0"/>
          <w:color w:val="auto"/>
          <w:sz w:val="30"/>
          <w:szCs w:val="30"/>
        </w:rPr>
        <w:t>二、建设项目工程分析</w:t>
      </w:r>
      <w:bookmarkEnd w:id="4"/>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1"/>
        <w:gridCol w:w="88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087" w:hRule="atLeast"/>
          <w:jc w:val="center"/>
        </w:trPr>
        <w:tc>
          <w:tcPr>
            <w:tcW w:w="831" w:type="dxa"/>
            <w:noWrap w:val="0"/>
            <w:vAlign w:val="center"/>
          </w:tcPr>
          <w:p>
            <w:pPr>
              <w:pStyle w:val="25"/>
              <w:keepNext w:val="0"/>
              <w:keepLines w:val="0"/>
              <w:suppressLineNumbers w:val="0"/>
              <w:adjustRightInd w:val="0"/>
              <w:snapToGrid w:val="0"/>
              <w:spacing w:before="0" w:beforeAutospacing="0" w:after="0" w:afterAutospacing="0"/>
              <w:ind w:left="0" w:right="0"/>
              <w:jc w:val="center"/>
              <w:rPr>
                <w:rFonts w:hint="default" w:ascii="Times New Roman" w:hAnsi="Times New Roman" w:cs="宋体"/>
                <w:color w:val="auto"/>
                <w:sz w:val="21"/>
                <w:szCs w:val="21"/>
              </w:rPr>
            </w:pPr>
            <w:r>
              <w:rPr>
                <w:rFonts w:hint="eastAsia" w:ascii="Times New Roman" w:hAnsi="Times New Roman" w:cs="宋体"/>
                <w:color w:val="auto"/>
                <w:sz w:val="21"/>
                <w:szCs w:val="21"/>
              </w:rPr>
              <w:t>建设内容</w:t>
            </w:r>
          </w:p>
        </w:tc>
        <w:tc>
          <w:tcPr>
            <w:tcW w:w="8240" w:type="dxa"/>
            <w:noWrap w:val="0"/>
            <w:vAlign w:val="top"/>
          </w:tcPr>
          <w:p>
            <w:pPr>
              <w:pStyle w:val="25"/>
              <w:keepNext w:val="0"/>
              <w:keepLines w:val="0"/>
              <w:suppressLineNumbers w:val="0"/>
              <w:spacing w:before="0" w:beforeAutospacing="0" w:after="0" w:afterAutospacing="0" w:line="360" w:lineRule="auto"/>
              <w:ind w:left="0" w:right="0" w:firstLine="482" w:firstLineChars="200"/>
              <w:rPr>
                <w:rFonts w:hint="eastAsia" w:ascii="Times New Roman" w:hAnsi="Times New Roman"/>
                <w:b/>
                <w:bCs/>
                <w:color w:val="auto"/>
                <w:szCs w:val="24"/>
                <w:shd w:val="clear" w:color="auto" w:fill="FFFFFF"/>
              </w:rPr>
            </w:pPr>
            <w:r>
              <w:rPr>
                <w:rFonts w:hint="eastAsia" w:ascii="Times New Roman" w:hAnsi="Times New Roman"/>
                <w:b/>
                <w:bCs/>
                <w:color w:val="auto"/>
                <w:szCs w:val="24"/>
                <w:shd w:val="clear" w:color="auto" w:fill="FFFFFF"/>
              </w:rPr>
              <w:t>1、项目由来</w:t>
            </w:r>
          </w:p>
          <w:p>
            <w:pPr>
              <w:pStyle w:val="25"/>
              <w:keepNext w:val="0"/>
              <w:keepLines w:val="0"/>
              <w:suppressLineNumbers w:val="0"/>
              <w:spacing w:before="0" w:beforeAutospacing="0" w:after="0" w:afterAutospacing="0" w:line="360" w:lineRule="auto"/>
              <w:ind w:left="0" w:right="0" w:firstLine="480" w:firstLineChars="200"/>
              <w:rPr>
                <w:rFonts w:hint="default" w:ascii="Times New Roman" w:hAnsi="Times New Roman"/>
                <w:color w:val="auto"/>
                <w:szCs w:val="24"/>
                <w:shd w:val="clear" w:color="auto" w:fill="FFFFFF"/>
              </w:rPr>
            </w:pPr>
            <w:r>
              <w:rPr>
                <w:rFonts w:hint="eastAsia" w:cs="宋体"/>
                <w:color w:val="auto"/>
              </w:rPr>
              <w:t>湖南鲁丽木业有限公司成立于</w:t>
            </w:r>
            <w:r>
              <w:rPr>
                <w:rFonts w:hint="default" w:ascii="Times New Roman" w:hAnsi="Times New Roman" w:cs="Times New Roman"/>
                <w:color w:val="auto"/>
              </w:rPr>
              <w:t>2021</w:t>
            </w:r>
            <w:r>
              <w:rPr>
                <w:rFonts w:hint="eastAsia" w:cs="宋体"/>
                <w:color w:val="auto"/>
              </w:rPr>
              <w:t>年，主要从事人造板、木制品、板材、竹及制品、发电等业务，是寿光市鲁丽木业股份有限公司的控股子公司。公司为进一步做大、做强、做优人造板、木制品、板材</w:t>
            </w:r>
            <w:r>
              <w:rPr>
                <w:rFonts w:hint="eastAsia" w:cs="宋体"/>
                <w:color w:val="auto"/>
                <w:lang w:val="en-US" w:eastAsia="zh-CN"/>
              </w:rPr>
              <w:t>等木材</w:t>
            </w:r>
            <w:r>
              <w:rPr>
                <w:rFonts w:hint="eastAsia" w:cs="宋体"/>
                <w:color w:val="auto"/>
              </w:rPr>
              <w:t>主业，提高核心竞争力和市场占有率，将联合山东智梦控股有限公司（占股</w:t>
            </w:r>
            <w:r>
              <w:rPr>
                <w:rFonts w:hint="default" w:ascii="Times New Roman" w:hAnsi="Times New Roman" w:cs="Times New Roman"/>
                <w:color w:val="auto"/>
              </w:rPr>
              <w:t>40%</w:t>
            </w:r>
            <w:r>
              <w:rPr>
                <w:rFonts w:hint="eastAsia" w:cs="宋体"/>
                <w:color w:val="auto"/>
              </w:rPr>
              <w:t>），在湖南省永州市新田县龙泉街道工业集中区工业南园内，投资建设</w:t>
            </w:r>
            <w:r>
              <w:rPr>
                <w:rFonts w:hint="eastAsia" w:cs="宋体"/>
                <w:color w:val="auto"/>
                <w:lang w:eastAsia="zh-CN"/>
              </w:rPr>
              <w:t>“</w:t>
            </w:r>
            <w:r>
              <w:rPr>
                <w:rFonts w:hint="eastAsia" w:cs="宋体"/>
                <w:color w:val="auto"/>
                <w:sz w:val="24"/>
              </w:rPr>
              <w:t>湖南鲁丽木业绿色新材料科技产业园</w:t>
            </w:r>
            <w:r>
              <w:rPr>
                <w:rFonts w:hint="eastAsia" w:cs="宋体"/>
                <w:color w:val="auto"/>
                <w:lang w:eastAsia="zh-CN"/>
              </w:rPr>
              <w:t>”</w:t>
            </w:r>
            <w:r>
              <w:rPr>
                <w:rFonts w:hint="eastAsia" w:cs="宋体"/>
                <w:color w:val="auto"/>
                <w:lang w:val="en-US" w:eastAsia="zh-CN"/>
              </w:rPr>
              <w:t>项目</w:t>
            </w:r>
            <w:r>
              <w:rPr>
                <w:rFonts w:hint="eastAsia" w:cs="宋体"/>
                <w:color w:val="auto"/>
              </w:rPr>
              <w:t>。项目将采用国际最先进的生产工艺技术和设备，采用当地丰富的竹木资源，综合利用三剩物，生产优质板材，带动当地林农增收，促进当地竹木加工产业发展。项目建成后将成为全国人造板生产示范基地，并在同类产品能耗最低、指标最优、环保最好以及资源综合利用效能最高的样板工程，成为人造板制造业与现代信息技术结合的示范窗口。</w:t>
            </w:r>
          </w:p>
          <w:p>
            <w:pPr>
              <w:pStyle w:val="25"/>
              <w:keepNext w:val="0"/>
              <w:keepLines w:val="0"/>
              <w:suppressLineNumbers w:val="0"/>
              <w:spacing w:before="0" w:beforeAutospacing="0" w:after="0" w:afterAutospacing="0" w:line="360" w:lineRule="auto"/>
              <w:ind w:left="0" w:right="0" w:firstLine="480" w:firstLineChars="200"/>
              <w:rPr>
                <w:rFonts w:hint="eastAsia" w:ascii="Times New Roman" w:hAnsi="Times New Roman" w:cs="宋体"/>
                <w:color w:val="auto"/>
                <w:sz w:val="24"/>
                <w:u w:val="none"/>
                <w:lang w:val="en-US" w:eastAsia="zh-CN"/>
              </w:rPr>
            </w:pPr>
            <w:r>
              <w:rPr>
                <w:rFonts w:hint="eastAsia" w:ascii="Times New Roman" w:hAnsi="Times New Roman"/>
                <w:color w:val="auto"/>
                <w:sz w:val="24"/>
                <w:szCs w:val="24"/>
                <w:u w:val="none"/>
                <w:shd w:val="clear" w:color="auto" w:fill="FFFFFF"/>
                <w:lang w:val="en-US" w:eastAsia="zh-CN"/>
              </w:rPr>
              <w:t>为建设</w:t>
            </w:r>
            <w:r>
              <w:rPr>
                <w:rFonts w:hint="eastAsia" w:ascii="Times New Roman" w:hAnsi="Times New Roman" w:cs="宋体"/>
                <w:color w:val="auto"/>
                <w:sz w:val="24"/>
                <w:u w:val="none"/>
                <w:lang w:eastAsia="zh-CN"/>
              </w:rPr>
              <w:t>“</w:t>
            </w:r>
            <w:r>
              <w:rPr>
                <w:rFonts w:hint="eastAsia" w:ascii="Times New Roman" w:hAnsi="Times New Roman" w:cs="宋体"/>
                <w:color w:val="auto"/>
                <w:sz w:val="24"/>
                <w:u w:val="none"/>
              </w:rPr>
              <w:t>湖南鲁丽木业绿色新材料科技产业园</w:t>
            </w:r>
            <w:r>
              <w:rPr>
                <w:rFonts w:hint="eastAsia" w:ascii="Times New Roman" w:hAnsi="Times New Roman" w:cs="宋体"/>
                <w:color w:val="auto"/>
                <w:sz w:val="24"/>
                <w:u w:val="none"/>
                <w:lang w:eastAsia="zh-CN"/>
              </w:rPr>
              <w:t>”，</w:t>
            </w:r>
            <w:r>
              <w:rPr>
                <w:rFonts w:hint="eastAsia" w:ascii="Times New Roman" w:hAnsi="Times New Roman" w:cs="宋体"/>
                <w:color w:val="auto"/>
                <w:sz w:val="24"/>
                <w:u w:val="none"/>
                <w:lang w:val="en-US" w:eastAsia="zh-CN"/>
              </w:rPr>
              <w:t>公司已于2022年5月和7月委托湖南众诚工程咨询有限公司分别编制了《湖南鲁丽木业有限公司3</w:t>
            </w:r>
            <w:r>
              <w:rPr>
                <w:rFonts w:hint="default" w:ascii="Times New Roman" w:hAnsi="Times New Roman" w:cs="Times New Roman"/>
                <w:color w:val="auto"/>
                <w:sz w:val="24"/>
                <w:u w:val="none"/>
                <w:lang w:val="en-US" w:eastAsia="zh-CN"/>
              </w:rPr>
              <w:t>×</w:t>
            </w:r>
            <w:r>
              <w:rPr>
                <w:rFonts w:hint="eastAsia" w:ascii="Times New Roman" w:hAnsi="Times New Roman" w:cs="宋体"/>
                <w:color w:val="auto"/>
                <w:sz w:val="24"/>
                <w:u w:val="none"/>
                <w:lang w:val="en-US" w:eastAsia="zh-CN"/>
              </w:rPr>
              <w:t>170t/h+2</w:t>
            </w:r>
            <w:r>
              <w:rPr>
                <w:rFonts w:hint="default" w:ascii="Times New Roman" w:hAnsi="Times New Roman" w:cs="Times New Roman"/>
                <w:color w:val="auto"/>
                <w:sz w:val="24"/>
                <w:u w:val="none"/>
                <w:lang w:val="en-US" w:eastAsia="zh-CN"/>
              </w:rPr>
              <w:t>×</w:t>
            </w:r>
            <w:r>
              <w:rPr>
                <w:rFonts w:hint="eastAsia" w:ascii="Times New Roman" w:hAnsi="Times New Roman" w:cs="宋体"/>
                <w:color w:val="auto"/>
                <w:sz w:val="24"/>
                <w:u w:val="none"/>
                <w:lang w:val="en-US" w:eastAsia="zh-CN"/>
              </w:rPr>
              <w:t>30MW生物质电厂项目环境影响报告书》和《湖南鲁丽木业有限公司年产2</w:t>
            </w:r>
            <w:r>
              <w:rPr>
                <w:rFonts w:hint="default" w:ascii="Times New Roman" w:hAnsi="Times New Roman" w:cs="Times New Roman"/>
                <w:color w:val="auto"/>
                <w:sz w:val="24"/>
                <w:u w:val="none"/>
                <w:lang w:val="en-US" w:eastAsia="zh-CN"/>
              </w:rPr>
              <w:t>×</w:t>
            </w:r>
            <w:r>
              <w:rPr>
                <w:rFonts w:hint="eastAsia" w:ascii="Times New Roman" w:hAnsi="Times New Roman" w:cs="宋体"/>
                <w:color w:val="auto"/>
                <w:sz w:val="24"/>
                <w:u w:val="none"/>
                <w:lang w:val="en-US" w:eastAsia="zh-CN"/>
              </w:rPr>
              <w:t>80万立方米刨花板项目环境影响报告书》，目前“年产2</w:t>
            </w:r>
            <w:r>
              <w:rPr>
                <w:rFonts w:hint="default" w:ascii="Times New Roman" w:hAnsi="Times New Roman" w:cs="Times New Roman"/>
                <w:color w:val="auto"/>
                <w:sz w:val="24"/>
                <w:u w:val="none"/>
                <w:lang w:val="en-US" w:eastAsia="zh-CN"/>
              </w:rPr>
              <w:t>×</w:t>
            </w:r>
            <w:r>
              <w:rPr>
                <w:rFonts w:hint="eastAsia" w:ascii="Times New Roman" w:hAnsi="Times New Roman" w:cs="宋体"/>
                <w:color w:val="auto"/>
                <w:sz w:val="24"/>
                <w:u w:val="none"/>
                <w:lang w:val="en-US" w:eastAsia="zh-CN"/>
              </w:rPr>
              <w:t>80万立方米刨花板项目”已通过永州市生态环境局的审批（永环评[2022]13号）、“3</w:t>
            </w:r>
            <w:r>
              <w:rPr>
                <w:rFonts w:hint="default" w:ascii="Times New Roman" w:hAnsi="Times New Roman" w:cs="Times New Roman"/>
                <w:color w:val="auto"/>
                <w:sz w:val="24"/>
                <w:u w:val="none"/>
                <w:lang w:val="en-US" w:eastAsia="zh-CN"/>
              </w:rPr>
              <w:t>×</w:t>
            </w:r>
            <w:r>
              <w:rPr>
                <w:rFonts w:hint="eastAsia" w:ascii="Times New Roman" w:hAnsi="Times New Roman" w:cs="宋体"/>
                <w:color w:val="auto"/>
                <w:sz w:val="24"/>
                <w:u w:val="none"/>
                <w:lang w:val="en-US" w:eastAsia="zh-CN"/>
              </w:rPr>
              <w:t>170t/h+2</w:t>
            </w:r>
            <w:r>
              <w:rPr>
                <w:rFonts w:hint="default" w:ascii="Times New Roman" w:hAnsi="Times New Roman" w:cs="Times New Roman"/>
                <w:color w:val="auto"/>
                <w:sz w:val="24"/>
                <w:u w:val="none"/>
                <w:lang w:val="en-US" w:eastAsia="zh-CN"/>
              </w:rPr>
              <w:t>×</w:t>
            </w:r>
            <w:r>
              <w:rPr>
                <w:rFonts w:hint="eastAsia" w:ascii="Times New Roman" w:hAnsi="Times New Roman" w:cs="宋体"/>
                <w:color w:val="auto"/>
                <w:sz w:val="24"/>
                <w:u w:val="none"/>
                <w:lang w:val="en-US" w:eastAsia="zh-CN"/>
              </w:rPr>
              <w:t>30MW生物质电厂项目”环评正在报批阶段。其中“3</w:t>
            </w:r>
            <w:r>
              <w:rPr>
                <w:rFonts w:hint="default" w:ascii="Times New Roman" w:hAnsi="Times New Roman" w:cs="Times New Roman"/>
                <w:color w:val="auto"/>
                <w:sz w:val="24"/>
                <w:u w:val="none"/>
                <w:lang w:val="en-US" w:eastAsia="zh-CN"/>
              </w:rPr>
              <w:t>×</w:t>
            </w:r>
            <w:r>
              <w:rPr>
                <w:rFonts w:hint="eastAsia" w:ascii="Times New Roman" w:hAnsi="Times New Roman" w:cs="宋体"/>
                <w:color w:val="auto"/>
                <w:sz w:val="24"/>
                <w:u w:val="none"/>
                <w:lang w:val="en-US" w:eastAsia="zh-CN"/>
              </w:rPr>
              <w:t>170t/h+2</w:t>
            </w:r>
            <w:r>
              <w:rPr>
                <w:rFonts w:hint="default" w:ascii="Times New Roman" w:hAnsi="Times New Roman" w:cs="Times New Roman"/>
                <w:color w:val="auto"/>
                <w:sz w:val="24"/>
                <w:u w:val="none"/>
                <w:lang w:val="en-US" w:eastAsia="zh-CN"/>
              </w:rPr>
              <w:t>×</w:t>
            </w:r>
            <w:r>
              <w:rPr>
                <w:rFonts w:hint="eastAsia" w:ascii="Times New Roman" w:hAnsi="Times New Roman" w:cs="宋体"/>
                <w:color w:val="auto"/>
                <w:sz w:val="24"/>
                <w:u w:val="none"/>
                <w:lang w:val="en-US" w:eastAsia="zh-CN"/>
              </w:rPr>
              <w:t>30MW生物质电厂项目”属于科技产业园的辅助配套工程，为</w:t>
            </w:r>
            <w:r>
              <w:rPr>
                <w:rFonts w:hint="eastAsia" w:ascii="Times New Roman" w:hAnsi="Times New Roman" w:cs="宋体"/>
                <w:color w:val="auto"/>
                <w:sz w:val="24"/>
                <w:u w:val="none"/>
              </w:rPr>
              <w:t>科技产业园</w:t>
            </w:r>
            <w:r>
              <w:rPr>
                <w:rFonts w:hint="eastAsia" w:ascii="Times New Roman" w:hAnsi="Times New Roman" w:cs="宋体"/>
                <w:color w:val="auto"/>
                <w:sz w:val="24"/>
                <w:u w:val="none"/>
                <w:lang w:val="en-US" w:eastAsia="zh-CN"/>
              </w:rPr>
              <w:t>提供蒸汽和电力，其使用的生物质来源于科技产业园内刨花板、木材加工等项目产生的木材边角料。为进一步打造</w:t>
            </w:r>
            <w:r>
              <w:rPr>
                <w:rFonts w:hint="eastAsia" w:ascii="Times New Roman" w:hAnsi="Times New Roman" w:cs="宋体"/>
                <w:color w:val="auto"/>
                <w:sz w:val="24"/>
                <w:u w:val="none"/>
              </w:rPr>
              <w:t>湖南鲁丽木业绿色新材料科技产业园</w:t>
            </w:r>
            <w:r>
              <w:rPr>
                <w:rFonts w:hint="eastAsia" w:ascii="Times New Roman" w:hAnsi="Times New Roman" w:cs="宋体"/>
                <w:color w:val="auto"/>
                <w:sz w:val="24"/>
                <w:u w:val="none"/>
                <w:lang w:eastAsia="zh-CN"/>
              </w:rPr>
              <w:t>，</w:t>
            </w:r>
            <w:r>
              <w:rPr>
                <w:rFonts w:hint="eastAsia" w:ascii="Times New Roman" w:hAnsi="Times New Roman" w:cs="宋体"/>
                <w:color w:val="auto"/>
                <w:sz w:val="24"/>
                <w:u w:val="none"/>
                <w:lang w:val="en-US" w:eastAsia="zh-CN"/>
              </w:rPr>
              <w:t>湖南鲁丽公司委托湖南乐和环保科技有限公司编制《湖南鲁丽木业绿色新材料科技产业园木材加工项目环境影响报告表》已通过永州市生态环境局新田分局审批（新环评【2023】2号）。为落实污水防治相关措施，公司拟配套新建一套处理能力1000m</w:t>
            </w:r>
            <w:r>
              <w:rPr>
                <w:rFonts w:hint="eastAsia" w:ascii="Times New Roman" w:hAnsi="Times New Roman" w:cs="宋体"/>
                <w:color w:val="auto"/>
                <w:sz w:val="24"/>
                <w:u w:val="none"/>
                <w:vertAlign w:val="superscript"/>
                <w:lang w:val="en-US" w:eastAsia="zh-CN"/>
              </w:rPr>
              <w:t>3</w:t>
            </w:r>
            <w:r>
              <w:rPr>
                <w:rFonts w:hint="eastAsia" w:ascii="Times New Roman" w:hAnsi="Times New Roman" w:cs="宋体"/>
                <w:color w:val="auto"/>
                <w:sz w:val="24"/>
                <w:u w:val="none"/>
                <w:lang w:val="en-US" w:eastAsia="zh-CN"/>
              </w:rPr>
              <w:t>/d的污水处理站，满足项目污水处理要求，近期处理水量较小，处理达到《城镇污水处理厂污染物排放标准》（GB18918-2002）表1中一级标准的A标准回用于刨花板项目冷却系统及热电联产脱硫脱硝环节。</w:t>
            </w: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b/>
                <w:bCs/>
                <w:color w:val="auto"/>
                <w:szCs w:val="21"/>
                <w:u w:val="none"/>
                <w:lang w:val="en-US" w:eastAsia="zh-CN"/>
              </w:rPr>
            </w:pP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b/>
                <w:bCs/>
                <w:color w:val="auto"/>
                <w:szCs w:val="21"/>
                <w:u w:val="none"/>
                <w:lang w:val="en-US" w:eastAsia="zh-CN"/>
              </w:rPr>
            </w:pP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b/>
                <w:bCs/>
                <w:color w:val="auto"/>
                <w:szCs w:val="21"/>
                <w:u w:val="none"/>
                <w:lang w:val="en-US" w:eastAsia="zh-CN"/>
              </w:rPr>
            </w:pP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b/>
                <w:bCs/>
                <w:color w:val="auto"/>
                <w:szCs w:val="21"/>
                <w:u w:val="none"/>
                <w:lang w:val="en-US" w:eastAsia="zh-CN"/>
              </w:rPr>
            </w:pP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b/>
                <w:bCs/>
                <w:color w:val="auto"/>
                <w:szCs w:val="21"/>
                <w:u w:val="none"/>
                <w:lang w:val="en-US" w:eastAsia="zh-CN"/>
              </w:rPr>
            </w:pP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b/>
                <w:bCs/>
                <w:color w:val="auto"/>
                <w:szCs w:val="21"/>
                <w:u w:val="none"/>
                <w:lang w:val="en-US" w:eastAsia="zh-CN"/>
              </w:rPr>
            </w:pPr>
            <w:r>
              <w:rPr>
                <w:rFonts w:hint="eastAsia" w:ascii="Times New Roman" w:hAnsi="Times New Roman" w:eastAsia="宋体" w:cs="Times New Roman"/>
                <w:b/>
                <w:bCs/>
                <w:color w:val="auto"/>
                <w:szCs w:val="21"/>
                <w:u w:val="none"/>
                <w:lang w:val="en-US" w:eastAsia="zh-CN"/>
              </w:rPr>
              <w:t>表2-1 湖南鲁丽木业有限公司项目审批及建设情况</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
              <w:gridCol w:w="3915"/>
              <w:gridCol w:w="2430"/>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序号</w:t>
                  </w:r>
                </w:p>
              </w:tc>
              <w:tc>
                <w:tcPr>
                  <w:tcW w:w="3915" w:type="dxa"/>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项目名称</w:t>
                  </w:r>
                </w:p>
              </w:tc>
              <w:tc>
                <w:tcPr>
                  <w:tcW w:w="2430" w:type="dxa"/>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环评批复</w:t>
                  </w:r>
                </w:p>
              </w:tc>
              <w:tc>
                <w:tcPr>
                  <w:tcW w:w="1636" w:type="dxa"/>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29" w:type="dxa"/>
                  <w:vAlign w:val="center"/>
                </w:tcPr>
                <w:p>
                  <w:pPr>
                    <w:pStyle w:val="25"/>
                    <w:keepNext w:val="0"/>
                    <w:keepLines w:val="0"/>
                    <w:suppressLineNumbers w:val="0"/>
                    <w:spacing w:before="0" w:beforeAutospacing="0" w:after="0" w:afterAutospacing="0" w:line="360" w:lineRule="auto"/>
                    <w:ind w:left="0" w:right="0"/>
                    <w:jc w:val="center"/>
                    <w:rPr>
                      <w:rFonts w:hint="default" w:ascii="Times New Roman" w:hAnsi="Times New Roman" w:cs="宋体"/>
                      <w:color w:val="auto"/>
                      <w:sz w:val="24"/>
                      <w:u w:val="none"/>
                      <w:vertAlign w:val="baseline"/>
                      <w:lang w:val="en-US" w:eastAsia="zh-CN"/>
                    </w:rPr>
                  </w:pPr>
                  <w:r>
                    <w:rPr>
                      <w:rFonts w:hint="eastAsia" w:ascii="Times New Roman" w:hAnsi="Times New Roman" w:cs="宋体"/>
                      <w:color w:val="auto"/>
                      <w:sz w:val="24"/>
                      <w:u w:val="none"/>
                      <w:vertAlign w:val="baseline"/>
                      <w:lang w:val="en-US" w:eastAsia="zh-CN"/>
                    </w:rPr>
                    <w:t>1</w:t>
                  </w:r>
                </w:p>
              </w:tc>
              <w:tc>
                <w:tcPr>
                  <w:tcW w:w="3915" w:type="dxa"/>
                  <w:vAlign w:val="center"/>
                </w:tcPr>
                <w:p>
                  <w:pPr>
                    <w:pStyle w:val="25"/>
                    <w:keepNext w:val="0"/>
                    <w:keepLines w:val="0"/>
                    <w:suppressLineNumbers w:val="0"/>
                    <w:spacing w:before="0" w:beforeAutospacing="0" w:after="0" w:afterAutospacing="0" w:line="360" w:lineRule="auto"/>
                    <w:ind w:left="0" w:right="0"/>
                    <w:jc w:val="center"/>
                    <w:rPr>
                      <w:rFonts w:hint="default" w:ascii="Times New Roman" w:hAnsi="Times New Roman" w:cs="宋体"/>
                      <w:color w:val="auto"/>
                      <w:sz w:val="24"/>
                      <w:u w:val="none"/>
                      <w:vertAlign w:val="baseline"/>
                      <w:lang w:val="en-US" w:eastAsia="zh-CN"/>
                    </w:rPr>
                  </w:pPr>
                  <w:r>
                    <w:rPr>
                      <w:rFonts w:hint="default" w:ascii="Times New Roman" w:hAnsi="Times New Roman" w:cs="宋体"/>
                      <w:color w:val="auto"/>
                      <w:sz w:val="24"/>
                      <w:u w:val="none"/>
                      <w:vertAlign w:val="baseline"/>
                      <w:lang w:val="en-US" w:eastAsia="zh-CN"/>
                    </w:rPr>
                    <w:t>湖南鲁丽木业有限公司3×170t/h+2×30MW生物质电厂项目</w:t>
                  </w:r>
                </w:p>
              </w:tc>
              <w:tc>
                <w:tcPr>
                  <w:tcW w:w="2430" w:type="dxa"/>
                  <w:vAlign w:val="center"/>
                </w:tcPr>
                <w:p>
                  <w:pPr>
                    <w:pStyle w:val="25"/>
                    <w:keepNext w:val="0"/>
                    <w:keepLines w:val="0"/>
                    <w:suppressLineNumbers w:val="0"/>
                    <w:spacing w:before="0" w:beforeAutospacing="0" w:after="0" w:afterAutospacing="0" w:line="360" w:lineRule="auto"/>
                    <w:ind w:left="0" w:right="0"/>
                    <w:jc w:val="center"/>
                    <w:rPr>
                      <w:rFonts w:hint="default" w:ascii="Times New Roman" w:hAnsi="Times New Roman" w:cs="宋体"/>
                      <w:color w:val="auto"/>
                      <w:sz w:val="24"/>
                      <w:u w:val="none"/>
                      <w:vertAlign w:val="baseline"/>
                      <w:lang w:val="en-US" w:eastAsia="zh-CN"/>
                    </w:rPr>
                  </w:pPr>
                  <w:r>
                    <w:rPr>
                      <w:rFonts w:hint="eastAsia" w:ascii="Times New Roman" w:hAnsi="Times New Roman" w:cs="宋体"/>
                      <w:color w:val="auto"/>
                      <w:sz w:val="24"/>
                      <w:u w:val="none"/>
                      <w:vertAlign w:val="baseline"/>
                      <w:lang w:val="en-US" w:eastAsia="zh-CN"/>
                    </w:rPr>
                    <w:t>/</w:t>
                  </w:r>
                </w:p>
              </w:tc>
              <w:tc>
                <w:tcPr>
                  <w:tcW w:w="1636" w:type="dxa"/>
                  <w:vAlign w:val="center"/>
                </w:tcPr>
                <w:p>
                  <w:pPr>
                    <w:pStyle w:val="25"/>
                    <w:keepNext w:val="0"/>
                    <w:keepLines w:val="0"/>
                    <w:suppressLineNumbers w:val="0"/>
                    <w:spacing w:before="0" w:beforeAutospacing="0" w:after="0" w:afterAutospacing="0" w:line="360" w:lineRule="auto"/>
                    <w:ind w:left="0" w:right="0"/>
                    <w:jc w:val="center"/>
                    <w:rPr>
                      <w:rFonts w:hint="default" w:ascii="Times New Roman" w:hAnsi="Times New Roman" w:cs="宋体"/>
                      <w:color w:val="auto"/>
                      <w:sz w:val="24"/>
                      <w:u w:val="none"/>
                      <w:vertAlign w:val="baseline"/>
                      <w:lang w:val="en-US" w:eastAsia="zh-CN"/>
                    </w:rPr>
                  </w:pPr>
                  <w:r>
                    <w:rPr>
                      <w:rFonts w:hint="eastAsia" w:ascii="Times New Roman" w:hAnsi="Times New Roman" w:cs="宋体"/>
                      <w:color w:val="auto"/>
                      <w:sz w:val="24"/>
                      <w:u w:val="none"/>
                      <w:vertAlign w:val="baseline"/>
                      <w:lang w:val="en-US" w:eastAsia="zh-CN"/>
                    </w:rPr>
                    <w:t>尚未建设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Align w:val="center"/>
                </w:tcPr>
                <w:p>
                  <w:pPr>
                    <w:pStyle w:val="25"/>
                    <w:keepNext w:val="0"/>
                    <w:keepLines w:val="0"/>
                    <w:suppressLineNumbers w:val="0"/>
                    <w:spacing w:before="0" w:beforeAutospacing="0" w:after="0" w:afterAutospacing="0" w:line="360" w:lineRule="auto"/>
                    <w:ind w:left="0" w:right="0"/>
                    <w:jc w:val="center"/>
                    <w:rPr>
                      <w:rFonts w:hint="default" w:ascii="Times New Roman" w:hAnsi="Times New Roman" w:cs="宋体"/>
                      <w:color w:val="auto"/>
                      <w:sz w:val="24"/>
                      <w:u w:val="none"/>
                      <w:vertAlign w:val="baseline"/>
                      <w:lang w:val="en-US" w:eastAsia="zh-CN"/>
                    </w:rPr>
                  </w:pPr>
                  <w:r>
                    <w:rPr>
                      <w:rFonts w:hint="eastAsia" w:ascii="Times New Roman" w:hAnsi="Times New Roman" w:cs="宋体"/>
                      <w:color w:val="auto"/>
                      <w:sz w:val="24"/>
                      <w:u w:val="none"/>
                      <w:vertAlign w:val="baseline"/>
                      <w:lang w:val="en-US" w:eastAsia="zh-CN"/>
                    </w:rPr>
                    <w:t>2</w:t>
                  </w:r>
                </w:p>
              </w:tc>
              <w:tc>
                <w:tcPr>
                  <w:tcW w:w="3915" w:type="dxa"/>
                  <w:vAlign w:val="center"/>
                </w:tcPr>
                <w:p>
                  <w:pPr>
                    <w:pStyle w:val="25"/>
                    <w:keepNext w:val="0"/>
                    <w:keepLines w:val="0"/>
                    <w:suppressLineNumbers w:val="0"/>
                    <w:spacing w:before="0" w:beforeAutospacing="0" w:after="0" w:afterAutospacing="0" w:line="360" w:lineRule="auto"/>
                    <w:ind w:left="0" w:right="0"/>
                    <w:jc w:val="center"/>
                    <w:rPr>
                      <w:rFonts w:hint="default" w:ascii="Times New Roman" w:hAnsi="Times New Roman" w:cs="宋体"/>
                      <w:color w:val="auto"/>
                      <w:sz w:val="24"/>
                      <w:u w:val="none"/>
                      <w:vertAlign w:val="baseline"/>
                      <w:lang w:val="en-US" w:eastAsia="zh-CN"/>
                    </w:rPr>
                  </w:pPr>
                  <w:r>
                    <w:rPr>
                      <w:rFonts w:hint="default" w:ascii="Times New Roman" w:hAnsi="Times New Roman" w:cs="宋体"/>
                      <w:color w:val="auto"/>
                      <w:sz w:val="24"/>
                      <w:u w:val="none"/>
                      <w:vertAlign w:val="baseline"/>
                      <w:lang w:val="en-US" w:eastAsia="zh-CN"/>
                    </w:rPr>
                    <w:t>湖南鲁丽木业有限公司年产2×80万立方米刨花板项目</w:t>
                  </w:r>
                </w:p>
              </w:tc>
              <w:tc>
                <w:tcPr>
                  <w:tcW w:w="2430" w:type="dxa"/>
                  <w:vAlign w:val="center"/>
                </w:tcPr>
                <w:p>
                  <w:pPr>
                    <w:pStyle w:val="25"/>
                    <w:keepNext w:val="0"/>
                    <w:keepLines w:val="0"/>
                    <w:suppressLineNumbers w:val="0"/>
                    <w:spacing w:before="0" w:beforeAutospacing="0" w:after="0" w:afterAutospacing="0" w:line="360" w:lineRule="auto"/>
                    <w:ind w:left="0" w:right="0"/>
                    <w:jc w:val="center"/>
                    <w:rPr>
                      <w:rFonts w:hint="default" w:ascii="Times New Roman" w:hAnsi="Times New Roman" w:cs="宋体"/>
                      <w:color w:val="auto"/>
                      <w:sz w:val="24"/>
                      <w:u w:val="none"/>
                      <w:vertAlign w:val="baseline"/>
                      <w:lang w:val="en-US" w:eastAsia="zh-CN"/>
                    </w:rPr>
                  </w:pPr>
                  <w:r>
                    <w:rPr>
                      <w:rFonts w:hint="default" w:ascii="Times New Roman" w:hAnsi="Times New Roman" w:cs="宋体"/>
                      <w:color w:val="auto"/>
                      <w:sz w:val="24"/>
                      <w:u w:val="none"/>
                      <w:vertAlign w:val="baseline"/>
                      <w:lang w:val="en-US" w:eastAsia="zh-CN"/>
                    </w:rPr>
                    <w:t>永环评[2022]13号</w:t>
                  </w:r>
                </w:p>
              </w:tc>
              <w:tc>
                <w:tcPr>
                  <w:tcW w:w="1636" w:type="dxa"/>
                  <w:vAlign w:val="center"/>
                </w:tcPr>
                <w:p>
                  <w:pPr>
                    <w:pStyle w:val="25"/>
                    <w:keepNext w:val="0"/>
                    <w:keepLines w:val="0"/>
                    <w:suppressLineNumbers w:val="0"/>
                    <w:spacing w:before="0" w:beforeAutospacing="0" w:after="0" w:afterAutospacing="0" w:line="360" w:lineRule="auto"/>
                    <w:ind w:left="0" w:right="0"/>
                    <w:jc w:val="center"/>
                    <w:rPr>
                      <w:rFonts w:hint="default" w:ascii="Times New Roman" w:hAnsi="Times New Roman" w:cs="宋体"/>
                      <w:color w:val="auto"/>
                      <w:sz w:val="24"/>
                      <w:u w:val="none"/>
                      <w:vertAlign w:val="baseline"/>
                      <w:lang w:val="en-US" w:eastAsia="zh-CN"/>
                    </w:rPr>
                  </w:pPr>
                  <w:r>
                    <w:rPr>
                      <w:rFonts w:hint="eastAsia" w:ascii="Times New Roman" w:hAnsi="Times New Roman" w:cs="宋体"/>
                      <w:color w:val="auto"/>
                      <w:sz w:val="24"/>
                      <w:u w:val="none"/>
                      <w:vertAlign w:val="baseline"/>
                      <w:lang w:val="en-US" w:eastAsia="zh-CN"/>
                    </w:rPr>
                    <w:t>建设中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Align w:val="center"/>
                </w:tcPr>
                <w:p>
                  <w:pPr>
                    <w:pStyle w:val="25"/>
                    <w:keepNext w:val="0"/>
                    <w:keepLines w:val="0"/>
                    <w:suppressLineNumbers w:val="0"/>
                    <w:spacing w:before="0" w:beforeAutospacing="0" w:after="0" w:afterAutospacing="0" w:line="360" w:lineRule="auto"/>
                    <w:ind w:left="0" w:right="0"/>
                    <w:jc w:val="center"/>
                    <w:rPr>
                      <w:rFonts w:hint="default" w:ascii="Times New Roman" w:hAnsi="Times New Roman" w:cs="宋体"/>
                      <w:color w:val="auto"/>
                      <w:sz w:val="24"/>
                      <w:u w:val="none"/>
                      <w:vertAlign w:val="baseline"/>
                      <w:lang w:val="en-US" w:eastAsia="zh-CN"/>
                    </w:rPr>
                  </w:pPr>
                  <w:r>
                    <w:rPr>
                      <w:rFonts w:hint="eastAsia" w:ascii="Times New Roman" w:hAnsi="Times New Roman" w:cs="宋体"/>
                      <w:color w:val="auto"/>
                      <w:sz w:val="24"/>
                      <w:u w:val="none"/>
                      <w:vertAlign w:val="baseline"/>
                      <w:lang w:val="en-US" w:eastAsia="zh-CN"/>
                    </w:rPr>
                    <w:t>3</w:t>
                  </w:r>
                </w:p>
              </w:tc>
              <w:tc>
                <w:tcPr>
                  <w:tcW w:w="3915" w:type="dxa"/>
                  <w:vAlign w:val="center"/>
                </w:tcPr>
                <w:p>
                  <w:pPr>
                    <w:pStyle w:val="25"/>
                    <w:keepNext w:val="0"/>
                    <w:keepLines w:val="0"/>
                    <w:suppressLineNumbers w:val="0"/>
                    <w:spacing w:before="0" w:beforeAutospacing="0" w:after="0" w:afterAutospacing="0" w:line="360" w:lineRule="auto"/>
                    <w:ind w:left="0" w:right="0"/>
                    <w:jc w:val="center"/>
                    <w:rPr>
                      <w:rFonts w:hint="default" w:ascii="Times New Roman" w:hAnsi="Times New Roman" w:cs="宋体"/>
                      <w:color w:val="auto"/>
                      <w:sz w:val="24"/>
                      <w:u w:val="none"/>
                      <w:vertAlign w:val="baseline"/>
                      <w:lang w:val="en-US" w:eastAsia="zh-CN"/>
                    </w:rPr>
                  </w:pPr>
                  <w:r>
                    <w:rPr>
                      <w:rFonts w:hint="default" w:ascii="Times New Roman" w:hAnsi="Times New Roman" w:cs="宋体"/>
                      <w:color w:val="auto"/>
                      <w:sz w:val="24"/>
                      <w:u w:val="none"/>
                      <w:vertAlign w:val="baseline"/>
                      <w:lang w:val="en-US" w:eastAsia="zh-CN"/>
                    </w:rPr>
                    <w:t>湖南鲁丽木业绿色新材料科技产业园木材加工项目</w:t>
                  </w:r>
                </w:p>
              </w:tc>
              <w:tc>
                <w:tcPr>
                  <w:tcW w:w="2430" w:type="dxa"/>
                  <w:vAlign w:val="center"/>
                </w:tcPr>
                <w:p>
                  <w:pPr>
                    <w:pStyle w:val="25"/>
                    <w:keepNext w:val="0"/>
                    <w:keepLines w:val="0"/>
                    <w:suppressLineNumbers w:val="0"/>
                    <w:spacing w:before="0" w:beforeAutospacing="0" w:after="0" w:afterAutospacing="0" w:line="360" w:lineRule="auto"/>
                    <w:ind w:left="0" w:right="0"/>
                    <w:jc w:val="center"/>
                    <w:rPr>
                      <w:rFonts w:hint="default" w:ascii="Times New Roman" w:hAnsi="Times New Roman" w:cs="宋体"/>
                      <w:color w:val="auto"/>
                      <w:sz w:val="24"/>
                      <w:u w:val="none"/>
                      <w:vertAlign w:val="baseline"/>
                      <w:lang w:val="en-US" w:eastAsia="zh-CN"/>
                    </w:rPr>
                  </w:pPr>
                  <w:r>
                    <w:rPr>
                      <w:rFonts w:hint="default" w:ascii="Times New Roman" w:hAnsi="Times New Roman" w:cs="宋体"/>
                      <w:color w:val="auto"/>
                      <w:sz w:val="24"/>
                      <w:u w:val="none"/>
                      <w:vertAlign w:val="baseline"/>
                      <w:lang w:val="en-US" w:eastAsia="zh-CN"/>
                    </w:rPr>
                    <w:t>新环评【2023】2号</w:t>
                  </w:r>
                </w:p>
              </w:tc>
              <w:tc>
                <w:tcPr>
                  <w:tcW w:w="1636" w:type="dxa"/>
                  <w:vAlign w:val="center"/>
                </w:tcPr>
                <w:p>
                  <w:pPr>
                    <w:pStyle w:val="25"/>
                    <w:keepNext w:val="0"/>
                    <w:keepLines w:val="0"/>
                    <w:suppressLineNumbers w:val="0"/>
                    <w:spacing w:before="0" w:beforeAutospacing="0" w:after="0" w:afterAutospacing="0" w:line="360" w:lineRule="auto"/>
                    <w:ind w:left="0" w:right="0"/>
                    <w:jc w:val="center"/>
                    <w:rPr>
                      <w:rFonts w:hint="default" w:ascii="Times New Roman" w:hAnsi="Times New Roman" w:cs="宋体"/>
                      <w:color w:val="auto"/>
                      <w:sz w:val="24"/>
                      <w:u w:val="none"/>
                      <w:vertAlign w:val="baseline"/>
                      <w:lang w:val="en-US" w:eastAsia="zh-CN"/>
                    </w:rPr>
                  </w:pPr>
                  <w:r>
                    <w:rPr>
                      <w:rFonts w:hint="eastAsia" w:ascii="Times New Roman" w:hAnsi="Times New Roman" w:cs="宋体"/>
                      <w:color w:val="auto"/>
                      <w:sz w:val="24"/>
                      <w:u w:val="none"/>
                      <w:vertAlign w:val="baseline"/>
                      <w:lang w:val="en-US" w:eastAsia="zh-CN"/>
                    </w:rPr>
                    <w:t>建设中</w:t>
                  </w:r>
                </w:p>
              </w:tc>
            </w:tr>
          </w:tbl>
          <w:p>
            <w:pPr>
              <w:pStyle w:val="25"/>
              <w:keepNext w:val="0"/>
              <w:keepLines w:val="0"/>
              <w:suppressLineNumbers w:val="0"/>
              <w:spacing w:before="0" w:beforeAutospacing="0" w:after="0" w:afterAutospacing="0" w:line="360" w:lineRule="auto"/>
              <w:ind w:left="0" w:right="0" w:firstLine="480" w:firstLineChars="200"/>
              <w:rPr>
                <w:rFonts w:hint="default" w:ascii="Times New Roman" w:hAnsi="Times New Roman"/>
                <w:color w:val="auto"/>
                <w:szCs w:val="24"/>
                <w:shd w:val="clear" w:color="auto" w:fill="FFFFFF"/>
              </w:rPr>
            </w:pPr>
            <w:r>
              <w:rPr>
                <w:rFonts w:hint="default" w:ascii="Times New Roman" w:hAnsi="Times New Roman"/>
                <w:color w:val="auto"/>
                <w:szCs w:val="24"/>
                <w:shd w:val="clear" w:color="auto" w:fill="FFFFFF"/>
              </w:rPr>
              <w:t>根据《中华人民共和国环境保护法》、《中华人民共和国环境影响评价法》、《国务院关于修改〈建设项目环境保护管理条例〉的决定》（国务院682号令）、《建设项目环境影响评价分类管理名录</w:t>
            </w:r>
            <w:r>
              <w:rPr>
                <w:rFonts w:hint="eastAsia" w:ascii="Times New Roman" w:hAnsi="Times New Roman"/>
                <w:color w:val="auto"/>
                <w:szCs w:val="24"/>
                <w:shd w:val="clear" w:color="auto" w:fill="FFFFFF"/>
              </w:rPr>
              <w:t>（2021年版）</w:t>
            </w:r>
            <w:r>
              <w:rPr>
                <w:rFonts w:hint="default" w:ascii="Times New Roman" w:hAnsi="Times New Roman"/>
                <w:color w:val="auto"/>
                <w:szCs w:val="24"/>
                <w:shd w:val="clear" w:color="auto" w:fill="FFFFFF"/>
              </w:rPr>
              <w:t>》等环境保护有关规定，本项目</w:t>
            </w:r>
            <w:r>
              <w:rPr>
                <w:rFonts w:hint="eastAsia" w:ascii="Times New Roman" w:hAnsi="Times New Roman"/>
                <w:color w:val="auto"/>
                <w:szCs w:val="24"/>
                <w:shd w:val="clear" w:color="auto" w:fill="FFFFFF"/>
                <w:lang w:val="en-US" w:eastAsia="zh-CN"/>
              </w:rPr>
              <w:t>板材生产</w:t>
            </w:r>
            <w:r>
              <w:rPr>
                <w:rFonts w:hint="default" w:ascii="Times New Roman" w:hAnsi="Times New Roman"/>
                <w:color w:val="auto"/>
                <w:szCs w:val="24"/>
                <w:shd w:val="clear" w:color="auto" w:fill="FFFFFF"/>
              </w:rPr>
              <w:t>属于</w:t>
            </w:r>
            <w:r>
              <w:rPr>
                <w:rFonts w:hint="eastAsia" w:ascii="Times New Roman" w:hAnsi="Times New Roman"/>
                <w:color w:val="auto"/>
                <w:szCs w:val="24"/>
                <w:shd w:val="clear" w:color="auto" w:fill="FFFFFF"/>
              </w:rPr>
              <w:t>“</w:t>
            </w:r>
            <w:r>
              <w:rPr>
                <w:rFonts w:hint="eastAsia" w:ascii="Times New Roman" w:hAnsi="Times New Roman"/>
                <w:color w:val="auto"/>
                <w:szCs w:val="24"/>
                <w:shd w:val="clear" w:color="auto" w:fill="FFFFFF"/>
                <w:lang w:val="en-US" w:eastAsia="zh-CN"/>
              </w:rPr>
              <w:t>四十三</w:t>
            </w:r>
            <w:r>
              <w:rPr>
                <w:rFonts w:hint="eastAsia" w:ascii="Times New Roman" w:hAnsi="Times New Roman"/>
                <w:color w:val="auto"/>
                <w:szCs w:val="24"/>
                <w:shd w:val="clear" w:color="auto" w:fill="FFFFFF"/>
              </w:rPr>
              <w:t>、水的生产和供应业”中的“95、污水处理及其再生利用”，“新建、扩建其他工业废水处理的(不含建设单位自建自用仅处理生活污水的</w:t>
            </w:r>
            <w:r>
              <w:rPr>
                <w:rFonts w:hint="eastAsia" w:ascii="Times New Roman" w:hAnsi="Times New Roman"/>
                <w:color w:val="auto"/>
                <w:szCs w:val="24"/>
                <w:shd w:val="clear" w:color="auto" w:fill="FFFFFF"/>
                <w:lang w:val="en-US" w:eastAsia="zh-CN"/>
              </w:rPr>
              <w:t>；</w:t>
            </w:r>
            <w:r>
              <w:rPr>
                <w:rFonts w:hint="eastAsia" w:ascii="Times New Roman" w:hAnsi="Times New Roman"/>
                <w:color w:val="auto"/>
                <w:szCs w:val="24"/>
                <w:shd w:val="clear" w:color="auto" w:fill="FFFFFF"/>
              </w:rPr>
              <w:t>不含出水间接排入地表水体且不排放重金属的)</w:t>
            </w:r>
            <w:r>
              <w:rPr>
                <w:rFonts w:hint="eastAsia" w:ascii="Times New Roman" w:hAnsi="Times New Roman"/>
                <w:color w:val="auto"/>
                <w:szCs w:val="24"/>
                <w:shd w:val="clear" w:color="auto" w:fill="FFFFFF"/>
                <w:lang w:val="en-US" w:eastAsia="zh-CN"/>
              </w:rPr>
              <w:t>”，</w:t>
            </w:r>
            <w:r>
              <w:rPr>
                <w:rFonts w:hint="default" w:ascii="Times New Roman" w:hAnsi="Times New Roman"/>
                <w:color w:val="auto"/>
                <w:szCs w:val="24"/>
                <w:shd w:val="clear" w:color="auto" w:fill="FFFFFF"/>
              </w:rPr>
              <w:t>应当编制环境影响报告表。</w:t>
            </w:r>
            <w:r>
              <w:rPr>
                <w:rFonts w:hint="eastAsia" w:ascii="Times New Roman" w:hAnsi="Times New Roman"/>
                <w:color w:val="auto"/>
                <w:szCs w:val="24"/>
                <w:shd w:val="clear" w:color="auto" w:fill="FFFFFF"/>
                <w:lang w:val="en-US" w:eastAsia="zh-CN"/>
              </w:rPr>
              <w:t>因此，</w:t>
            </w:r>
            <w:r>
              <w:rPr>
                <w:rFonts w:hint="eastAsia" w:cs="宋体"/>
                <w:color w:val="auto"/>
              </w:rPr>
              <w:t>湖南鲁丽木业有限公司</w:t>
            </w:r>
            <w:r>
              <w:rPr>
                <w:rFonts w:hint="default" w:ascii="Times New Roman" w:hAnsi="Times New Roman"/>
                <w:color w:val="auto"/>
                <w:szCs w:val="24"/>
                <w:shd w:val="clear" w:color="auto" w:fill="FFFFFF"/>
              </w:rPr>
              <w:t>委托</w:t>
            </w:r>
            <w:r>
              <w:rPr>
                <w:rFonts w:hint="eastAsia" w:ascii="Times New Roman" w:hAnsi="Times New Roman"/>
                <w:color w:val="auto"/>
                <w:szCs w:val="24"/>
                <w:shd w:val="clear" w:color="auto" w:fill="FFFFFF"/>
              </w:rPr>
              <w:t>湖南乐和环保科技有限公司</w:t>
            </w:r>
            <w:r>
              <w:rPr>
                <w:rFonts w:hint="eastAsia" w:ascii="Times New Roman" w:hAnsi="Times New Roman"/>
                <w:color w:val="auto"/>
                <w:szCs w:val="24"/>
                <w:shd w:val="clear" w:color="auto" w:fill="FFFFFF"/>
                <w:lang w:val="en-US" w:eastAsia="zh-CN"/>
              </w:rPr>
              <w:t>对本项目开展环境影响评价工作。</w:t>
            </w:r>
            <w:r>
              <w:rPr>
                <w:rFonts w:hint="eastAsia" w:ascii="Times New Roman" w:hAnsi="Times New Roman"/>
                <w:color w:val="auto"/>
                <w:szCs w:val="24"/>
                <w:shd w:val="clear" w:color="auto" w:fill="FFFFFF"/>
              </w:rPr>
              <w:t>湖南乐和环保科技有限公司</w:t>
            </w:r>
            <w:r>
              <w:rPr>
                <w:rFonts w:hint="default" w:ascii="Times New Roman" w:hAnsi="Times New Roman"/>
                <w:color w:val="auto"/>
                <w:szCs w:val="24"/>
                <w:shd w:val="clear" w:color="auto" w:fill="FFFFFF"/>
              </w:rPr>
              <w:t>接受委托后，认真研究了项目的有关资料，在踏勘现场</w:t>
            </w:r>
            <w:r>
              <w:rPr>
                <w:rFonts w:hint="eastAsia" w:ascii="Times New Roman" w:hAnsi="Times New Roman"/>
                <w:color w:val="auto"/>
                <w:szCs w:val="24"/>
                <w:shd w:val="clear" w:color="auto" w:fill="FFFFFF"/>
              </w:rPr>
              <w:t>、</w:t>
            </w:r>
            <w:r>
              <w:rPr>
                <w:rFonts w:hint="default" w:ascii="Times New Roman" w:hAnsi="Times New Roman"/>
                <w:color w:val="auto"/>
                <w:szCs w:val="24"/>
                <w:shd w:val="clear" w:color="auto" w:fill="FFFFFF"/>
              </w:rPr>
              <w:t>调查</w:t>
            </w:r>
            <w:r>
              <w:rPr>
                <w:rFonts w:hint="eastAsia" w:ascii="Times New Roman" w:hAnsi="Times New Roman"/>
                <w:color w:val="auto"/>
                <w:szCs w:val="24"/>
                <w:shd w:val="clear" w:color="auto" w:fill="FFFFFF"/>
              </w:rPr>
              <w:t>和</w:t>
            </w:r>
            <w:r>
              <w:rPr>
                <w:rFonts w:hint="default" w:ascii="Times New Roman" w:hAnsi="Times New Roman"/>
                <w:color w:val="auto"/>
                <w:szCs w:val="24"/>
                <w:shd w:val="clear" w:color="auto" w:fill="FFFFFF"/>
              </w:rPr>
              <w:t>收集有关资料的基础上，根据所在区域的环境特征，结合工程污染特性等因素，编制本项目环境影响报告表。通过环境影响评价，提出环境污染控制措施，阐明本项目对周围环境影响的程度和范围，为项目的工程设计和环境管理提供依据，报请审批主管部门审批。</w:t>
            </w:r>
          </w:p>
          <w:p>
            <w:pPr>
              <w:keepNext w:val="0"/>
              <w:keepLines w:val="0"/>
              <w:suppressLineNumbers w:val="0"/>
              <w:spacing w:before="0" w:beforeAutospacing="0" w:after="0" w:afterAutospacing="0" w:line="360" w:lineRule="auto"/>
              <w:ind w:left="0" w:right="0" w:firstLine="482" w:firstLineChars="200"/>
              <w:rPr>
                <w:rFonts w:hint="default"/>
                <w:b/>
                <w:bCs/>
                <w:color w:val="auto"/>
                <w:sz w:val="24"/>
                <w:u w:val="none"/>
              </w:rPr>
            </w:pPr>
            <w:r>
              <w:rPr>
                <w:rFonts w:hint="eastAsia"/>
                <w:b/>
                <w:bCs/>
                <w:color w:val="auto"/>
                <w:sz w:val="24"/>
                <w:u w:val="none"/>
              </w:rPr>
              <w:t>2、建设内容</w:t>
            </w:r>
          </w:p>
          <w:p>
            <w:pPr>
              <w:pStyle w:val="44"/>
              <w:keepNext w:val="0"/>
              <w:keepLines w:val="0"/>
              <w:suppressLineNumbers w:val="0"/>
              <w:spacing w:beforeAutospacing="0" w:afterAutospacing="0" w:line="360" w:lineRule="auto"/>
              <w:ind w:left="0" w:firstLine="480" w:firstLineChars="200"/>
              <w:rPr>
                <w:rFonts w:hint="default" w:ascii="Times New Roman" w:hAnsi="Times New Roman"/>
                <w:color w:val="auto"/>
                <w:u w:val="single"/>
              </w:rPr>
            </w:pPr>
            <w:r>
              <w:rPr>
                <w:rFonts w:hint="default" w:ascii="Times New Roman" w:hAnsi="Times New Roman"/>
                <w:bCs/>
                <w:color w:val="auto"/>
                <w:u w:val="single"/>
              </w:rPr>
              <w:t>本项目位于</w:t>
            </w:r>
            <w:r>
              <w:rPr>
                <w:rFonts w:hint="eastAsia" w:ascii="Times New Roman" w:hAnsi="Times New Roman"/>
                <w:bCs/>
                <w:color w:val="auto"/>
                <w:u w:val="single"/>
              </w:rPr>
              <w:t>湖南省永州市新田县龙泉街道工业集中区工业南园</w:t>
            </w:r>
            <w:r>
              <w:rPr>
                <w:rFonts w:hint="eastAsia" w:ascii="Times New Roman" w:hAnsi="Times New Roman"/>
                <w:bCs/>
                <w:color w:val="auto"/>
                <w:u w:val="single"/>
                <w:lang w:eastAsia="zh-CN"/>
              </w:rPr>
              <w:t>，</w:t>
            </w:r>
            <w:r>
              <w:rPr>
                <w:rFonts w:hint="eastAsia" w:ascii="Times New Roman" w:hAnsi="Times New Roman"/>
                <w:bCs/>
                <w:color w:val="auto"/>
                <w:u w:val="single"/>
                <w:lang w:val="en-US" w:eastAsia="zh-CN"/>
              </w:rPr>
              <w:t>位于</w:t>
            </w:r>
            <w:r>
              <w:rPr>
                <w:rFonts w:hint="eastAsia" w:ascii="Times New Roman" w:hAnsi="Times New Roman" w:cs="宋体"/>
                <w:color w:val="auto"/>
                <w:sz w:val="24"/>
                <w:u w:val="single"/>
                <w:lang w:val="en-US" w:eastAsia="zh-CN"/>
              </w:rPr>
              <w:t>湖南鲁丽木业绿色新材料科技产业园木材加工项目的西北侧。本项目拟建设1座污水处理站，设计处理能力为1000m</w:t>
            </w:r>
            <w:r>
              <w:rPr>
                <w:rFonts w:hint="eastAsia" w:ascii="Times New Roman" w:hAnsi="Times New Roman" w:cs="宋体"/>
                <w:color w:val="auto"/>
                <w:sz w:val="24"/>
                <w:u w:val="single"/>
                <w:vertAlign w:val="superscript"/>
                <w:lang w:val="en-US" w:eastAsia="zh-CN"/>
              </w:rPr>
              <w:t>3</w:t>
            </w:r>
            <w:r>
              <w:rPr>
                <w:rFonts w:hint="eastAsia" w:ascii="Times New Roman" w:hAnsi="Times New Roman" w:cs="宋体"/>
                <w:color w:val="auto"/>
                <w:sz w:val="24"/>
                <w:u w:val="single"/>
                <w:lang w:val="en-US" w:eastAsia="zh-CN"/>
              </w:rPr>
              <w:t>/d，近期内处理水量为180.656m</w:t>
            </w:r>
            <w:r>
              <w:rPr>
                <w:rFonts w:hint="eastAsia" w:ascii="Times New Roman" w:hAnsi="Times New Roman" w:cs="宋体"/>
                <w:color w:val="auto"/>
                <w:sz w:val="24"/>
                <w:u w:val="single"/>
                <w:vertAlign w:val="superscript"/>
                <w:lang w:val="en-US" w:eastAsia="zh-CN"/>
              </w:rPr>
              <w:t>3</w:t>
            </w:r>
            <w:r>
              <w:rPr>
                <w:rFonts w:hint="eastAsia" w:ascii="Times New Roman" w:hAnsi="Times New Roman" w:cs="宋体"/>
                <w:color w:val="auto"/>
                <w:sz w:val="24"/>
                <w:u w:val="single"/>
                <w:lang w:val="en-US" w:eastAsia="zh-CN"/>
              </w:rPr>
              <w:t>/d（废水来源情况见水平衡图1-1），经处理后全部回用。远期考虑后续项目建设，处理水量预计可达800m</w:t>
            </w:r>
            <w:r>
              <w:rPr>
                <w:rFonts w:hint="eastAsia" w:ascii="Times New Roman" w:hAnsi="Times New Roman" w:cs="宋体"/>
                <w:color w:val="auto"/>
                <w:sz w:val="24"/>
                <w:u w:val="single"/>
                <w:vertAlign w:val="superscript"/>
                <w:lang w:val="en-US" w:eastAsia="zh-CN"/>
              </w:rPr>
              <w:t>3</w:t>
            </w:r>
            <w:r>
              <w:rPr>
                <w:rFonts w:hint="eastAsia" w:ascii="Times New Roman" w:hAnsi="Times New Roman" w:cs="宋体"/>
                <w:color w:val="auto"/>
                <w:sz w:val="24"/>
                <w:u w:val="single"/>
                <w:lang w:val="en-US" w:eastAsia="zh-CN"/>
              </w:rPr>
              <w:t>/d，不能回用厂区部分排入市政管网后进行进一步深度处理。本次环评仅对近期内运行进行环境影响评价，远期污水外排，需根据国家相关政策完善相关环保手续后方可外排。本项目污水处理工艺采用“格栅井+调节池+混凝沉淀+A</w:t>
            </w:r>
            <w:r>
              <w:rPr>
                <w:rFonts w:hint="eastAsia" w:ascii="Times New Roman" w:hAnsi="Times New Roman" w:cs="宋体"/>
                <w:color w:val="auto"/>
                <w:sz w:val="24"/>
                <w:u w:val="single"/>
                <w:vertAlign w:val="superscript"/>
                <w:lang w:val="en-US" w:eastAsia="zh-CN"/>
              </w:rPr>
              <w:t>2</w:t>
            </w:r>
            <w:r>
              <w:rPr>
                <w:rFonts w:hint="eastAsia" w:ascii="Times New Roman" w:hAnsi="Times New Roman" w:cs="宋体"/>
                <w:color w:val="auto"/>
                <w:sz w:val="24"/>
                <w:u w:val="single"/>
                <w:lang w:val="en-US" w:eastAsia="zh-CN"/>
              </w:rPr>
              <w:t>/O+二沉池+深度反应池+三沉池”处理工艺，</w:t>
            </w:r>
            <w:r>
              <w:rPr>
                <w:rFonts w:hint="default" w:ascii="Times New Roman" w:hAnsi="Times New Roman"/>
                <w:bCs/>
                <w:color w:val="auto"/>
                <w:u w:val="single"/>
              </w:rPr>
              <w:t>本项目组成情况详见</w:t>
            </w:r>
            <w:r>
              <w:rPr>
                <w:rFonts w:hint="eastAsia" w:ascii="Times New Roman" w:hAnsi="Times New Roman"/>
                <w:bCs/>
                <w:color w:val="auto"/>
                <w:u w:val="single"/>
                <w:lang w:eastAsia="zh-CN"/>
              </w:rPr>
              <w:t>下</w:t>
            </w:r>
            <w:r>
              <w:rPr>
                <w:rFonts w:hint="default" w:ascii="Times New Roman" w:hAnsi="Times New Roman"/>
                <w:bCs/>
                <w:color w:val="auto"/>
                <w:u w:val="single"/>
              </w:rPr>
              <w:t>表：</w:t>
            </w:r>
          </w:p>
          <w:p>
            <w:pPr>
              <w:keepNext w:val="0"/>
              <w:keepLines w:val="0"/>
              <w:suppressLineNumbers w:val="0"/>
              <w:spacing w:before="0" w:beforeAutospacing="0" w:after="0" w:afterAutospacing="0"/>
              <w:ind w:left="0" w:right="0"/>
              <w:jc w:val="center"/>
              <w:rPr>
                <w:rFonts w:hint="default"/>
                <w:b/>
                <w:bCs/>
                <w:color w:val="auto"/>
                <w:szCs w:val="21"/>
                <w:u w:val="none"/>
              </w:rPr>
            </w:pPr>
            <w:r>
              <w:rPr>
                <w:rFonts w:hint="default"/>
                <w:b/>
                <w:bCs/>
                <w:color w:val="auto"/>
                <w:szCs w:val="21"/>
                <w:u w:val="none"/>
              </w:rPr>
              <w:t>表</w:t>
            </w:r>
            <w:r>
              <w:rPr>
                <w:rFonts w:hint="eastAsia"/>
                <w:b/>
                <w:bCs/>
                <w:color w:val="auto"/>
                <w:szCs w:val="21"/>
                <w:u w:val="none"/>
              </w:rPr>
              <w:t>2-</w:t>
            </w:r>
            <w:r>
              <w:rPr>
                <w:rFonts w:hint="eastAsia"/>
                <w:b/>
                <w:bCs/>
                <w:color w:val="auto"/>
                <w:szCs w:val="21"/>
                <w:u w:val="none"/>
                <w:lang w:val="en-US" w:eastAsia="zh-CN"/>
              </w:rPr>
              <w:t>2</w:t>
            </w:r>
            <w:r>
              <w:rPr>
                <w:rFonts w:hint="default"/>
                <w:b/>
                <w:bCs/>
                <w:color w:val="auto"/>
                <w:szCs w:val="21"/>
                <w:u w:val="none"/>
              </w:rPr>
              <w:t>项目主要组成一览表</w:t>
            </w:r>
          </w:p>
          <w:tbl>
            <w:tblPr>
              <w:tblStyle w:val="3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0"/>
              <w:gridCol w:w="1880"/>
              <w:gridCol w:w="5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pct"/>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eastAsia="宋体"/>
                      <w:b/>
                      <w:bCs/>
                      <w:color w:val="auto"/>
                      <w:sz w:val="21"/>
                      <w:szCs w:val="21"/>
                      <w:vertAlign w:val="baseline"/>
                      <w:lang w:val="en-US" w:eastAsia="zh-CN"/>
                    </w:rPr>
                  </w:pPr>
                  <w:r>
                    <w:rPr>
                      <w:rFonts w:hint="eastAsia"/>
                      <w:b/>
                      <w:bCs/>
                      <w:color w:val="auto"/>
                      <w:sz w:val="21"/>
                      <w:szCs w:val="21"/>
                      <w:vertAlign w:val="baseline"/>
                      <w:lang w:val="en-US" w:eastAsia="zh-CN"/>
                    </w:rPr>
                    <w:t>工程类型</w:t>
                  </w:r>
                </w:p>
              </w:tc>
              <w:tc>
                <w:tcPr>
                  <w:tcW w:w="1092" w:type="pct"/>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eastAsia="宋体"/>
                      <w:b/>
                      <w:bCs/>
                      <w:color w:val="auto"/>
                      <w:sz w:val="21"/>
                      <w:szCs w:val="21"/>
                      <w:vertAlign w:val="baseline"/>
                      <w:lang w:val="en-US" w:eastAsia="zh-CN"/>
                    </w:rPr>
                  </w:pPr>
                  <w:r>
                    <w:rPr>
                      <w:rFonts w:hint="eastAsia"/>
                      <w:b/>
                      <w:bCs/>
                      <w:color w:val="auto"/>
                      <w:sz w:val="21"/>
                      <w:szCs w:val="21"/>
                      <w:vertAlign w:val="baseline"/>
                      <w:lang w:val="en-US" w:eastAsia="zh-CN"/>
                    </w:rPr>
                    <w:t>项目名称</w:t>
                  </w:r>
                </w:p>
              </w:tc>
              <w:tc>
                <w:tcPr>
                  <w:tcW w:w="3100" w:type="pct"/>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eastAsia="宋体"/>
                      <w:b/>
                      <w:bCs/>
                      <w:color w:val="auto"/>
                      <w:sz w:val="21"/>
                      <w:szCs w:val="21"/>
                      <w:vertAlign w:val="baseline"/>
                      <w:lang w:val="en-US" w:eastAsia="zh-CN"/>
                    </w:rPr>
                  </w:pPr>
                  <w:r>
                    <w:rPr>
                      <w:rFonts w:hint="eastAsia"/>
                      <w:b/>
                      <w:bCs/>
                      <w:color w:val="auto"/>
                      <w:sz w:val="21"/>
                      <w:szCs w:val="21"/>
                      <w:vertAlign w:val="baseline"/>
                      <w:lang w:val="en-US" w:eastAsia="zh-CN"/>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eastAsia="宋体"/>
                      <w:color w:val="auto"/>
                      <w:sz w:val="21"/>
                      <w:szCs w:val="21"/>
                      <w:vertAlign w:val="baseline"/>
                      <w:lang w:val="en-US" w:eastAsia="zh-CN"/>
                    </w:rPr>
                  </w:pPr>
                  <w:r>
                    <w:rPr>
                      <w:rFonts w:hint="eastAsia"/>
                      <w:color w:val="auto"/>
                      <w:sz w:val="21"/>
                      <w:szCs w:val="21"/>
                      <w:vertAlign w:val="baseline"/>
                      <w:lang w:val="en-US" w:eastAsia="zh-CN"/>
                    </w:rPr>
                    <w:t>主体工程</w:t>
                  </w:r>
                </w:p>
              </w:tc>
              <w:tc>
                <w:tcPr>
                  <w:tcW w:w="1092"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eastAsia="宋体"/>
                      <w:color w:val="auto"/>
                      <w:sz w:val="21"/>
                      <w:szCs w:val="21"/>
                      <w:vertAlign w:val="baseline"/>
                      <w:lang w:val="en-US" w:eastAsia="zh-CN"/>
                    </w:rPr>
                  </w:pPr>
                  <w:r>
                    <w:rPr>
                      <w:rFonts w:hint="eastAsia"/>
                      <w:color w:val="auto"/>
                      <w:sz w:val="21"/>
                      <w:szCs w:val="21"/>
                      <w:vertAlign w:val="baseline"/>
                      <w:lang w:val="en-US" w:eastAsia="zh-CN"/>
                    </w:rPr>
                    <w:t>污水处理设施</w:t>
                  </w:r>
                </w:p>
              </w:tc>
              <w:tc>
                <w:tcPr>
                  <w:tcW w:w="3100"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eastAsia="宋体"/>
                      <w:color w:val="auto"/>
                      <w:sz w:val="21"/>
                      <w:szCs w:val="21"/>
                      <w:vertAlign w:val="baseline"/>
                      <w:lang w:val="en-US" w:eastAsia="zh-CN"/>
                    </w:rPr>
                  </w:pPr>
                  <w:r>
                    <w:rPr>
                      <w:rFonts w:hint="eastAsia"/>
                      <w:color w:val="auto"/>
                      <w:sz w:val="21"/>
                      <w:szCs w:val="21"/>
                      <w:vertAlign w:val="baseline"/>
                    </w:rPr>
                    <w:t>包括集水池、</w:t>
                  </w:r>
                  <w:r>
                    <w:rPr>
                      <w:rFonts w:hint="eastAsia"/>
                      <w:color w:val="auto"/>
                      <w:sz w:val="21"/>
                      <w:szCs w:val="21"/>
                      <w:vertAlign w:val="baseline"/>
                      <w:lang w:val="en-US" w:eastAsia="zh-CN"/>
                    </w:rPr>
                    <w:t>格栅井、调节池、混凝沉淀池、中间水池、水解酸化池、综合生化池、二沉池、深度反应池、三沉池各1座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pct"/>
                  <w:vMerge w:val="continue"/>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textAlignment w:val="auto"/>
                    <w:rPr>
                      <w:rFonts w:hint="default"/>
                      <w:color w:val="auto"/>
                      <w:sz w:val="21"/>
                      <w:szCs w:val="21"/>
                      <w:vertAlign w:val="baseline"/>
                    </w:rPr>
                  </w:pPr>
                </w:p>
              </w:tc>
              <w:tc>
                <w:tcPr>
                  <w:tcW w:w="1092"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eastAsia="宋体"/>
                      <w:color w:val="auto"/>
                      <w:sz w:val="21"/>
                      <w:szCs w:val="21"/>
                      <w:vertAlign w:val="baseline"/>
                      <w:lang w:val="en-US" w:eastAsia="zh-CN"/>
                    </w:rPr>
                  </w:pPr>
                  <w:r>
                    <w:rPr>
                      <w:rFonts w:hint="eastAsia"/>
                      <w:color w:val="auto"/>
                      <w:sz w:val="21"/>
                      <w:szCs w:val="21"/>
                      <w:vertAlign w:val="baseline"/>
                      <w:lang w:val="en-US" w:eastAsia="zh-CN"/>
                    </w:rPr>
                    <w:t>污泥处理设施</w:t>
                  </w:r>
                </w:p>
              </w:tc>
              <w:tc>
                <w:tcPr>
                  <w:tcW w:w="3100"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color w:val="auto"/>
                      <w:sz w:val="21"/>
                      <w:szCs w:val="21"/>
                      <w:vertAlign w:val="baseline"/>
                    </w:rPr>
                  </w:pPr>
                  <w:r>
                    <w:rPr>
                      <w:rFonts w:hint="eastAsia"/>
                      <w:color w:val="auto"/>
                      <w:sz w:val="21"/>
                      <w:szCs w:val="21"/>
                      <w:vertAlign w:val="baseline"/>
                    </w:rPr>
                    <w:t>1座污泥池，地下钢砼结构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pct"/>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textAlignment w:val="auto"/>
                    <w:rPr>
                      <w:rFonts w:hint="default" w:eastAsia="宋体"/>
                      <w:color w:val="auto"/>
                      <w:sz w:val="21"/>
                      <w:szCs w:val="21"/>
                      <w:vertAlign w:val="baseline"/>
                      <w:lang w:val="en-US" w:eastAsia="zh-CN"/>
                    </w:rPr>
                  </w:pPr>
                  <w:r>
                    <w:rPr>
                      <w:rFonts w:hint="eastAsia"/>
                      <w:color w:val="auto"/>
                      <w:sz w:val="21"/>
                      <w:szCs w:val="21"/>
                      <w:vertAlign w:val="baseline"/>
                      <w:lang w:val="en-US" w:eastAsia="zh-CN"/>
                    </w:rPr>
                    <w:t>辅助工程</w:t>
                  </w:r>
                </w:p>
              </w:tc>
              <w:tc>
                <w:tcPr>
                  <w:tcW w:w="1092"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color w:val="auto"/>
                      <w:sz w:val="21"/>
                      <w:szCs w:val="21"/>
                      <w:vertAlign w:val="baseline"/>
                    </w:rPr>
                  </w:pPr>
                  <w:r>
                    <w:rPr>
                      <w:rFonts w:hint="eastAsia"/>
                      <w:color w:val="auto"/>
                      <w:sz w:val="21"/>
                      <w:szCs w:val="21"/>
                      <w:vertAlign w:val="baseline"/>
                    </w:rPr>
                    <w:t>设备间</w:t>
                  </w:r>
                </w:p>
              </w:tc>
              <w:tc>
                <w:tcPr>
                  <w:tcW w:w="3100"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color w:val="auto"/>
                      <w:sz w:val="21"/>
                      <w:szCs w:val="21"/>
                      <w:vertAlign w:val="baseline"/>
                    </w:rPr>
                  </w:pPr>
                  <w:r>
                    <w:rPr>
                      <w:rFonts w:hint="eastAsia"/>
                      <w:color w:val="auto"/>
                      <w:sz w:val="21"/>
                      <w:szCs w:val="21"/>
                      <w:vertAlign w:val="baseline"/>
                    </w:rPr>
                    <w:t>1座集成式厢房，</w:t>
                  </w:r>
                  <w:r>
                    <w:rPr>
                      <w:rFonts w:hint="eastAsia"/>
                      <w:color w:val="auto"/>
                      <w:sz w:val="21"/>
                      <w:szCs w:val="21"/>
                      <w:vertAlign w:val="baseline"/>
                      <w:lang w:val="en-US" w:eastAsia="zh-CN"/>
                    </w:rPr>
                    <w:t>1</w:t>
                  </w:r>
                  <w:r>
                    <w:rPr>
                      <w:rFonts w:hint="eastAsia"/>
                      <w:color w:val="auto"/>
                      <w:sz w:val="21"/>
                      <w:szCs w:val="21"/>
                      <w:vertAlign w:val="baseline"/>
                    </w:rPr>
                    <w:t>0m×</w:t>
                  </w:r>
                  <w:r>
                    <w:rPr>
                      <w:rFonts w:hint="eastAsia"/>
                      <w:color w:val="auto"/>
                      <w:sz w:val="21"/>
                      <w:szCs w:val="21"/>
                      <w:vertAlign w:val="baseline"/>
                      <w:lang w:val="en-US" w:eastAsia="zh-CN"/>
                    </w:rPr>
                    <w:t>6</w:t>
                  </w:r>
                  <w:r>
                    <w:rPr>
                      <w:rFonts w:hint="eastAsia"/>
                      <w:color w:val="auto"/>
                      <w:sz w:val="21"/>
                      <w:szCs w:val="21"/>
                      <w:vertAlign w:val="baseline"/>
                    </w:rPr>
                    <w:t>.0m×</w:t>
                  </w:r>
                  <w:r>
                    <w:rPr>
                      <w:rFonts w:hint="eastAsia"/>
                      <w:color w:val="auto"/>
                      <w:sz w:val="21"/>
                      <w:szCs w:val="21"/>
                      <w:vertAlign w:val="baseline"/>
                      <w:lang w:val="en-US" w:eastAsia="zh-CN"/>
                    </w:rPr>
                    <w:t>3.5</w:t>
                  </w:r>
                  <w:r>
                    <w:rPr>
                      <w:rFonts w:hint="eastAsia"/>
                      <w:color w:val="auto"/>
                      <w:sz w:val="21"/>
                      <w:szCs w:val="21"/>
                      <w:vertAlign w:val="baseline"/>
                    </w:rPr>
                    <w:t>m，地上。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eastAsia="宋体"/>
                      <w:color w:val="auto"/>
                      <w:sz w:val="21"/>
                      <w:szCs w:val="21"/>
                      <w:vertAlign w:val="baseline"/>
                      <w:lang w:val="en-US" w:eastAsia="zh-CN"/>
                    </w:rPr>
                  </w:pPr>
                  <w:r>
                    <w:rPr>
                      <w:rFonts w:hint="eastAsia"/>
                      <w:color w:val="auto"/>
                      <w:sz w:val="21"/>
                      <w:szCs w:val="21"/>
                      <w:vertAlign w:val="baseline"/>
                      <w:lang w:val="en-US" w:eastAsia="zh-CN"/>
                    </w:rPr>
                    <w:t>公用工程</w:t>
                  </w:r>
                </w:p>
              </w:tc>
              <w:tc>
                <w:tcPr>
                  <w:tcW w:w="1092"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eastAsia="宋体"/>
                      <w:color w:val="auto"/>
                      <w:sz w:val="21"/>
                      <w:szCs w:val="21"/>
                      <w:vertAlign w:val="baseline"/>
                      <w:lang w:val="en-US" w:eastAsia="zh-CN"/>
                    </w:rPr>
                  </w:pPr>
                  <w:r>
                    <w:rPr>
                      <w:rFonts w:hint="eastAsia"/>
                      <w:color w:val="auto"/>
                      <w:sz w:val="21"/>
                      <w:szCs w:val="21"/>
                      <w:vertAlign w:val="baseline"/>
                      <w:lang w:val="en-US" w:eastAsia="zh-CN"/>
                    </w:rPr>
                    <w:t>供水</w:t>
                  </w:r>
                </w:p>
              </w:tc>
              <w:tc>
                <w:tcPr>
                  <w:tcW w:w="3100"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eastAsia="宋体"/>
                      <w:color w:val="auto"/>
                      <w:sz w:val="21"/>
                      <w:szCs w:val="21"/>
                      <w:vertAlign w:val="baseline"/>
                      <w:lang w:val="en-US" w:eastAsia="zh-CN"/>
                    </w:rPr>
                  </w:pPr>
                  <w:r>
                    <w:rPr>
                      <w:rFonts w:hint="eastAsia"/>
                      <w:color w:val="auto"/>
                      <w:sz w:val="21"/>
                      <w:szCs w:val="21"/>
                      <w:vertAlign w:val="baseline"/>
                      <w:lang w:val="en-US" w:eastAsia="zh-CN"/>
                    </w:rPr>
                    <w:t>项目由园区市政给水管网进行供给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color w:val="auto"/>
                      <w:sz w:val="21"/>
                      <w:szCs w:val="21"/>
                      <w:vertAlign w:val="baseline"/>
                    </w:rPr>
                  </w:pPr>
                </w:p>
              </w:tc>
              <w:tc>
                <w:tcPr>
                  <w:tcW w:w="1092"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eastAsia" w:eastAsia="宋体"/>
                      <w:color w:val="auto"/>
                      <w:sz w:val="21"/>
                      <w:szCs w:val="21"/>
                      <w:vertAlign w:val="baseline"/>
                      <w:lang w:val="en-US" w:eastAsia="zh-CN"/>
                    </w:rPr>
                  </w:pPr>
                  <w:r>
                    <w:rPr>
                      <w:rFonts w:hint="eastAsia"/>
                      <w:color w:val="auto"/>
                      <w:sz w:val="21"/>
                      <w:szCs w:val="21"/>
                      <w:vertAlign w:val="baseline"/>
                      <w:lang w:val="en-US" w:eastAsia="zh-CN"/>
                    </w:rPr>
                    <w:t>供电</w:t>
                  </w:r>
                </w:p>
              </w:tc>
              <w:tc>
                <w:tcPr>
                  <w:tcW w:w="3100"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eastAsia="宋体"/>
                      <w:color w:val="auto"/>
                      <w:sz w:val="21"/>
                      <w:szCs w:val="21"/>
                      <w:vertAlign w:val="baseline"/>
                      <w:lang w:val="en-US" w:eastAsia="zh-CN"/>
                    </w:rPr>
                  </w:pPr>
                  <w:r>
                    <w:rPr>
                      <w:rFonts w:hint="eastAsia"/>
                      <w:color w:val="auto"/>
                      <w:sz w:val="21"/>
                      <w:szCs w:val="21"/>
                      <w:vertAlign w:val="baseline"/>
                      <w:lang w:val="en-US" w:eastAsia="zh-CN"/>
                    </w:rPr>
                    <w:t>本项目用电由3×170t/h+2×30MW生物质电厂项目进行供给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color w:val="auto"/>
                      <w:sz w:val="21"/>
                      <w:szCs w:val="21"/>
                      <w:vertAlign w:val="baseline"/>
                    </w:rPr>
                  </w:pPr>
                </w:p>
              </w:tc>
              <w:tc>
                <w:tcPr>
                  <w:tcW w:w="1092"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eastAsia" w:eastAsia="宋体"/>
                      <w:color w:val="auto"/>
                      <w:sz w:val="21"/>
                      <w:szCs w:val="21"/>
                      <w:vertAlign w:val="baseline"/>
                      <w:lang w:val="en-US" w:eastAsia="zh-CN"/>
                    </w:rPr>
                  </w:pPr>
                  <w:r>
                    <w:rPr>
                      <w:rFonts w:hint="eastAsia"/>
                      <w:color w:val="auto"/>
                      <w:sz w:val="21"/>
                      <w:szCs w:val="21"/>
                      <w:vertAlign w:val="baseline"/>
                      <w:lang w:val="en-US" w:eastAsia="zh-CN"/>
                    </w:rPr>
                    <w:t>供热</w:t>
                  </w:r>
                </w:p>
              </w:tc>
              <w:tc>
                <w:tcPr>
                  <w:tcW w:w="3100"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color w:val="auto"/>
                      <w:sz w:val="21"/>
                      <w:szCs w:val="21"/>
                      <w:vertAlign w:val="baseline"/>
                    </w:rPr>
                  </w:pPr>
                  <w:r>
                    <w:rPr>
                      <w:rFonts w:hint="eastAsia"/>
                      <w:color w:val="auto"/>
                      <w:sz w:val="21"/>
                      <w:szCs w:val="21"/>
                      <w:vertAlign w:val="baseline"/>
                    </w:rPr>
                    <w:t>项目无需供热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环保工程</w:t>
                  </w:r>
                </w:p>
              </w:tc>
              <w:tc>
                <w:tcPr>
                  <w:tcW w:w="1092"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废气治理</w:t>
                  </w:r>
                </w:p>
              </w:tc>
              <w:tc>
                <w:tcPr>
                  <w:tcW w:w="3100" w:type="pct"/>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加盖及密闭等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pct"/>
                  <w:vMerge w:val="continue"/>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eastAsia"/>
                      <w:color w:val="auto"/>
                      <w:sz w:val="21"/>
                      <w:szCs w:val="21"/>
                      <w:vertAlign w:val="baseline"/>
                      <w:lang w:val="en-US" w:eastAsia="zh-CN"/>
                    </w:rPr>
                  </w:pPr>
                </w:p>
              </w:tc>
              <w:tc>
                <w:tcPr>
                  <w:tcW w:w="1092"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废水治理</w:t>
                  </w:r>
                </w:p>
              </w:tc>
              <w:tc>
                <w:tcPr>
                  <w:tcW w:w="3100" w:type="pct"/>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生活污水经化粪池处理后进入本项目污水处理站进行处理后回用。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pct"/>
                  <w:vMerge w:val="continue"/>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eastAsia"/>
                      <w:color w:val="auto"/>
                      <w:sz w:val="21"/>
                      <w:szCs w:val="21"/>
                      <w:vertAlign w:val="baseline"/>
                      <w:lang w:val="en-US" w:eastAsia="zh-CN"/>
                    </w:rPr>
                  </w:pPr>
                </w:p>
              </w:tc>
              <w:tc>
                <w:tcPr>
                  <w:tcW w:w="1092"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噪声治理</w:t>
                  </w:r>
                </w:p>
              </w:tc>
              <w:tc>
                <w:tcPr>
                  <w:tcW w:w="3100" w:type="pct"/>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生产设备采取隔声、消声、减振措施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pct"/>
                  <w:vMerge w:val="continue"/>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textAlignment w:val="auto"/>
                    <w:rPr>
                      <w:rFonts w:hint="default"/>
                      <w:color w:val="auto"/>
                      <w:sz w:val="21"/>
                      <w:szCs w:val="21"/>
                      <w:vertAlign w:val="baseline"/>
                    </w:rPr>
                  </w:pPr>
                </w:p>
              </w:tc>
              <w:tc>
                <w:tcPr>
                  <w:tcW w:w="1092" w:type="pct"/>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eastAsia="宋体"/>
                      <w:color w:val="auto"/>
                      <w:sz w:val="21"/>
                      <w:szCs w:val="21"/>
                      <w:vertAlign w:val="baseline"/>
                      <w:lang w:val="en-US" w:eastAsia="zh-CN"/>
                    </w:rPr>
                  </w:pPr>
                  <w:r>
                    <w:rPr>
                      <w:rFonts w:hint="eastAsia"/>
                      <w:color w:val="auto"/>
                      <w:sz w:val="21"/>
                      <w:szCs w:val="21"/>
                      <w:vertAlign w:val="baseline"/>
                      <w:lang w:val="en-US" w:eastAsia="zh-CN"/>
                    </w:rPr>
                    <w:t>固废治理</w:t>
                  </w:r>
                </w:p>
              </w:tc>
              <w:tc>
                <w:tcPr>
                  <w:tcW w:w="3100" w:type="pct"/>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eastAsia="宋体"/>
                      <w:color w:val="auto"/>
                      <w:sz w:val="21"/>
                      <w:szCs w:val="21"/>
                      <w:vertAlign w:val="baseline"/>
                      <w:lang w:val="en-US" w:eastAsia="zh-CN"/>
                    </w:rPr>
                  </w:pPr>
                  <w:r>
                    <w:rPr>
                      <w:rFonts w:hint="eastAsia"/>
                      <w:color w:val="auto"/>
                      <w:sz w:val="21"/>
                      <w:szCs w:val="21"/>
                      <w:vertAlign w:val="baseline"/>
                    </w:rPr>
                    <w:t>生活垃圾收集箱；</w:t>
                  </w:r>
                  <w:r>
                    <w:rPr>
                      <w:rFonts w:hint="eastAsia" w:ascii="Times New Roman" w:hAnsi="Times New Roman" w:cs="Times New Roman"/>
                      <w:color w:val="auto"/>
                      <w:sz w:val="21"/>
                      <w:szCs w:val="21"/>
                      <w:vertAlign w:val="baseline"/>
                      <w:lang w:val="en-US" w:eastAsia="zh-CN"/>
                    </w:rPr>
                    <w:t>设置一个一般固废暂存间，</w:t>
                  </w:r>
                  <w:r>
                    <w:rPr>
                      <w:rFonts w:hint="eastAsia" w:ascii="Times New Roman" w:hAnsi="Times New Roman" w:cs="Times New Roman"/>
                      <w:color w:val="auto"/>
                      <w:sz w:val="21"/>
                      <w:szCs w:val="21"/>
                      <w:vertAlign w:val="baseline"/>
                      <w:lang w:val="en-US" w:eastAsia="zh-CN"/>
                    </w:rPr>
                    <w:t>剩余</w:t>
                  </w:r>
                  <w:r>
                    <w:rPr>
                      <w:rFonts w:hint="eastAsia"/>
                      <w:color w:val="auto"/>
                      <w:sz w:val="21"/>
                      <w:szCs w:val="21"/>
                      <w:vertAlign w:val="baseline"/>
                      <w:lang w:val="en-US" w:eastAsia="zh-CN"/>
                    </w:rPr>
                    <w:t>污泥经脱水后外运至新田县填埋场填埋</w:t>
                  </w:r>
                  <w:r>
                    <w:rPr>
                      <w:rFonts w:hint="eastAsia"/>
                      <w:color w:val="auto"/>
                      <w:sz w:val="21"/>
                      <w:szCs w:val="21"/>
                      <w:vertAlign w:val="baseline"/>
                    </w:rPr>
                    <w:t>；</w:t>
                  </w:r>
                  <w:r>
                    <w:rPr>
                      <w:rFonts w:hint="eastAsia"/>
                      <w:color w:val="auto"/>
                      <w:sz w:val="21"/>
                      <w:szCs w:val="21"/>
                      <w:vertAlign w:val="baseline"/>
                      <w:lang w:val="en-US" w:eastAsia="zh-CN"/>
                    </w:rPr>
                    <w:t>废润滑油暂存于危废暂存间（5m</w:t>
                  </w:r>
                  <w:r>
                    <w:rPr>
                      <w:rFonts w:hint="eastAsia"/>
                      <w:color w:val="auto"/>
                      <w:sz w:val="21"/>
                      <w:szCs w:val="21"/>
                      <w:vertAlign w:val="superscript"/>
                      <w:lang w:val="en-US" w:eastAsia="zh-CN"/>
                    </w:rPr>
                    <w:t>2</w:t>
                  </w:r>
                  <w:r>
                    <w:rPr>
                      <w:rFonts w:hint="eastAsia"/>
                      <w:color w:val="auto"/>
                      <w:sz w:val="21"/>
                      <w:szCs w:val="21"/>
                      <w:vertAlign w:val="baseline"/>
                      <w:lang w:val="en-US" w:eastAsia="zh-CN"/>
                    </w:rPr>
                    <w:t>，新建）定期委托有资质单位进行处理。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pct"/>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textAlignment w:val="auto"/>
                    <w:rPr>
                      <w:rFonts w:hint="default" w:eastAsia="宋体"/>
                      <w:color w:val="auto"/>
                      <w:sz w:val="21"/>
                      <w:szCs w:val="21"/>
                      <w:vertAlign w:val="baseline"/>
                      <w:lang w:val="en-US" w:eastAsia="zh-CN"/>
                    </w:rPr>
                  </w:pPr>
                  <w:r>
                    <w:rPr>
                      <w:rFonts w:hint="eastAsia"/>
                      <w:color w:val="auto"/>
                      <w:sz w:val="21"/>
                      <w:szCs w:val="21"/>
                      <w:vertAlign w:val="baseline"/>
                      <w:lang w:val="en-US" w:eastAsia="zh-CN"/>
                    </w:rPr>
                    <w:t>储运工程</w:t>
                  </w:r>
                </w:p>
              </w:tc>
              <w:tc>
                <w:tcPr>
                  <w:tcW w:w="1092" w:type="pct"/>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eastAsia" w:eastAsia="宋体"/>
                      <w:color w:val="auto"/>
                      <w:sz w:val="21"/>
                      <w:szCs w:val="21"/>
                      <w:vertAlign w:val="baseline"/>
                      <w:lang w:val="en-US" w:eastAsia="zh-CN"/>
                    </w:rPr>
                  </w:pPr>
                  <w:r>
                    <w:rPr>
                      <w:rFonts w:hint="eastAsia"/>
                      <w:color w:val="auto"/>
                      <w:sz w:val="21"/>
                      <w:szCs w:val="21"/>
                      <w:vertAlign w:val="baseline"/>
                      <w:lang w:val="en-US" w:eastAsia="zh-CN"/>
                    </w:rPr>
                    <w:t>运输</w:t>
                  </w:r>
                </w:p>
              </w:tc>
              <w:tc>
                <w:tcPr>
                  <w:tcW w:w="3100" w:type="pct"/>
                </w:tcPr>
                <w:p>
                  <w:pPr>
                    <w:pStyle w:val="10"/>
                    <w:keepNext w:val="0"/>
                    <w:keepLines w:val="0"/>
                    <w:pageBreakBefore w:val="0"/>
                    <w:widowControl/>
                    <w:suppressLineNumbers w:val="0"/>
                    <w:kinsoku/>
                    <w:wordWrap/>
                    <w:overflowPunct/>
                    <w:topLinePunct w:val="0"/>
                    <w:autoSpaceDE/>
                    <w:autoSpaceDN/>
                    <w:bidi w:val="0"/>
                    <w:adjustRightInd/>
                    <w:snapToGrid w:val="0"/>
                    <w:spacing w:before="95" w:beforeLines="30" w:beforeAutospacing="0" w:after="95" w:afterLines="30" w:afterAutospacing="0" w:line="240" w:lineRule="auto"/>
                    <w:ind w:left="0" w:right="0"/>
                    <w:jc w:val="center"/>
                    <w:textAlignment w:val="auto"/>
                    <w:rPr>
                      <w:rFonts w:hint="default"/>
                      <w:color w:val="auto"/>
                      <w:sz w:val="21"/>
                      <w:szCs w:val="21"/>
                      <w:vertAlign w:val="baseline"/>
                    </w:rPr>
                  </w:pPr>
                  <w:r>
                    <w:rPr>
                      <w:rFonts w:hint="eastAsia"/>
                      <w:color w:val="auto"/>
                      <w:sz w:val="21"/>
                      <w:szCs w:val="21"/>
                      <w:vertAlign w:val="baseline"/>
                    </w:rPr>
                    <w:t>项目药剂等材料采用汽车运输。</w:t>
                  </w:r>
                </w:p>
              </w:tc>
            </w:tr>
          </w:tbl>
          <w:p>
            <w:pPr>
              <w:keepNext w:val="0"/>
              <w:keepLines w:val="0"/>
              <w:suppressLineNumbers w:val="0"/>
              <w:spacing w:before="0" w:beforeAutospacing="0" w:after="0" w:afterAutospacing="0" w:line="360" w:lineRule="auto"/>
              <w:ind w:left="0" w:right="0" w:firstLine="482" w:firstLineChars="200"/>
              <w:rPr>
                <w:rFonts w:hint="default" w:eastAsia="宋体"/>
                <w:b/>
                <w:bCs/>
                <w:color w:val="auto"/>
                <w:sz w:val="24"/>
                <w:u w:val="none"/>
                <w:lang w:val="en-US" w:eastAsia="zh-CN"/>
              </w:rPr>
            </w:pPr>
            <w:r>
              <w:rPr>
                <w:rFonts w:hint="eastAsia"/>
                <w:b/>
                <w:bCs/>
                <w:color w:val="auto"/>
                <w:sz w:val="24"/>
                <w:u w:val="none"/>
                <w:lang w:val="en-US" w:eastAsia="zh-CN"/>
              </w:rPr>
              <w:t>3、依托工程及可行性分析</w:t>
            </w:r>
          </w:p>
          <w:p>
            <w:pPr>
              <w:pStyle w:val="44"/>
              <w:keepNext w:val="0"/>
              <w:keepLines w:val="0"/>
              <w:suppressLineNumbers w:val="0"/>
              <w:spacing w:beforeAutospacing="0" w:afterAutospacing="0" w:line="360" w:lineRule="auto"/>
              <w:ind w:left="0" w:firstLine="480" w:firstLineChars="200"/>
              <w:rPr>
                <w:rFonts w:hint="default" w:ascii="Times New Roman" w:hAnsi="Times New Roman"/>
                <w:bCs/>
                <w:color w:val="auto"/>
                <w:u w:val="single"/>
                <w:lang w:val="en-US" w:eastAsia="zh-CN"/>
              </w:rPr>
            </w:pPr>
            <w:r>
              <w:rPr>
                <w:rFonts w:hint="eastAsia" w:ascii="Times New Roman" w:hAnsi="Times New Roman"/>
                <w:bCs/>
                <w:color w:val="auto"/>
                <w:u w:val="single"/>
                <w:lang w:val="en-US" w:eastAsia="zh-CN"/>
              </w:rPr>
              <w:t>本项目办公楼、宿舍、食堂均依托《湖南鲁丽木业有限公司年产2×80万立方米刨花板项目》，依托情况见下表：</w:t>
            </w:r>
          </w:p>
          <w:p>
            <w:pPr>
              <w:keepNext w:val="0"/>
              <w:keepLines w:val="0"/>
              <w:suppressLineNumbers w:val="0"/>
              <w:spacing w:before="0" w:beforeAutospacing="0" w:after="0" w:afterAutospacing="0"/>
              <w:ind w:left="0" w:right="0"/>
              <w:jc w:val="center"/>
              <w:rPr>
                <w:rFonts w:hint="default"/>
                <w:b/>
                <w:bCs/>
                <w:color w:val="auto"/>
                <w:szCs w:val="21"/>
                <w:u w:val="none"/>
              </w:rPr>
            </w:pPr>
            <w:r>
              <w:rPr>
                <w:rFonts w:hint="default"/>
                <w:b/>
                <w:bCs/>
                <w:color w:val="auto"/>
                <w:szCs w:val="21"/>
                <w:u w:val="none"/>
              </w:rPr>
              <w:t>表</w:t>
            </w:r>
            <w:r>
              <w:rPr>
                <w:rFonts w:hint="eastAsia"/>
                <w:b/>
                <w:bCs/>
                <w:color w:val="auto"/>
                <w:szCs w:val="21"/>
                <w:u w:val="none"/>
              </w:rPr>
              <w:t>2-</w:t>
            </w:r>
            <w:r>
              <w:rPr>
                <w:rFonts w:hint="eastAsia"/>
                <w:b/>
                <w:bCs/>
                <w:color w:val="auto"/>
                <w:szCs w:val="21"/>
                <w:u w:val="none"/>
                <w:lang w:val="en-US" w:eastAsia="zh-CN"/>
              </w:rPr>
              <w:t>3</w:t>
            </w:r>
            <w:r>
              <w:rPr>
                <w:rFonts w:hint="default"/>
                <w:b/>
                <w:bCs/>
                <w:color w:val="auto"/>
                <w:szCs w:val="21"/>
                <w:u w:val="none"/>
              </w:rPr>
              <w:t>项目</w:t>
            </w:r>
            <w:r>
              <w:rPr>
                <w:rFonts w:hint="eastAsia"/>
                <w:b/>
                <w:bCs/>
                <w:color w:val="auto"/>
                <w:szCs w:val="21"/>
                <w:u w:val="none"/>
                <w:lang w:val="en-US" w:eastAsia="zh-CN"/>
              </w:rPr>
              <w:t>依托工程情况</w:t>
            </w:r>
            <w:r>
              <w:rPr>
                <w:rFonts w:hint="default"/>
                <w:b/>
                <w:bCs/>
                <w:color w:val="auto"/>
                <w:szCs w:val="21"/>
                <w:u w:val="none"/>
              </w:rPr>
              <w:t>主要组成一览表</w:t>
            </w:r>
          </w:p>
          <w:tbl>
            <w:tblPr>
              <w:tblStyle w:val="29"/>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0"/>
              <w:gridCol w:w="1259"/>
              <w:gridCol w:w="3308"/>
              <w:gridCol w:w="2199"/>
              <w:gridCol w:w="12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53" w:leftChars="-25" w:right="-53" w:rightChars="-25"/>
                    <w:jc w:val="center"/>
                    <w:textAlignment w:val="auto"/>
                    <w:rPr>
                      <w:rFonts w:hint="eastAsia"/>
                      <w:color w:val="auto"/>
                      <w:sz w:val="21"/>
                      <w:szCs w:val="21"/>
                      <w:u w:val="none"/>
                    </w:rPr>
                  </w:pPr>
                  <w:r>
                    <w:rPr>
                      <w:rFonts w:hint="eastAsia"/>
                      <w:color w:val="auto"/>
                      <w:sz w:val="21"/>
                      <w:szCs w:val="21"/>
                      <w:u w:val="none"/>
                    </w:rPr>
                    <w:t>类别</w:t>
                  </w:r>
                </w:p>
              </w:tc>
              <w:tc>
                <w:tcPr>
                  <w:tcW w:w="73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53" w:leftChars="-25" w:right="-53" w:rightChars="-25"/>
                    <w:jc w:val="center"/>
                    <w:textAlignment w:val="auto"/>
                    <w:rPr>
                      <w:rFonts w:hint="eastAsia"/>
                      <w:color w:val="auto"/>
                      <w:sz w:val="21"/>
                      <w:szCs w:val="21"/>
                      <w:u w:val="none"/>
                    </w:rPr>
                  </w:pPr>
                  <w:r>
                    <w:rPr>
                      <w:rFonts w:hint="eastAsia"/>
                      <w:color w:val="auto"/>
                      <w:sz w:val="21"/>
                      <w:szCs w:val="21"/>
                      <w:u w:val="none"/>
                    </w:rPr>
                    <w:t>项目名称</w:t>
                  </w:r>
                </w:p>
              </w:tc>
              <w:tc>
                <w:tcPr>
                  <w:tcW w:w="19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53" w:leftChars="-25" w:right="-53" w:rightChars="-25"/>
                    <w:jc w:val="center"/>
                    <w:textAlignment w:val="auto"/>
                    <w:rPr>
                      <w:rFonts w:hint="default" w:eastAsia="宋体"/>
                      <w:color w:val="auto"/>
                      <w:sz w:val="21"/>
                      <w:szCs w:val="21"/>
                      <w:u w:val="none"/>
                      <w:lang w:val="en-US" w:eastAsia="zh-CN"/>
                    </w:rPr>
                  </w:pPr>
                  <w:r>
                    <w:rPr>
                      <w:rFonts w:hint="eastAsia"/>
                      <w:color w:val="auto"/>
                      <w:sz w:val="21"/>
                      <w:szCs w:val="21"/>
                      <w:u w:val="none"/>
                      <w:lang w:val="en-US" w:eastAsia="zh-CN"/>
                    </w:rPr>
                    <w:t>原环评批复建设内容</w:t>
                  </w:r>
                </w:p>
              </w:tc>
              <w:tc>
                <w:tcPr>
                  <w:tcW w:w="128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53" w:leftChars="-25" w:right="-53" w:rightChars="-25"/>
                    <w:jc w:val="center"/>
                    <w:textAlignment w:val="auto"/>
                    <w:rPr>
                      <w:rFonts w:hint="default" w:eastAsia="宋体"/>
                      <w:color w:val="auto"/>
                      <w:sz w:val="21"/>
                      <w:szCs w:val="21"/>
                      <w:u w:val="none"/>
                      <w:lang w:val="en-US" w:eastAsia="zh-CN"/>
                    </w:rPr>
                  </w:pPr>
                  <w:r>
                    <w:rPr>
                      <w:rFonts w:hint="eastAsia"/>
                      <w:color w:val="auto"/>
                      <w:sz w:val="21"/>
                      <w:szCs w:val="21"/>
                      <w:u w:val="none"/>
                      <w:lang w:val="en-US" w:eastAsia="zh-CN"/>
                    </w:rPr>
                    <w:t>本项目情况</w:t>
                  </w:r>
                </w:p>
              </w:tc>
              <w:tc>
                <w:tcPr>
                  <w:tcW w:w="70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53" w:leftChars="-25" w:right="-53" w:rightChars="-25"/>
                    <w:jc w:val="center"/>
                    <w:textAlignment w:val="auto"/>
                    <w:rPr>
                      <w:rFonts w:hint="default" w:eastAsia="宋体"/>
                      <w:color w:val="auto"/>
                      <w:sz w:val="21"/>
                      <w:szCs w:val="21"/>
                      <w:u w:val="none"/>
                      <w:lang w:val="en-US" w:eastAsia="zh-CN"/>
                    </w:rPr>
                  </w:pPr>
                  <w:r>
                    <w:rPr>
                      <w:rFonts w:hint="eastAsia"/>
                      <w:color w:val="auto"/>
                      <w:sz w:val="21"/>
                      <w:szCs w:val="21"/>
                      <w:u w:val="none"/>
                      <w:lang w:val="en-US" w:eastAsia="zh-CN"/>
                    </w:rPr>
                    <w:t>依托可行性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5"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53" w:leftChars="-25" w:right="-53" w:rightChars="-25"/>
                    <w:jc w:val="center"/>
                    <w:textAlignment w:val="auto"/>
                    <w:rPr>
                      <w:rFonts w:hint="eastAsia"/>
                      <w:color w:val="auto"/>
                      <w:sz w:val="21"/>
                      <w:szCs w:val="21"/>
                      <w:u w:val="none"/>
                    </w:rPr>
                  </w:pPr>
                  <w:r>
                    <w:rPr>
                      <w:rFonts w:hint="eastAsia"/>
                      <w:color w:val="auto"/>
                      <w:sz w:val="21"/>
                      <w:szCs w:val="21"/>
                      <w:u w:val="none"/>
                    </w:rPr>
                    <w:t>辅助工程</w:t>
                  </w:r>
                </w:p>
              </w:tc>
              <w:tc>
                <w:tcPr>
                  <w:tcW w:w="73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53" w:leftChars="-25" w:right="-53" w:rightChars="-25"/>
                    <w:jc w:val="center"/>
                    <w:textAlignment w:val="auto"/>
                    <w:rPr>
                      <w:rFonts w:hint="default" w:eastAsia="宋体"/>
                      <w:color w:val="auto"/>
                      <w:sz w:val="21"/>
                      <w:szCs w:val="21"/>
                      <w:u w:val="none"/>
                      <w:lang w:val="en-US" w:eastAsia="zh-CN"/>
                    </w:rPr>
                  </w:pPr>
                  <w:r>
                    <w:rPr>
                      <w:rFonts w:hint="eastAsia"/>
                      <w:color w:val="auto"/>
                      <w:sz w:val="21"/>
                      <w:szCs w:val="21"/>
                      <w:u w:val="none"/>
                      <w:lang w:val="en-US" w:eastAsia="zh-CN"/>
                    </w:rPr>
                    <w:t>办公楼</w:t>
                  </w:r>
                </w:p>
              </w:tc>
              <w:tc>
                <w:tcPr>
                  <w:tcW w:w="19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53" w:leftChars="-25" w:right="-53" w:rightChars="-25"/>
                    <w:jc w:val="center"/>
                    <w:textAlignment w:val="auto"/>
                    <w:rPr>
                      <w:rFonts w:hint="default" w:eastAsia="宋体"/>
                      <w:color w:val="auto"/>
                      <w:sz w:val="21"/>
                      <w:szCs w:val="21"/>
                      <w:u w:val="none"/>
                      <w:lang w:val="en-US" w:eastAsia="zh-CN"/>
                    </w:rPr>
                  </w:pPr>
                  <w:r>
                    <w:rPr>
                      <w:rFonts w:hint="default" w:eastAsia="宋体"/>
                      <w:color w:val="auto"/>
                      <w:sz w:val="21"/>
                      <w:szCs w:val="21"/>
                      <w:u w:val="none"/>
                      <w:lang w:val="en-US" w:eastAsia="zh-CN"/>
                    </w:rPr>
                    <w:t>5F，单层建筑面积约1218m</w:t>
                  </w:r>
                  <w:r>
                    <w:rPr>
                      <w:rFonts w:hint="default" w:eastAsia="宋体"/>
                      <w:color w:val="auto"/>
                      <w:sz w:val="21"/>
                      <w:szCs w:val="21"/>
                      <w:u w:val="none"/>
                      <w:vertAlign w:val="superscript"/>
                      <w:lang w:val="en-US" w:eastAsia="zh-CN"/>
                    </w:rPr>
                    <w:t>2</w:t>
                  </w:r>
                  <w:r>
                    <w:rPr>
                      <w:rFonts w:hint="default" w:eastAsia="宋体"/>
                      <w:color w:val="auto"/>
                      <w:sz w:val="21"/>
                      <w:szCs w:val="21"/>
                      <w:u w:val="none"/>
                      <w:lang w:val="en-US" w:eastAsia="zh-CN"/>
                    </w:rPr>
                    <w:t>，高度15m，砖混结构</w:t>
                  </w:r>
                </w:p>
              </w:tc>
              <w:tc>
                <w:tcPr>
                  <w:tcW w:w="128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53" w:leftChars="-25" w:right="-53" w:rightChars="-25"/>
                    <w:jc w:val="center"/>
                    <w:textAlignment w:val="auto"/>
                    <w:rPr>
                      <w:rFonts w:hint="default" w:eastAsia="宋体"/>
                      <w:color w:val="auto"/>
                      <w:sz w:val="21"/>
                      <w:szCs w:val="21"/>
                      <w:u w:val="none"/>
                      <w:lang w:val="en-US" w:eastAsia="zh-CN"/>
                    </w:rPr>
                  </w:pPr>
                  <w:r>
                    <w:rPr>
                      <w:rFonts w:hint="eastAsia"/>
                      <w:color w:val="auto"/>
                      <w:sz w:val="21"/>
                      <w:szCs w:val="21"/>
                      <w:u w:val="none"/>
                      <w:lang w:val="en-US" w:eastAsia="zh-CN"/>
                    </w:rPr>
                    <w:t>本项目增加人员为3人，依托原环评中的办公楼</w:t>
                  </w:r>
                </w:p>
              </w:tc>
              <w:tc>
                <w:tcPr>
                  <w:tcW w:w="70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53" w:leftChars="-25" w:right="-53" w:rightChars="-25"/>
                    <w:jc w:val="center"/>
                    <w:textAlignment w:val="auto"/>
                    <w:rPr>
                      <w:rFonts w:hint="eastAsia"/>
                      <w:color w:val="auto"/>
                      <w:sz w:val="21"/>
                      <w:szCs w:val="21"/>
                      <w:u w:val="none"/>
                      <w:lang w:val="en-US" w:eastAsia="zh-CN"/>
                    </w:rPr>
                  </w:pPr>
                  <w:r>
                    <w:rPr>
                      <w:rFonts w:hint="eastAsia"/>
                      <w:color w:val="auto"/>
                      <w:sz w:val="21"/>
                      <w:szCs w:val="21"/>
                      <w:u w:val="none"/>
                      <w:lang w:val="en-US" w:eastAsia="zh-CN"/>
                    </w:rPr>
                    <w:t>可行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5"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53" w:leftChars="-25" w:right="-53" w:rightChars="-25"/>
                    <w:jc w:val="center"/>
                    <w:textAlignment w:val="auto"/>
                    <w:rPr>
                      <w:rFonts w:hint="eastAsia"/>
                      <w:color w:val="auto"/>
                      <w:sz w:val="21"/>
                      <w:szCs w:val="21"/>
                      <w:u w:val="none"/>
                    </w:rPr>
                  </w:pPr>
                </w:p>
              </w:tc>
              <w:tc>
                <w:tcPr>
                  <w:tcW w:w="73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53" w:leftChars="-25" w:right="-53" w:rightChars="-25"/>
                    <w:jc w:val="center"/>
                    <w:textAlignment w:val="auto"/>
                    <w:rPr>
                      <w:rFonts w:hint="default"/>
                      <w:color w:val="auto"/>
                      <w:sz w:val="21"/>
                      <w:szCs w:val="21"/>
                      <w:u w:val="none"/>
                      <w:lang w:val="en-US" w:eastAsia="zh-CN"/>
                    </w:rPr>
                  </w:pPr>
                  <w:r>
                    <w:rPr>
                      <w:rFonts w:hint="eastAsia"/>
                      <w:color w:val="auto"/>
                      <w:sz w:val="21"/>
                      <w:szCs w:val="21"/>
                      <w:u w:val="none"/>
                      <w:lang w:val="en-US" w:eastAsia="zh-CN"/>
                    </w:rPr>
                    <w:t>宿舍</w:t>
                  </w:r>
                </w:p>
              </w:tc>
              <w:tc>
                <w:tcPr>
                  <w:tcW w:w="19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53" w:leftChars="-25" w:right="-53" w:rightChars="-25"/>
                    <w:jc w:val="center"/>
                    <w:textAlignment w:val="auto"/>
                    <w:rPr>
                      <w:rFonts w:hint="default"/>
                      <w:color w:val="auto"/>
                      <w:sz w:val="21"/>
                      <w:szCs w:val="21"/>
                      <w:u w:val="none"/>
                      <w:lang w:val="en-US" w:eastAsia="zh-CN"/>
                    </w:rPr>
                  </w:pPr>
                  <w:r>
                    <w:rPr>
                      <w:rFonts w:hint="default"/>
                      <w:color w:val="auto"/>
                      <w:sz w:val="21"/>
                      <w:szCs w:val="21"/>
                      <w:u w:val="none"/>
                      <w:lang w:val="en-US" w:eastAsia="zh-CN"/>
                    </w:rPr>
                    <w:t>5栋，7-11F，每栋单层建筑面积约800m</w:t>
                  </w:r>
                  <w:r>
                    <w:rPr>
                      <w:rFonts w:hint="default"/>
                      <w:color w:val="auto"/>
                      <w:sz w:val="21"/>
                      <w:szCs w:val="21"/>
                      <w:u w:val="none"/>
                      <w:vertAlign w:val="superscript"/>
                      <w:lang w:val="en-US" w:eastAsia="zh-CN"/>
                    </w:rPr>
                    <w:t>2</w:t>
                  </w:r>
                  <w:r>
                    <w:rPr>
                      <w:rFonts w:hint="default"/>
                      <w:color w:val="auto"/>
                      <w:sz w:val="21"/>
                      <w:szCs w:val="21"/>
                      <w:u w:val="none"/>
                      <w:lang w:val="en-US" w:eastAsia="zh-CN"/>
                    </w:rPr>
                    <w:t>，最大高度33m，砖混结构</w:t>
                  </w:r>
                </w:p>
              </w:tc>
              <w:tc>
                <w:tcPr>
                  <w:tcW w:w="128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53" w:leftChars="-25" w:right="-53" w:rightChars="-25"/>
                    <w:jc w:val="center"/>
                    <w:textAlignment w:val="auto"/>
                    <w:rPr>
                      <w:rFonts w:hint="default" w:eastAsia="宋体"/>
                      <w:color w:val="auto"/>
                      <w:sz w:val="21"/>
                      <w:szCs w:val="21"/>
                      <w:u w:val="none"/>
                      <w:lang w:val="en-US" w:eastAsia="zh-CN"/>
                    </w:rPr>
                  </w:pPr>
                  <w:r>
                    <w:rPr>
                      <w:rFonts w:hint="eastAsia"/>
                      <w:color w:val="auto"/>
                      <w:sz w:val="21"/>
                      <w:szCs w:val="21"/>
                      <w:u w:val="none"/>
                      <w:lang w:val="en-US" w:eastAsia="zh-CN"/>
                    </w:rPr>
                    <w:t>本项目新增住宿人员约3人，依托原环评中的宿舍，新增住宿人员较少</w:t>
                  </w:r>
                </w:p>
              </w:tc>
              <w:tc>
                <w:tcPr>
                  <w:tcW w:w="70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53" w:leftChars="-25" w:right="-53" w:rightChars="-25"/>
                    <w:jc w:val="center"/>
                    <w:textAlignment w:val="auto"/>
                    <w:rPr>
                      <w:rFonts w:hint="eastAsia"/>
                      <w:color w:val="auto"/>
                      <w:sz w:val="21"/>
                      <w:szCs w:val="21"/>
                      <w:u w:val="none"/>
                      <w:lang w:val="en-US" w:eastAsia="zh-CN"/>
                    </w:rPr>
                  </w:pPr>
                  <w:r>
                    <w:rPr>
                      <w:rFonts w:hint="eastAsia"/>
                      <w:color w:val="auto"/>
                      <w:sz w:val="21"/>
                      <w:szCs w:val="21"/>
                      <w:u w:val="none"/>
                      <w:lang w:val="en-US" w:eastAsia="zh-CN"/>
                    </w:rPr>
                    <w:t>可行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5"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53" w:leftChars="-25" w:right="-53" w:rightChars="-25"/>
                    <w:jc w:val="center"/>
                    <w:textAlignment w:val="auto"/>
                    <w:rPr>
                      <w:rFonts w:hint="eastAsia"/>
                      <w:color w:val="auto"/>
                      <w:sz w:val="21"/>
                      <w:szCs w:val="21"/>
                      <w:u w:val="none"/>
                    </w:rPr>
                  </w:pPr>
                </w:p>
              </w:tc>
              <w:tc>
                <w:tcPr>
                  <w:tcW w:w="73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53" w:leftChars="-25" w:right="-53" w:rightChars="-25"/>
                    <w:jc w:val="center"/>
                    <w:textAlignment w:val="auto"/>
                    <w:rPr>
                      <w:rFonts w:hint="default"/>
                      <w:color w:val="auto"/>
                      <w:sz w:val="21"/>
                      <w:szCs w:val="21"/>
                      <w:u w:val="none"/>
                      <w:lang w:val="en-US" w:eastAsia="zh-CN"/>
                    </w:rPr>
                  </w:pPr>
                  <w:r>
                    <w:rPr>
                      <w:rFonts w:hint="eastAsia"/>
                      <w:color w:val="auto"/>
                      <w:sz w:val="21"/>
                      <w:szCs w:val="21"/>
                      <w:u w:val="none"/>
                      <w:lang w:val="en-US" w:eastAsia="zh-CN"/>
                    </w:rPr>
                    <w:t>食堂</w:t>
                  </w:r>
                </w:p>
              </w:tc>
              <w:tc>
                <w:tcPr>
                  <w:tcW w:w="192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53" w:leftChars="-25" w:right="-53" w:rightChars="-25"/>
                    <w:jc w:val="center"/>
                    <w:textAlignment w:val="auto"/>
                    <w:rPr>
                      <w:rFonts w:hint="default"/>
                      <w:color w:val="auto"/>
                      <w:sz w:val="21"/>
                      <w:szCs w:val="21"/>
                      <w:u w:val="none"/>
                      <w:lang w:val="en-US" w:eastAsia="zh-CN"/>
                    </w:rPr>
                  </w:pPr>
                  <w:r>
                    <w:rPr>
                      <w:rFonts w:hint="default"/>
                      <w:color w:val="auto"/>
                      <w:sz w:val="21"/>
                      <w:szCs w:val="21"/>
                      <w:u w:val="none"/>
                      <w:lang w:val="en-US" w:eastAsia="zh-CN"/>
                    </w:rPr>
                    <w:t>3F，单层建筑面积约980m</w:t>
                  </w:r>
                  <w:r>
                    <w:rPr>
                      <w:rFonts w:hint="default"/>
                      <w:color w:val="auto"/>
                      <w:sz w:val="21"/>
                      <w:szCs w:val="21"/>
                      <w:u w:val="none"/>
                      <w:vertAlign w:val="superscript"/>
                      <w:lang w:val="en-US" w:eastAsia="zh-CN"/>
                    </w:rPr>
                    <w:t>2</w:t>
                  </w:r>
                  <w:r>
                    <w:rPr>
                      <w:rFonts w:hint="default"/>
                      <w:color w:val="auto"/>
                      <w:sz w:val="21"/>
                      <w:szCs w:val="21"/>
                      <w:u w:val="none"/>
                      <w:lang w:val="en-US" w:eastAsia="zh-CN"/>
                    </w:rPr>
                    <w:t>，高度9m，砖混结构</w:t>
                  </w:r>
                </w:p>
              </w:tc>
              <w:tc>
                <w:tcPr>
                  <w:tcW w:w="1280"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53" w:leftChars="-25" w:right="-53" w:rightChars="-25"/>
                    <w:jc w:val="center"/>
                    <w:textAlignment w:val="auto"/>
                    <w:rPr>
                      <w:rFonts w:hint="default" w:eastAsia="宋体"/>
                      <w:color w:val="auto"/>
                      <w:sz w:val="21"/>
                      <w:szCs w:val="21"/>
                      <w:u w:val="none"/>
                      <w:lang w:val="en-US" w:eastAsia="zh-CN"/>
                    </w:rPr>
                  </w:pPr>
                  <w:r>
                    <w:rPr>
                      <w:rFonts w:hint="eastAsia"/>
                      <w:color w:val="auto"/>
                      <w:sz w:val="21"/>
                      <w:szCs w:val="21"/>
                      <w:u w:val="none"/>
                      <w:lang w:val="en-US" w:eastAsia="zh-CN"/>
                    </w:rPr>
                    <w:t>本次新增就餐人员均依托原环评中的食堂</w:t>
                  </w:r>
                </w:p>
              </w:tc>
              <w:tc>
                <w:tcPr>
                  <w:tcW w:w="70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53" w:leftChars="-25" w:right="-53" w:rightChars="-25"/>
                    <w:jc w:val="center"/>
                    <w:textAlignment w:val="auto"/>
                    <w:rPr>
                      <w:rFonts w:hint="eastAsia"/>
                      <w:color w:val="auto"/>
                      <w:sz w:val="21"/>
                      <w:szCs w:val="21"/>
                      <w:u w:val="none"/>
                      <w:lang w:val="en-US" w:eastAsia="zh-CN"/>
                    </w:rPr>
                  </w:pPr>
                  <w:r>
                    <w:rPr>
                      <w:rFonts w:hint="eastAsia"/>
                      <w:color w:val="auto"/>
                      <w:sz w:val="21"/>
                      <w:szCs w:val="21"/>
                      <w:u w:val="none"/>
                      <w:lang w:val="en-US" w:eastAsia="zh-CN"/>
                    </w:rPr>
                    <w:t>可行</w:t>
                  </w:r>
                </w:p>
              </w:tc>
            </w:tr>
          </w:tbl>
          <w:p>
            <w:pPr>
              <w:keepNext w:val="0"/>
              <w:keepLines w:val="0"/>
              <w:suppressLineNumbers w:val="0"/>
              <w:spacing w:before="0" w:beforeAutospacing="0" w:after="0" w:afterAutospacing="0" w:line="360" w:lineRule="auto"/>
              <w:ind w:left="0" w:right="0" w:firstLine="482" w:firstLineChars="200"/>
              <w:rPr>
                <w:rFonts w:hint="eastAsia"/>
                <w:b/>
                <w:bCs/>
                <w:color w:val="auto"/>
                <w:sz w:val="24"/>
                <w:u w:val="none"/>
                <w:lang w:val="en-US" w:eastAsia="zh-CN"/>
              </w:rPr>
            </w:pPr>
          </w:p>
          <w:p>
            <w:pPr>
              <w:keepNext w:val="0"/>
              <w:keepLines w:val="0"/>
              <w:suppressLineNumbers w:val="0"/>
              <w:spacing w:before="0" w:beforeAutospacing="0" w:after="0" w:afterAutospacing="0" w:line="360" w:lineRule="auto"/>
              <w:ind w:left="0" w:right="0" w:firstLine="482" w:firstLineChars="200"/>
              <w:rPr>
                <w:rFonts w:hint="default"/>
                <w:b/>
                <w:bCs/>
                <w:color w:val="auto"/>
                <w:sz w:val="24"/>
                <w:u w:val="none"/>
              </w:rPr>
            </w:pPr>
            <w:r>
              <w:rPr>
                <w:rFonts w:hint="eastAsia"/>
                <w:b/>
                <w:bCs/>
                <w:color w:val="auto"/>
                <w:sz w:val="24"/>
                <w:u w:val="none"/>
                <w:lang w:val="en-US" w:eastAsia="zh-CN"/>
              </w:rPr>
              <w:t>4</w:t>
            </w:r>
            <w:r>
              <w:rPr>
                <w:rFonts w:hint="eastAsia"/>
                <w:b/>
                <w:bCs/>
                <w:color w:val="auto"/>
                <w:sz w:val="24"/>
                <w:u w:val="none"/>
              </w:rPr>
              <w:t>、产品方案</w:t>
            </w:r>
          </w:p>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eastAsia="宋体" w:cs="宋体"/>
                <w:color w:val="auto"/>
                <w:sz w:val="24"/>
                <w:u w:val="none"/>
                <w:lang w:eastAsia="zh-CN"/>
              </w:rPr>
            </w:pPr>
            <w:r>
              <w:rPr>
                <w:rFonts w:hint="eastAsia" w:cs="宋体"/>
                <w:color w:val="auto"/>
                <w:sz w:val="24"/>
                <w:u w:val="none"/>
                <w:lang w:eastAsia="zh-CN"/>
              </w:rPr>
              <w:t>本项目为全场配套建设污水处理设施，非生产类项目，无产品及产能。</w:t>
            </w:r>
          </w:p>
          <w:p>
            <w:pPr>
              <w:keepNext w:val="0"/>
              <w:keepLines w:val="0"/>
              <w:suppressLineNumbers w:val="0"/>
              <w:spacing w:before="0" w:beforeAutospacing="0" w:after="0" w:afterAutospacing="0" w:line="360" w:lineRule="auto"/>
              <w:ind w:left="0" w:right="0" w:firstLine="482" w:firstLineChars="200"/>
              <w:rPr>
                <w:rFonts w:hint="eastAsia"/>
                <w:b/>
                <w:bCs/>
                <w:color w:val="auto"/>
                <w:sz w:val="24"/>
                <w:u w:val="none"/>
              </w:rPr>
            </w:pPr>
            <w:r>
              <w:rPr>
                <w:rFonts w:hint="eastAsia"/>
                <w:b/>
                <w:bCs/>
                <w:color w:val="auto"/>
                <w:sz w:val="24"/>
                <w:u w:val="none"/>
                <w:lang w:val="en-US" w:eastAsia="zh-CN"/>
              </w:rPr>
              <w:t>5</w:t>
            </w:r>
            <w:r>
              <w:rPr>
                <w:rFonts w:hint="eastAsia"/>
                <w:b/>
                <w:bCs/>
                <w:color w:val="auto"/>
                <w:sz w:val="24"/>
                <w:u w:val="none"/>
              </w:rPr>
              <w:t>、主要设备</w:t>
            </w:r>
          </w:p>
          <w:p>
            <w:pPr>
              <w:pStyle w:val="23"/>
              <w:keepNext w:val="0"/>
              <w:keepLines w:val="0"/>
              <w:suppressLineNumbers w:val="0"/>
              <w:spacing w:before="0" w:beforeAutospacing="0" w:after="0" w:afterAutospacing="0" w:line="360" w:lineRule="auto"/>
              <w:ind w:left="0" w:leftChars="0" w:right="0" w:firstLine="465"/>
              <w:rPr>
                <w:rFonts w:hint="eastAsia" w:eastAsia="宋体"/>
                <w:color w:val="auto"/>
                <w:sz w:val="24"/>
                <w:szCs w:val="24"/>
                <w:u w:val="none"/>
                <w:lang w:eastAsia="zh-CN"/>
              </w:rPr>
            </w:pPr>
            <w:r>
              <w:rPr>
                <w:rFonts w:hint="eastAsia"/>
                <w:color w:val="auto"/>
                <w:sz w:val="24"/>
                <w:szCs w:val="24"/>
                <w:u w:val="none"/>
                <w:lang w:val="en-US" w:eastAsia="zh-CN"/>
              </w:rPr>
              <w:t>本环评要求优先使用先进生产工艺及设备，不得使用淘汰设备，</w:t>
            </w:r>
            <w:r>
              <w:rPr>
                <w:rFonts w:hint="eastAsia"/>
                <w:color w:val="auto"/>
                <w:sz w:val="24"/>
                <w:szCs w:val="24"/>
                <w:u w:val="none"/>
              </w:rPr>
              <w:t>项目</w:t>
            </w:r>
            <w:r>
              <w:rPr>
                <w:rFonts w:hint="eastAsia"/>
                <w:color w:val="auto"/>
                <w:sz w:val="24"/>
                <w:szCs w:val="24"/>
                <w:u w:val="none"/>
                <w:lang w:val="en-US" w:eastAsia="zh-CN"/>
              </w:rPr>
              <w:t>生产</w:t>
            </w:r>
            <w:r>
              <w:rPr>
                <w:rFonts w:hint="eastAsia"/>
                <w:color w:val="auto"/>
                <w:sz w:val="24"/>
                <w:szCs w:val="24"/>
                <w:u w:val="none"/>
              </w:rPr>
              <w:t>主要设备见</w:t>
            </w:r>
            <w:r>
              <w:rPr>
                <w:rFonts w:hint="eastAsia"/>
                <w:color w:val="auto"/>
                <w:sz w:val="24"/>
                <w:szCs w:val="24"/>
                <w:u w:val="none"/>
                <w:lang w:val="en-US" w:eastAsia="zh-CN"/>
              </w:rPr>
              <w:t>下</w:t>
            </w:r>
            <w:r>
              <w:rPr>
                <w:rFonts w:hint="eastAsia"/>
                <w:color w:val="auto"/>
                <w:sz w:val="24"/>
                <w:szCs w:val="24"/>
                <w:u w:val="none"/>
              </w:rPr>
              <w:t>表</w:t>
            </w:r>
            <w:r>
              <w:rPr>
                <w:rFonts w:hint="eastAsia"/>
                <w:color w:val="auto"/>
                <w:sz w:val="24"/>
                <w:szCs w:val="24"/>
                <w:u w:val="none"/>
                <w:lang w:eastAsia="zh-CN"/>
              </w:rPr>
              <w:t>：</w:t>
            </w:r>
          </w:p>
          <w:p>
            <w:pPr>
              <w:keepNext w:val="0"/>
              <w:keepLines w:val="0"/>
              <w:suppressLineNumbers w:val="0"/>
              <w:spacing w:before="0" w:beforeAutospacing="0" w:after="0" w:afterAutospacing="0"/>
              <w:ind w:left="0" w:right="0"/>
              <w:jc w:val="center"/>
              <w:rPr>
                <w:rFonts w:hint="eastAsia"/>
                <w:b/>
                <w:bCs/>
                <w:color w:val="auto"/>
                <w:szCs w:val="21"/>
                <w:u w:val="none"/>
              </w:rPr>
            </w:pPr>
            <w:r>
              <w:rPr>
                <w:rFonts w:hint="eastAsia"/>
                <w:b/>
                <w:bCs/>
                <w:color w:val="auto"/>
                <w:szCs w:val="21"/>
                <w:u w:val="none"/>
              </w:rPr>
              <w:t>表2</w:t>
            </w:r>
            <w:r>
              <w:rPr>
                <w:rFonts w:hint="default"/>
                <w:b/>
                <w:bCs/>
                <w:color w:val="auto"/>
                <w:szCs w:val="21"/>
                <w:u w:val="none"/>
              </w:rPr>
              <w:t>-</w:t>
            </w:r>
            <w:r>
              <w:rPr>
                <w:rFonts w:hint="eastAsia"/>
                <w:b/>
                <w:bCs/>
                <w:color w:val="auto"/>
                <w:szCs w:val="21"/>
                <w:u w:val="none"/>
                <w:lang w:val="en-US" w:eastAsia="zh-CN"/>
              </w:rPr>
              <w:t>4项目生产</w:t>
            </w:r>
            <w:r>
              <w:rPr>
                <w:rFonts w:hint="eastAsia"/>
                <w:b/>
                <w:bCs/>
                <w:color w:val="auto"/>
                <w:szCs w:val="21"/>
                <w:u w:val="none"/>
              </w:rPr>
              <w:t>主要设备一览表</w:t>
            </w:r>
          </w:p>
          <w:tbl>
            <w:tblPr>
              <w:tblStyle w:val="29"/>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607"/>
              <w:gridCol w:w="1755"/>
              <w:gridCol w:w="3214"/>
              <w:gridCol w:w="602"/>
              <w:gridCol w:w="614"/>
              <w:gridCol w:w="179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tcW w:w="354" w:type="pct"/>
                  <w:tcBorders>
                    <w:tl2br w:val="nil"/>
                    <w:tr2bl w:val="nil"/>
                  </w:tcBorders>
                  <w:shd w:val="clear" w:color="auto" w:fill="FFFFFF" w:themeFill="background1"/>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
                      <w:color w:val="auto"/>
                      <w:kern w:val="0"/>
                      <w:sz w:val="21"/>
                      <w:szCs w:val="21"/>
                    </w:rPr>
                  </w:pPr>
                  <w:r>
                    <w:rPr>
                      <w:rFonts w:hint="default"/>
                      <w:b/>
                      <w:color w:val="auto"/>
                      <w:kern w:val="0"/>
                      <w:sz w:val="21"/>
                      <w:szCs w:val="21"/>
                    </w:rPr>
                    <w:t>序号</w:t>
                  </w:r>
                </w:p>
              </w:tc>
              <w:tc>
                <w:tcPr>
                  <w:tcW w:w="1021" w:type="pct"/>
                  <w:tcBorders>
                    <w:tl2br w:val="nil"/>
                    <w:tr2bl w:val="nil"/>
                  </w:tcBorders>
                  <w:shd w:val="clear" w:color="auto" w:fill="FFFFFF" w:themeFill="background1"/>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
                      <w:color w:val="auto"/>
                      <w:kern w:val="0"/>
                      <w:sz w:val="21"/>
                      <w:szCs w:val="21"/>
                    </w:rPr>
                  </w:pPr>
                  <w:r>
                    <w:rPr>
                      <w:rFonts w:hint="default"/>
                      <w:b/>
                      <w:color w:val="auto"/>
                      <w:kern w:val="0"/>
                      <w:sz w:val="21"/>
                      <w:szCs w:val="21"/>
                    </w:rPr>
                    <w:t>名称</w:t>
                  </w:r>
                </w:p>
              </w:tc>
              <w:tc>
                <w:tcPr>
                  <w:tcW w:w="1870" w:type="pct"/>
                  <w:tcBorders>
                    <w:tl2br w:val="nil"/>
                    <w:tr2bl w:val="nil"/>
                  </w:tcBorders>
                  <w:shd w:val="clear" w:color="auto" w:fill="FFFFFF" w:themeFill="background1"/>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
                      <w:color w:val="auto"/>
                      <w:kern w:val="0"/>
                      <w:sz w:val="21"/>
                      <w:szCs w:val="21"/>
                    </w:rPr>
                  </w:pPr>
                  <w:r>
                    <w:rPr>
                      <w:rFonts w:hint="default"/>
                      <w:b/>
                      <w:color w:val="auto"/>
                      <w:kern w:val="0"/>
                      <w:sz w:val="21"/>
                      <w:szCs w:val="21"/>
                    </w:rPr>
                    <w:t>型号规格尺寸</w:t>
                  </w:r>
                </w:p>
              </w:tc>
              <w:tc>
                <w:tcPr>
                  <w:tcW w:w="350" w:type="pct"/>
                  <w:tcBorders>
                    <w:tl2br w:val="nil"/>
                    <w:tr2bl w:val="nil"/>
                  </w:tcBorders>
                  <w:shd w:val="clear" w:color="auto" w:fill="FFFFFF" w:themeFill="background1"/>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
                      <w:color w:val="auto"/>
                      <w:kern w:val="0"/>
                      <w:sz w:val="21"/>
                      <w:szCs w:val="21"/>
                    </w:rPr>
                  </w:pPr>
                  <w:r>
                    <w:rPr>
                      <w:rFonts w:hint="default"/>
                      <w:b/>
                      <w:color w:val="auto"/>
                      <w:kern w:val="0"/>
                      <w:sz w:val="21"/>
                      <w:szCs w:val="21"/>
                    </w:rPr>
                    <w:t>单位</w:t>
                  </w:r>
                </w:p>
              </w:tc>
              <w:tc>
                <w:tcPr>
                  <w:tcW w:w="357" w:type="pct"/>
                  <w:tcBorders>
                    <w:tl2br w:val="nil"/>
                    <w:tr2bl w:val="nil"/>
                  </w:tcBorders>
                  <w:shd w:val="clear" w:color="auto" w:fill="FFFFFF" w:themeFill="background1"/>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
                      <w:color w:val="auto"/>
                      <w:kern w:val="0"/>
                      <w:sz w:val="21"/>
                      <w:szCs w:val="21"/>
                    </w:rPr>
                  </w:pPr>
                  <w:r>
                    <w:rPr>
                      <w:rFonts w:hint="default"/>
                      <w:b/>
                      <w:color w:val="auto"/>
                      <w:kern w:val="0"/>
                      <w:sz w:val="21"/>
                      <w:szCs w:val="21"/>
                    </w:rPr>
                    <w:t>数量</w:t>
                  </w:r>
                </w:p>
              </w:tc>
              <w:tc>
                <w:tcPr>
                  <w:tcW w:w="1045" w:type="pct"/>
                  <w:tcBorders>
                    <w:tl2br w:val="nil"/>
                    <w:tr2bl w:val="nil"/>
                  </w:tcBorders>
                  <w:shd w:val="clear" w:color="auto" w:fill="FFFFFF" w:themeFill="background1"/>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
                      <w:color w:val="auto"/>
                      <w:kern w:val="0"/>
                      <w:sz w:val="21"/>
                      <w:szCs w:val="21"/>
                    </w:rPr>
                  </w:pPr>
                  <w:r>
                    <w:rPr>
                      <w:rFonts w:hint="default"/>
                      <w:b/>
                      <w:color w:val="auto"/>
                      <w:kern w:val="0"/>
                      <w:sz w:val="21"/>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机械格栅</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设备净宽500mm，b=3mm，N=0.75kW，安装角度60°。</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套</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S304耙齿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潜水搅拌机</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桨叶直径320mm，桨叶转速740rpm，N=2.2kW</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搅拌器及支架S304材质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3</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污水提升泵</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潜污泵，Q=45m³/h，H=0.15MPa，N=5.5kW，变频控制，配套耦合器，备用1台</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叶轮S304材质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4</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混合搅拌器1</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桨叶直径470mm，转速120r/min，N=1.5kW</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液下S304材质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5</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混合搅拌器2</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桨叶直径1500mm，转速3-5r/min，N=1.5kW</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液下S304材质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6</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PAC投加泵</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机械隔膜计量泵，Q=100L/h，H=0.3MPa，N=0.25kW</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1用1备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7</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PAM加药泵</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机械隔膜计量泵，Q=0.22m</w:t>
                  </w:r>
                  <w:r>
                    <w:rPr>
                      <w:rFonts w:hint="eastAsia"/>
                      <w:bCs/>
                      <w:color w:val="auto"/>
                      <w:kern w:val="0"/>
                      <w:sz w:val="21"/>
                      <w:szCs w:val="21"/>
                      <w:vertAlign w:val="superscript"/>
                    </w:rPr>
                    <w:t>3</w:t>
                  </w:r>
                  <w:r>
                    <w:rPr>
                      <w:rFonts w:hint="eastAsia"/>
                      <w:bCs/>
                      <w:color w:val="auto"/>
                      <w:kern w:val="0"/>
                      <w:sz w:val="21"/>
                      <w:szCs w:val="21"/>
                    </w:rPr>
                    <w:t>/h，H=0.3MPa，N=0.55kW</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1用1备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6"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8</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中心传动刮泥机</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Φ9×4m，周边线速1.6m/min，N=0.55kW，配减速机</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水下S304材质，水上碳钢防腐；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9</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污泥输送泵</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离心泵，Q=15m</w:t>
                  </w:r>
                  <w:r>
                    <w:rPr>
                      <w:rFonts w:hint="eastAsia"/>
                      <w:bCs/>
                      <w:color w:val="auto"/>
                      <w:kern w:val="0"/>
                      <w:sz w:val="21"/>
                      <w:szCs w:val="21"/>
                      <w:vertAlign w:val="superscript"/>
                    </w:rPr>
                    <w:t>3</w:t>
                  </w:r>
                  <w:r>
                    <w:rPr>
                      <w:rFonts w:hint="eastAsia"/>
                      <w:bCs/>
                      <w:color w:val="auto"/>
                      <w:kern w:val="0"/>
                      <w:sz w:val="21"/>
                      <w:szCs w:val="21"/>
                    </w:rPr>
                    <w:t>/h，H=0.15MPa，1用1备</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过流部件S304材质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10</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厌氧布水系统</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UPVC材质，配套安装支架。</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套</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UPVC材质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11</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组合填料</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Φ150×2500mm，含不锈钢填料框架</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m</w:t>
                  </w:r>
                  <w:r>
                    <w:rPr>
                      <w:rFonts w:hint="eastAsia"/>
                      <w:bCs/>
                      <w:color w:val="auto"/>
                      <w:kern w:val="0"/>
                      <w:sz w:val="21"/>
                      <w:szCs w:val="21"/>
                      <w:vertAlign w:val="superscript"/>
                    </w:rPr>
                    <w:t>3</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150</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PP材质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12</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排泥系统</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非标专利设备</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套</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PE材质，配套安装支架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13</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出水堰</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三角堰</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套</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S304不锈钢材质，配套安装支架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15</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潜水搅拌机</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桨叶直径260mm，转速980r/min，N=1.5kW</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搅拌器及支架S304材质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16</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可提升微孔曝气器</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服务面积0.3-0.5m</w:t>
                  </w:r>
                  <w:r>
                    <w:rPr>
                      <w:rFonts w:hint="eastAsia"/>
                      <w:bCs/>
                      <w:color w:val="auto"/>
                      <w:kern w:val="0"/>
                      <w:sz w:val="21"/>
                      <w:szCs w:val="21"/>
                      <w:vertAlign w:val="superscript"/>
                    </w:rPr>
                    <w:t>2</w:t>
                  </w:r>
                  <w:r>
                    <w:rPr>
                      <w:rFonts w:hint="eastAsia"/>
                      <w:bCs/>
                      <w:color w:val="auto"/>
                      <w:kern w:val="0"/>
                      <w:sz w:val="21"/>
                      <w:szCs w:val="21"/>
                    </w:rPr>
                    <w:t>/套，通气量1.5-3m</w:t>
                  </w:r>
                  <w:r>
                    <w:rPr>
                      <w:rFonts w:hint="eastAsia"/>
                      <w:bCs/>
                      <w:color w:val="auto"/>
                      <w:kern w:val="0"/>
                      <w:sz w:val="21"/>
                      <w:szCs w:val="21"/>
                      <w:vertAlign w:val="superscript"/>
                    </w:rPr>
                    <w:t>3</w:t>
                  </w:r>
                  <w:r>
                    <w:rPr>
                      <w:rFonts w:hint="eastAsia"/>
                      <w:bCs/>
                      <w:color w:val="auto"/>
                      <w:kern w:val="0"/>
                      <w:sz w:val="21"/>
                      <w:szCs w:val="21"/>
                    </w:rPr>
                    <w:t>/套·h，氧利用率＞30%</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套</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450</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17</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混合液回流泵</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离心泵，Q=80m</w:t>
                  </w:r>
                  <w:r>
                    <w:rPr>
                      <w:rFonts w:hint="eastAsia"/>
                      <w:bCs/>
                      <w:color w:val="auto"/>
                      <w:kern w:val="0"/>
                      <w:sz w:val="21"/>
                      <w:szCs w:val="21"/>
                      <w:vertAlign w:val="superscript"/>
                    </w:rPr>
                    <w:t>3</w:t>
                  </w:r>
                  <w:r>
                    <w:rPr>
                      <w:rFonts w:hint="eastAsia"/>
                      <w:bCs/>
                      <w:color w:val="auto"/>
                      <w:kern w:val="0"/>
                      <w:sz w:val="21"/>
                      <w:szCs w:val="21"/>
                    </w:rPr>
                    <w:t>/h，H=0.05MPa，N=2.2kW，2用2备</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4</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铸铁材质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18</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空气悬浮风机</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空气悬浮风机，Q=12.5m³/min，H=70kPa，N=22kW，变频控制</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3</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备用1台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19</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中心传动刮泥机</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Φ×H=10×4m，N=0.55KW，配减速机</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水下S304，水上碳钢防腐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20</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污泥回流泵</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离心泵，Q=30m³/h，H=0.12MPa，2用1备</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3</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铸铁材质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21</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电动调节蝶阀</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DN50，PN1.0</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阀板S304材质，内衬四氟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22</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电动调节蝶阀</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DN65，PN1.0</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阀板S304材质，内衬四氟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23</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混合搅拌器1</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桨叶直径470mm，转速120r/min，N=1.5kW</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液下S304材质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24</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混合搅拌器2</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桨叶直径1500mm，转速3-5r/min，N=1.5kW</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液下S304材质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25</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PAC投加泵</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机械隔膜计量泵，Q=100L/h，H=0.3MPa，N=0.25kW</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1用1备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26</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PAM加药泵</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机械隔膜计量泵，Q=0.22m</w:t>
                  </w:r>
                  <w:r>
                    <w:rPr>
                      <w:rFonts w:hint="eastAsia"/>
                      <w:bCs/>
                      <w:color w:val="auto"/>
                      <w:kern w:val="0"/>
                      <w:sz w:val="21"/>
                      <w:szCs w:val="21"/>
                      <w:vertAlign w:val="superscript"/>
                    </w:rPr>
                    <w:t>3</w:t>
                  </w:r>
                  <w:r>
                    <w:rPr>
                      <w:rFonts w:hint="eastAsia"/>
                      <w:bCs/>
                      <w:color w:val="auto"/>
                      <w:kern w:val="0"/>
                      <w:sz w:val="21"/>
                      <w:szCs w:val="21"/>
                    </w:rPr>
                    <w:t>/h，H=0.3MPa，N=0.55kW</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1用1备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27</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事故泵</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潜污泵，Q=20m</w:t>
                  </w:r>
                  <w:r>
                    <w:rPr>
                      <w:rFonts w:hint="eastAsia"/>
                      <w:bCs/>
                      <w:color w:val="auto"/>
                      <w:kern w:val="0"/>
                      <w:sz w:val="21"/>
                      <w:szCs w:val="21"/>
                      <w:vertAlign w:val="superscript"/>
                    </w:rPr>
                    <w:t>3</w:t>
                  </w:r>
                  <w:r>
                    <w:rPr>
                      <w:rFonts w:hint="eastAsia"/>
                      <w:bCs/>
                      <w:color w:val="auto"/>
                      <w:kern w:val="0"/>
                      <w:sz w:val="21"/>
                      <w:szCs w:val="21"/>
                    </w:rPr>
                    <w:t>/h，H=0.15MPa，N=2.2kW，配套耦合器；1用1备</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叶轮S304材质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28</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潜水搅拌机</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桨叶直径320mm，转速740r/min，N=2.2kW</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叶轮S304材质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29</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污泥输送泵</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离心泵，Q=15m</w:t>
                  </w:r>
                  <w:r>
                    <w:rPr>
                      <w:rFonts w:hint="eastAsia"/>
                      <w:bCs/>
                      <w:color w:val="auto"/>
                      <w:kern w:val="0"/>
                      <w:sz w:val="21"/>
                      <w:szCs w:val="21"/>
                      <w:vertAlign w:val="superscript"/>
                    </w:rPr>
                    <w:t>3</w:t>
                  </w:r>
                  <w:r>
                    <w:rPr>
                      <w:rFonts w:hint="eastAsia"/>
                      <w:bCs/>
                      <w:color w:val="auto"/>
                      <w:kern w:val="0"/>
                      <w:sz w:val="21"/>
                      <w:szCs w:val="21"/>
                    </w:rPr>
                    <w:t>/h，H=0.15MPa</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1用1备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30</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紫外线消毒灯</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L=1000mm，N=0.15KW</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bCs/>
                      <w:color w:val="auto"/>
                      <w:kern w:val="0"/>
                      <w:sz w:val="21"/>
                      <w:szCs w:val="21"/>
                    </w:rPr>
                  </w:pPr>
                  <w:r>
                    <w:rPr>
                      <w:rFonts w:hint="eastAsia" w:ascii="Times New Roman" w:hAnsi="Times New Roman" w:cs="Times New Roman"/>
                      <w:bCs/>
                      <w:color w:val="auto"/>
                      <w:kern w:val="0"/>
                      <w:sz w:val="21"/>
                      <w:szCs w:val="21"/>
                      <w:lang w:val="en-US" w:eastAsia="zh-CN"/>
                    </w:rPr>
                    <w:t>紫外消毒远期工程内容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31</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PAM自动加药装置</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制备能力500L/h，N=1.7kW</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套</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ascii="Times New Roman" w:hAnsi="Times New Roman" w:cs="Times New Roman"/>
                      <w:bCs/>
                      <w:color w:val="auto"/>
                      <w:kern w:val="0"/>
                      <w:sz w:val="21"/>
                      <w:szCs w:val="21"/>
                    </w:rPr>
                  </w:pPr>
                  <w:r>
                    <w:rPr>
                      <w:rFonts w:hint="eastAsia" w:ascii="Times New Roman" w:hAnsi="Times New Roman" w:cs="Times New Roman"/>
                      <w:bCs/>
                      <w:color w:val="auto"/>
                      <w:kern w:val="0"/>
                      <w:sz w:val="21"/>
                      <w:szCs w:val="21"/>
                    </w:rPr>
                    <w:t>主体S304材质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32</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PAC</w:t>
                  </w:r>
                  <w:r>
                    <w:rPr>
                      <w:rFonts w:hint="default"/>
                      <w:bCs/>
                      <w:color w:val="auto"/>
                      <w:kern w:val="0"/>
                      <w:sz w:val="21"/>
                      <w:szCs w:val="21"/>
                    </w:rPr>
                    <w:t>储</w:t>
                  </w:r>
                  <w:r>
                    <w:rPr>
                      <w:rFonts w:hint="eastAsia"/>
                      <w:bCs/>
                      <w:color w:val="auto"/>
                      <w:kern w:val="0"/>
                      <w:sz w:val="21"/>
                      <w:szCs w:val="21"/>
                    </w:rPr>
                    <w:t>药装置</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V=25m</w:t>
                  </w:r>
                  <w:r>
                    <w:rPr>
                      <w:rFonts w:hint="eastAsia"/>
                      <w:bCs/>
                      <w:color w:val="auto"/>
                      <w:kern w:val="0"/>
                      <w:sz w:val="21"/>
                      <w:szCs w:val="21"/>
                      <w:vertAlign w:val="superscript"/>
                    </w:rPr>
                    <w:t>3</w:t>
                  </w:r>
                  <w:r>
                    <w:rPr>
                      <w:rFonts w:hint="eastAsia"/>
                      <w:bCs/>
                      <w:color w:val="auto"/>
                      <w:kern w:val="0"/>
                      <w:sz w:val="21"/>
                      <w:szCs w:val="21"/>
                    </w:rPr>
                    <w:t>，配套远传磁翻板液位计2台</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套</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玻璃钢材质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33</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卸药泵</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离心泵，Q=30m</w:t>
                  </w:r>
                  <w:r>
                    <w:rPr>
                      <w:rFonts w:hint="eastAsia"/>
                      <w:bCs/>
                      <w:color w:val="auto"/>
                      <w:kern w:val="0"/>
                      <w:sz w:val="21"/>
                      <w:szCs w:val="21"/>
                      <w:vertAlign w:val="superscript"/>
                    </w:rPr>
                    <w:t>3</w:t>
                  </w:r>
                  <w:r>
                    <w:rPr>
                      <w:rFonts w:hint="eastAsia"/>
                      <w:bCs/>
                      <w:color w:val="auto"/>
                      <w:kern w:val="0"/>
                      <w:sz w:val="21"/>
                      <w:szCs w:val="21"/>
                    </w:rPr>
                    <w:t>/h，H=0.15MPa</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氟塑料材质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34</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中心传动浓缩机</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Φ×H=6×5m，N=0.75KW，中心传动，</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1</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液下S304，桥架碳钢防腐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35</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污泥输送泵</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离心泵，Q=8m</w:t>
                  </w:r>
                  <w:r>
                    <w:rPr>
                      <w:rFonts w:hint="eastAsia"/>
                      <w:bCs/>
                      <w:color w:val="auto"/>
                      <w:kern w:val="0"/>
                      <w:sz w:val="21"/>
                      <w:szCs w:val="21"/>
                      <w:vertAlign w:val="superscript"/>
                    </w:rPr>
                    <w:t>3</w:t>
                  </w:r>
                  <w:r>
                    <w:rPr>
                      <w:rFonts w:hint="eastAsia"/>
                      <w:bCs/>
                      <w:color w:val="auto"/>
                      <w:kern w:val="0"/>
                      <w:sz w:val="21"/>
                      <w:szCs w:val="21"/>
                    </w:rPr>
                    <w:t>/h，H=0.15MPa，N=1.5kW，1用1备</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2</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bCs/>
                      <w:color w:val="auto"/>
                      <w:kern w:val="0"/>
                      <w:sz w:val="21"/>
                      <w:szCs w:val="21"/>
                    </w:rPr>
                  </w:pPr>
                  <w:r>
                    <w:rPr>
                      <w:rFonts w:hint="eastAsia"/>
                      <w:bCs/>
                      <w:color w:val="auto"/>
                      <w:kern w:val="0"/>
                      <w:sz w:val="21"/>
                      <w:szCs w:val="21"/>
                    </w:rPr>
                    <w:t>过流部件S304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354"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宋体"/>
                      <w:bCs/>
                      <w:color w:val="auto"/>
                      <w:kern w:val="0"/>
                      <w:sz w:val="21"/>
                      <w:szCs w:val="21"/>
                      <w:lang w:val="en-US" w:eastAsia="zh-CN"/>
                    </w:rPr>
                  </w:pPr>
                  <w:r>
                    <w:rPr>
                      <w:rFonts w:hint="eastAsia"/>
                      <w:bCs/>
                      <w:color w:val="auto"/>
                      <w:kern w:val="0"/>
                      <w:sz w:val="21"/>
                      <w:szCs w:val="21"/>
                      <w:lang w:val="en-US" w:eastAsia="zh-CN"/>
                    </w:rPr>
                    <w:t>36</w:t>
                  </w:r>
                </w:p>
              </w:tc>
              <w:tc>
                <w:tcPr>
                  <w:tcW w:w="1021"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eastAsia="宋体"/>
                      <w:bCs/>
                      <w:color w:val="auto"/>
                      <w:kern w:val="0"/>
                      <w:sz w:val="21"/>
                      <w:szCs w:val="21"/>
                      <w:lang w:val="en-US" w:eastAsia="zh-CN"/>
                    </w:rPr>
                  </w:pPr>
                  <w:r>
                    <w:rPr>
                      <w:rFonts w:hint="eastAsia"/>
                      <w:bCs/>
                      <w:color w:val="auto"/>
                      <w:kern w:val="0"/>
                      <w:sz w:val="21"/>
                      <w:szCs w:val="21"/>
                      <w:lang w:val="en-US" w:eastAsia="zh-CN"/>
                    </w:rPr>
                    <w:t>叠螺机</w:t>
                  </w:r>
                </w:p>
              </w:tc>
              <w:tc>
                <w:tcPr>
                  <w:tcW w:w="187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eastAsia="宋体"/>
                      <w:bCs/>
                      <w:color w:val="auto"/>
                      <w:kern w:val="0"/>
                      <w:sz w:val="21"/>
                      <w:szCs w:val="21"/>
                      <w:lang w:val="en-US" w:eastAsia="zh-CN"/>
                    </w:rPr>
                  </w:pPr>
                  <w:r>
                    <w:rPr>
                      <w:rFonts w:hint="eastAsia"/>
                      <w:bCs/>
                      <w:color w:val="auto"/>
                      <w:kern w:val="0"/>
                      <w:sz w:val="21"/>
                      <w:szCs w:val="21"/>
                    </w:rPr>
                    <w:t>HMDL-201</w:t>
                  </w:r>
                  <w:r>
                    <w:rPr>
                      <w:rFonts w:hint="eastAsia"/>
                      <w:bCs/>
                      <w:color w:val="auto"/>
                      <w:kern w:val="0"/>
                      <w:sz w:val="21"/>
                      <w:szCs w:val="21"/>
                      <w:lang w:eastAsia="zh-CN"/>
                    </w:rPr>
                    <w:t>，</w:t>
                  </w:r>
                  <w:r>
                    <w:rPr>
                      <w:rFonts w:hint="eastAsia"/>
                      <w:bCs/>
                      <w:color w:val="auto"/>
                      <w:kern w:val="0"/>
                      <w:sz w:val="21"/>
                      <w:szCs w:val="21"/>
                      <w:lang w:val="en-US" w:eastAsia="zh-CN"/>
                    </w:rPr>
                    <w:t>1.87kW</w:t>
                  </w:r>
                </w:p>
              </w:tc>
              <w:tc>
                <w:tcPr>
                  <w:tcW w:w="350"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eastAsia="宋体"/>
                      <w:bCs/>
                      <w:color w:val="auto"/>
                      <w:kern w:val="0"/>
                      <w:sz w:val="21"/>
                      <w:szCs w:val="21"/>
                      <w:lang w:val="en-US" w:eastAsia="zh-CN"/>
                    </w:rPr>
                  </w:pPr>
                  <w:r>
                    <w:rPr>
                      <w:rFonts w:hint="eastAsia"/>
                      <w:bCs/>
                      <w:color w:val="auto"/>
                      <w:kern w:val="0"/>
                      <w:sz w:val="21"/>
                      <w:szCs w:val="21"/>
                      <w:lang w:val="en-US" w:eastAsia="zh-CN"/>
                    </w:rPr>
                    <w:t>台</w:t>
                  </w:r>
                </w:p>
              </w:tc>
              <w:tc>
                <w:tcPr>
                  <w:tcW w:w="357"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eastAsia="宋体"/>
                      <w:bCs/>
                      <w:color w:val="auto"/>
                      <w:kern w:val="0"/>
                      <w:sz w:val="21"/>
                      <w:szCs w:val="21"/>
                      <w:lang w:val="en-US" w:eastAsia="zh-CN"/>
                    </w:rPr>
                  </w:pPr>
                  <w:r>
                    <w:rPr>
                      <w:rFonts w:hint="eastAsia"/>
                      <w:bCs/>
                      <w:color w:val="auto"/>
                      <w:kern w:val="0"/>
                      <w:sz w:val="21"/>
                      <w:szCs w:val="21"/>
                      <w:lang w:val="en-US" w:eastAsia="zh-CN"/>
                    </w:rPr>
                    <w:t>1</w:t>
                  </w:r>
                </w:p>
              </w:tc>
              <w:tc>
                <w:tcPr>
                  <w:tcW w:w="1045"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bCs/>
                      <w:color w:val="auto"/>
                      <w:kern w:val="0"/>
                      <w:sz w:val="21"/>
                      <w:szCs w:val="21"/>
                    </w:rPr>
                  </w:pPr>
                  <w:r>
                    <w:rPr>
                      <w:rFonts w:hint="eastAsia"/>
                      <w:bCs/>
                      <w:color w:val="auto"/>
                      <w:kern w:val="0"/>
                      <w:sz w:val="21"/>
                      <w:szCs w:val="21"/>
                    </w:rPr>
                    <w:t>S304材质</w:t>
                  </w:r>
                </w:p>
              </w:tc>
            </w:tr>
          </w:tbl>
          <w:p>
            <w:pPr>
              <w:keepNext w:val="0"/>
              <w:keepLines w:val="0"/>
              <w:numPr>
                <w:ilvl w:val="0"/>
                <w:numId w:val="1"/>
              </w:numPr>
              <w:suppressLineNumbers w:val="0"/>
              <w:spacing w:before="0" w:beforeAutospacing="0" w:after="0" w:afterAutospacing="0" w:line="360" w:lineRule="auto"/>
              <w:ind w:left="0" w:right="0" w:firstLine="482" w:firstLineChars="200"/>
              <w:rPr>
                <w:rFonts w:hint="eastAsia"/>
                <w:b/>
                <w:bCs/>
                <w:color w:val="auto"/>
                <w:sz w:val="24"/>
                <w:u w:val="single"/>
                <w:lang w:val="en-US" w:eastAsia="zh-CN"/>
              </w:rPr>
            </w:pPr>
            <w:r>
              <w:rPr>
                <w:rFonts w:hint="eastAsia"/>
                <w:b/>
                <w:bCs/>
                <w:color w:val="auto"/>
                <w:sz w:val="24"/>
                <w:u w:val="single"/>
                <w:lang w:val="en-US" w:eastAsia="zh-CN"/>
              </w:rPr>
              <w:t>配套管网工程</w:t>
            </w:r>
          </w:p>
          <w:p>
            <w:pPr>
              <w:pStyle w:val="23"/>
              <w:keepNext w:val="0"/>
              <w:keepLines w:val="0"/>
              <w:suppressLineNumbers w:val="0"/>
              <w:spacing w:before="0" w:beforeAutospacing="0" w:after="0" w:afterAutospacing="0" w:line="360" w:lineRule="auto"/>
              <w:ind w:left="0" w:leftChars="0" w:right="0" w:firstLine="465"/>
              <w:rPr>
                <w:rFonts w:hint="default"/>
                <w:color w:val="auto"/>
                <w:sz w:val="24"/>
                <w:szCs w:val="24"/>
                <w:u w:val="single"/>
                <w:lang w:val="en-US" w:eastAsia="zh-CN"/>
              </w:rPr>
            </w:pPr>
            <w:r>
              <w:rPr>
                <w:rFonts w:hint="default"/>
                <w:color w:val="auto"/>
                <w:sz w:val="24"/>
                <w:szCs w:val="24"/>
                <w:u w:val="single"/>
                <w:lang w:val="en-US" w:eastAsia="zh-CN"/>
              </w:rPr>
              <w:t>铺设配套污水管网</w:t>
            </w:r>
            <w:r>
              <w:rPr>
                <w:rFonts w:hint="eastAsia"/>
                <w:color w:val="auto"/>
                <w:sz w:val="24"/>
                <w:szCs w:val="24"/>
                <w:u w:val="single"/>
                <w:lang w:val="en-US" w:eastAsia="zh-CN"/>
              </w:rPr>
              <w:t>3045</w:t>
            </w:r>
            <w:r>
              <w:rPr>
                <w:rFonts w:hint="default"/>
                <w:color w:val="auto"/>
                <w:sz w:val="24"/>
                <w:szCs w:val="24"/>
                <w:u w:val="single"/>
                <w:lang w:val="en-US" w:eastAsia="zh-CN"/>
              </w:rPr>
              <w:t>米，其中主管网</w:t>
            </w:r>
            <w:r>
              <w:rPr>
                <w:rFonts w:hint="eastAsia"/>
                <w:color w:val="auto"/>
                <w:sz w:val="24"/>
                <w:szCs w:val="24"/>
                <w:u w:val="single"/>
                <w:lang w:val="en-US" w:eastAsia="zh-CN"/>
              </w:rPr>
              <w:t>建设1367</w:t>
            </w:r>
            <w:r>
              <w:rPr>
                <w:rFonts w:hint="default"/>
                <w:color w:val="auto"/>
                <w:sz w:val="24"/>
                <w:szCs w:val="24"/>
                <w:u w:val="single"/>
                <w:lang w:val="en-US" w:eastAsia="zh-CN"/>
              </w:rPr>
              <w:t>米，沿</w:t>
            </w:r>
            <w:r>
              <w:rPr>
                <w:rFonts w:hint="eastAsia"/>
                <w:color w:val="auto"/>
                <w:sz w:val="24"/>
                <w:szCs w:val="24"/>
                <w:u w:val="single"/>
                <w:lang w:val="en-US" w:eastAsia="zh-CN"/>
              </w:rPr>
              <w:t>厂区内部</w:t>
            </w:r>
            <w:r>
              <w:rPr>
                <w:rFonts w:hint="default"/>
                <w:color w:val="auto"/>
                <w:sz w:val="24"/>
                <w:szCs w:val="24"/>
                <w:u w:val="single"/>
                <w:lang w:val="en-US" w:eastAsia="zh-CN"/>
              </w:rPr>
              <w:t>道路主干道铺设（进入污水处理厂段），采用DN</w:t>
            </w:r>
            <w:r>
              <w:rPr>
                <w:rFonts w:hint="eastAsia"/>
                <w:color w:val="auto"/>
                <w:sz w:val="24"/>
                <w:szCs w:val="24"/>
                <w:u w:val="single"/>
                <w:lang w:val="en-US" w:eastAsia="zh-CN"/>
              </w:rPr>
              <w:t>4</w:t>
            </w:r>
            <w:r>
              <w:rPr>
                <w:rFonts w:hint="default"/>
                <w:color w:val="auto"/>
                <w:sz w:val="24"/>
                <w:szCs w:val="24"/>
                <w:u w:val="single"/>
                <w:lang w:val="en-US" w:eastAsia="zh-CN"/>
              </w:rPr>
              <w:t>00口径HDPE 管；次管网1</w:t>
            </w:r>
            <w:r>
              <w:rPr>
                <w:rFonts w:hint="eastAsia"/>
                <w:color w:val="auto"/>
                <w:sz w:val="24"/>
                <w:szCs w:val="24"/>
                <w:u w:val="single"/>
                <w:lang w:val="en-US" w:eastAsia="zh-CN"/>
              </w:rPr>
              <w:t>6</w:t>
            </w:r>
            <w:r>
              <w:rPr>
                <w:rFonts w:hint="default"/>
                <w:color w:val="auto"/>
                <w:sz w:val="24"/>
                <w:szCs w:val="24"/>
                <w:u w:val="single"/>
                <w:lang w:val="en-US" w:eastAsia="zh-CN"/>
              </w:rPr>
              <w:t>78米，沿</w:t>
            </w:r>
            <w:r>
              <w:rPr>
                <w:rFonts w:hint="eastAsia"/>
                <w:color w:val="auto"/>
                <w:sz w:val="24"/>
                <w:szCs w:val="24"/>
                <w:u w:val="single"/>
                <w:lang w:val="en-US" w:eastAsia="zh-CN"/>
              </w:rPr>
              <w:t>厂区内部</w:t>
            </w:r>
            <w:r>
              <w:rPr>
                <w:rFonts w:hint="default"/>
                <w:color w:val="auto"/>
                <w:sz w:val="24"/>
                <w:szCs w:val="24"/>
                <w:u w:val="single"/>
                <w:lang w:val="en-US" w:eastAsia="zh-CN"/>
              </w:rPr>
              <w:t>道路支线铺设，采用DN</w:t>
            </w:r>
            <w:r>
              <w:rPr>
                <w:rFonts w:hint="eastAsia"/>
                <w:color w:val="auto"/>
                <w:sz w:val="24"/>
                <w:szCs w:val="24"/>
                <w:u w:val="single"/>
                <w:lang w:val="en-US" w:eastAsia="zh-CN"/>
              </w:rPr>
              <w:t>3</w:t>
            </w:r>
            <w:r>
              <w:rPr>
                <w:rFonts w:hint="default"/>
                <w:color w:val="auto"/>
                <w:sz w:val="24"/>
                <w:szCs w:val="24"/>
                <w:u w:val="single"/>
                <w:lang w:val="en-US" w:eastAsia="zh-CN"/>
              </w:rPr>
              <w:t>00口径HDPE 管；</w:t>
            </w:r>
            <w:r>
              <w:rPr>
                <w:rFonts w:hint="eastAsia"/>
                <w:color w:val="auto"/>
                <w:sz w:val="24"/>
                <w:szCs w:val="24"/>
                <w:u w:val="single"/>
                <w:lang w:val="en-US" w:eastAsia="zh-CN"/>
              </w:rPr>
              <w:t>其它办公楼及锅炉接入管由原有工程负责安装</w:t>
            </w:r>
            <w:r>
              <w:rPr>
                <w:rFonts w:hint="default"/>
                <w:color w:val="auto"/>
                <w:sz w:val="24"/>
                <w:szCs w:val="24"/>
                <w:u w:val="single"/>
                <w:lang w:val="en-US" w:eastAsia="zh-CN"/>
              </w:rPr>
              <w:t xml:space="preserve">。 </w:t>
            </w:r>
          </w:p>
          <w:p>
            <w:pPr>
              <w:keepNext w:val="0"/>
              <w:keepLines w:val="0"/>
              <w:suppressLineNumbers w:val="0"/>
              <w:spacing w:before="0" w:beforeAutospacing="0" w:after="0" w:afterAutospacing="0" w:line="360" w:lineRule="auto"/>
              <w:ind w:left="0" w:right="0" w:firstLine="482" w:firstLineChars="200"/>
              <w:rPr>
                <w:rFonts w:hint="eastAsia"/>
                <w:b/>
                <w:bCs/>
                <w:color w:val="auto"/>
                <w:sz w:val="24"/>
                <w:u w:val="none"/>
              </w:rPr>
            </w:pPr>
            <w:r>
              <w:rPr>
                <w:rFonts w:hint="eastAsia"/>
                <w:b/>
                <w:bCs/>
                <w:color w:val="auto"/>
                <w:sz w:val="24"/>
                <w:u w:val="none"/>
                <w:lang w:val="en-US" w:eastAsia="zh-CN"/>
              </w:rPr>
              <w:t>7、</w:t>
            </w:r>
            <w:r>
              <w:rPr>
                <w:rFonts w:hint="eastAsia"/>
                <w:b/>
                <w:bCs/>
                <w:color w:val="auto"/>
                <w:sz w:val="24"/>
                <w:u w:val="none"/>
              </w:rPr>
              <w:t>主要原辅材料及能源消耗</w:t>
            </w:r>
          </w:p>
          <w:p>
            <w:pPr>
              <w:pStyle w:val="23"/>
              <w:keepNext w:val="0"/>
              <w:keepLines w:val="0"/>
              <w:suppressLineNumbers w:val="0"/>
              <w:spacing w:before="0" w:beforeAutospacing="0" w:after="0" w:afterAutospacing="0" w:line="360" w:lineRule="auto"/>
              <w:ind w:left="0" w:leftChars="0" w:right="0" w:firstLine="465"/>
              <w:rPr>
                <w:rFonts w:hint="eastAsia"/>
                <w:color w:val="auto"/>
                <w:sz w:val="24"/>
                <w:szCs w:val="24"/>
                <w:u w:val="none"/>
              </w:rPr>
            </w:pPr>
            <w:r>
              <w:rPr>
                <w:rFonts w:hint="eastAsia"/>
                <w:color w:val="auto"/>
                <w:sz w:val="24"/>
                <w:szCs w:val="24"/>
                <w:u w:val="none"/>
              </w:rPr>
              <w:t>根据建设方提供的资料，项目原辅材料及能耗如下表所示：</w:t>
            </w:r>
          </w:p>
          <w:p>
            <w:pPr>
              <w:keepNext w:val="0"/>
              <w:keepLines w:val="0"/>
              <w:suppressLineNumbers w:val="0"/>
              <w:spacing w:before="46" w:beforeLines="15" w:beforeAutospacing="0" w:after="0" w:afterAutospacing="0"/>
              <w:ind w:left="0" w:right="0"/>
              <w:jc w:val="center"/>
              <w:rPr>
                <w:rFonts w:hint="eastAsia"/>
                <w:b/>
                <w:bCs/>
                <w:color w:val="auto"/>
                <w:szCs w:val="21"/>
                <w:u w:val="none"/>
              </w:rPr>
            </w:pPr>
            <w:r>
              <w:rPr>
                <w:rFonts w:hint="eastAsia"/>
                <w:b/>
                <w:bCs/>
                <w:color w:val="auto"/>
                <w:szCs w:val="21"/>
                <w:u w:val="none"/>
              </w:rPr>
              <w:t>表2</w:t>
            </w:r>
            <w:r>
              <w:rPr>
                <w:rFonts w:hint="default"/>
                <w:b/>
                <w:bCs/>
                <w:color w:val="auto"/>
                <w:szCs w:val="21"/>
                <w:u w:val="none"/>
              </w:rPr>
              <w:t>-</w:t>
            </w:r>
            <w:r>
              <w:rPr>
                <w:rFonts w:hint="eastAsia"/>
                <w:b/>
                <w:bCs/>
                <w:color w:val="auto"/>
                <w:szCs w:val="21"/>
                <w:u w:val="none"/>
                <w:lang w:val="en-US" w:eastAsia="zh-CN"/>
              </w:rPr>
              <w:t>5</w:t>
            </w:r>
            <w:r>
              <w:rPr>
                <w:rFonts w:hint="eastAsia"/>
                <w:b/>
                <w:bCs/>
                <w:color w:val="auto"/>
                <w:szCs w:val="21"/>
                <w:u w:val="none"/>
              </w:rPr>
              <w:t>原辅材料及能源消耗一览表</w:t>
            </w:r>
          </w:p>
          <w:tbl>
            <w:tblPr>
              <w:tblStyle w:val="29"/>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52"/>
              <w:gridCol w:w="1892"/>
              <w:gridCol w:w="923"/>
              <w:gridCol w:w="1518"/>
              <w:gridCol w:w="1490"/>
              <w:gridCol w:w="23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center"/>
                    <w:textAlignment w:val="auto"/>
                    <w:rPr>
                      <w:rFonts w:hint="default"/>
                      <w:color w:val="auto"/>
                      <w:sz w:val="21"/>
                      <w:szCs w:val="21"/>
                      <w:u w:val="none"/>
                    </w:rPr>
                  </w:pPr>
                  <w:r>
                    <w:rPr>
                      <w:rFonts w:hint="default"/>
                      <w:color w:val="auto"/>
                      <w:sz w:val="21"/>
                      <w:szCs w:val="21"/>
                      <w:u w:val="none"/>
                    </w:rPr>
                    <w:t>序号</w:t>
                  </w:r>
                </w:p>
              </w:tc>
              <w:tc>
                <w:tcPr>
                  <w:tcW w:w="1101" w:type="pct"/>
                  <w:tcBorders>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center"/>
                    <w:textAlignment w:val="auto"/>
                    <w:rPr>
                      <w:rFonts w:hint="default"/>
                      <w:color w:val="auto"/>
                      <w:sz w:val="21"/>
                      <w:szCs w:val="21"/>
                      <w:u w:val="none"/>
                    </w:rPr>
                  </w:pPr>
                  <w:r>
                    <w:rPr>
                      <w:rFonts w:hint="eastAsia"/>
                      <w:color w:val="auto"/>
                      <w:sz w:val="21"/>
                      <w:szCs w:val="21"/>
                      <w:u w:val="none"/>
                    </w:rPr>
                    <w:t>原辅料名称</w:t>
                  </w:r>
                </w:p>
              </w:tc>
              <w:tc>
                <w:tcPr>
                  <w:tcW w:w="537" w:type="pct"/>
                  <w:tcBorders>
                    <w:lef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center"/>
                    <w:textAlignment w:val="auto"/>
                    <w:rPr>
                      <w:rFonts w:hint="default"/>
                      <w:color w:val="auto"/>
                      <w:sz w:val="21"/>
                      <w:szCs w:val="21"/>
                      <w:u w:val="none"/>
                      <w:lang w:val="en-US" w:eastAsia="zh-CN"/>
                    </w:rPr>
                  </w:pPr>
                  <w:r>
                    <w:rPr>
                      <w:rFonts w:hint="eastAsia"/>
                      <w:color w:val="auto"/>
                      <w:sz w:val="21"/>
                      <w:szCs w:val="21"/>
                      <w:u w:val="none"/>
                      <w:lang w:val="en-US" w:eastAsia="zh-CN"/>
                    </w:rPr>
                    <w:t>单位</w:t>
                  </w:r>
                </w:p>
              </w:tc>
              <w:tc>
                <w:tcPr>
                  <w:tcW w:w="883" w:type="pct"/>
                  <w:tcBorders>
                    <w:lef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center"/>
                    <w:textAlignment w:val="auto"/>
                    <w:rPr>
                      <w:rFonts w:hint="eastAsia" w:eastAsia="宋体"/>
                      <w:color w:val="auto"/>
                      <w:sz w:val="21"/>
                      <w:szCs w:val="21"/>
                      <w:u w:val="none"/>
                      <w:lang w:eastAsia="zh-CN"/>
                    </w:rPr>
                  </w:pPr>
                  <w:r>
                    <w:rPr>
                      <w:rFonts w:hint="eastAsia"/>
                      <w:color w:val="auto"/>
                      <w:sz w:val="21"/>
                      <w:szCs w:val="21"/>
                      <w:u w:val="none"/>
                      <w:lang w:val="en-US" w:eastAsia="zh-CN"/>
                    </w:rPr>
                    <w:t>使用量</w:t>
                  </w:r>
                </w:p>
              </w:tc>
              <w:tc>
                <w:tcPr>
                  <w:tcW w:w="867"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center"/>
                    <w:textAlignment w:val="auto"/>
                    <w:rPr>
                      <w:rFonts w:hint="default" w:eastAsia="宋体"/>
                      <w:color w:val="auto"/>
                      <w:sz w:val="21"/>
                      <w:szCs w:val="21"/>
                      <w:u w:val="none"/>
                      <w:lang w:val="en-US" w:eastAsia="zh-CN"/>
                    </w:rPr>
                  </w:pPr>
                  <w:r>
                    <w:rPr>
                      <w:rFonts w:hint="eastAsia"/>
                      <w:color w:val="auto"/>
                      <w:sz w:val="21"/>
                      <w:szCs w:val="21"/>
                      <w:u w:val="none"/>
                      <w:lang w:val="en-US" w:eastAsia="zh-CN"/>
                    </w:rPr>
                    <w:t>最大存储量</w:t>
                  </w:r>
                </w:p>
              </w:tc>
              <w:tc>
                <w:tcPr>
                  <w:tcW w:w="1346"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center"/>
                    <w:textAlignment w:val="auto"/>
                    <w:rPr>
                      <w:rFonts w:hint="eastAsia"/>
                      <w:color w:val="auto"/>
                      <w:sz w:val="21"/>
                      <w:szCs w:val="21"/>
                      <w:u w:val="none"/>
                    </w:rPr>
                  </w:pPr>
                  <w:r>
                    <w:rPr>
                      <w:rFonts w:hint="eastAsia"/>
                      <w:color w:val="auto"/>
                      <w:sz w:val="21"/>
                      <w:szCs w:val="21"/>
                      <w:u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center"/>
                    <w:textAlignment w:val="auto"/>
                    <w:rPr>
                      <w:rFonts w:hint="default"/>
                      <w:color w:val="auto"/>
                      <w:sz w:val="21"/>
                      <w:szCs w:val="21"/>
                      <w:u w:val="none"/>
                    </w:rPr>
                  </w:pPr>
                  <w:r>
                    <w:rPr>
                      <w:rFonts w:hint="default"/>
                      <w:color w:val="auto"/>
                      <w:sz w:val="21"/>
                      <w:szCs w:val="21"/>
                      <w:u w:val="none"/>
                    </w:rPr>
                    <w:t>1</w:t>
                  </w:r>
                </w:p>
              </w:tc>
              <w:tc>
                <w:tcPr>
                  <w:tcW w:w="1101" w:type="pct"/>
                  <w:tcBorders>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95" w:beforeLines="30" w:beforeAutospacing="0" w:after="95" w:afterLines="30" w:afterAutospacing="0"/>
                    <w:ind w:left="0" w:right="-113"/>
                    <w:jc w:val="center"/>
                    <w:textAlignment w:val="auto"/>
                    <w:rPr>
                      <w:rFonts w:hint="default" w:eastAsia="宋体"/>
                      <w:color w:val="auto"/>
                      <w:sz w:val="21"/>
                      <w:szCs w:val="21"/>
                      <w:u w:val="none"/>
                      <w:lang w:val="en-US" w:eastAsia="zh-CN"/>
                    </w:rPr>
                  </w:pPr>
                  <w:r>
                    <w:rPr>
                      <w:rFonts w:hint="eastAsia"/>
                      <w:color w:val="auto"/>
                      <w:sz w:val="21"/>
                      <w:szCs w:val="21"/>
                      <w:u w:val="none"/>
                      <w:lang w:val="en-US" w:eastAsia="zh-CN"/>
                    </w:rPr>
                    <w:t>PAC</w:t>
                  </w:r>
                </w:p>
              </w:tc>
              <w:tc>
                <w:tcPr>
                  <w:tcW w:w="537" w:type="pct"/>
                  <w:tcBorders>
                    <w:lef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95" w:beforeLines="30" w:beforeAutospacing="0" w:after="95" w:afterLines="30" w:afterAutospacing="0"/>
                    <w:ind w:left="19" w:leftChars="-63" w:right="-113" w:hanging="151" w:hangingChars="72"/>
                    <w:jc w:val="center"/>
                    <w:textAlignment w:val="auto"/>
                    <w:rPr>
                      <w:rFonts w:hint="default"/>
                      <w:color w:val="auto"/>
                      <w:sz w:val="21"/>
                      <w:szCs w:val="21"/>
                      <w:u w:val="none"/>
                      <w:lang w:val="en-US" w:eastAsia="zh-CN"/>
                    </w:rPr>
                  </w:pPr>
                  <w:r>
                    <w:rPr>
                      <w:rFonts w:hint="eastAsia"/>
                      <w:color w:val="auto"/>
                      <w:sz w:val="21"/>
                      <w:szCs w:val="21"/>
                      <w:u w:val="none"/>
                      <w:lang w:val="en-US" w:eastAsia="zh-CN"/>
                    </w:rPr>
                    <w:t>吨</w:t>
                  </w:r>
                </w:p>
              </w:tc>
              <w:tc>
                <w:tcPr>
                  <w:tcW w:w="883" w:type="pct"/>
                  <w:tcBorders>
                    <w:lef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95" w:beforeLines="30" w:beforeAutospacing="0" w:after="95" w:afterLines="30" w:afterAutospacing="0"/>
                    <w:ind w:left="19" w:leftChars="-63" w:right="-113" w:hanging="151" w:hangingChars="72"/>
                    <w:jc w:val="center"/>
                    <w:textAlignment w:val="auto"/>
                    <w:rPr>
                      <w:rFonts w:hint="default" w:eastAsia="宋体"/>
                      <w:color w:val="auto"/>
                      <w:sz w:val="21"/>
                      <w:szCs w:val="21"/>
                      <w:u w:val="none"/>
                      <w:lang w:val="en-US" w:eastAsia="zh-CN"/>
                    </w:rPr>
                  </w:pPr>
                  <w:r>
                    <w:rPr>
                      <w:rFonts w:hint="eastAsia"/>
                      <w:color w:val="auto"/>
                      <w:sz w:val="21"/>
                      <w:szCs w:val="21"/>
                      <w:u w:val="none"/>
                      <w:lang w:val="en-US" w:eastAsia="zh-CN"/>
                    </w:rPr>
                    <w:t>33</w:t>
                  </w:r>
                </w:p>
              </w:tc>
              <w:tc>
                <w:tcPr>
                  <w:tcW w:w="867" w:type="pct"/>
                  <w:noWrap w:val="0"/>
                  <w:vAlign w:val="center"/>
                </w:tcPr>
                <w:p>
                  <w:pPr>
                    <w:keepNext w:val="0"/>
                    <w:keepLines w:val="0"/>
                    <w:pageBreakBefore w:val="0"/>
                    <w:widowControl w:val="0"/>
                    <w:suppressLineNumbers w:val="0"/>
                    <w:kinsoku/>
                    <w:wordWrap/>
                    <w:overflowPunct/>
                    <w:topLinePunct w:val="0"/>
                    <w:autoSpaceDE/>
                    <w:autoSpaceDN/>
                    <w:bidi w:val="0"/>
                    <w:adjustRightInd/>
                    <w:spacing w:before="95" w:beforeLines="30" w:beforeAutospacing="0" w:after="95" w:afterLines="30" w:afterAutospacing="0"/>
                    <w:ind w:left="19" w:leftChars="-63" w:right="-113" w:hanging="151" w:hangingChars="72"/>
                    <w:jc w:val="center"/>
                    <w:textAlignment w:val="auto"/>
                    <w:rPr>
                      <w:rFonts w:hint="default"/>
                      <w:color w:val="auto"/>
                      <w:sz w:val="21"/>
                      <w:szCs w:val="21"/>
                      <w:u w:val="none"/>
                      <w:lang w:val="en-US" w:eastAsia="zh-CN"/>
                    </w:rPr>
                  </w:pPr>
                  <w:r>
                    <w:rPr>
                      <w:rFonts w:hint="eastAsia"/>
                      <w:color w:val="auto"/>
                      <w:sz w:val="21"/>
                      <w:szCs w:val="21"/>
                      <w:u w:val="none"/>
                      <w:lang w:val="en-US" w:eastAsia="zh-CN"/>
                    </w:rPr>
                    <w:t>3</w:t>
                  </w:r>
                </w:p>
              </w:tc>
              <w:tc>
                <w:tcPr>
                  <w:tcW w:w="1346" w:type="pct"/>
                  <w:noWrap w:val="0"/>
                  <w:vAlign w:val="center"/>
                </w:tcPr>
                <w:p>
                  <w:pPr>
                    <w:keepNext w:val="0"/>
                    <w:keepLines w:val="0"/>
                    <w:pageBreakBefore w:val="0"/>
                    <w:widowControl w:val="0"/>
                    <w:suppressLineNumbers w:val="0"/>
                    <w:kinsoku/>
                    <w:wordWrap/>
                    <w:overflowPunct/>
                    <w:topLinePunct w:val="0"/>
                    <w:autoSpaceDE/>
                    <w:autoSpaceDN/>
                    <w:bidi w:val="0"/>
                    <w:adjustRightInd/>
                    <w:spacing w:before="95" w:beforeLines="30" w:beforeAutospacing="0" w:after="95" w:afterLines="30" w:afterAutospacing="0"/>
                    <w:ind w:left="0" w:right="0"/>
                    <w:jc w:val="center"/>
                    <w:textAlignment w:val="auto"/>
                    <w:rPr>
                      <w:rFonts w:hint="default" w:eastAsia="宋体"/>
                      <w:color w:val="auto"/>
                      <w:sz w:val="21"/>
                      <w:szCs w:val="21"/>
                      <w:u w:val="none"/>
                      <w:lang w:val="en-US" w:eastAsia="zh-CN"/>
                    </w:rPr>
                  </w:pPr>
                  <w:r>
                    <w:rPr>
                      <w:rFonts w:hint="eastAsia"/>
                      <w:color w:val="auto"/>
                      <w:sz w:val="21"/>
                      <w:szCs w:val="21"/>
                      <w:u w:val="none"/>
                      <w:lang w:val="en-US" w:eastAsia="zh-CN"/>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center"/>
                    <w:textAlignment w:val="auto"/>
                    <w:rPr>
                      <w:rFonts w:hint="default"/>
                      <w:color w:val="auto"/>
                      <w:sz w:val="21"/>
                      <w:szCs w:val="21"/>
                      <w:u w:val="none"/>
                    </w:rPr>
                  </w:pPr>
                  <w:r>
                    <w:rPr>
                      <w:rFonts w:hint="default"/>
                      <w:color w:val="auto"/>
                      <w:sz w:val="21"/>
                      <w:szCs w:val="21"/>
                      <w:u w:val="none"/>
                    </w:rPr>
                    <w:t>2</w:t>
                  </w:r>
                </w:p>
              </w:tc>
              <w:tc>
                <w:tcPr>
                  <w:tcW w:w="1101" w:type="pct"/>
                  <w:tcBorders>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95" w:beforeLines="30" w:beforeAutospacing="0" w:after="95" w:afterLines="30" w:afterAutospacing="0"/>
                    <w:ind w:left="0" w:right="-113"/>
                    <w:jc w:val="center"/>
                    <w:textAlignment w:val="auto"/>
                    <w:rPr>
                      <w:rFonts w:hint="default" w:eastAsia="宋体"/>
                      <w:color w:val="auto"/>
                      <w:sz w:val="21"/>
                      <w:szCs w:val="21"/>
                      <w:u w:val="none"/>
                      <w:lang w:val="en-US" w:eastAsia="zh-CN"/>
                    </w:rPr>
                  </w:pPr>
                  <w:r>
                    <w:rPr>
                      <w:rFonts w:hint="eastAsia"/>
                      <w:color w:val="auto"/>
                      <w:sz w:val="21"/>
                      <w:szCs w:val="21"/>
                      <w:u w:val="none"/>
                      <w:lang w:val="en-US" w:eastAsia="zh-CN"/>
                    </w:rPr>
                    <w:t>阴离子PAM</w:t>
                  </w:r>
                </w:p>
              </w:tc>
              <w:tc>
                <w:tcPr>
                  <w:tcW w:w="537" w:type="pct"/>
                  <w:tcBorders>
                    <w:lef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95" w:beforeLines="30" w:beforeAutospacing="0" w:after="95" w:afterLines="30" w:afterAutospacing="0"/>
                    <w:ind w:left="19" w:leftChars="-63" w:right="-113" w:hanging="151" w:hangingChars="72"/>
                    <w:jc w:val="center"/>
                    <w:textAlignment w:val="auto"/>
                    <w:rPr>
                      <w:rFonts w:hint="eastAsia"/>
                      <w:color w:val="auto"/>
                      <w:sz w:val="21"/>
                      <w:szCs w:val="21"/>
                      <w:u w:val="none"/>
                      <w:lang w:val="en-US" w:eastAsia="zh-CN"/>
                    </w:rPr>
                  </w:pPr>
                  <w:r>
                    <w:rPr>
                      <w:rFonts w:hint="eastAsia"/>
                      <w:color w:val="auto"/>
                      <w:sz w:val="21"/>
                      <w:szCs w:val="21"/>
                      <w:u w:val="none"/>
                      <w:lang w:val="en-US" w:eastAsia="zh-CN"/>
                    </w:rPr>
                    <w:t>吨</w:t>
                  </w:r>
                </w:p>
              </w:tc>
              <w:tc>
                <w:tcPr>
                  <w:tcW w:w="883" w:type="pct"/>
                  <w:tcBorders>
                    <w:lef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95" w:beforeLines="30" w:beforeAutospacing="0" w:after="95" w:afterLines="30" w:afterAutospacing="0"/>
                    <w:ind w:left="19" w:leftChars="-63" w:right="-113" w:hanging="151" w:hangingChars="72"/>
                    <w:jc w:val="center"/>
                    <w:textAlignment w:val="auto"/>
                    <w:rPr>
                      <w:rFonts w:hint="default" w:eastAsia="宋体"/>
                      <w:color w:val="auto"/>
                      <w:sz w:val="21"/>
                      <w:szCs w:val="21"/>
                      <w:u w:val="none"/>
                      <w:lang w:val="en-US" w:eastAsia="zh-CN"/>
                    </w:rPr>
                  </w:pPr>
                  <w:r>
                    <w:rPr>
                      <w:rFonts w:hint="eastAsia"/>
                      <w:color w:val="auto"/>
                      <w:sz w:val="21"/>
                      <w:szCs w:val="21"/>
                      <w:u w:val="none"/>
                      <w:lang w:val="en-US" w:eastAsia="zh-CN"/>
                    </w:rPr>
                    <w:t>0.6</w:t>
                  </w:r>
                </w:p>
              </w:tc>
              <w:tc>
                <w:tcPr>
                  <w:tcW w:w="867" w:type="pct"/>
                  <w:noWrap w:val="0"/>
                  <w:vAlign w:val="center"/>
                </w:tcPr>
                <w:p>
                  <w:pPr>
                    <w:keepNext w:val="0"/>
                    <w:keepLines w:val="0"/>
                    <w:pageBreakBefore w:val="0"/>
                    <w:widowControl w:val="0"/>
                    <w:suppressLineNumbers w:val="0"/>
                    <w:kinsoku/>
                    <w:wordWrap/>
                    <w:overflowPunct/>
                    <w:topLinePunct w:val="0"/>
                    <w:autoSpaceDE/>
                    <w:autoSpaceDN/>
                    <w:bidi w:val="0"/>
                    <w:adjustRightInd/>
                    <w:spacing w:before="95" w:beforeLines="30" w:beforeAutospacing="0" w:after="95" w:afterLines="30" w:afterAutospacing="0"/>
                    <w:ind w:left="19" w:leftChars="-63" w:right="-113" w:hanging="151" w:hangingChars="72"/>
                    <w:jc w:val="center"/>
                    <w:textAlignment w:val="auto"/>
                    <w:rPr>
                      <w:rFonts w:hint="default"/>
                      <w:color w:val="auto"/>
                      <w:sz w:val="21"/>
                      <w:szCs w:val="21"/>
                      <w:u w:val="none"/>
                      <w:lang w:val="en-US" w:eastAsia="zh-CN"/>
                    </w:rPr>
                  </w:pPr>
                  <w:r>
                    <w:rPr>
                      <w:rFonts w:hint="eastAsia"/>
                      <w:color w:val="auto"/>
                      <w:sz w:val="21"/>
                      <w:szCs w:val="21"/>
                      <w:u w:val="none"/>
                      <w:lang w:val="en-US" w:eastAsia="zh-CN"/>
                    </w:rPr>
                    <w:t>0.1</w:t>
                  </w:r>
                </w:p>
              </w:tc>
              <w:tc>
                <w:tcPr>
                  <w:tcW w:w="1346" w:type="pct"/>
                  <w:noWrap w:val="0"/>
                  <w:vAlign w:val="center"/>
                </w:tcPr>
                <w:p>
                  <w:pPr>
                    <w:keepNext w:val="0"/>
                    <w:keepLines w:val="0"/>
                    <w:pageBreakBefore w:val="0"/>
                    <w:widowControl w:val="0"/>
                    <w:suppressLineNumbers w:val="0"/>
                    <w:kinsoku/>
                    <w:wordWrap/>
                    <w:overflowPunct/>
                    <w:topLinePunct w:val="0"/>
                    <w:autoSpaceDE/>
                    <w:autoSpaceDN/>
                    <w:bidi w:val="0"/>
                    <w:adjustRightInd/>
                    <w:spacing w:before="95" w:beforeLines="30" w:beforeAutospacing="0" w:after="95" w:afterLines="30" w:afterAutospacing="0"/>
                    <w:ind w:left="0" w:right="0"/>
                    <w:jc w:val="center"/>
                    <w:textAlignment w:val="auto"/>
                    <w:rPr>
                      <w:rFonts w:hint="default" w:eastAsia="宋体"/>
                      <w:color w:val="auto"/>
                      <w:sz w:val="21"/>
                      <w:szCs w:val="21"/>
                      <w:u w:val="none"/>
                      <w:lang w:val="en-US" w:eastAsia="zh-CN"/>
                    </w:rPr>
                  </w:pPr>
                  <w:r>
                    <w:rPr>
                      <w:rFonts w:hint="eastAsia"/>
                      <w:color w:val="auto"/>
                      <w:sz w:val="21"/>
                      <w:szCs w:val="21"/>
                      <w:u w:val="none"/>
                      <w:lang w:val="en-US" w:eastAsia="zh-CN"/>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center"/>
                    <w:textAlignment w:val="auto"/>
                    <w:rPr>
                      <w:rFonts w:hint="eastAsia" w:eastAsia="宋体"/>
                      <w:color w:val="auto"/>
                      <w:sz w:val="21"/>
                      <w:szCs w:val="21"/>
                      <w:u w:val="none"/>
                      <w:lang w:val="en-US" w:eastAsia="zh-CN"/>
                    </w:rPr>
                  </w:pPr>
                  <w:r>
                    <w:rPr>
                      <w:rFonts w:hint="eastAsia"/>
                      <w:color w:val="auto"/>
                      <w:sz w:val="21"/>
                      <w:szCs w:val="21"/>
                      <w:u w:val="none"/>
                      <w:lang w:val="en-US" w:eastAsia="zh-CN"/>
                    </w:rPr>
                    <w:t>4</w:t>
                  </w:r>
                </w:p>
              </w:tc>
              <w:tc>
                <w:tcPr>
                  <w:tcW w:w="1101" w:type="pct"/>
                  <w:tcBorders>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95" w:beforeLines="30" w:beforeAutospacing="0" w:after="95" w:afterLines="30" w:afterAutospacing="0"/>
                    <w:ind w:left="0" w:right="-113"/>
                    <w:jc w:val="center"/>
                    <w:textAlignment w:val="auto"/>
                    <w:rPr>
                      <w:rFonts w:hint="default"/>
                      <w:color w:val="auto"/>
                      <w:sz w:val="21"/>
                      <w:szCs w:val="21"/>
                      <w:u w:val="none"/>
                      <w:lang w:val="en-US" w:eastAsia="zh-CN"/>
                    </w:rPr>
                  </w:pPr>
                  <w:r>
                    <w:rPr>
                      <w:rFonts w:hint="eastAsia"/>
                      <w:color w:val="auto"/>
                      <w:sz w:val="21"/>
                      <w:szCs w:val="21"/>
                      <w:u w:val="none"/>
                      <w:lang w:val="en-US" w:eastAsia="zh-CN"/>
                    </w:rPr>
                    <w:t>水</w:t>
                  </w:r>
                </w:p>
              </w:tc>
              <w:tc>
                <w:tcPr>
                  <w:tcW w:w="537" w:type="pct"/>
                  <w:tcBorders>
                    <w:lef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95" w:beforeLines="30" w:beforeAutospacing="0" w:after="95" w:afterLines="30" w:afterAutospacing="0"/>
                    <w:ind w:left="19" w:leftChars="-63" w:right="-113" w:hanging="151" w:hangingChars="72"/>
                    <w:jc w:val="center"/>
                    <w:textAlignment w:val="auto"/>
                    <w:rPr>
                      <w:rFonts w:hint="default"/>
                      <w:color w:val="auto"/>
                      <w:sz w:val="21"/>
                      <w:szCs w:val="21"/>
                      <w:u w:val="none"/>
                      <w:lang w:val="en-US" w:eastAsia="zh-CN"/>
                    </w:rPr>
                  </w:pPr>
                  <w:r>
                    <w:rPr>
                      <w:rFonts w:hint="eastAsia"/>
                      <w:color w:val="auto"/>
                      <w:sz w:val="21"/>
                      <w:szCs w:val="21"/>
                      <w:u w:val="none"/>
                      <w:lang w:val="en-US" w:eastAsia="zh-CN"/>
                    </w:rPr>
                    <w:t>吨</w:t>
                  </w:r>
                </w:p>
              </w:tc>
              <w:tc>
                <w:tcPr>
                  <w:tcW w:w="883" w:type="pct"/>
                  <w:tcBorders>
                    <w:lef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95" w:beforeLines="30" w:beforeAutospacing="0" w:after="95" w:afterLines="30" w:afterAutospacing="0"/>
                    <w:ind w:left="19" w:leftChars="-63" w:right="-113" w:hanging="151" w:hangingChars="72"/>
                    <w:jc w:val="center"/>
                    <w:textAlignment w:val="auto"/>
                    <w:rPr>
                      <w:rFonts w:hint="default"/>
                      <w:color w:val="auto"/>
                      <w:sz w:val="21"/>
                      <w:szCs w:val="21"/>
                      <w:u w:val="none"/>
                      <w:lang w:val="en-US" w:eastAsia="zh-CN"/>
                    </w:rPr>
                  </w:pPr>
                </w:p>
              </w:tc>
              <w:tc>
                <w:tcPr>
                  <w:tcW w:w="867" w:type="pct"/>
                  <w:noWrap w:val="0"/>
                  <w:vAlign w:val="center"/>
                </w:tcPr>
                <w:p>
                  <w:pPr>
                    <w:keepNext w:val="0"/>
                    <w:keepLines w:val="0"/>
                    <w:pageBreakBefore w:val="0"/>
                    <w:widowControl w:val="0"/>
                    <w:suppressLineNumbers w:val="0"/>
                    <w:kinsoku/>
                    <w:wordWrap/>
                    <w:overflowPunct/>
                    <w:topLinePunct w:val="0"/>
                    <w:autoSpaceDE/>
                    <w:autoSpaceDN/>
                    <w:bidi w:val="0"/>
                    <w:adjustRightInd/>
                    <w:spacing w:before="95" w:beforeLines="30" w:beforeAutospacing="0" w:after="95" w:afterLines="30" w:afterAutospacing="0"/>
                    <w:ind w:left="19" w:leftChars="-63" w:right="-113" w:hanging="151" w:hangingChars="72"/>
                    <w:jc w:val="center"/>
                    <w:textAlignment w:val="auto"/>
                    <w:rPr>
                      <w:rFonts w:hint="default"/>
                      <w:color w:val="auto"/>
                      <w:sz w:val="21"/>
                      <w:szCs w:val="21"/>
                      <w:u w:val="none"/>
                      <w:lang w:val="en-US" w:eastAsia="zh-CN"/>
                    </w:rPr>
                  </w:pPr>
                  <w:r>
                    <w:rPr>
                      <w:rFonts w:hint="eastAsia"/>
                      <w:color w:val="auto"/>
                      <w:sz w:val="21"/>
                      <w:szCs w:val="21"/>
                      <w:u w:val="none"/>
                      <w:lang w:val="en-US" w:eastAsia="zh-CN"/>
                    </w:rPr>
                    <w:t>/</w:t>
                  </w:r>
                </w:p>
              </w:tc>
              <w:tc>
                <w:tcPr>
                  <w:tcW w:w="1346" w:type="pct"/>
                  <w:noWrap w:val="0"/>
                  <w:vAlign w:val="center"/>
                </w:tcPr>
                <w:p>
                  <w:pPr>
                    <w:keepNext w:val="0"/>
                    <w:keepLines w:val="0"/>
                    <w:pageBreakBefore w:val="0"/>
                    <w:widowControl w:val="0"/>
                    <w:suppressLineNumbers w:val="0"/>
                    <w:kinsoku/>
                    <w:wordWrap/>
                    <w:overflowPunct/>
                    <w:topLinePunct w:val="0"/>
                    <w:autoSpaceDE/>
                    <w:autoSpaceDN/>
                    <w:bidi w:val="0"/>
                    <w:adjustRightInd/>
                    <w:spacing w:before="95" w:beforeLines="30" w:beforeAutospacing="0" w:after="95" w:afterLines="30" w:afterAutospacing="0"/>
                    <w:ind w:left="0" w:right="0"/>
                    <w:jc w:val="center"/>
                    <w:textAlignment w:val="auto"/>
                    <w:rPr>
                      <w:rFonts w:hint="default" w:eastAsia="宋体"/>
                      <w:color w:val="auto"/>
                      <w:sz w:val="21"/>
                      <w:szCs w:val="21"/>
                      <w:u w:val="none"/>
                      <w:lang w:val="en-US" w:eastAsia="zh-CN"/>
                    </w:rPr>
                  </w:pPr>
                  <w:r>
                    <w:rPr>
                      <w:rFonts w:hint="eastAsia"/>
                      <w:color w:val="auto"/>
                      <w:sz w:val="21"/>
                      <w:szCs w:val="21"/>
                      <w:u w:val="none"/>
                      <w:lang w:val="en-US" w:eastAsia="zh-CN"/>
                    </w:rPr>
                    <w:t>由自来水提供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95" w:beforeLines="30" w:beforeAutospacing="0" w:after="95" w:afterLines="30" w:afterAutospacing="0"/>
                    <w:ind w:left="0" w:right="0"/>
                    <w:jc w:val="center"/>
                    <w:textAlignment w:val="auto"/>
                    <w:rPr>
                      <w:rFonts w:hint="eastAsia" w:eastAsia="宋体"/>
                      <w:color w:val="auto"/>
                      <w:sz w:val="21"/>
                      <w:szCs w:val="21"/>
                      <w:u w:val="none"/>
                      <w:lang w:val="en-US" w:eastAsia="zh-CN"/>
                    </w:rPr>
                  </w:pPr>
                  <w:r>
                    <w:rPr>
                      <w:rFonts w:hint="eastAsia"/>
                      <w:color w:val="auto"/>
                      <w:sz w:val="21"/>
                      <w:szCs w:val="21"/>
                      <w:u w:val="none"/>
                      <w:lang w:val="en-US" w:eastAsia="zh-CN"/>
                    </w:rPr>
                    <w:t>5</w:t>
                  </w:r>
                </w:p>
              </w:tc>
              <w:tc>
                <w:tcPr>
                  <w:tcW w:w="1101" w:type="pct"/>
                  <w:tcBorders>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95" w:beforeLines="30" w:beforeAutospacing="0" w:after="95" w:afterLines="30" w:afterAutospacing="0"/>
                    <w:ind w:left="0" w:right="-113"/>
                    <w:jc w:val="center"/>
                    <w:textAlignment w:val="auto"/>
                    <w:rPr>
                      <w:rFonts w:hint="default"/>
                      <w:color w:val="auto"/>
                      <w:sz w:val="21"/>
                      <w:szCs w:val="21"/>
                      <w:u w:val="none"/>
                      <w:lang w:val="en-US" w:eastAsia="zh-CN"/>
                    </w:rPr>
                  </w:pPr>
                  <w:r>
                    <w:rPr>
                      <w:rFonts w:hint="eastAsia"/>
                      <w:color w:val="auto"/>
                      <w:sz w:val="21"/>
                      <w:szCs w:val="21"/>
                      <w:u w:val="none"/>
                      <w:lang w:val="en-US" w:eastAsia="zh-CN"/>
                    </w:rPr>
                    <w:t>电</w:t>
                  </w:r>
                </w:p>
              </w:tc>
              <w:tc>
                <w:tcPr>
                  <w:tcW w:w="537" w:type="pct"/>
                  <w:tcBorders>
                    <w:lef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95" w:beforeLines="30" w:beforeAutospacing="0" w:after="95" w:afterLines="30" w:afterAutospacing="0"/>
                    <w:ind w:left="26" w:leftChars="-63" w:right="-113" w:hanging="158" w:hangingChars="72"/>
                    <w:jc w:val="center"/>
                    <w:textAlignment w:val="auto"/>
                    <w:rPr>
                      <w:rFonts w:hint="eastAsia" w:eastAsia="宋体"/>
                      <w:color w:val="auto"/>
                      <w:sz w:val="21"/>
                      <w:szCs w:val="21"/>
                      <w:u w:val="none"/>
                      <w:lang w:val="en-US" w:eastAsia="zh-CN"/>
                    </w:rPr>
                  </w:pPr>
                  <w:r>
                    <w:rPr>
                      <w:rFonts w:hint="default" w:ascii="宋体" w:hAnsi="宋体" w:eastAsia="宋体" w:cs="宋体"/>
                      <w:b w:val="0"/>
                      <w:bCs w:val="0"/>
                      <w:i w:val="0"/>
                      <w:iCs w:val="0"/>
                      <w:color w:val="auto"/>
                      <w:sz w:val="22"/>
                      <w:szCs w:val="22"/>
                    </w:rPr>
                    <w:t>万度</w:t>
                  </w:r>
                </w:p>
              </w:tc>
              <w:tc>
                <w:tcPr>
                  <w:tcW w:w="883" w:type="pct"/>
                  <w:tcBorders>
                    <w:lef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pacing w:before="95" w:beforeLines="30" w:beforeAutospacing="0" w:after="95" w:afterLines="30" w:afterAutospacing="0"/>
                    <w:ind w:left="19" w:leftChars="-63" w:right="-113" w:hanging="151" w:hangingChars="72"/>
                    <w:jc w:val="center"/>
                    <w:textAlignment w:val="auto"/>
                    <w:rPr>
                      <w:rFonts w:hint="default"/>
                      <w:color w:val="auto"/>
                      <w:sz w:val="21"/>
                      <w:szCs w:val="21"/>
                      <w:u w:val="none"/>
                      <w:lang w:val="en-US" w:eastAsia="zh-CN"/>
                    </w:rPr>
                  </w:pPr>
                  <w:r>
                    <w:rPr>
                      <w:rFonts w:hint="eastAsia"/>
                      <w:color w:val="auto"/>
                      <w:sz w:val="21"/>
                      <w:szCs w:val="21"/>
                      <w:u w:val="none"/>
                      <w:lang w:val="en-US" w:eastAsia="zh-CN"/>
                    </w:rPr>
                    <w:t>50</w:t>
                  </w:r>
                </w:p>
              </w:tc>
              <w:tc>
                <w:tcPr>
                  <w:tcW w:w="867" w:type="pct"/>
                  <w:noWrap w:val="0"/>
                  <w:vAlign w:val="center"/>
                </w:tcPr>
                <w:p>
                  <w:pPr>
                    <w:keepNext w:val="0"/>
                    <w:keepLines w:val="0"/>
                    <w:pageBreakBefore w:val="0"/>
                    <w:widowControl w:val="0"/>
                    <w:suppressLineNumbers w:val="0"/>
                    <w:kinsoku/>
                    <w:wordWrap/>
                    <w:overflowPunct/>
                    <w:topLinePunct w:val="0"/>
                    <w:autoSpaceDE/>
                    <w:autoSpaceDN/>
                    <w:bidi w:val="0"/>
                    <w:adjustRightInd/>
                    <w:spacing w:before="95" w:beforeLines="30" w:beforeAutospacing="0" w:after="95" w:afterLines="30" w:afterAutospacing="0"/>
                    <w:ind w:left="19" w:leftChars="-63" w:right="-113" w:hanging="151" w:hangingChars="72"/>
                    <w:jc w:val="center"/>
                    <w:textAlignment w:val="auto"/>
                    <w:rPr>
                      <w:rFonts w:hint="eastAsia"/>
                      <w:color w:val="auto"/>
                      <w:sz w:val="21"/>
                      <w:szCs w:val="21"/>
                      <w:u w:val="none"/>
                      <w:lang w:val="en-US" w:eastAsia="zh-CN"/>
                    </w:rPr>
                  </w:pPr>
                  <w:r>
                    <w:rPr>
                      <w:rFonts w:hint="eastAsia"/>
                      <w:color w:val="auto"/>
                      <w:sz w:val="21"/>
                      <w:szCs w:val="21"/>
                      <w:u w:val="none"/>
                      <w:lang w:val="en-US" w:eastAsia="zh-CN"/>
                    </w:rPr>
                    <w:t>/</w:t>
                  </w:r>
                </w:p>
              </w:tc>
              <w:tc>
                <w:tcPr>
                  <w:tcW w:w="1346" w:type="pct"/>
                  <w:noWrap w:val="0"/>
                  <w:vAlign w:val="center"/>
                </w:tcPr>
                <w:p>
                  <w:pPr>
                    <w:keepNext w:val="0"/>
                    <w:keepLines w:val="0"/>
                    <w:pageBreakBefore w:val="0"/>
                    <w:widowControl w:val="0"/>
                    <w:suppressLineNumbers w:val="0"/>
                    <w:kinsoku/>
                    <w:wordWrap/>
                    <w:overflowPunct/>
                    <w:topLinePunct w:val="0"/>
                    <w:autoSpaceDE/>
                    <w:autoSpaceDN/>
                    <w:bidi w:val="0"/>
                    <w:adjustRightInd/>
                    <w:spacing w:before="95" w:beforeLines="30" w:beforeAutospacing="0" w:after="95" w:afterLines="30" w:afterAutospacing="0"/>
                    <w:ind w:left="0" w:right="0"/>
                    <w:jc w:val="center"/>
                    <w:textAlignment w:val="auto"/>
                    <w:rPr>
                      <w:rFonts w:hint="default" w:eastAsia="宋体"/>
                      <w:color w:val="auto"/>
                      <w:sz w:val="21"/>
                      <w:szCs w:val="21"/>
                      <w:u w:val="none"/>
                      <w:lang w:val="en-US" w:eastAsia="zh-CN"/>
                    </w:rPr>
                  </w:pPr>
                  <w:r>
                    <w:rPr>
                      <w:rFonts w:hint="eastAsia"/>
                      <w:color w:val="auto"/>
                      <w:sz w:val="21"/>
                      <w:szCs w:val="21"/>
                      <w:u w:val="none"/>
                      <w:lang w:val="en-US" w:eastAsia="zh-CN"/>
                    </w:rPr>
                    <w:t>由生物质发电厂接入，市政电网作为备用电源</w:t>
                  </w:r>
                </w:p>
              </w:tc>
            </w:tr>
          </w:tbl>
          <w:p>
            <w:pPr>
              <w:keepNext w:val="0"/>
              <w:keepLines w:val="0"/>
              <w:suppressLineNumbers w:val="0"/>
              <w:spacing w:before="0" w:beforeAutospacing="0" w:after="0" w:afterAutospacing="0" w:line="360" w:lineRule="auto"/>
              <w:ind w:left="0" w:right="0" w:firstLine="422" w:firstLineChars="200"/>
              <w:rPr>
                <w:rFonts w:hint="eastAsia"/>
                <w:b/>
                <w:bCs/>
                <w:color w:val="auto"/>
                <w:sz w:val="21"/>
                <w:szCs w:val="21"/>
                <w:u w:val="none"/>
                <w:lang w:val="en-US" w:eastAsia="zh-CN"/>
              </w:rPr>
            </w:pPr>
            <w:r>
              <w:rPr>
                <w:rFonts w:hint="eastAsia"/>
                <w:b/>
                <w:bCs/>
                <w:color w:val="auto"/>
                <w:sz w:val="21"/>
                <w:szCs w:val="21"/>
                <w:u w:val="none"/>
                <w:lang w:val="en-US" w:eastAsia="zh-CN"/>
              </w:rPr>
              <w:t>主要原辅料理化性质：</w:t>
            </w:r>
          </w:p>
          <w:p>
            <w:pPr>
              <w:pStyle w:val="23"/>
              <w:keepNext w:val="0"/>
              <w:keepLines w:val="0"/>
              <w:suppressLineNumbers w:val="0"/>
              <w:spacing w:before="0" w:beforeAutospacing="0" w:after="0" w:afterAutospacing="0" w:line="360" w:lineRule="auto"/>
              <w:ind w:left="0" w:leftChars="0" w:right="0" w:firstLine="465"/>
              <w:rPr>
                <w:rFonts w:hint="eastAsia"/>
                <w:color w:val="auto"/>
                <w:sz w:val="24"/>
                <w:szCs w:val="24"/>
                <w:u w:val="none"/>
                <w:lang w:val="en-US" w:eastAsia="zh-CN"/>
              </w:rPr>
            </w:pPr>
            <w:r>
              <w:rPr>
                <w:rFonts w:hint="eastAsia"/>
                <w:color w:val="auto"/>
                <w:sz w:val="24"/>
                <w:szCs w:val="24"/>
                <w:u w:val="none"/>
                <w:lang w:val="en-US" w:eastAsia="zh-CN"/>
              </w:rPr>
              <w:t>PAM：是Polyacrylamide的缩写，学名聚丙烯酰胺。密度=1.3g/cm</w:t>
            </w:r>
            <w:r>
              <w:rPr>
                <w:rFonts w:hint="eastAsia"/>
                <w:color w:val="auto"/>
                <w:sz w:val="24"/>
                <w:szCs w:val="24"/>
                <w:u w:val="none"/>
                <w:vertAlign w:val="superscript"/>
                <w:lang w:val="en-US" w:eastAsia="zh-CN"/>
              </w:rPr>
              <w:t>3</w:t>
            </w:r>
            <w:r>
              <w:rPr>
                <w:rFonts w:hint="eastAsia"/>
                <w:color w:val="auto"/>
                <w:sz w:val="24"/>
                <w:szCs w:val="24"/>
                <w:u w:val="none"/>
                <w:lang w:val="en-US" w:eastAsia="zh-CN"/>
              </w:rPr>
              <w:t>，在50-60℃下溶于水，水解度为5%-35%，也溶于乙酸、丙酸、氯代乙酸、乙二醇、甘油和胺等有机溶剂。能与分散于溶液中的悬浮粒子架桥吸附，有着极强的絮凝作用，是国内常用的非离子型高分子絮凝剂。</w:t>
            </w:r>
          </w:p>
          <w:p>
            <w:pPr>
              <w:pStyle w:val="23"/>
              <w:keepNext w:val="0"/>
              <w:keepLines w:val="0"/>
              <w:suppressLineNumbers w:val="0"/>
              <w:spacing w:before="0" w:beforeAutospacing="0" w:after="0" w:afterAutospacing="0" w:line="360" w:lineRule="auto"/>
              <w:ind w:left="0" w:leftChars="0" w:right="0" w:firstLine="465"/>
              <w:rPr>
                <w:rFonts w:hint="eastAsia"/>
                <w:b w:val="0"/>
                <w:bCs w:val="0"/>
                <w:color w:val="auto"/>
                <w:sz w:val="24"/>
                <w:u w:val="none"/>
                <w:lang w:val="en-US" w:eastAsia="zh-CN"/>
              </w:rPr>
            </w:pPr>
            <w:r>
              <w:rPr>
                <w:rFonts w:hint="eastAsia"/>
                <w:color w:val="auto"/>
                <w:sz w:val="24"/>
                <w:szCs w:val="24"/>
                <w:u w:val="none"/>
                <w:lang w:val="en-US" w:eastAsia="zh-CN"/>
              </w:rPr>
              <w:t>PAC：学名聚合氯化铝，液体密度≥1.12g/cm</w:t>
            </w:r>
            <w:r>
              <w:rPr>
                <w:rFonts w:hint="eastAsia"/>
                <w:color w:val="auto"/>
                <w:sz w:val="24"/>
                <w:szCs w:val="24"/>
                <w:u w:val="none"/>
                <w:vertAlign w:val="superscript"/>
                <w:lang w:val="en-US" w:eastAsia="zh-CN"/>
              </w:rPr>
              <w:t>3</w:t>
            </w:r>
            <w:r>
              <w:rPr>
                <w:rFonts w:hint="eastAsia"/>
                <w:color w:val="auto"/>
                <w:sz w:val="24"/>
                <w:szCs w:val="24"/>
                <w:u w:val="none"/>
                <w:lang w:val="en-US" w:eastAsia="zh-CN"/>
              </w:rPr>
              <w:t>，熔点190℃(253kPa)。具有吸附、凝聚、沉淀等性能，有腐蚀性，是相对分子质量较大、电荷较高的无机高分子水处理药剂。</w:t>
            </w:r>
          </w:p>
          <w:p>
            <w:pPr>
              <w:keepNext w:val="0"/>
              <w:keepLines w:val="0"/>
              <w:numPr>
                <w:ilvl w:val="0"/>
                <w:numId w:val="0"/>
              </w:numPr>
              <w:suppressLineNumbers w:val="0"/>
              <w:spacing w:before="0" w:beforeAutospacing="0" w:after="0" w:afterAutospacing="0" w:line="360" w:lineRule="auto"/>
              <w:ind w:left="0" w:right="0" w:firstLine="482" w:firstLineChars="200"/>
              <w:rPr>
                <w:rFonts w:hint="eastAsia"/>
                <w:b/>
                <w:bCs/>
                <w:color w:val="auto"/>
                <w:sz w:val="24"/>
                <w:u w:val="none"/>
                <w:lang w:val="en-US" w:eastAsia="zh-CN"/>
              </w:rPr>
            </w:pPr>
            <w:r>
              <w:rPr>
                <w:rFonts w:hint="eastAsia" w:cs="Times New Roman"/>
                <w:b/>
                <w:bCs/>
                <w:color w:val="auto"/>
                <w:kern w:val="2"/>
                <w:sz w:val="24"/>
                <w:szCs w:val="24"/>
                <w:lang w:val="en-US" w:eastAsia="zh-CN" w:bidi="ar-SA"/>
              </w:rPr>
              <w:t>8</w:t>
            </w:r>
            <w:r>
              <w:rPr>
                <w:rFonts w:hint="eastAsia" w:ascii="Times New Roman" w:hAnsi="Times New Roman" w:eastAsia="宋体" w:cs="Times New Roman"/>
                <w:b/>
                <w:bCs/>
                <w:color w:val="auto"/>
                <w:kern w:val="2"/>
                <w:sz w:val="24"/>
                <w:szCs w:val="24"/>
                <w:lang w:val="en-US" w:eastAsia="zh-CN" w:bidi="ar-SA"/>
              </w:rPr>
              <w:t>、</w:t>
            </w:r>
            <w:r>
              <w:rPr>
                <w:rFonts w:hint="eastAsia"/>
                <w:b/>
                <w:bCs/>
                <w:color w:val="auto"/>
                <w:sz w:val="24"/>
                <w:u w:val="none"/>
                <w:lang w:val="en-US" w:eastAsia="zh-CN"/>
              </w:rPr>
              <w:t>劳动定员</w:t>
            </w:r>
          </w:p>
          <w:p>
            <w:pPr>
              <w:pStyle w:val="23"/>
              <w:keepNext w:val="0"/>
              <w:keepLines w:val="0"/>
              <w:suppressLineNumbers w:val="0"/>
              <w:spacing w:before="0" w:beforeAutospacing="0" w:after="0" w:afterAutospacing="0" w:line="360" w:lineRule="auto"/>
              <w:ind w:left="0" w:leftChars="0" w:right="0" w:firstLine="465"/>
              <w:rPr>
                <w:rFonts w:hint="default"/>
                <w:color w:val="auto"/>
                <w:sz w:val="24"/>
                <w:szCs w:val="24"/>
                <w:u w:val="none"/>
                <w:lang w:val="en-US" w:eastAsia="zh-CN"/>
              </w:rPr>
            </w:pPr>
            <w:r>
              <w:rPr>
                <w:rFonts w:hint="default"/>
                <w:color w:val="auto"/>
                <w:sz w:val="24"/>
                <w:szCs w:val="24"/>
                <w:u w:val="none"/>
                <w:lang w:val="en-US" w:eastAsia="zh-CN"/>
              </w:rPr>
              <w:t>项目劳动定员为3人，年工作天数为365天，工作制度为三班制连续运行，每班工作时间8h。</w:t>
            </w:r>
          </w:p>
          <w:p>
            <w:pPr>
              <w:keepNext w:val="0"/>
              <w:keepLines w:val="0"/>
              <w:suppressLineNumbers w:val="0"/>
              <w:spacing w:before="0" w:beforeAutospacing="0" w:after="0" w:afterAutospacing="0" w:line="360" w:lineRule="auto"/>
              <w:ind w:left="0" w:right="0" w:firstLine="482" w:firstLineChars="200"/>
              <w:rPr>
                <w:rFonts w:hint="eastAsia"/>
                <w:b/>
                <w:bCs/>
                <w:color w:val="auto"/>
                <w:sz w:val="24"/>
                <w:u w:val="none"/>
              </w:rPr>
            </w:pPr>
            <w:r>
              <w:rPr>
                <w:rFonts w:hint="eastAsia"/>
                <w:b/>
                <w:bCs/>
                <w:color w:val="auto"/>
                <w:sz w:val="24"/>
                <w:u w:val="none"/>
                <w:lang w:val="en-US" w:eastAsia="zh-CN"/>
              </w:rPr>
              <w:t>9、</w:t>
            </w:r>
            <w:r>
              <w:rPr>
                <w:rFonts w:hint="eastAsia"/>
                <w:b/>
                <w:bCs/>
                <w:color w:val="auto"/>
                <w:sz w:val="24"/>
                <w:u w:val="none"/>
              </w:rPr>
              <w:t>公用工程</w:t>
            </w:r>
          </w:p>
          <w:p>
            <w:pPr>
              <w:keepNext w:val="0"/>
              <w:keepLines w:val="0"/>
              <w:suppressLineNumbers w:val="0"/>
              <w:spacing w:before="0" w:beforeAutospacing="0" w:after="0" w:afterAutospacing="0" w:line="360" w:lineRule="auto"/>
              <w:ind w:left="0" w:right="0" w:firstLine="482" w:firstLineChars="200"/>
              <w:rPr>
                <w:rFonts w:hint="eastAsia"/>
                <w:b/>
                <w:bCs/>
                <w:color w:val="auto"/>
                <w:sz w:val="24"/>
                <w:u w:val="none"/>
              </w:rPr>
            </w:pPr>
            <w:r>
              <w:rPr>
                <w:rFonts w:hint="eastAsia"/>
                <w:b/>
                <w:bCs/>
                <w:color w:val="auto"/>
                <w:sz w:val="24"/>
                <w:u w:val="none"/>
              </w:rPr>
              <w:t>（1）给、排水</w:t>
            </w:r>
          </w:p>
          <w:p>
            <w:pPr>
              <w:pStyle w:val="23"/>
              <w:keepNext w:val="0"/>
              <w:keepLines w:val="0"/>
              <w:suppressLineNumbers w:val="0"/>
              <w:spacing w:before="0" w:beforeAutospacing="0" w:after="0" w:afterAutospacing="0" w:line="360" w:lineRule="auto"/>
              <w:ind w:left="0" w:leftChars="0" w:right="0" w:firstLine="465"/>
              <w:rPr>
                <w:rFonts w:hint="eastAsia"/>
                <w:color w:val="auto"/>
                <w:sz w:val="24"/>
                <w:szCs w:val="24"/>
                <w:u w:val="none"/>
              </w:rPr>
            </w:pPr>
            <w:r>
              <w:rPr>
                <w:rFonts w:hint="eastAsia"/>
                <w:color w:val="auto"/>
                <w:sz w:val="24"/>
                <w:szCs w:val="24"/>
                <w:u w:val="none"/>
              </w:rPr>
              <w:t>①给水</w:t>
            </w:r>
          </w:p>
          <w:p>
            <w:pPr>
              <w:pStyle w:val="23"/>
              <w:keepNext w:val="0"/>
              <w:keepLines w:val="0"/>
              <w:suppressLineNumbers w:val="0"/>
              <w:spacing w:before="0" w:beforeAutospacing="0" w:after="0" w:afterAutospacing="0" w:line="360" w:lineRule="auto"/>
              <w:ind w:left="0" w:leftChars="0" w:right="0" w:firstLine="465"/>
              <w:rPr>
                <w:rFonts w:hint="eastAsia"/>
                <w:color w:val="auto"/>
                <w:sz w:val="24"/>
                <w:szCs w:val="24"/>
                <w:u w:val="none"/>
              </w:rPr>
            </w:pPr>
            <w:r>
              <w:rPr>
                <w:rFonts w:hint="eastAsia"/>
                <w:color w:val="auto"/>
                <w:sz w:val="24"/>
                <w:szCs w:val="24"/>
                <w:u w:val="none"/>
              </w:rPr>
              <w:t>A、供水水源</w:t>
            </w:r>
          </w:p>
          <w:p>
            <w:pPr>
              <w:pStyle w:val="23"/>
              <w:keepNext w:val="0"/>
              <w:keepLines w:val="0"/>
              <w:suppressLineNumbers w:val="0"/>
              <w:spacing w:before="0" w:beforeAutospacing="0" w:after="0" w:afterAutospacing="0" w:line="360" w:lineRule="auto"/>
              <w:ind w:left="0" w:leftChars="0" w:right="0" w:firstLine="465"/>
              <w:rPr>
                <w:rFonts w:hint="eastAsia" w:eastAsia="宋体"/>
                <w:color w:val="auto"/>
                <w:sz w:val="24"/>
                <w:szCs w:val="24"/>
                <w:u w:val="none"/>
                <w:lang w:eastAsia="zh-CN"/>
              </w:rPr>
            </w:pPr>
            <w:r>
              <w:rPr>
                <w:rFonts w:hint="eastAsia"/>
                <w:color w:val="auto"/>
                <w:sz w:val="24"/>
                <w:szCs w:val="24"/>
                <w:u w:val="none"/>
              </w:rPr>
              <w:t>项目员工生活用水由市政自来水网提供</w:t>
            </w:r>
            <w:r>
              <w:rPr>
                <w:rFonts w:hint="eastAsia"/>
                <w:color w:val="auto"/>
                <w:sz w:val="24"/>
                <w:szCs w:val="24"/>
                <w:u w:val="none"/>
                <w:lang w:eastAsia="zh-CN"/>
              </w:rPr>
              <w:t>，本工程给水系统接当地给水管网，主要用水环节为生活用水，配药用水可取自清水池中水。</w:t>
            </w:r>
          </w:p>
          <w:p>
            <w:pPr>
              <w:pStyle w:val="23"/>
              <w:keepNext w:val="0"/>
              <w:keepLines w:val="0"/>
              <w:suppressLineNumbers w:val="0"/>
              <w:spacing w:before="0" w:beforeAutospacing="0" w:after="0" w:afterAutospacing="0" w:line="360" w:lineRule="auto"/>
              <w:ind w:left="0" w:leftChars="0" w:right="0" w:firstLine="465"/>
              <w:rPr>
                <w:rFonts w:hint="eastAsia"/>
                <w:color w:val="auto"/>
                <w:sz w:val="24"/>
                <w:szCs w:val="24"/>
                <w:u w:val="none"/>
              </w:rPr>
            </w:pPr>
            <w:r>
              <w:rPr>
                <w:rFonts w:hint="eastAsia"/>
                <w:color w:val="auto"/>
                <w:sz w:val="24"/>
                <w:szCs w:val="24"/>
                <w:u w:val="none"/>
              </w:rPr>
              <w:t>B、用水量</w:t>
            </w:r>
          </w:p>
          <w:p>
            <w:pPr>
              <w:pStyle w:val="23"/>
              <w:keepNext w:val="0"/>
              <w:keepLines w:val="0"/>
              <w:suppressLineNumbers w:val="0"/>
              <w:spacing w:before="0" w:beforeAutospacing="0" w:after="0" w:afterAutospacing="0" w:line="360" w:lineRule="auto"/>
              <w:ind w:left="0" w:leftChars="0" w:right="0" w:firstLine="465"/>
              <w:rPr>
                <w:rFonts w:hint="default"/>
                <w:color w:val="auto"/>
                <w:sz w:val="24"/>
                <w:szCs w:val="24"/>
                <w:u w:val="none"/>
              </w:rPr>
            </w:pPr>
            <w:r>
              <w:rPr>
                <w:rFonts w:hint="eastAsia"/>
                <w:b/>
                <w:bCs/>
                <w:color w:val="auto"/>
                <w:sz w:val="24"/>
                <w:szCs w:val="24"/>
                <w:u w:val="none"/>
              </w:rPr>
              <w:t>生活用水：</w:t>
            </w:r>
            <w:r>
              <w:rPr>
                <w:rFonts w:hint="eastAsia"/>
                <w:color w:val="auto"/>
                <w:sz w:val="24"/>
              </w:rPr>
              <w:t>本项目拟定劳动人员</w:t>
            </w:r>
            <w:r>
              <w:rPr>
                <w:rFonts w:hint="eastAsia"/>
                <w:color w:val="auto"/>
                <w:sz w:val="24"/>
                <w:lang w:val="en-US" w:eastAsia="zh-CN"/>
              </w:rPr>
              <w:t>3</w:t>
            </w:r>
            <w:r>
              <w:rPr>
                <w:rFonts w:hint="eastAsia"/>
                <w:color w:val="auto"/>
                <w:sz w:val="24"/>
              </w:rPr>
              <w:t>人，</w:t>
            </w:r>
            <w:r>
              <w:rPr>
                <w:rFonts w:hint="eastAsia"/>
                <w:color w:val="auto"/>
                <w:sz w:val="24"/>
                <w:lang w:val="en-US" w:eastAsia="zh-CN"/>
              </w:rPr>
              <w:t>在厂区食宿，</w:t>
            </w:r>
            <w:r>
              <w:rPr>
                <w:rFonts w:hint="eastAsia"/>
                <w:color w:val="auto"/>
                <w:sz w:val="24"/>
              </w:rPr>
              <w:t>用水参照湖南省地方标准《用水定额》（DB43/T388-2020），</w:t>
            </w:r>
            <w:r>
              <w:rPr>
                <w:rFonts w:hint="eastAsia"/>
                <w:color w:val="auto"/>
                <w:sz w:val="24"/>
                <w:lang w:val="en-US" w:eastAsia="zh-CN"/>
              </w:rPr>
              <w:t>在厂区内食宿人员按照140</w:t>
            </w:r>
            <w:r>
              <w:rPr>
                <w:rFonts w:hint="eastAsia"/>
                <w:color w:val="auto"/>
                <w:sz w:val="24"/>
              </w:rPr>
              <w:t>L/人•d计算</w:t>
            </w:r>
            <w:r>
              <w:rPr>
                <w:rFonts w:hint="eastAsia"/>
                <w:color w:val="auto"/>
                <w:sz w:val="24"/>
                <w:lang w:eastAsia="zh-CN"/>
              </w:rPr>
              <w:t>，</w:t>
            </w:r>
            <w:r>
              <w:rPr>
                <w:rFonts w:hint="eastAsia"/>
                <w:color w:val="auto"/>
                <w:sz w:val="24"/>
              </w:rPr>
              <w:t>则本项目生活用水总量为</w:t>
            </w:r>
            <w:r>
              <w:rPr>
                <w:rFonts w:hint="eastAsia"/>
                <w:color w:val="auto"/>
                <w:sz w:val="24"/>
                <w:lang w:val="en-US" w:eastAsia="zh-CN"/>
              </w:rPr>
              <w:t>0.42</w:t>
            </w:r>
            <w:r>
              <w:rPr>
                <w:rFonts w:hint="eastAsia"/>
                <w:color w:val="auto"/>
                <w:sz w:val="24"/>
              </w:rPr>
              <w:t>m</w:t>
            </w:r>
            <w:r>
              <w:rPr>
                <w:rFonts w:hint="eastAsia"/>
                <w:color w:val="auto"/>
                <w:sz w:val="24"/>
                <w:vertAlign w:val="superscript"/>
              </w:rPr>
              <w:t>3</w:t>
            </w:r>
            <w:r>
              <w:rPr>
                <w:rFonts w:hint="eastAsia"/>
                <w:color w:val="auto"/>
                <w:sz w:val="24"/>
              </w:rPr>
              <w:t>/d（</w:t>
            </w:r>
            <w:r>
              <w:rPr>
                <w:rFonts w:hint="eastAsia"/>
                <w:color w:val="auto"/>
                <w:sz w:val="24"/>
                <w:lang w:val="en-US" w:eastAsia="zh-CN"/>
              </w:rPr>
              <w:t>153.3</w:t>
            </w:r>
            <w:r>
              <w:rPr>
                <w:rFonts w:hint="eastAsia"/>
                <w:color w:val="auto"/>
                <w:sz w:val="24"/>
              </w:rPr>
              <w:t>m</w:t>
            </w:r>
            <w:r>
              <w:rPr>
                <w:rFonts w:hint="eastAsia"/>
                <w:color w:val="auto"/>
                <w:sz w:val="24"/>
                <w:vertAlign w:val="superscript"/>
              </w:rPr>
              <w:t>3</w:t>
            </w:r>
            <w:r>
              <w:rPr>
                <w:rFonts w:hint="eastAsia"/>
                <w:color w:val="auto"/>
                <w:sz w:val="24"/>
              </w:rPr>
              <w:t>/a）</w:t>
            </w:r>
            <w:r>
              <w:rPr>
                <w:rFonts w:hint="eastAsia"/>
                <w:color w:val="auto"/>
                <w:sz w:val="24"/>
                <w:szCs w:val="24"/>
                <w:u w:val="none"/>
              </w:rPr>
              <w:t>。</w:t>
            </w:r>
          </w:p>
          <w:p>
            <w:pPr>
              <w:keepNext w:val="0"/>
              <w:keepLines w:val="0"/>
              <w:suppressLineNumbers w:val="0"/>
              <w:spacing w:before="0" w:beforeAutospacing="0" w:after="0" w:afterAutospacing="0" w:line="360" w:lineRule="auto"/>
              <w:ind w:left="0" w:right="0" w:firstLine="482"/>
              <w:rPr>
                <w:rFonts w:hint="default"/>
                <w:b/>
                <w:color w:val="auto"/>
                <w:kern w:val="0"/>
                <w:sz w:val="24"/>
                <w:u w:val="none"/>
              </w:rPr>
            </w:pPr>
            <w:r>
              <w:rPr>
                <w:rFonts w:hint="default"/>
                <w:b/>
                <w:color w:val="auto"/>
                <w:kern w:val="0"/>
                <w:sz w:val="24"/>
                <w:u w:val="none"/>
              </w:rPr>
              <w:t>排水</w:t>
            </w:r>
          </w:p>
          <w:p>
            <w:pPr>
              <w:keepNext w:val="0"/>
              <w:keepLines w:val="0"/>
              <w:suppressLineNumbers w:val="0"/>
              <w:spacing w:before="0" w:beforeAutospacing="0" w:after="0" w:afterAutospacing="0" w:line="360" w:lineRule="auto"/>
              <w:ind w:left="0" w:right="0" w:firstLine="482"/>
              <w:rPr>
                <w:rFonts w:hint="default"/>
                <w:bCs/>
                <w:color w:val="auto"/>
                <w:kern w:val="0"/>
                <w:sz w:val="24"/>
                <w:u w:val="none"/>
              </w:rPr>
            </w:pPr>
            <w:r>
              <w:rPr>
                <w:rFonts w:hint="default"/>
                <w:bCs/>
                <w:color w:val="auto"/>
                <w:kern w:val="0"/>
                <w:sz w:val="24"/>
                <w:u w:val="none"/>
              </w:rPr>
              <w:t>本项目采取雨污分流</w:t>
            </w:r>
            <w:r>
              <w:rPr>
                <w:rFonts w:hint="eastAsia"/>
                <w:bCs/>
                <w:color w:val="auto"/>
                <w:kern w:val="0"/>
                <w:sz w:val="24"/>
                <w:u w:val="none"/>
              </w:rPr>
              <w:t>、污污分流</w:t>
            </w:r>
            <w:r>
              <w:rPr>
                <w:rFonts w:hint="default"/>
                <w:bCs/>
                <w:color w:val="auto"/>
                <w:kern w:val="0"/>
                <w:sz w:val="24"/>
                <w:u w:val="none"/>
              </w:rPr>
              <w:t>制。</w:t>
            </w:r>
          </w:p>
          <w:p>
            <w:pPr>
              <w:keepNext w:val="0"/>
              <w:keepLines w:val="0"/>
              <w:suppressLineNumbers w:val="0"/>
              <w:spacing w:before="0" w:beforeAutospacing="0" w:after="0" w:afterAutospacing="0" w:line="360" w:lineRule="auto"/>
              <w:ind w:left="0" w:right="0" w:firstLine="482"/>
              <w:rPr>
                <w:rFonts w:hint="eastAsia"/>
                <w:color w:val="auto"/>
                <w:sz w:val="24"/>
                <w:u w:val="none"/>
              </w:rPr>
            </w:pPr>
            <w:r>
              <w:rPr>
                <w:rFonts w:hint="eastAsia"/>
                <w:color w:val="auto"/>
                <w:sz w:val="24"/>
                <w:u w:val="none"/>
              </w:rPr>
              <w:t>本项目</w:t>
            </w:r>
            <w:r>
              <w:rPr>
                <w:rFonts w:hint="eastAsia"/>
                <w:color w:val="auto"/>
                <w:sz w:val="24"/>
                <w:u w:val="none"/>
                <w:lang w:val="en-US" w:eastAsia="zh-CN"/>
              </w:rPr>
              <w:t>近期内</w:t>
            </w:r>
            <w:r>
              <w:rPr>
                <w:rFonts w:hint="eastAsia"/>
                <w:color w:val="auto"/>
                <w:sz w:val="24"/>
                <w:lang w:val="en-US" w:eastAsia="zh-CN"/>
              </w:rPr>
              <w:t>处理生活污水及“3×170t/h+2×30MW生物质电厂项目”排污水</w:t>
            </w:r>
            <w:r>
              <w:rPr>
                <w:rFonts w:hint="eastAsia"/>
                <w:color w:val="auto"/>
                <w:sz w:val="24"/>
              </w:rPr>
              <w:t>达到《城镇污水处理厂污染物排放标准》（GB18918-2002）一级A标准后</w:t>
            </w:r>
            <w:r>
              <w:rPr>
                <w:rFonts w:hint="eastAsia"/>
                <w:color w:val="auto"/>
                <w:sz w:val="24"/>
                <w:lang w:val="en-US" w:eastAsia="zh-CN"/>
              </w:rPr>
              <w:t>回用于</w:t>
            </w:r>
            <w:r>
              <w:rPr>
                <w:rFonts w:hint="eastAsia" w:ascii="Times New Roman" w:hAnsi="Times New Roman" w:cs="宋体"/>
                <w:color w:val="auto"/>
                <w:sz w:val="24"/>
                <w:u w:val="none"/>
                <w:lang w:val="en-US" w:eastAsia="zh-CN"/>
              </w:rPr>
              <w:t>湖南鲁丽木业有限公司年产2</w:t>
            </w:r>
            <w:r>
              <w:rPr>
                <w:rFonts w:hint="default" w:ascii="Times New Roman" w:hAnsi="Times New Roman" w:cs="Times New Roman"/>
                <w:color w:val="auto"/>
                <w:sz w:val="24"/>
                <w:u w:val="none"/>
                <w:lang w:val="en-US" w:eastAsia="zh-CN"/>
              </w:rPr>
              <w:t>×</w:t>
            </w:r>
            <w:r>
              <w:rPr>
                <w:rFonts w:hint="eastAsia" w:ascii="Times New Roman" w:hAnsi="Times New Roman" w:cs="宋体"/>
                <w:color w:val="auto"/>
                <w:sz w:val="24"/>
                <w:u w:val="none"/>
                <w:lang w:val="en-US" w:eastAsia="zh-CN"/>
              </w:rPr>
              <w:t>80万立方米刨花板项目</w:t>
            </w:r>
            <w:r>
              <w:rPr>
                <w:rFonts w:hint="eastAsia" w:cs="宋体"/>
                <w:color w:val="auto"/>
                <w:sz w:val="24"/>
                <w:u w:val="none"/>
                <w:lang w:val="en-US" w:eastAsia="zh-CN"/>
              </w:rPr>
              <w:t>冷却用水以及</w:t>
            </w:r>
            <w:r>
              <w:rPr>
                <w:rFonts w:hint="eastAsia"/>
                <w:color w:val="auto"/>
                <w:sz w:val="24"/>
                <w:lang w:val="en-US" w:eastAsia="zh-CN"/>
              </w:rPr>
              <w:t>“3×170t/h+2×30MW生物质电厂项目”生产环节脱硫脱硝环节</w:t>
            </w:r>
            <w:r>
              <w:rPr>
                <w:rFonts w:hint="eastAsia"/>
                <w:color w:val="auto"/>
                <w:sz w:val="24"/>
                <w:u w:val="none"/>
              </w:rPr>
              <w:t>。</w:t>
            </w:r>
          </w:p>
          <w:p>
            <w:pPr>
              <w:keepNext w:val="0"/>
              <w:keepLines w:val="0"/>
              <w:suppressLineNumbers w:val="0"/>
              <w:spacing w:before="0" w:beforeAutospacing="0" w:after="0" w:afterAutospacing="0" w:line="360" w:lineRule="auto"/>
              <w:ind w:left="0" w:right="0" w:firstLine="482" w:firstLineChars="200"/>
              <w:rPr>
                <w:rFonts w:hint="eastAsia"/>
                <w:b/>
                <w:bCs/>
                <w:color w:val="auto"/>
                <w:sz w:val="24"/>
              </w:rPr>
            </w:pPr>
            <w:r>
              <w:rPr>
                <w:rFonts w:hint="eastAsia"/>
                <w:b/>
                <w:bCs/>
                <w:color w:val="auto"/>
                <w:sz w:val="24"/>
              </w:rPr>
              <w:t>（3）供电</w:t>
            </w:r>
          </w:p>
          <w:p>
            <w:pPr>
              <w:keepNext w:val="0"/>
              <w:keepLines w:val="0"/>
              <w:suppressLineNumbers w:val="0"/>
              <w:spacing w:before="0" w:beforeAutospacing="0" w:after="0" w:afterAutospacing="0" w:line="360" w:lineRule="auto"/>
              <w:ind w:left="0" w:right="0" w:firstLine="482"/>
              <w:rPr>
                <w:rFonts w:hint="eastAsia"/>
                <w:bCs/>
                <w:color w:val="auto"/>
                <w:kern w:val="0"/>
                <w:sz w:val="24"/>
                <w:lang w:val="en-US" w:eastAsia="zh-CN"/>
              </w:rPr>
            </w:pPr>
            <w:r>
              <w:rPr>
                <w:rFonts w:hint="eastAsia"/>
                <w:bCs/>
                <w:color w:val="auto"/>
                <w:kern w:val="0"/>
                <w:sz w:val="24"/>
              </w:rPr>
              <w:t>所在地电源由</w:t>
            </w:r>
            <w:r>
              <w:rPr>
                <w:rFonts w:hint="eastAsia"/>
                <w:bCs/>
                <w:color w:val="auto"/>
                <w:kern w:val="0"/>
                <w:sz w:val="24"/>
                <w:lang w:val="en-US" w:eastAsia="zh-CN"/>
              </w:rPr>
              <w:t>市政电网</w:t>
            </w:r>
            <w:r>
              <w:rPr>
                <w:rFonts w:hint="eastAsia"/>
                <w:bCs/>
                <w:color w:val="auto"/>
                <w:kern w:val="0"/>
                <w:sz w:val="24"/>
              </w:rPr>
              <w:t>供给，</w:t>
            </w:r>
            <w:r>
              <w:rPr>
                <w:rFonts w:hint="eastAsia"/>
                <w:bCs/>
                <w:color w:val="auto"/>
                <w:kern w:val="0"/>
                <w:sz w:val="24"/>
                <w:lang w:val="en-US" w:eastAsia="zh-CN"/>
              </w:rPr>
              <w:t>从生物质电厂的中心变配电所接出，项目总装机容量15380kW。从电站敷设一路10kV输电专线到木材加工项目中心配电所，再经过中心配电所给车间变电所高压供电，总用电量50万千瓦时/年。</w:t>
            </w:r>
          </w:p>
          <w:p>
            <w:pPr>
              <w:keepNext w:val="0"/>
              <w:keepLines w:val="0"/>
              <w:suppressLineNumbers w:val="0"/>
              <w:spacing w:before="0" w:beforeAutospacing="0" w:after="0" w:afterAutospacing="0" w:line="360" w:lineRule="auto"/>
              <w:ind w:left="0" w:right="0" w:firstLine="482" w:firstLineChars="200"/>
              <w:rPr>
                <w:rFonts w:hint="eastAsia"/>
                <w:b/>
                <w:bCs/>
                <w:color w:val="auto"/>
                <w:sz w:val="24"/>
              </w:rPr>
            </w:pPr>
            <w:r>
              <w:rPr>
                <w:rFonts w:hint="eastAsia"/>
                <w:b/>
                <w:bCs/>
                <w:color w:val="auto"/>
                <w:sz w:val="24"/>
                <w:lang w:val="en-US" w:eastAsia="zh-CN"/>
              </w:rPr>
              <w:t>10</w:t>
            </w:r>
            <w:r>
              <w:rPr>
                <w:rFonts w:hint="eastAsia"/>
                <w:b/>
                <w:bCs/>
                <w:color w:val="auto"/>
                <w:sz w:val="24"/>
              </w:rPr>
              <w:t>、项目总平面布置</w:t>
            </w:r>
          </w:p>
          <w:p>
            <w:pPr>
              <w:keepNext w:val="0"/>
              <w:keepLines w:val="0"/>
              <w:suppressLineNumbers w:val="0"/>
              <w:spacing w:before="0" w:beforeAutospacing="0" w:after="0" w:afterAutospacing="0" w:line="360" w:lineRule="auto"/>
              <w:ind w:left="0" w:right="0" w:firstLine="480" w:firstLineChars="200"/>
              <w:rPr>
                <w:rFonts w:hint="eastAsia"/>
                <w:bCs/>
                <w:color w:val="auto"/>
                <w:kern w:val="0"/>
                <w:sz w:val="24"/>
              </w:rPr>
            </w:pPr>
            <w:r>
              <w:rPr>
                <w:rFonts w:hint="eastAsia"/>
                <w:bCs/>
                <w:color w:val="auto"/>
                <w:kern w:val="0"/>
                <w:sz w:val="24"/>
                <w:lang w:val="en-US" w:eastAsia="zh-CN"/>
              </w:rPr>
              <w:t>厂区平面布局按照污水处理工艺流程顺序进行布局，保证污水处理工艺的连贯性，项目构建筑物布局紧凑，水力流程顺畅，各管渠、动力线路短捷，有效降低了构筑物之间的水头损失，减小了污水处理构筑物的占地，并留有必要的通道。厂区平面布置在充分满足工艺要求的前提下，兼顾整体厂区布局。</w:t>
            </w:r>
          </w:p>
          <w:p>
            <w:pPr>
              <w:keepNext w:val="0"/>
              <w:keepLines w:val="0"/>
              <w:suppressLineNumbers w:val="0"/>
              <w:spacing w:before="0" w:beforeAutospacing="0" w:after="0" w:afterAutospacing="0" w:line="360" w:lineRule="auto"/>
              <w:ind w:left="0" w:right="0" w:firstLine="480" w:firstLineChars="200"/>
              <w:rPr>
                <w:rFonts w:hint="eastAsia"/>
                <w:bCs/>
                <w:color w:val="auto"/>
                <w:kern w:val="0"/>
                <w:sz w:val="24"/>
              </w:rPr>
            </w:pPr>
            <w:r>
              <w:rPr>
                <w:rFonts w:hint="eastAsia"/>
                <w:bCs/>
                <w:color w:val="auto"/>
                <w:kern w:val="0"/>
                <w:sz w:val="24"/>
              </w:rPr>
              <w:t>综上所述，本项目厂区平面布置方案能够满足生产需要，功能分区明确，平面布置较为合理。</w:t>
            </w:r>
          </w:p>
          <w:p>
            <w:pPr>
              <w:pStyle w:val="5"/>
              <w:keepNext/>
              <w:keepLines/>
              <w:pageBreakBefore w:val="0"/>
              <w:widowControl w:val="0"/>
              <w:numPr>
                <w:ilvl w:val="0"/>
                <w:numId w:val="0"/>
              </w:numPr>
              <w:suppressLineNumbers w:val="0"/>
              <w:kinsoku/>
              <w:wordWrap/>
              <w:overflowPunct/>
              <w:topLinePunct w:val="0"/>
              <w:autoSpaceDE/>
              <w:autoSpaceDN/>
              <w:bidi w:val="0"/>
              <w:adjustRightInd/>
              <w:snapToGrid/>
              <w:spacing w:before="0" w:after="0"/>
              <w:ind w:left="0" w:right="0" w:firstLine="482" w:firstLineChars="200"/>
              <w:textAlignment w:val="auto"/>
              <w:rPr>
                <w:rFonts w:hint="eastAsia" w:ascii="Times New Roman" w:hAnsi="Times New Roman" w:cs="Times New Roman"/>
                <w:b/>
                <w:bCs/>
                <w:color w:val="auto"/>
                <w:kern w:val="2"/>
                <w:sz w:val="24"/>
                <w:szCs w:val="24"/>
                <w:u w:val="none"/>
                <w:lang w:val="en-US" w:eastAsia="zh-CN" w:bidi="ar-SA"/>
              </w:rPr>
            </w:pPr>
            <w:r>
              <w:rPr>
                <w:rFonts w:hint="eastAsia" w:ascii="Times New Roman" w:hAnsi="Times New Roman" w:eastAsia="宋体" w:cs="Times New Roman"/>
                <w:b/>
                <w:bCs/>
                <w:color w:val="auto"/>
                <w:kern w:val="2"/>
                <w:sz w:val="24"/>
                <w:szCs w:val="24"/>
                <w:lang w:val="en-US" w:eastAsia="zh-CN" w:bidi="ar-SA"/>
              </w:rPr>
              <w:t>1</w:t>
            </w:r>
            <w:r>
              <w:rPr>
                <w:rFonts w:hint="eastAsia" w:ascii="Times New Roman" w:hAnsi="Times New Roman" w:cs="Times New Roman"/>
                <w:b/>
                <w:bCs/>
                <w:color w:val="auto"/>
                <w:kern w:val="2"/>
                <w:sz w:val="24"/>
                <w:szCs w:val="24"/>
                <w:lang w:val="en-US" w:eastAsia="zh-CN" w:bidi="ar-SA"/>
              </w:rPr>
              <w:t>1</w:t>
            </w:r>
            <w:r>
              <w:rPr>
                <w:rFonts w:hint="eastAsia" w:ascii="Times New Roman" w:hAnsi="Times New Roman" w:eastAsia="宋体" w:cs="Times New Roman"/>
                <w:b/>
                <w:bCs/>
                <w:color w:val="auto"/>
                <w:kern w:val="2"/>
                <w:sz w:val="24"/>
                <w:szCs w:val="24"/>
                <w:lang w:val="en-US" w:eastAsia="zh-CN" w:bidi="ar-SA"/>
              </w:rPr>
              <w:t>、</w:t>
            </w:r>
            <w:r>
              <w:rPr>
                <w:rFonts w:hint="eastAsia" w:ascii="Times New Roman" w:hAnsi="Times New Roman" w:cs="Times New Roman"/>
                <w:b/>
                <w:bCs/>
                <w:color w:val="auto"/>
                <w:kern w:val="2"/>
                <w:sz w:val="24"/>
                <w:szCs w:val="24"/>
                <w:u w:val="none"/>
                <w:lang w:val="en-US" w:eastAsia="zh-CN" w:bidi="ar-SA"/>
              </w:rPr>
              <w:t>设计进水水质</w:t>
            </w:r>
          </w:p>
          <w:p>
            <w:pPr>
              <w:keepNext w:val="0"/>
              <w:keepLines w:val="0"/>
              <w:suppressLineNumbers w:val="0"/>
              <w:spacing w:before="0" w:beforeAutospacing="0" w:after="0" w:afterAutospacing="0" w:line="360" w:lineRule="auto"/>
              <w:ind w:left="0" w:right="0" w:firstLine="480" w:firstLineChars="200"/>
              <w:rPr>
                <w:rFonts w:hint="default"/>
                <w:bCs/>
                <w:strike w:val="0"/>
                <w:dstrike w:val="0"/>
                <w:color w:val="auto"/>
                <w:kern w:val="0"/>
                <w:sz w:val="24"/>
                <w:u w:val="single"/>
                <w:lang w:val="en-US" w:eastAsia="zh-CN"/>
              </w:rPr>
            </w:pPr>
            <w:r>
              <w:rPr>
                <w:rFonts w:hint="eastAsia"/>
                <w:bCs/>
                <w:strike w:val="0"/>
                <w:dstrike w:val="0"/>
                <w:color w:val="auto"/>
                <w:kern w:val="0"/>
                <w:sz w:val="24"/>
                <w:u w:val="single"/>
                <w:lang w:val="en-US" w:eastAsia="zh-CN"/>
              </w:rPr>
              <w:t>本项目近期主要处理污水主要为厂区产生生活污水及生物质电厂锅炉排污水，进水水质及出水水质情况见下表。</w:t>
            </w:r>
          </w:p>
          <w:p>
            <w:pPr>
              <w:keepNext w:val="0"/>
              <w:keepLines w:val="0"/>
              <w:suppressLineNumbers w:val="0"/>
              <w:spacing w:before="0" w:beforeAutospacing="0" w:after="0" w:afterAutospacing="0"/>
              <w:ind w:left="0" w:right="0"/>
              <w:jc w:val="center"/>
              <w:rPr>
                <w:rFonts w:hint="default"/>
                <w:b/>
                <w:bCs/>
                <w:color w:val="auto"/>
                <w:szCs w:val="28"/>
                <w:u w:val="none"/>
              </w:rPr>
            </w:pPr>
            <w:r>
              <w:rPr>
                <w:rFonts w:hint="default"/>
                <w:b/>
                <w:bCs/>
                <w:color w:val="auto"/>
                <w:szCs w:val="28"/>
                <w:u w:val="none"/>
              </w:rPr>
              <w:t>表</w:t>
            </w:r>
            <w:r>
              <w:rPr>
                <w:rFonts w:hint="eastAsia"/>
                <w:b/>
                <w:bCs/>
                <w:color w:val="auto"/>
                <w:szCs w:val="28"/>
                <w:u w:val="none"/>
              </w:rPr>
              <w:t>2-</w:t>
            </w:r>
            <w:r>
              <w:rPr>
                <w:rFonts w:hint="eastAsia"/>
                <w:b/>
                <w:bCs/>
                <w:color w:val="auto"/>
                <w:szCs w:val="28"/>
                <w:u w:val="none"/>
                <w:lang w:val="en-US" w:eastAsia="zh-CN"/>
              </w:rPr>
              <w:t>6</w:t>
            </w:r>
            <w:r>
              <w:rPr>
                <w:rFonts w:hint="default"/>
                <w:b/>
                <w:bCs/>
                <w:color w:val="auto"/>
                <w:szCs w:val="28"/>
                <w:u w:val="none"/>
              </w:rPr>
              <w:t>进出水质对比</w:t>
            </w:r>
            <w:r>
              <w:rPr>
                <w:rFonts w:hint="eastAsia"/>
                <w:b/>
                <w:bCs/>
                <w:color w:val="auto"/>
                <w:szCs w:val="28"/>
                <w:u w:val="none"/>
              </w:rPr>
              <w:t>表</w:t>
            </w:r>
            <w:r>
              <w:rPr>
                <w:rFonts w:hint="default"/>
                <w:b/>
                <w:bCs/>
                <w:color w:val="auto"/>
                <w:szCs w:val="28"/>
                <w:u w:val="none"/>
              </w:rPr>
              <w:t>（单位：mg/L）</w:t>
            </w:r>
          </w:p>
          <w:tbl>
            <w:tblPr>
              <w:tblStyle w:val="29"/>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Layout w:type="autofit"/>
              <w:tblCellMar>
                <w:top w:w="0" w:type="dxa"/>
                <w:left w:w="108" w:type="dxa"/>
                <w:bottom w:w="0" w:type="dxa"/>
                <w:right w:w="108" w:type="dxa"/>
              </w:tblCellMar>
            </w:tblPr>
            <w:tblGrid>
              <w:gridCol w:w="861"/>
              <w:gridCol w:w="957"/>
              <w:gridCol w:w="3294"/>
              <w:gridCol w:w="34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color w:val="auto"/>
                      <w:szCs w:val="21"/>
                      <w:u w:val="none"/>
                    </w:rPr>
                  </w:pPr>
                  <w:r>
                    <w:rPr>
                      <w:rFonts w:hint="default"/>
                      <w:color w:val="auto"/>
                      <w:szCs w:val="21"/>
                      <w:u w:val="none"/>
                    </w:rPr>
                    <w:t>污染物</w:t>
                  </w:r>
                </w:p>
              </w:tc>
              <w:tc>
                <w:tcPr>
                  <w:tcW w:w="55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color w:val="auto"/>
                      <w:szCs w:val="21"/>
                      <w:u w:val="none"/>
                    </w:rPr>
                  </w:pPr>
                  <w:r>
                    <w:rPr>
                      <w:rFonts w:hint="default"/>
                      <w:color w:val="auto"/>
                      <w:szCs w:val="21"/>
                      <w:u w:val="none"/>
                    </w:rPr>
                    <w:t>进水水质限值</w:t>
                  </w:r>
                </w:p>
              </w:tc>
              <w:tc>
                <w:tcPr>
                  <w:tcW w:w="19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color w:val="auto"/>
                      <w:szCs w:val="21"/>
                      <w:u w:val="none"/>
                    </w:rPr>
                  </w:pPr>
                  <w:r>
                    <w:rPr>
                      <w:rFonts w:hint="eastAsia"/>
                      <w:color w:val="auto"/>
                      <w:szCs w:val="21"/>
                      <w:u w:val="none"/>
                      <w:lang w:val="en-US" w:eastAsia="zh-CN"/>
                    </w:rPr>
                    <w:t>近期</w:t>
                  </w:r>
                  <w:r>
                    <w:rPr>
                      <w:rFonts w:hint="default"/>
                      <w:color w:val="auto"/>
                      <w:szCs w:val="21"/>
                      <w:u w:val="none"/>
                    </w:rPr>
                    <w:t>出水</w:t>
                  </w:r>
                  <w:r>
                    <w:rPr>
                      <w:rFonts w:hint="eastAsia"/>
                      <w:color w:val="auto"/>
                      <w:szCs w:val="21"/>
                      <w:u w:val="none"/>
                      <w:lang w:val="en-US" w:eastAsia="zh-CN"/>
                    </w:rPr>
                    <w:t>回用</w:t>
                  </w:r>
                  <w:r>
                    <w:rPr>
                      <w:rFonts w:hint="default"/>
                      <w:color w:val="auto"/>
                      <w:szCs w:val="21"/>
                      <w:u w:val="none"/>
                    </w:rPr>
                    <w:t>水质限值</w:t>
                  </w:r>
                </w:p>
              </w:tc>
              <w:tc>
                <w:tcPr>
                  <w:tcW w:w="2023"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eastAsia="宋体"/>
                      <w:color w:val="auto"/>
                      <w:szCs w:val="21"/>
                      <w:u w:val="none"/>
                      <w:lang w:val="en-US" w:eastAsia="zh-CN"/>
                    </w:rPr>
                  </w:pPr>
                  <w:r>
                    <w:rPr>
                      <w:rFonts w:hint="eastAsia"/>
                      <w:color w:val="auto"/>
                      <w:szCs w:val="21"/>
                      <w:u w:val="none"/>
                      <w:lang w:val="en-US" w:eastAsia="zh-CN"/>
                    </w:rPr>
                    <w:t>远期不能回用部分</w:t>
                  </w:r>
                  <w:r>
                    <w:rPr>
                      <w:rFonts w:hint="default"/>
                      <w:color w:val="auto"/>
                      <w:szCs w:val="21"/>
                      <w:u w:val="none"/>
                    </w:rPr>
                    <w:t>出水水质限值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color w:val="auto"/>
                      <w:szCs w:val="21"/>
                      <w:u w:val="none"/>
                    </w:rPr>
                  </w:pPr>
                  <w:r>
                    <w:rPr>
                      <w:rFonts w:hint="default"/>
                      <w:color w:val="auto"/>
                      <w:szCs w:val="21"/>
                      <w:u w:val="none"/>
                    </w:rPr>
                    <w:t>COD</w:t>
                  </w:r>
                  <w:r>
                    <w:rPr>
                      <w:rFonts w:hint="default"/>
                      <w:color w:val="auto"/>
                      <w:szCs w:val="21"/>
                      <w:u w:val="none"/>
                      <w:vertAlign w:val="subscript"/>
                    </w:rPr>
                    <w:t>Cr</w:t>
                  </w:r>
                </w:p>
              </w:tc>
              <w:tc>
                <w:tcPr>
                  <w:tcW w:w="55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u w:val="none"/>
                      <w:lang w:val="en-US" w:eastAsia="zh-CN"/>
                    </w:rPr>
                  </w:pPr>
                  <w:r>
                    <w:rPr>
                      <w:rFonts w:hint="eastAsia"/>
                      <w:color w:val="auto"/>
                      <w:szCs w:val="21"/>
                      <w:u w:val="none"/>
                      <w:lang w:val="en-US" w:eastAsia="zh-CN"/>
                    </w:rPr>
                    <w:t>250</w:t>
                  </w:r>
                </w:p>
              </w:tc>
              <w:tc>
                <w:tcPr>
                  <w:tcW w:w="19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u w:val="none"/>
                      <w:lang w:val="en-US" w:eastAsia="zh-CN"/>
                    </w:rPr>
                  </w:pPr>
                  <w:r>
                    <w:rPr>
                      <w:rFonts w:hint="eastAsia"/>
                      <w:color w:val="auto"/>
                      <w:szCs w:val="21"/>
                      <w:u w:val="none"/>
                      <w:lang w:val="en-US" w:eastAsia="zh-CN"/>
                    </w:rPr>
                    <w:t>50</w:t>
                  </w:r>
                </w:p>
              </w:tc>
              <w:tc>
                <w:tcPr>
                  <w:tcW w:w="202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u w:val="none"/>
                      <w:lang w:val="en-US" w:eastAsia="zh-CN"/>
                    </w:rPr>
                  </w:pPr>
                  <w:r>
                    <w:rPr>
                      <w:rFonts w:hint="eastAsia"/>
                      <w:color w:val="auto"/>
                      <w:szCs w:val="21"/>
                      <w:u w:val="none"/>
                      <w:lang w:val="en-US" w:eastAsia="zh-CN"/>
                    </w:rPr>
                    <w:t>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7" w:hRule="atLeast"/>
                <w:jc w:val="center"/>
              </w:trPr>
              <w:tc>
                <w:tcPr>
                  <w:tcW w:w="5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color w:val="auto"/>
                      <w:szCs w:val="21"/>
                      <w:u w:val="none"/>
                    </w:rPr>
                  </w:pPr>
                  <w:r>
                    <w:rPr>
                      <w:rFonts w:hint="default"/>
                      <w:color w:val="auto"/>
                      <w:szCs w:val="21"/>
                      <w:u w:val="none"/>
                    </w:rPr>
                    <w:t>BOD</w:t>
                  </w:r>
                  <w:r>
                    <w:rPr>
                      <w:rFonts w:hint="default"/>
                      <w:color w:val="auto"/>
                      <w:szCs w:val="21"/>
                      <w:u w:val="none"/>
                      <w:vertAlign w:val="subscript"/>
                    </w:rPr>
                    <w:t>5</w:t>
                  </w:r>
                </w:p>
              </w:tc>
              <w:tc>
                <w:tcPr>
                  <w:tcW w:w="55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u w:val="none"/>
                      <w:lang w:val="en-US" w:eastAsia="zh-CN"/>
                    </w:rPr>
                  </w:pPr>
                  <w:r>
                    <w:rPr>
                      <w:rFonts w:hint="eastAsia"/>
                      <w:color w:val="auto"/>
                      <w:szCs w:val="21"/>
                      <w:u w:val="none"/>
                      <w:lang w:val="en-US" w:eastAsia="zh-CN"/>
                    </w:rPr>
                    <w:t>130</w:t>
                  </w:r>
                </w:p>
              </w:tc>
              <w:tc>
                <w:tcPr>
                  <w:tcW w:w="19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u w:val="none"/>
                      <w:lang w:val="en-US" w:eastAsia="zh-CN"/>
                    </w:rPr>
                  </w:pPr>
                  <w:r>
                    <w:rPr>
                      <w:rFonts w:hint="eastAsia"/>
                      <w:color w:val="auto"/>
                      <w:szCs w:val="21"/>
                      <w:u w:val="none"/>
                      <w:lang w:val="en-US" w:eastAsia="zh-CN"/>
                    </w:rPr>
                    <w:t>10</w:t>
                  </w:r>
                </w:p>
              </w:tc>
              <w:tc>
                <w:tcPr>
                  <w:tcW w:w="202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u w:val="none"/>
                      <w:lang w:val="en-US" w:eastAsia="zh-CN"/>
                    </w:rPr>
                  </w:pPr>
                  <w:r>
                    <w:rPr>
                      <w:rFonts w:hint="eastAsia"/>
                      <w:color w:val="auto"/>
                      <w:szCs w:val="21"/>
                      <w:u w:val="none"/>
                      <w:lang w:val="en-US" w:eastAsia="zh-CN"/>
                    </w:rPr>
                    <w:t>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color w:val="auto"/>
                      <w:szCs w:val="21"/>
                      <w:u w:val="none"/>
                    </w:rPr>
                  </w:pPr>
                  <w:r>
                    <w:rPr>
                      <w:rFonts w:hint="default"/>
                      <w:color w:val="auto"/>
                      <w:szCs w:val="21"/>
                      <w:u w:val="none"/>
                    </w:rPr>
                    <w:t>SS</w:t>
                  </w:r>
                </w:p>
              </w:tc>
              <w:tc>
                <w:tcPr>
                  <w:tcW w:w="55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u w:val="none"/>
                      <w:lang w:val="en-US" w:eastAsia="zh-CN"/>
                    </w:rPr>
                  </w:pPr>
                  <w:r>
                    <w:rPr>
                      <w:rFonts w:hint="eastAsia"/>
                      <w:color w:val="auto"/>
                      <w:szCs w:val="21"/>
                      <w:u w:val="none"/>
                      <w:lang w:val="en-US" w:eastAsia="zh-CN"/>
                    </w:rPr>
                    <w:t>200</w:t>
                  </w:r>
                </w:p>
              </w:tc>
              <w:tc>
                <w:tcPr>
                  <w:tcW w:w="19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u w:val="none"/>
                      <w:lang w:val="en-US" w:eastAsia="zh-CN"/>
                    </w:rPr>
                  </w:pPr>
                  <w:r>
                    <w:rPr>
                      <w:rFonts w:hint="eastAsia"/>
                      <w:color w:val="auto"/>
                      <w:szCs w:val="21"/>
                      <w:u w:val="none"/>
                      <w:lang w:val="en-US" w:eastAsia="zh-CN"/>
                    </w:rPr>
                    <w:t>10</w:t>
                  </w:r>
                </w:p>
              </w:tc>
              <w:tc>
                <w:tcPr>
                  <w:tcW w:w="202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color w:val="auto"/>
                      <w:szCs w:val="21"/>
                      <w:u w:val="none"/>
                      <w:lang w:val="en-US" w:eastAsia="zh-CN"/>
                    </w:rPr>
                  </w:pPr>
                  <w:r>
                    <w:rPr>
                      <w:rFonts w:hint="eastAsia"/>
                      <w:color w:val="auto"/>
                      <w:szCs w:val="21"/>
                      <w:u w:val="none"/>
                      <w:lang w:val="en-US" w:eastAsia="zh-CN"/>
                    </w:rPr>
                    <w:t>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color w:val="auto"/>
                      <w:szCs w:val="21"/>
                      <w:u w:val="none"/>
                    </w:rPr>
                  </w:pPr>
                  <w:r>
                    <w:rPr>
                      <w:rFonts w:hint="default"/>
                      <w:color w:val="auto"/>
                      <w:szCs w:val="21"/>
                      <w:u w:val="none"/>
                    </w:rPr>
                    <w:t>NH</w:t>
                  </w:r>
                  <w:r>
                    <w:rPr>
                      <w:rFonts w:hint="default"/>
                      <w:color w:val="auto"/>
                      <w:szCs w:val="21"/>
                      <w:u w:val="none"/>
                      <w:vertAlign w:val="subscript"/>
                    </w:rPr>
                    <w:t>3</w:t>
                  </w:r>
                  <w:r>
                    <w:rPr>
                      <w:rFonts w:hint="default"/>
                      <w:color w:val="auto"/>
                      <w:szCs w:val="21"/>
                      <w:u w:val="none"/>
                    </w:rPr>
                    <w:t>-N</w:t>
                  </w:r>
                </w:p>
              </w:tc>
              <w:tc>
                <w:tcPr>
                  <w:tcW w:w="55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u w:val="none"/>
                      <w:lang w:val="en-US" w:eastAsia="zh-CN"/>
                    </w:rPr>
                  </w:pPr>
                  <w:r>
                    <w:rPr>
                      <w:rFonts w:hint="eastAsia"/>
                      <w:color w:val="auto"/>
                      <w:szCs w:val="21"/>
                      <w:u w:val="none"/>
                      <w:lang w:val="en-US" w:eastAsia="zh-CN"/>
                    </w:rPr>
                    <w:t>25</w:t>
                  </w:r>
                </w:p>
              </w:tc>
              <w:tc>
                <w:tcPr>
                  <w:tcW w:w="19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u w:val="none"/>
                      <w:lang w:val="en-US" w:eastAsia="zh-CN"/>
                    </w:rPr>
                  </w:pPr>
                  <w:r>
                    <w:rPr>
                      <w:rFonts w:hint="eastAsia"/>
                      <w:color w:val="auto"/>
                      <w:sz w:val="21"/>
                      <w:szCs w:val="21"/>
                    </w:rPr>
                    <w:t>5(8)</w:t>
                  </w:r>
                </w:p>
              </w:tc>
              <w:tc>
                <w:tcPr>
                  <w:tcW w:w="202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u w:val="none"/>
                      <w:lang w:val="en-US" w:eastAsia="zh-CN"/>
                    </w:rPr>
                  </w:pPr>
                  <w:r>
                    <w:rPr>
                      <w:rFonts w:hint="eastAsia"/>
                      <w:color w:val="auto"/>
                      <w:szCs w:val="21"/>
                      <w:u w:val="none"/>
                      <w:lang w:val="en-US" w:eastAsia="zh-CN"/>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108" w:type="dxa"/>
                  <w:bottom w:w="0" w:type="dxa"/>
                  <w:right w:w="108" w:type="dxa"/>
                </w:tblCellMar>
              </w:tblPrEx>
              <w:trPr>
                <w:jc w:val="center"/>
              </w:trPr>
              <w:tc>
                <w:tcPr>
                  <w:tcW w:w="5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color w:val="auto"/>
                      <w:szCs w:val="21"/>
                      <w:u w:val="none"/>
                    </w:rPr>
                  </w:pPr>
                  <w:r>
                    <w:rPr>
                      <w:rFonts w:hint="default"/>
                      <w:color w:val="auto"/>
                      <w:szCs w:val="21"/>
                      <w:u w:val="none"/>
                    </w:rPr>
                    <w:t>TN</w:t>
                  </w:r>
                </w:p>
              </w:tc>
              <w:tc>
                <w:tcPr>
                  <w:tcW w:w="55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u w:val="none"/>
                      <w:lang w:val="en-US" w:eastAsia="zh-CN"/>
                    </w:rPr>
                  </w:pPr>
                  <w:r>
                    <w:rPr>
                      <w:rFonts w:hint="eastAsia"/>
                      <w:color w:val="auto"/>
                      <w:szCs w:val="21"/>
                      <w:u w:val="none"/>
                      <w:lang w:val="en-US" w:eastAsia="zh-CN"/>
                    </w:rPr>
                    <w:t>35</w:t>
                  </w:r>
                </w:p>
              </w:tc>
              <w:tc>
                <w:tcPr>
                  <w:tcW w:w="19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u w:val="none"/>
                      <w:lang w:val="en-US" w:eastAsia="zh-CN"/>
                    </w:rPr>
                  </w:pPr>
                  <w:r>
                    <w:rPr>
                      <w:rFonts w:hint="eastAsia"/>
                      <w:color w:val="auto"/>
                      <w:szCs w:val="21"/>
                      <w:u w:val="none"/>
                      <w:lang w:val="en-US" w:eastAsia="zh-CN"/>
                    </w:rPr>
                    <w:t>15</w:t>
                  </w:r>
                </w:p>
              </w:tc>
              <w:tc>
                <w:tcPr>
                  <w:tcW w:w="202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u w:val="none"/>
                      <w:lang w:val="en-US" w:eastAsia="zh-CN"/>
                    </w:rPr>
                  </w:pPr>
                  <w:r>
                    <w:rPr>
                      <w:rFonts w:hint="eastAsia"/>
                      <w:color w:val="auto"/>
                      <w:szCs w:val="21"/>
                      <w:u w:val="none"/>
                      <w:lang w:val="en-US" w:eastAsia="zh-CN"/>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5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color w:val="auto"/>
                      <w:szCs w:val="21"/>
                      <w:u w:val="none"/>
                    </w:rPr>
                  </w:pPr>
                  <w:r>
                    <w:rPr>
                      <w:rFonts w:hint="default"/>
                      <w:color w:val="auto"/>
                      <w:szCs w:val="21"/>
                      <w:u w:val="none"/>
                    </w:rPr>
                    <w:t>TP</w:t>
                  </w:r>
                </w:p>
              </w:tc>
              <w:tc>
                <w:tcPr>
                  <w:tcW w:w="55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u w:val="none"/>
                      <w:lang w:val="en-US" w:eastAsia="zh-CN"/>
                    </w:rPr>
                  </w:pPr>
                  <w:r>
                    <w:rPr>
                      <w:rFonts w:hint="eastAsia"/>
                      <w:color w:val="auto"/>
                      <w:szCs w:val="21"/>
                      <w:u w:val="none"/>
                      <w:lang w:val="en-US" w:eastAsia="zh-CN"/>
                    </w:rPr>
                    <w:t>4.0</w:t>
                  </w:r>
                </w:p>
              </w:tc>
              <w:tc>
                <w:tcPr>
                  <w:tcW w:w="191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u w:val="none"/>
                      <w:lang w:val="en-US" w:eastAsia="zh-CN"/>
                    </w:rPr>
                  </w:pPr>
                  <w:r>
                    <w:rPr>
                      <w:rFonts w:hint="eastAsia"/>
                      <w:color w:val="auto"/>
                      <w:szCs w:val="21"/>
                      <w:u w:val="none"/>
                      <w:lang w:val="en-US" w:eastAsia="zh-CN"/>
                    </w:rPr>
                    <w:t>0.5</w:t>
                  </w:r>
                </w:p>
              </w:tc>
              <w:tc>
                <w:tcPr>
                  <w:tcW w:w="2023"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eastAsia="宋体"/>
                      <w:color w:val="auto"/>
                      <w:szCs w:val="21"/>
                      <w:u w:val="none"/>
                      <w:lang w:val="en-US" w:eastAsia="zh-CN"/>
                    </w:rPr>
                  </w:pPr>
                  <w:r>
                    <w:rPr>
                      <w:rFonts w:hint="eastAsia"/>
                      <w:color w:val="auto"/>
                      <w:szCs w:val="21"/>
                      <w:u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58" w:type="pct"/>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color w:val="auto"/>
                      <w:szCs w:val="21"/>
                      <w:u w:val="none"/>
                    </w:rPr>
                  </w:pPr>
                  <w:r>
                    <w:rPr>
                      <w:rFonts w:hint="eastAsia"/>
                      <w:color w:val="auto"/>
                      <w:szCs w:val="21"/>
                      <w:u w:val="none"/>
                    </w:rPr>
                    <w:t>执行标准</w:t>
                  </w:r>
                </w:p>
              </w:tc>
              <w:tc>
                <w:tcPr>
                  <w:tcW w:w="1917"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eastAsia="宋体"/>
                      <w:color w:val="auto"/>
                      <w:szCs w:val="21"/>
                      <w:u w:val="none"/>
                      <w:lang w:val="en-US" w:eastAsia="zh-CN"/>
                    </w:rPr>
                  </w:pPr>
                  <w:r>
                    <w:rPr>
                      <w:rFonts w:hint="eastAsia"/>
                      <w:color w:val="auto"/>
                      <w:szCs w:val="21"/>
                      <w:u w:val="none"/>
                    </w:rPr>
                    <w:t>城镇污水处理厂污染物排放标准（GB18918-2002）</w:t>
                  </w:r>
                </w:p>
              </w:tc>
              <w:tc>
                <w:tcPr>
                  <w:tcW w:w="2023"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color w:val="auto"/>
                      <w:szCs w:val="21"/>
                      <w:u w:val="none"/>
                    </w:rPr>
                  </w:pPr>
                  <w:r>
                    <w:rPr>
                      <w:rFonts w:hint="eastAsia"/>
                      <w:color w:val="auto"/>
                      <w:szCs w:val="21"/>
                      <w:u w:val="none"/>
                    </w:rPr>
                    <w:t>《污水综合排放标准》（GB8978-1996）三级排放标准及新田县南部新城工业园污水处理厂进水水质要求</w:t>
                  </w:r>
                </w:p>
              </w:tc>
            </w:tr>
          </w:tbl>
          <w:p>
            <w:pPr>
              <w:keepNext w:val="0"/>
              <w:keepLines w:val="0"/>
              <w:numPr>
                <w:ilvl w:val="0"/>
                <w:numId w:val="0"/>
              </w:numPr>
              <w:suppressLineNumbers w:val="0"/>
              <w:spacing w:before="0" w:beforeAutospacing="0" w:after="0" w:afterAutospacing="0"/>
              <w:ind w:left="0" w:right="0"/>
              <w:rPr>
                <w:rFonts w:hint="default"/>
                <w:color w:val="auto"/>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1" w:hRule="atLeast"/>
          <w:jc w:val="center"/>
        </w:trPr>
        <w:tc>
          <w:tcPr>
            <w:tcW w:w="831" w:type="dxa"/>
            <w:noWrap w:val="0"/>
            <w:vAlign w:val="center"/>
          </w:tcPr>
          <w:p>
            <w:pPr>
              <w:pStyle w:val="25"/>
              <w:keepNext w:val="0"/>
              <w:keepLines w:val="0"/>
              <w:suppressLineNumbers w:val="0"/>
              <w:adjustRightInd w:val="0"/>
              <w:snapToGrid w:val="0"/>
              <w:spacing w:before="0" w:beforeAutospacing="0" w:after="0" w:afterAutospacing="0"/>
              <w:ind w:left="0" w:right="0"/>
              <w:jc w:val="center"/>
              <w:rPr>
                <w:rFonts w:hint="default" w:ascii="Times New Roman" w:hAnsi="Times New Roman" w:cs="宋体"/>
                <w:color w:val="auto"/>
                <w:sz w:val="21"/>
                <w:szCs w:val="21"/>
              </w:rPr>
            </w:pPr>
            <w:r>
              <w:rPr>
                <w:rFonts w:hint="eastAsia" w:ascii="Times New Roman" w:hAnsi="Times New Roman" w:cs="宋体"/>
                <w:color w:val="auto"/>
                <w:sz w:val="21"/>
                <w:szCs w:val="21"/>
              </w:rPr>
              <w:t>工艺流程和产排污环节</w:t>
            </w:r>
          </w:p>
        </w:tc>
        <w:tc>
          <w:tcPr>
            <w:tcW w:w="8240" w:type="dxa"/>
            <w:noWrap w:val="0"/>
            <w:vAlign w:val="top"/>
          </w:tcPr>
          <w:p>
            <w:pPr>
              <w:keepNext w:val="0"/>
              <w:keepLines w:val="0"/>
              <w:suppressLineNumbers w:val="0"/>
              <w:spacing w:before="0" w:beforeAutospacing="0" w:after="0" w:afterAutospacing="0" w:line="360" w:lineRule="auto"/>
              <w:ind w:left="0" w:right="0" w:firstLine="480" w:firstLineChars="200"/>
              <w:jc w:val="left"/>
              <w:rPr>
                <w:rFonts w:hint="eastAsia"/>
                <w:bCs/>
                <w:color w:val="auto"/>
                <w:sz w:val="24"/>
              </w:rPr>
            </w:pPr>
            <w:r>
              <w:rPr>
                <w:rFonts w:hint="eastAsia"/>
                <w:bCs/>
                <w:color w:val="auto"/>
                <w:sz w:val="24"/>
              </w:rPr>
              <w:t>污染影响时段主要为施工期和运营期，其基本工序及污染工艺流程，如下图所示：</w:t>
            </w:r>
          </w:p>
          <w:p>
            <w:pPr>
              <w:keepNext w:val="0"/>
              <w:keepLines w:val="0"/>
              <w:suppressLineNumbers w:val="0"/>
              <w:spacing w:before="0" w:beforeAutospacing="0" w:after="0" w:afterAutospacing="0" w:line="360" w:lineRule="auto"/>
              <w:ind w:left="0" w:right="0"/>
              <w:jc w:val="left"/>
              <w:rPr>
                <w:rFonts w:hint="eastAsia"/>
                <w:b/>
                <w:color w:val="auto"/>
                <w:sz w:val="24"/>
              </w:rPr>
            </w:pPr>
            <w:r>
              <w:rPr>
                <w:rFonts w:hint="eastAsia"/>
                <w:b/>
                <w:color w:val="auto"/>
                <w:sz w:val="24"/>
              </w:rPr>
              <w:t>一、施工期工艺流程和产排污环节</w:t>
            </w:r>
          </w:p>
          <w:p>
            <w:pPr>
              <w:keepNext w:val="0"/>
              <w:keepLines w:val="0"/>
              <w:suppressLineNumbers w:val="0"/>
              <w:spacing w:before="0" w:beforeAutospacing="0" w:after="0" w:afterAutospacing="0" w:line="360" w:lineRule="auto"/>
              <w:ind w:left="0" w:right="0" w:firstLine="480" w:firstLineChars="200"/>
              <w:jc w:val="left"/>
              <w:rPr>
                <w:rFonts w:hint="eastAsia"/>
                <w:bCs/>
                <w:color w:val="auto"/>
                <w:sz w:val="24"/>
              </w:rPr>
            </w:pPr>
            <w:r>
              <w:rPr>
                <w:rFonts w:hint="eastAsia"/>
                <w:bCs/>
                <w:color w:val="auto"/>
                <w:sz w:val="24"/>
              </w:rPr>
              <w:t>本项目为新建项目，</w:t>
            </w:r>
            <w:r>
              <w:rPr>
                <w:rFonts w:hint="eastAsia"/>
                <w:bCs/>
                <w:color w:val="auto"/>
                <w:sz w:val="24"/>
                <w:lang w:val="en-US" w:eastAsia="zh-CN"/>
              </w:rPr>
              <w:t>主要新建污水处理单元土建工程及进行设备安装</w:t>
            </w:r>
            <w:r>
              <w:rPr>
                <w:rFonts w:hint="eastAsia"/>
                <w:bCs/>
                <w:color w:val="auto"/>
                <w:sz w:val="24"/>
              </w:rPr>
              <w:t>，施工期主要工程流程如下图2-1所示。</w:t>
            </w:r>
          </w:p>
          <w:p>
            <w:pPr>
              <w:pStyle w:val="10"/>
              <w:keepNext w:val="0"/>
              <w:keepLines w:val="0"/>
              <w:suppressLineNumbers w:val="0"/>
              <w:spacing w:beforeAutospacing="0" w:afterAutospacing="0"/>
              <w:ind w:left="0"/>
              <w:jc w:val="center"/>
              <w:rPr>
                <w:rFonts w:hint="eastAsia"/>
                <w:color w:val="auto"/>
              </w:rPr>
            </w:pPr>
            <w:r>
              <w:rPr>
                <w:rFonts w:hint="default"/>
                <w:color w:val="auto"/>
                <w:szCs w:val="18"/>
              </w:rPr>
              <mc:AlternateContent>
                <mc:Choice Requires="wpc">
                  <w:drawing>
                    <wp:inline distT="0" distB="0" distL="114300" distR="114300">
                      <wp:extent cx="5058410" cy="1459230"/>
                      <wp:effectExtent l="0" t="0" r="8890" b="6985"/>
                      <wp:docPr id="137" name="画布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1" name="矩形 17"/>
                              <wps:cNvSpPr/>
                              <wps:spPr>
                                <a:xfrm>
                                  <a:off x="40015" y="1170814"/>
                                  <a:ext cx="647863" cy="252205"/>
                                </a:xfrm>
                                <a:prstGeom prst="rect">
                                  <a:avLst/>
                                </a:prstGeom>
                                <a:solidFill>
                                  <a:srgbClr val="D9D9D9">
                                    <a:alpha val="39999"/>
                                  </a:srgbClr>
                                </a:solidFill>
                                <a:ln w="12700" cap="flat" cmpd="sng">
                                  <a:solidFill>
                                    <a:srgbClr val="000001"/>
                                  </a:solidFill>
                                  <a:prstDash val="solid"/>
                                  <a:miter/>
                                  <a:headEnd type="none" w="med" len="med"/>
                                  <a:tailEnd type="none" w="med" len="med"/>
                                </a:ln>
                              </wps:spPr>
                              <wps:txbx>
                                <w:txbxContent>
                                  <w:p>
                                    <w:pPr>
                                      <w:jc w:val="center"/>
                                      <w:rPr>
                                        <w:sz w:val="18"/>
                                        <w:szCs w:val="18"/>
                                      </w:rPr>
                                    </w:pPr>
                                    <w:r>
                                      <w:rPr>
                                        <w:rFonts w:hint="eastAsia"/>
                                        <w:sz w:val="18"/>
                                        <w:szCs w:val="18"/>
                                      </w:rPr>
                                      <w:t>土地平整</w:t>
                                    </w:r>
                                  </w:p>
                                </w:txbxContent>
                              </wps:txbx>
                              <wps:bodyPr wrap="square" lIns="0" tIns="18000" rIns="0" bIns="45720" upright="1"/>
                            </wps:wsp>
                            <wps:wsp>
                              <wps:cNvPr id="122" name="自选图形 37"/>
                              <wps:cNvCnPr/>
                              <wps:spPr>
                                <a:xfrm rot="-5400000">
                                  <a:off x="858736" y="1090770"/>
                                  <a:ext cx="635" cy="360202"/>
                                </a:xfrm>
                                <a:prstGeom prst="straightConnector1">
                                  <a:avLst/>
                                </a:prstGeom>
                                <a:ln w="6350" cap="flat" cmpd="sng">
                                  <a:solidFill>
                                    <a:srgbClr val="000001"/>
                                  </a:solidFill>
                                  <a:prstDash val="solid"/>
                                  <a:headEnd type="none" w="med" len="med"/>
                                  <a:tailEnd type="triangle" w="med" len="med"/>
                                </a:ln>
                              </wps:spPr>
                              <wps:bodyPr wrap="square" upright="1"/>
                            </wps:wsp>
                            <wps:wsp>
                              <wps:cNvPr id="123" name="自选图形 37"/>
                              <wps:cNvCnPr/>
                              <wps:spPr>
                                <a:xfrm>
                                  <a:off x="374109" y="800448"/>
                                  <a:ext cx="3030981" cy="0"/>
                                </a:xfrm>
                                <a:prstGeom prst="straightConnector1">
                                  <a:avLst/>
                                </a:prstGeom>
                                <a:ln w="6350" cap="flat" cmpd="sng">
                                  <a:solidFill>
                                    <a:srgbClr val="000001"/>
                                  </a:solidFill>
                                  <a:prstDash val="solid"/>
                                  <a:headEnd type="none" w="med" len="med"/>
                                  <a:tailEnd type="none" w="med" len="med"/>
                                </a:ln>
                              </wps:spPr>
                              <wps:bodyPr wrap="square" upright="1"/>
                            </wps:wsp>
                            <wps:wsp>
                              <wps:cNvPr id="124" name="自选图形 37"/>
                              <wps:cNvCnPr/>
                              <wps:spPr>
                                <a:xfrm rot="-5400000">
                                  <a:off x="185467" y="963079"/>
                                  <a:ext cx="360135" cy="635"/>
                                </a:xfrm>
                                <a:prstGeom prst="straightConnector1">
                                  <a:avLst/>
                                </a:prstGeom>
                                <a:ln w="6350" cap="flat" cmpd="sng">
                                  <a:solidFill>
                                    <a:srgbClr val="000001"/>
                                  </a:solidFill>
                                  <a:prstDash val="dash"/>
                                  <a:headEnd type="none" w="med" len="med"/>
                                  <a:tailEnd type="triangle" w="med" len="med"/>
                                </a:ln>
                              </wps:spPr>
                              <wps:bodyPr wrap="square" upright="1"/>
                            </wps:wsp>
                            <wps:wsp>
                              <wps:cNvPr id="125" name="矩形 17"/>
                              <wps:cNvSpPr/>
                              <wps:spPr>
                                <a:xfrm>
                                  <a:off x="541791" y="97833"/>
                                  <a:ext cx="2736902" cy="252205"/>
                                </a:xfrm>
                                <a:prstGeom prst="rect">
                                  <a:avLst/>
                                </a:prstGeom>
                                <a:noFill/>
                                <a:ln w="12700" cap="flat" cmpd="sng">
                                  <a:solidFill>
                                    <a:srgbClr val="000001"/>
                                  </a:solidFill>
                                  <a:prstDash val="dash"/>
                                  <a:miter/>
                                  <a:headEnd type="none" w="med" len="med"/>
                                  <a:tailEnd type="none" w="med" len="med"/>
                                </a:ln>
                              </wps:spPr>
                              <wps:txbx>
                                <w:txbxContent>
                                  <w:p>
                                    <w:pPr>
                                      <w:jc w:val="center"/>
                                      <w:rPr>
                                        <w:sz w:val="18"/>
                                        <w:szCs w:val="18"/>
                                      </w:rPr>
                                    </w:pPr>
                                    <w:r>
                                      <w:rPr>
                                        <w:rFonts w:hint="eastAsia"/>
                                        <w:sz w:val="18"/>
                                        <w:szCs w:val="18"/>
                                      </w:rPr>
                                      <w:t>施工扬尘、机械噪声、装修废气、生活污水</w:t>
                                    </w:r>
                                  </w:p>
                                </w:txbxContent>
                              </wps:txbx>
                              <wps:bodyPr wrap="square" lIns="0" tIns="36000" rIns="0" bIns="45720" upright="1"/>
                            </wps:wsp>
                            <wps:wsp>
                              <wps:cNvPr id="126" name="矩形 17"/>
                              <wps:cNvSpPr/>
                              <wps:spPr>
                                <a:xfrm>
                                  <a:off x="1059446" y="1151756"/>
                                  <a:ext cx="647863" cy="252205"/>
                                </a:xfrm>
                                <a:prstGeom prst="rect">
                                  <a:avLst/>
                                </a:prstGeom>
                                <a:solidFill>
                                  <a:srgbClr val="D9D9D9">
                                    <a:alpha val="39999"/>
                                  </a:srgbClr>
                                </a:solidFill>
                                <a:ln w="12700" cap="flat" cmpd="sng">
                                  <a:solidFill>
                                    <a:srgbClr val="000001"/>
                                  </a:solidFill>
                                  <a:prstDash val="solid"/>
                                  <a:miter/>
                                  <a:headEnd type="none" w="med" len="med"/>
                                  <a:tailEnd type="none" w="med" len="med"/>
                                </a:ln>
                              </wps:spPr>
                              <wps:txbx>
                                <w:txbxContent>
                                  <w:p>
                                    <w:pPr>
                                      <w:jc w:val="center"/>
                                      <w:rPr>
                                        <w:sz w:val="18"/>
                                        <w:szCs w:val="18"/>
                                      </w:rPr>
                                    </w:pPr>
                                    <w:r>
                                      <w:rPr>
                                        <w:rFonts w:hint="eastAsia"/>
                                        <w:sz w:val="18"/>
                                        <w:szCs w:val="18"/>
                                      </w:rPr>
                                      <w:t>基础工程</w:t>
                                    </w:r>
                                  </w:p>
                                </w:txbxContent>
                              </wps:txbx>
                              <wps:bodyPr wrap="square" lIns="0" tIns="18000" rIns="0" bIns="45720" upright="1"/>
                            </wps:wsp>
                            <wps:wsp>
                              <wps:cNvPr id="127" name="自选图形 37"/>
                              <wps:cNvCnPr/>
                              <wps:spPr>
                                <a:xfrm rot="-5400000">
                                  <a:off x="1878167" y="1081241"/>
                                  <a:ext cx="635" cy="360202"/>
                                </a:xfrm>
                                <a:prstGeom prst="straightConnector1">
                                  <a:avLst/>
                                </a:prstGeom>
                                <a:ln w="6350" cap="flat" cmpd="sng">
                                  <a:solidFill>
                                    <a:srgbClr val="000001"/>
                                  </a:solidFill>
                                  <a:prstDash val="solid"/>
                                  <a:headEnd type="none" w="med" len="med"/>
                                  <a:tailEnd type="triangle" w="med" len="med"/>
                                </a:ln>
                              </wps:spPr>
                              <wps:bodyPr wrap="square" upright="1"/>
                            </wps:wsp>
                            <wps:wsp>
                              <wps:cNvPr id="128" name="矩形 17"/>
                              <wps:cNvSpPr/>
                              <wps:spPr>
                                <a:xfrm>
                                  <a:off x="2078877" y="1151756"/>
                                  <a:ext cx="647863" cy="252205"/>
                                </a:xfrm>
                                <a:prstGeom prst="rect">
                                  <a:avLst/>
                                </a:prstGeom>
                                <a:solidFill>
                                  <a:srgbClr val="D9D9D9">
                                    <a:alpha val="39999"/>
                                  </a:srgbClr>
                                </a:solidFill>
                                <a:ln w="12700" cap="flat" cmpd="sng">
                                  <a:solidFill>
                                    <a:srgbClr val="000001"/>
                                  </a:solidFill>
                                  <a:prstDash val="solid"/>
                                  <a:miter/>
                                  <a:headEnd type="none" w="med" len="med"/>
                                  <a:tailEnd type="none" w="med" len="med"/>
                                </a:ln>
                              </wps:spPr>
                              <wps:txbx>
                                <w:txbxContent>
                                  <w:p>
                                    <w:pPr>
                                      <w:jc w:val="center"/>
                                      <w:rPr>
                                        <w:sz w:val="18"/>
                                        <w:szCs w:val="18"/>
                                      </w:rPr>
                                    </w:pPr>
                                    <w:r>
                                      <w:rPr>
                                        <w:rFonts w:hint="eastAsia"/>
                                        <w:sz w:val="18"/>
                                        <w:szCs w:val="18"/>
                                      </w:rPr>
                                      <w:t>主体工程</w:t>
                                    </w:r>
                                  </w:p>
                                </w:txbxContent>
                              </wps:txbx>
                              <wps:bodyPr wrap="square" lIns="0" tIns="18000" rIns="0" bIns="45720" upright="1"/>
                            </wps:wsp>
                            <wps:wsp>
                              <wps:cNvPr id="129" name="矩形 17"/>
                              <wps:cNvSpPr/>
                              <wps:spPr>
                                <a:xfrm>
                                  <a:off x="4083440" y="1151756"/>
                                  <a:ext cx="900021" cy="252205"/>
                                </a:xfrm>
                                <a:prstGeom prst="rect">
                                  <a:avLst/>
                                </a:prstGeom>
                                <a:solidFill>
                                  <a:srgbClr val="D9D9D9">
                                    <a:alpha val="39999"/>
                                  </a:srgbClr>
                                </a:solidFill>
                                <a:ln w="12700" cap="flat" cmpd="sng">
                                  <a:solidFill>
                                    <a:srgbClr val="000001"/>
                                  </a:solidFill>
                                  <a:prstDash val="solid"/>
                                  <a:miter/>
                                  <a:headEnd type="none" w="med" len="med"/>
                                  <a:tailEnd type="none" w="med" len="med"/>
                                </a:ln>
                              </wps:spPr>
                              <wps:txbx>
                                <w:txbxContent>
                                  <w:p>
                                    <w:pPr>
                                      <w:jc w:val="center"/>
                                      <w:rPr>
                                        <w:sz w:val="18"/>
                                        <w:szCs w:val="18"/>
                                      </w:rPr>
                                    </w:pPr>
                                    <w:r>
                                      <w:rPr>
                                        <w:rFonts w:hint="eastAsia"/>
                                        <w:sz w:val="18"/>
                                        <w:szCs w:val="18"/>
                                      </w:rPr>
                                      <w:t>验收、投入使用</w:t>
                                    </w:r>
                                  </w:p>
                                </w:txbxContent>
                              </wps:txbx>
                              <wps:bodyPr wrap="square" lIns="0" tIns="18000" rIns="0" bIns="36000" upright="1"/>
                            </wps:wsp>
                            <wps:wsp>
                              <wps:cNvPr id="130" name="自选图形 37"/>
                              <wps:cNvCnPr/>
                              <wps:spPr>
                                <a:xfrm flipV="1">
                                  <a:off x="1930250" y="386248"/>
                                  <a:ext cx="1905" cy="425635"/>
                                </a:xfrm>
                                <a:prstGeom prst="straightConnector1">
                                  <a:avLst/>
                                </a:prstGeom>
                                <a:ln w="6350" cap="flat" cmpd="sng">
                                  <a:solidFill>
                                    <a:srgbClr val="000001"/>
                                  </a:solidFill>
                                  <a:prstDash val="dash"/>
                                  <a:headEnd type="none" w="med" len="med"/>
                                  <a:tailEnd type="triangle" w="med" len="med"/>
                                </a:ln>
                              </wps:spPr>
                              <wps:bodyPr wrap="square" upright="1"/>
                            </wps:wsp>
                            <wps:wsp>
                              <wps:cNvPr id="131" name="自选图形 37"/>
                              <wps:cNvCnPr/>
                              <wps:spPr>
                                <a:xfrm rot="-5400000">
                                  <a:off x="2210355" y="953550"/>
                                  <a:ext cx="359500" cy="635"/>
                                </a:xfrm>
                                <a:prstGeom prst="straightConnector1">
                                  <a:avLst/>
                                </a:prstGeom>
                                <a:ln w="6350" cap="flat" cmpd="sng">
                                  <a:solidFill>
                                    <a:srgbClr val="000001"/>
                                  </a:solidFill>
                                  <a:prstDash val="dash"/>
                                  <a:headEnd type="none" w="med" len="med"/>
                                  <a:tailEnd type="triangle" w="med" len="med"/>
                                </a:ln>
                              </wps:spPr>
                              <wps:bodyPr wrap="square" upright="1"/>
                            </wps:wsp>
                            <wps:wsp>
                              <wps:cNvPr id="132" name="矩形 17"/>
                              <wps:cNvSpPr/>
                              <wps:spPr>
                                <a:xfrm>
                                  <a:off x="3075442" y="1160650"/>
                                  <a:ext cx="647863" cy="252205"/>
                                </a:xfrm>
                                <a:prstGeom prst="rect">
                                  <a:avLst/>
                                </a:prstGeom>
                                <a:solidFill>
                                  <a:srgbClr val="D9D9D9">
                                    <a:alpha val="39999"/>
                                  </a:srgbClr>
                                </a:solidFill>
                                <a:ln w="12700" cap="flat" cmpd="sng">
                                  <a:solidFill>
                                    <a:srgbClr val="000001"/>
                                  </a:solidFill>
                                  <a:prstDash val="solid"/>
                                  <a:miter/>
                                  <a:headEnd type="none" w="med" len="med"/>
                                  <a:tailEnd type="none" w="med" len="med"/>
                                </a:ln>
                              </wps:spPr>
                              <wps:txbx>
                                <w:txbxContent>
                                  <w:p>
                                    <w:pPr>
                                      <w:jc w:val="center"/>
                                      <w:rPr>
                                        <w:sz w:val="18"/>
                                        <w:szCs w:val="18"/>
                                      </w:rPr>
                                    </w:pPr>
                                    <w:r>
                                      <w:rPr>
                                        <w:rFonts w:hint="eastAsia"/>
                                        <w:sz w:val="18"/>
                                        <w:szCs w:val="18"/>
                                      </w:rPr>
                                      <w:t>设备安装</w:t>
                                    </w:r>
                                  </w:p>
                                </w:txbxContent>
                              </wps:txbx>
                              <wps:bodyPr wrap="square" lIns="0" tIns="18000" rIns="0" bIns="45720" upright="1"/>
                            </wps:wsp>
                            <wps:wsp>
                              <wps:cNvPr id="133" name="自选图形 37"/>
                              <wps:cNvCnPr/>
                              <wps:spPr>
                                <a:xfrm rot="-5400000">
                                  <a:off x="2902044" y="1107287"/>
                                  <a:ext cx="0" cy="359566"/>
                                </a:xfrm>
                                <a:prstGeom prst="straightConnector1">
                                  <a:avLst/>
                                </a:prstGeom>
                                <a:ln w="6350" cap="flat" cmpd="sng">
                                  <a:solidFill>
                                    <a:srgbClr val="000001"/>
                                  </a:solidFill>
                                  <a:prstDash val="solid"/>
                                  <a:headEnd type="none" w="med" len="med"/>
                                  <a:tailEnd type="triangle" w="med" len="med"/>
                                </a:ln>
                              </wps:spPr>
                              <wps:bodyPr wrap="square" upright="1"/>
                            </wps:wsp>
                            <wps:wsp>
                              <wps:cNvPr id="134" name="自选图形 37"/>
                              <wps:cNvCnPr/>
                              <wps:spPr>
                                <a:xfrm rot="-5400000">
                                  <a:off x="3885270" y="1081241"/>
                                  <a:ext cx="0" cy="360202"/>
                                </a:xfrm>
                                <a:prstGeom prst="straightConnector1">
                                  <a:avLst/>
                                </a:prstGeom>
                                <a:ln w="6350" cap="flat" cmpd="sng">
                                  <a:solidFill>
                                    <a:srgbClr val="000001"/>
                                  </a:solidFill>
                                  <a:prstDash val="solid"/>
                                  <a:headEnd type="none" w="med" len="med"/>
                                  <a:tailEnd type="triangle" w="med" len="med"/>
                                </a:ln>
                              </wps:spPr>
                              <wps:bodyPr wrap="square" upright="1"/>
                            </wps:wsp>
                            <wps:wsp>
                              <wps:cNvPr id="135" name="自选图形 37"/>
                              <wps:cNvCnPr/>
                              <wps:spPr>
                                <a:xfrm rot="-5400000">
                                  <a:off x="1210614" y="970067"/>
                                  <a:ext cx="355689" cy="0"/>
                                </a:xfrm>
                                <a:prstGeom prst="straightConnector1">
                                  <a:avLst/>
                                </a:prstGeom>
                                <a:ln w="6350" cap="flat" cmpd="sng">
                                  <a:solidFill>
                                    <a:srgbClr val="000001"/>
                                  </a:solidFill>
                                  <a:prstDash val="dash"/>
                                  <a:headEnd type="none" w="med" len="med"/>
                                  <a:tailEnd type="triangle" w="med" len="med"/>
                                </a:ln>
                              </wps:spPr>
                              <wps:bodyPr wrap="square" upright="1"/>
                            </wps:wsp>
                            <wps:wsp>
                              <wps:cNvPr id="136" name="自选图形 37"/>
                              <wps:cNvCnPr/>
                              <wps:spPr>
                                <a:xfrm rot="-5400000">
                                  <a:off x="3219623" y="979596"/>
                                  <a:ext cx="355689" cy="0"/>
                                </a:xfrm>
                                <a:prstGeom prst="straightConnector1">
                                  <a:avLst/>
                                </a:prstGeom>
                                <a:ln w="6350" cap="flat" cmpd="sng">
                                  <a:solidFill>
                                    <a:srgbClr val="000001"/>
                                  </a:solidFill>
                                  <a:prstDash val="dash"/>
                                  <a:headEnd type="none" w="med" len="med"/>
                                  <a:tailEnd type="triangle" w="med" len="med"/>
                                </a:ln>
                              </wps:spPr>
                              <wps:bodyPr wrap="square" upright="1"/>
                            </wps:wsp>
                          </wpc:wpc>
                        </a:graphicData>
                      </a:graphic>
                    </wp:inline>
                  </w:drawing>
                </mc:Choice>
                <mc:Fallback>
                  <w:pict>
                    <v:group id="画布 7" o:spid="_x0000_s1026" o:spt="203" style="height:114.9pt;width:398.3pt;" coordsize="5058410,1459230" editas="canvas" o:gfxdata="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">
                      <o:lock v:ext="edit" aspectratio="f"/>
                      <v:shape id="画布 7" o:spid="_x0000_s1026" style="position:absolute;left:0;top:0;height:1459230;width:5058410;" filled="f" stroked="f" coordsize="21600,21600" o:gfxdata="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">
                        <v:fill on="f" focussize="0,0"/>
                        <v:stroke on="f"/>
                        <v:imagedata o:title=""/>
                        <o:lock v:ext="edit" aspectratio="t"/>
                      </v:shape>
                      <v:rect id="矩形 17" o:spid="_x0000_s1026" o:spt="1" style="position:absolute;left:40015;top:1170814;height:252205;width:647863;" fillcolor="#D9D9D9" filled="t" stroked="t" coordsize="21600,21600" o:gfxdata="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&#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ArDin1wAAAAUBAAAPAAAAAAAAAAEAIAAAACIAAABk&#10;cnMvZG93bnJldi54bWxQSwECFAAUAAAACACHTuJAB3DC/EACAACRBAAADgAAAAAAAAABACAAAAAm&#10;AQAAZHJzL2Uyb0RvYy54bWxQSwUGAAAAAAYABgBZAQAA2AUAAAAA&#10;">
                        <v:fill on="t" opacity="26213f" focussize="0,0"/>
                        <v:stroke weight="1pt" color="#000001" joinstyle="miter"/>
                        <v:imagedata o:title=""/>
                        <o:lock v:ext="edit" aspectratio="f"/>
                        <v:textbox inset="0mm,0.5mm,0mm,1.27mm">
                          <w:txbxContent>
                            <w:p>
                              <w:pPr>
                                <w:jc w:val="center"/>
                                <w:rPr>
                                  <w:sz w:val="18"/>
                                  <w:szCs w:val="18"/>
                                </w:rPr>
                              </w:pPr>
                              <w:r>
                                <w:rPr>
                                  <w:rFonts w:hint="eastAsia"/>
                                  <w:sz w:val="18"/>
                                  <w:szCs w:val="18"/>
                                </w:rPr>
                                <w:t>土地平整</w:t>
                              </w:r>
                            </w:p>
                          </w:txbxContent>
                        </v:textbox>
                      </v:rect>
                      <v:shape id="自选图形 37" o:spid="_x0000_s1026" o:spt="32" type="#_x0000_t32" style="position:absolute;left:858736;top:1090770;height:360202;width:635;rotation:-5898240f;" filled="f" stroked="t" coordsize="21600,21600" o:gfxdata="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qD4&#10;zdUAAAAFAQAADwAAAAAAAAABACAAAAAiAAAAZHJzL2Rvd25yZXYueG1sUEsBAhQAFAAAAAgAh07i&#10;QHY74m4lAgAAHwQAAA4AAAAAAAAAAQAgAAAAJAEAAGRycy9lMm9Eb2MueG1sUEsFBgAAAAAGAAYA&#10;WQEAALsFAAAAAA==&#10;">
                        <v:fill on="f" focussize="0,0"/>
                        <v:stroke weight="0.5pt" color="#000001" joinstyle="round" endarrow="block"/>
                        <v:imagedata o:title=""/>
                        <o:lock v:ext="edit" aspectratio="f"/>
                      </v:shape>
                      <v:shape id="自选图形 37" o:spid="_x0000_s1026" o:spt="32" type="#_x0000_t32" style="position:absolute;left:374109;top:800448;height:0;width:3030981;" filled="f" stroked="t" coordsize="21600,21600" o:gfxdata="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PlYfLVAAAABQEAAA8AAAAA&#10;AAAAAQAgAAAAIgAAAGRycy9kb3ducmV2LnhtbFBLAQIUABQAAAAIAIdO4kDxYzT9FwIAAAoEAAAO&#10;AAAAAAAAAAEAIAAAACQBAABkcnMvZTJvRG9jLnhtbFBLBQYAAAAABgAGAFkBAACtBQAAAAA=&#10;">
                        <v:fill on="f" focussize="0,0"/>
                        <v:stroke weight="0.5pt" color="#000001" joinstyle="round"/>
                        <v:imagedata o:title=""/>
                        <o:lock v:ext="edit" aspectratio="f"/>
                      </v:shape>
                      <v:shape id="自选图形 37" o:spid="_x0000_s1026" o:spt="32" type="#_x0000_t32" style="position:absolute;left:185467;top:963079;height:635;width:360135;rotation:-5898240f;" filled="f" stroked="t" coordsize="21600,21600" o:gfxdata="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VTQ&#10;ZNYAAAAFAQAADwAAAAAAAAABACAAAAAiAAAAZHJzL2Rvd25yZXYueG1sUEsBAhQAFAAAAAgAh07i&#10;QDo7+h0kAgAAHQQAAA4AAAAAAAAAAQAgAAAAJQEAAGRycy9lMm9Eb2MueG1sUEsFBgAAAAAGAAYA&#10;WQEAALsFAAAAAA==&#10;">
                        <v:fill on="f" focussize="0,0"/>
                        <v:stroke weight="0.5pt" color="#000001" joinstyle="round" dashstyle="dash" endarrow="block"/>
                        <v:imagedata o:title=""/>
                        <o:lock v:ext="edit" aspectratio="f"/>
                      </v:shape>
                      <v:rect id="矩形 17" o:spid="_x0000_s1026" o:spt="1" style="position:absolute;left:541791;top:97833;height:252205;width:2736902;" filled="f" stroked="t" coordsize="21600,21600" o:gfxdata="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9A+XOtYAAAAFAQAADwAAAAAAAAABACAAAAAiAAAAZHJzL2Rvd25yZXYueG1sUEsBAhQAFAAA&#10;AAgAh07iQGTFM1EqAgAARgQAAA4AAAAAAAAAAQAgAAAAJQEAAGRycy9lMm9Eb2MueG1sUEsFBgAA&#10;AAAGAAYAWQEAAMEFAAAAAA==&#10;">
                        <v:fill on="f" focussize="0,0"/>
                        <v:stroke weight="1pt" color="#000001" joinstyle="miter" dashstyle="dash"/>
                        <v:imagedata o:title=""/>
                        <o:lock v:ext="edit" aspectratio="f"/>
                        <v:textbox inset="0mm,1mm,0mm,1.27mm">
                          <w:txbxContent>
                            <w:p>
                              <w:pPr>
                                <w:jc w:val="center"/>
                                <w:rPr>
                                  <w:sz w:val="18"/>
                                  <w:szCs w:val="18"/>
                                </w:rPr>
                              </w:pPr>
                              <w:r>
                                <w:rPr>
                                  <w:rFonts w:hint="eastAsia"/>
                                  <w:sz w:val="18"/>
                                  <w:szCs w:val="18"/>
                                </w:rPr>
                                <w:t>施工扬尘、机械噪声、装修废气、生活污水</w:t>
                              </w:r>
                            </w:p>
                          </w:txbxContent>
                        </v:textbox>
                      </v:rect>
                      <v:rect id="矩形 17" o:spid="_x0000_s1026" o:spt="1" style="position:absolute;left:1059446;top:1151756;height:252205;width:647863;" fillcolor="#D9D9D9" filled="t" stroked="t" coordsize="21600,21600" o:gfxdata="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Kw4p9cAAAAFAQAADwAAAAAAAAABACAAAAAiAAAA&#10;ZHJzL2Rvd25yZXYueG1sUEsBAhQAFAAAAAgAh07iQBsBxFJBAgAAkwQAAA4AAAAAAAAAAQAgAAAA&#10;JgEAAGRycy9lMm9Eb2MueG1sUEsFBgAAAAAGAAYAWQEAANkFAAAAAA==&#10;">
                        <v:fill on="t" opacity="26213f" focussize="0,0"/>
                        <v:stroke weight="1pt" color="#000001" joinstyle="miter"/>
                        <v:imagedata o:title=""/>
                        <o:lock v:ext="edit" aspectratio="f"/>
                        <v:textbox inset="0mm,0.5mm,0mm,1.27mm">
                          <w:txbxContent>
                            <w:p>
                              <w:pPr>
                                <w:jc w:val="center"/>
                                <w:rPr>
                                  <w:sz w:val="18"/>
                                  <w:szCs w:val="18"/>
                                </w:rPr>
                              </w:pPr>
                              <w:r>
                                <w:rPr>
                                  <w:rFonts w:hint="eastAsia"/>
                                  <w:sz w:val="18"/>
                                  <w:szCs w:val="18"/>
                                </w:rPr>
                                <w:t>基础工程</w:t>
                              </w:r>
                            </w:p>
                          </w:txbxContent>
                        </v:textbox>
                      </v:rect>
                      <v:shape id="自选图形 37" o:spid="_x0000_s1026" o:spt="32" type="#_x0000_t32" style="position:absolute;left:1878167;top:1081241;height:360202;width:635;rotation:-5898240f;" filled="f" stroked="t" coordsize="21600,21600" o:gfxdata="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qD4&#10;zdUAAAAFAQAADwAAAAAAAAABACAAAAAiAAAAZHJzL2Rvd25yZXYueG1sUEsBAhQAFAAAAAgAh07i&#10;QNBWbp0lAgAAIAQAAA4AAAAAAAAAAQAgAAAAJAEAAGRycy9lMm9Eb2MueG1sUEsFBgAAAAAGAAYA&#10;WQEAALsFAAAAAA==&#10;">
                        <v:fill on="f" focussize="0,0"/>
                        <v:stroke weight="0.5pt" color="#000001" joinstyle="round" endarrow="block"/>
                        <v:imagedata o:title=""/>
                        <o:lock v:ext="edit" aspectratio="f"/>
                      </v:shape>
                      <v:rect id="矩形 17" o:spid="_x0000_s1026" o:spt="1" style="position:absolute;left:2078877;top:1151756;height:252205;width:647863;" fillcolor="#D9D9D9" filled="t" stroked="t" coordsize="21600,21600" o:gfxdata="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CsOKfXAAAABQEAAA8AAAAAAAAAAQAgAAAAIgAA&#10;AGRycy9kb3ducmV2LnhtbFBLAQIUABQAAAAIAIdO4kCsMwBfQgIAAJMEAAAOAAAAAAAAAAEAIAAA&#10;ACYBAABkcnMvZTJvRG9jLnhtbFBLBQYAAAAABgAGAFkBAADaBQAAAAA=&#10;">
                        <v:fill on="t" opacity="26213f" focussize="0,0"/>
                        <v:stroke weight="1pt" color="#000001" joinstyle="miter"/>
                        <v:imagedata o:title=""/>
                        <o:lock v:ext="edit" aspectratio="f"/>
                        <v:textbox inset="0mm,0.5mm,0mm,1.27mm">
                          <w:txbxContent>
                            <w:p>
                              <w:pPr>
                                <w:jc w:val="center"/>
                                <w:rPr>
                                  <w:sz w:val="18"/>
                                  <w:szCs w:val="18"/>
                                </w:rPr>
                              </w:pPr>
                              <w:r>
                                <w:rPr>
                                  <w:rFonts w:hint="eastAsia"/>
                                  <w:sz w:val="18"/>
                                  <w:szCs w:val="18"/>
                                </w:rPr>
                                <w:t>主体工程</w:t>
                              </w:r>
                            </w:p>
                          </w:txbxContent>
                        </v:textbox>
                      </v:rect>
                      <v:rect id="矩形 17" o:spid="_x0000_s1026" o:spt="1" style="position:absolute;left:4083440;top:1151756;height:252205;width:900021;" fillcolor="#D9D9D9" filled="t" stroked="t" coordsize="21600,21600" o:gfxdata="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8m6XgtYAAAAFAQAADwAAAAAAAAABACAAAAAiAAAAZHJz&#10;L2Rvd25yZXYueG1sUEsBAhQAFAAAAAgAh07iQPlwJ9E/AgAAkwQAAA4AAAAAAAAAAQAgAAAAJQEA&#10;AGRycy9lMm9Eb2MueG1sUEsFBgAAAAAGAAYAWQEAANYFAAAAAA==&#10;">
                        <v:fill on="t" opacity="26213f" focussize="0,0"/>
                        <v:stroke weight="1pt" color="#000001" joinstyle="miter"/>
                        <v:imagedata o:title=""/>
                        <o:lock v:ext="edit" aspectratio="f"/>
                        <v:textbox inset="0mm,0.5mm,0mm,1mm">
                          <w:txbxContent>
                            <w:p>
                              <w:pPr>
                                <w:jc w:val="center"/>
                                <w:rPr>
                                  <w:sz w:val="18"/>
                                  <w:szCs w:val="18"/>
                                </w:rPr>
                              </w:pPr>
                              <w:r>
                                <w:rPr>
                                  <w:rFonts w:hint="eastAsia"/>
                                  <w:sz w:val="18"/>
                                  <w:szCs w:val="18"/>
                                </w:rPr>
                                <w:t>验收、投入使用</w:t>
                              </w:r>
                            </w:p>
                          </w:txbxContent>
                        </v:textbox>
                      </v:rect>
                      <v:shape id="自选图形 37" o:spid="_x0000_s1026" o:spt="32" type="#_x0000_t32" style="position:absolute;left:1930250;top:386248;flip:y;height:425635;width:1905;" filled="f" stroked="t" coordsize="21600,21600" o:gfxdata="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0N92rW&#10;AAAABQEAAA8AAAAAAAAAAQAgAAAAIgAAAGRycy9kb3ducmV2LnhtbFBLAQIUABQAAAAIAIdO4kAZ&#10;EtdaIgIAABoEAAAOAAAAAAAAAAEAIAAAACUBAABkcnMvZTJvRG9jLnhtbFBLBQYAAAAABgAGAFkB&#10;AAC5BQAAAAA=&#10;">
                        <v:fill on="f" focussize="0,0"/>
                        <v:stroke weight="0.5pt" color="#000001" joinstyle="round" dashstyle="dash" endarrow="block"/>
                        <v:imagedata o:title=""/>
                        <o:lock v:ext="edit" aspectratio="f"/>
                      </v:shape>
                      <v:shape id="自选图形 37" o:spid="_x0000_s1026" o:spt="32" type="#_x0000_t32" style="position:absolute;left:2210355;top:953550;height:635;width:359500;rotation:-5898240f;" filled="f" stroked="t" coordsize="21600,21600" o:gfxdata="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BVNBk&#10;1gAAAAUBAAAPAAAAAAAAAAEAIAAAACIAAABkcnMvZG93bnJldi54bWxQSwECFAAUAAAACACHTuJA&#10;wywpGSMCAAAeBAAADgAAAAAAAAABACAAAAAlAQAAZHJzL2Uyb0RvYy54bWxQSwUGAAAAAAYABgBZ&#10;AQAAugUAAAAA&#10;">
                        <v:fill on="f" focussize="0,0"/>
                        <v:stroke weight="0.5pt" color="#000001" joinstyle="round" dashstyle="dash" endarrow="block"/>
                        <v:imagedata o:title=""/>
                        <o:lock v:ext="edit" aspectratio="f"/>
                      </v:shape>
                      <v:rect id="矩形 17" o:spid="_x0000_s1026" o:spt="1" style="position:absolute;left:3075442;top:1160650;height:252205;width:647863;" fillcolor="#D9D9D9" filled="t" stroked="t" coordsize="21600,21600" o:gfxdata="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ArDin1wAAAAUBAAAPAAAAAAAAAAEAIAAAACIAAABk&#10;cnMvZG93bnJldi54bWxQSwECFAAUAAAACACHTuJAprlb30ACAACTBAAADgAAAAAAAAABACAAAAAm&#10;AQAAZHJzL2Uyb0RvYy54bWxQSwUGAAAAAAYABgBZAQAA2AUAAAAA&#10;">
                        <v:fill on="t" opacity="26213f" focussize="0,0"/>
                        <v:stroke weight="1pt" color="#000001" joinstyle="miter"/>
                        <v:imagedata o:title=""/>
                        <o:lock v:ext="edit" aspectratio="f"/>
                        <v:textbox inset="0mm,0.5mm,0mm,1.27mm">
                          <w:txbxContent>
                            <w:p>
                              <w:pPr>
                                <w:jc w:val="center"/>
                                <w:rPr>
                                  <w:sz w:val="18"/>
                                  <w:szCs w:val="18"/>
                                </w:rPr>
                              </w:pPr>
                              <w:r>
                                <w:rPr>
                                  <w:rFonts w:hint="eastAsia"/>
                                  <w:sz w:val="18"/>
                                  <w:szCs w:val="18"/>
                                </w:rPr>
                                <w:t>设备安装</w:t>
                              </w:r>
                            </w:p>
                          </w:txbxContent>
                        </v:textbox>
                      </v:rect>
                      <v:shape id="自选图形 37" o:spid="_x0000_s1026" o:spt="32" type="#_x0000_t32" style="position:absolute;left:2902044;top:1107287;height:359566;width:0;rotation:-5898240f;" filled="f" stroked="t" coordsize="21600,21600" o:gfxdata="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Kg&#10;+M3VAAAABQEAAA8AAAAAAAAAAQAgAAAAIgAAAGRycy9kb3ducmV2LnhtbFBLAQIUABQAAAAIAIdO&#10;4kD3bxFkJgIAAB4EAAAOAAAAAAAAAAEAIAAAACQBAABkcnMvZTJvRG9jLnhtbFBLBQYAAAAABgAG&#10;AFkBAAC8BQAAAAA=&#10;">
                        <v:fill on="f" focussize="0,0"/>
                        <v:stroke weight="0.5pt" color="#000001" joinstyle="round" endarrow="block"/>
                        <v:imagedata o:title=""/>
                        <o:lock v:ext="edit" aspectratio="f"/>
                      </v:shape>
                      <v:shape id="自选图形 37" o:spid="_x0000_s1026" o:spt="32" type="#_x0000_t32" style="position:absolute;left:3885270;top:1081241;height:360202;width:0;rotation:-5898240f;" filled="f" stroked="t" coordsize="21600,21600" o:gfxdata="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qD4&#10;zdUAAAAFAQAADwAAAAAAAAABACAAAAAiAAAAZHJzL2Rvd25yZXYueG1sUEsBAhQAFAAAAAgAh07i&#10;QNLhgXIlAgAAHgQAAA4AAAAAAAAAAQAgAAAAJAEAAGRycy9lMm9Eb2MueG1sUEsFBgAAAAAGAAYA&#10;WQEAALsFAAAAAA==&#10;">
                        <v:fill on="f" focussize="0,0"/>
                        <v:stroke weight="0.5pt" color="#000001" joinstyle="round" endarrow="block"/>
                        <v:imagedata o:title=""/>
                        <o:lock v:ext="edit" aspectratio="f"/>
                      </v:shape>
                      <v:shape id="自选图形 37" o:spid="_x0000_s1026" o:spt="32" type="#_x0000_t32" style="position:absolute;left:1210614;top:970067;height:0;width:355689;rotation:-5898240f;" filled="f" stroked="t" coordsize="21600,21600" o:gfxdata="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BVNBk1gAAAAUBAAAPAAAAAAAAAAEAIAAAACIAAABkcnMvZG93bnJldi54bWxQSwECFAAUAAAA&#10;CACHTuJAqqtqvCkCAAAcBAAADgAAAAAAAAABACAAAAAlAQAAZHJzL2Uyb0RvYy54bWxQSwUGAAAA&#10;AAYABgBZAQAAwAUAAAAA&#10;">
                        <v:fill on="f" focussize="0,0"/>
                        <v:stroke weight="0.5pt" color="#000001" joinstyle="round" dashstyle="dash" endarrow="block"/>
                        <v:imagedata o:title=""/>
                        <o:lock v:ext="edit" aspectratio="f"/>
                      </v:shape>
                      <v:shape id="自选图形 37" o:spid="_x0000_s1026" o:spt="32" type="#_x0000_t32" style="position:absolute;left:3219623;top:979596;height:0;width:355689;rotation:-5898240f;" filled="f" stroked="t" coordsize="21600,21600" o:gfxdata="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BVNBk1gAAAAUBAAAPAAAAAAAAAAEAIAAAACIAAABkcnMvZG93bnJldi54bWxQSwECFAAUAAAA&#10;CACHTuJA3shX7CkCAAAcBAAADgAAAAAAAAABACAAAAAlAQAAZHJzL2Uyb0RvYy54bWxQSwUGAAAA&#10;AAYABgBZAQAAwAUAAAAA&#10;">
                        <v:fill on="f" focussize="0,0"/>
                        <v:stroke weight="0.5pt" color="#000001" joinstyle="round" dashstyle="dash" endarrow="block"/>
                        <v:imagedata o:title=""/>
                        <o:lock v:ext="edit" aspectratio="f"/>
                      </v:shape>
                      <w10:wrap type="none"/>
                      <w10:anchorlock/>
                    </v:group>
                  </w:pict>
                </mc:Fallback>
              </mc:AlternateContent>
            </w:r>
          </w:p>
          <w:p>
            <w:pPr>
              <w:keepNext w:val="0"/>
              <w:keepLines w:val="0"/>
              <w:suppressLineNumbers w:val="0"/>
              <w:spacing w:before="0" w:beforeAutospacing="0" w:after="0" w:afterAutospacing="0"/>
              <w:ind w:left="0" w:right="0"/>
              <w:jc w:val="center"/>
              <w:rPr>
                <w:rFonts w:hint="eastAsia"/>
                <w:b/>
                <w:color w:val="auto"/>
                <w:szCs w:val="21"/>
              </w:rPr>
            </w:pPr>
            <w:r>
              <w:rPr>
                <w:rFonts w:hint="default"/>
                <w:b/>
                <w:bCs/>
                <w:color w:val="auto"/>
                <w:szCs w:val="21"/>
              </w:rPr>
              <w:t>图</w:t>
            </w:r>
            <w:r>
              <w:rPr>
                <w:rFonts w:hint="eastAsia"/>
                <w:b/>
                <w:bCs/>
                <w:color w:val="auto"/>
                <w:szCs w:val="21"/>
              </w:rPr>
              <w:t>2</w:t>
            </w:r>
            <w:r>
              <w:rPr>
                <w:rFonts w:hint="default"/>
                <w:b/>
                <w:bCs/>
                <w:color w:val="auto"/>
                <w:szCs w:val="21"/>
              </w:rPr>
              <w:t>-</w:t>
            </w:r>
            <w:r>
              <w:rPr>
                <w:rFonts w:hint="eastAsia"/>
                <w:b/>
                <w:bCs/>
                <w:color w:val="auto"/>
                <w:szCs w:val="21"/>
                <w:lang w:val="en-US" w:eastAsia="zh-CN"/>
              </w:rPr>
              <w:t>1</w:t>
            </w:r>
            <w:r>
              <w:rPr>
                <w:rFonts w:hint="eastAsia"/>
                <w:b/>
                <w:bCs/>
                <w:color w:val="auto"/>
                <w:szCs w:val="21"/>
              </w:rPr>
              <w:t>施工工艺</w:t>
            </w:r>
            <w:r>
              <w:rPr>
                <w:rFonts w:hint="default"/>
                <w:b/>
                <w:bCs/>
                <w:color w:val="auto"/>
                <w:szCs w:val="21"/>
              </w:rPr>
              <w:t>流程及</w:t>
            </w:r>
            <w:r>
              <w:rPr>
                <w:rFonts w:hint="eastAsia"/>
                <w:b/>
                <w:bCs/>
                <w:color w:val="auto"/>
                <w:szCs w:val="21"/>
              </w:rPr>
              <w:t>产</w:t>
            </w:r>
            <w:r>
              <w:rPr>
                <w:rFonts w:hint="default"/>
                <w:b/>
                <w:bCs/>
                <w:color w:val="auto"/>
                <w:szCs w:val="21"/>
              </w:rPr>
              <w:t>污节点图</w:t>
            </w:r>
          </w:p>
          <w:p>
            <w:pPr>
              <w:keepNext w:val="0"/>
              <w:keepLines w:val="0"/>
              <w:suppressLineNumbers w:val="0"/>
              <w:spacing w:before="0" w:beforeAutospacing="0" w:after="0" w:afterAutospacing="0" w:line="360" w:lineRule="auto"/>
              <w:ind w:left="0" w:right="0" w:firstLine="480" w:firstLineChars="200"/>
              <w:jc w:val="left"/>
              <w:rPr>
                <w:rFonts w:hint="eastAsia"/>
                <w:bCs/>
                <w:color w:val="auto"/>
                <w:sz w:val="24"/>
              </w:rPr>
            </w:pPr>
            <w:r>
              <w:rPr>
                <w:rFonts w:hint="eastAsia"/>
                <w:bCs/>
                <w:color w:val="auto"/>
                <w:sz w:val="24"/>
              </w:rPr>
              <w:t>施工流程说明：</w:t>
            </w:r>
          </w:p>
          <w:p>
            <w:pPr>
              <w:keepNext w:val="0"/>
              <w:keepLines w:val="0"/>
              <w:suppressLineNumbers w:val="0"/>
              <w:spacing w:before="0" w:beforeAutospacing="0" w:after="0" w:afterAutospacing="0" w:line="360" w:lineRule="auto"/>
              <w:ind w:left="0" w:right="0" w:firstLine="480" w:firstLineChars="200"/>
              <w:jc w:val="left"/>
              <w:rPr>
                <w:rFonts w:hint="eastAsia"/>
                <w:bCs/>
                <w:color w:val="auto"/>
                <w:sz w:val="24"/>
              </w:rPr>
            </w:pPr>
            <w:r>
              <w:rPr>
                <w:rFonts w:hint="eastAsia"/>
                <w:bCs/>
                <w:color w:val="auto"/>
                <w:sz w:val="24"/>
              </w:rPr>
              <w:t>（1）场地平整</w:t>
            </w:r>
          </w:p>
          <w:p>
            <w:pPr>
              <w:keepNext w:val="0"/>
              <w:keepLines w:val="0"/>
              <w:suppressLineNumbers w:val="0"/>
              <w:spacing w:before="0" w:beforeAutospacing="0" w:after="0" w:afterAutospacing="0" w:line="360" w:lineRule="auto"/>
              <w:ind w:left="0" w:right="0" w:firstLine="480" w:firstLineChars="200"/>
              <w:jc w:val="left"/>
              <w:rPr>
                <w:rFonts w:hint="eastAsia"/>
                <w:bCs/>
                <w:color w:val="auto"/>
                <w:sz w:val="24"/>
              </w:rPr>
            </w:pPr>
            <w:r>
              <w:rPr>
                <w:rFonts w:hint="eastAsia"/>
                <w:bCs/>
                <w:color w:val="auto"/>
                <w:sz w:val="24"/>
              </w:rPr>
              <w:t>在场地平整过程中，存在着施工运输车辆和其他施工机械噪声、施工机械设备尾气、扬尘对周边环境的影响。</w:t>
            </w:r>
          </w:p>
          <w:p>
            <w:pPr>
              <w:keepNext w:val="0"/>
              <w:keepLines w:val="0"/>
              <w:suppressLineNumbers w:val="0"/>
              <w:spacing w:before="0" w:beforeAutospacing="0" w:after="0" w:afterAutospacing="0" w:line="360" w:lineRule="auto"/>
              <w:ind w:left="0" w:right="0" w:firstLine="480" w:firstLineChars="200"/>
              <w:jc w:val="left"/>
              <w:rPr>
                <w:rFonts w:hint="eastAsia"/>
                <w:bCs/>
                <w:color w:val="auto"/>
                <w:sz w:val="24"/>
              </w:rPr>
            </w:pPr>
            <w:r>
              <w:rPr>
                <w:rFonts w:hint="eastAsia"/>
                <w:bCs/>
                <w:color w:val="auto"/>
                <w:sz w:val="24"/>
              </w:rPr>
              <w:t>（2）基础工程施工</w:t>
            </w:r>
          </w:p>
          <w:p>
            <w:pPr>
              <w:keepNext w:val="0"/>
              <w:keepLines w:val="0"/>
              <w:suppressLineNumbers w:val="0"/>
              <w:spacing w:before="0" w:beforeAutospacing="0" w:after="0" w:afterAutospacing="0" w:line="360" w:lineRule="auto"/>
              <w:ind w:left="0" w:right="0" w:firstLine="480" w:firstLineChars="200"/>
              <w:jc w:val="left"/>
              <w:rPr>
                <w:rFonts w:hint="eastAsia"/>
                <w:bCs/>
                <w:color w:val="auto"/>
                <w:sz w:val="24"/>
              </w:rPr>
            </w:pPr>
            <w:r>
              <w:rPr>
                <w:rFonts w:hint="eastAsia"/>
                <w:bCs/>
                <w:color w:val="auto"/>
                <w:sz w:val="24"/>
              </w:rPr>
              <w:t>基础工程施工阶段（包括挖方、填方、地基处理、基础施工等），将产生局部水土流失、施工机械设备噪声（混凝土输送泵、装载机、运输车辆运行）、施工机械设备尾气、施工设备清洗产生的施工废水、施工弃土和施工扬尘。</w:t>
            </w:r>
          </w:p>
          <w:p>
            <w:pPr>
              <w:keepNext w:val="0"/>
              <w:keepLines w:val="0"/>
              <w:suppressLineNumbers w:val="0"/>
              <w:spacing w:before="0" w:beforeAutospacing="0" w:after="0" w:afterAutospacing="0" w:line="360" w:lineRule="auto"/>
              <w:ind w:left="0" w:right="0" w:firstLine="480" w:firstLineChars="200"/>
              <w:jc w:val="left"/>
              <w:rPr>
                <w:rFonts w:hint="eastAsia"/>
                <w:bCs/>
                <w:color w:val="auto"/>
                <w:sz w:val="24"/>
              </w:rPr>
            </w:pPr>
            <w:r>
              <w:rPr>
                <w:rFonts w:hint="eastAsia"/>
                <w:bCs/>
                <w:color w:val="auto"/>
                <w:sz w:val="24"/>
              </w:rPr>
              <w:t>（3）主体工程施工</w:t>
            </w:r>
          </w:p>
          <w:p>
            <w:pPr>
              <w:keepNext w:val="0"/>
              <w:keepLines w:val="0"/>
              <w:suppressLineNumbers w:val="0"/>
              <w:spacing w:before="0" w:beforeAutospacing="0" w:after="0" w:afterAutospacing="0" w:line="360" w:lineRule="auto"/>
              <w:ind w:left="0" w:right="0" w:firstLine="480" w:firstLineChars="200"/>
              <w:jc w:val="left"/>
              <w:rPr>
                <w:rFonts w:hint="eastAsia"/>
                <w:bCs/>
                <w:color w:val="auto"/>
                <w:sz w:val="24"/>
              </w:rPr>
            </w:pPr>
            <w:r>
              <w:rPr>
                <w:rFonts w:hint="eastAsia"/>
                <w:bCs/>
                <w:color w:val="auto"/>
                <w:sz w:val="24"/>
              </w:rPr>
              <w:t>主体工程施工过程中将产生施工机械的运行噪声、运输过程中产生扬尘、运输车辆尾气等环境问题。</w:t>
            </w:r>
          </w:p>
          <w:p>
            <w:pPr>
              <w:keepNext w:val="0"/>
              <w:keepLines w:val="0"/>
              <w:suppressLineNumbers w:val="0"/>
              <w:spacing w:before="0" w:beforeAutospacing="0" w:after="0" w:afterAutospacing="0" w:line="360" w:lineRule="auto"/>
              <w:ind w:left="0" w:right="0" w:firstLine="480" w:firstLineChars="200"/>
              <w:jc w:val="left"/>
              <w:rPr>
                <w:rFonts w:hint="eastAsia"/>
                <w:bCs/>
                <w:color w:val="auto"/>
                <w:sz w:val="24"/>
              </w:rPr>
            </w:pPr>
            <w:r>
              <w:rPr>
                <w:rFonts w:hint="eastAsia"/>
                <w:bCs/>
                <w:color w:val="auto"/>
                <w:sz w:val="24"/>
              </w:rPr>
              <w:t>（4）设备安装</w:t>
            </w:r>
          </w:p>
          <w:p>
            <w:pPr>
              <w:keepNext w:val="0"/>
              <w:keepLines w:val="0"/>
              <w:suppressLineNumbers w:val="0"/>
              <w:spacing w:before="0" w:beforeAutospacing="0" w:after="0" w:afterAutospacing="0" w:line="360" w:lineRule="auto"/>
              <w:ind w:left="0" w:right="0" w:firstLine="480" w:firstLineChars="200"/>
              <w:jc w:val="left"/>
              <w:rPr>
                <w:rFonts w:hint="eastAsia"/>
                <w:bCs/>
                <w:color w:val="auto"/>
                <w:sz w:val="24"/>
              </w:rPr>
            </w:pPr>
            <w:r>
              <w:rPr>
                <w:rFonts w:hint="eastAsia"/>
                <w:bCs/>
                <w:color w:val="auto"/>
                <w:sz w:val="24"/>
              </w:rPr>
              <w:t>设备安装过程主要产生施工噪声、施工人员生活污水、钻孔产生的粉尘、运输过程中产生扬尘等环境问题。</w:t>
            </w:r>
          </w:p>
          <w:p>
            <w:pPr>
              <w:keepNext w:val="0"/>
              <w:keepLines w:val="0"/>
              <w:suppressLineNumbers w:val="0"/>
              <w:spacing w:before="0" w:beforeAutospacing="0" w:after="0" w:afterAutospacing="0" w:line="360" w:lineRule="auto"/>
              <w:ind w:left="0" w:right="0"/>
              <w:jc w:val="left"/>
              <w:rPr>
                <w:rFonts w:hint="eastAsia"/>
                <w:b/>
                <w:color w:val="auto"/>
                <w:sz w:val="24"/>
                <w:u w:val="none"/>
              </w:rPr>
            </w:pPr>
            <w:r>
              <w:rPr>
                <w:rFonts w:hint="eastAsia"/>
                <w:b/>
                <w:color w:val="auto"/>
                <w:sz w:val="24"/>
                <w:u w:val="none"/>
              </w:rPr>
              <w:t>二、运营期工艺流程和产排污环节</w:t>
            </w:r>
          </w:p>
          <w:p>
            <w:pPr>
              <w:keepNext w:val="0"/>
              <w:keepLines w:val="0"/>
              <w:suppressLineNumbers w:val="0"/>
              <w:spacing w:before="0" w:beforeAutospacing="0" w:after="0" w:afterAutospacing="0" w:line="360" w:lineRule="auto"/>
              <w:ind w:left="0" w:right="0" w:firstLine="480" w:firstLineChars="200"/>
              <w:jc w:val="left"/>
              <w:rPr>
                <w:rFonts w:hint="eastAsia"/>
                <w:bCs/>
                <w:color w:val="auto"/>
                <w:sz w:val="24"/>
                <w:u w:val="none"/>
                <w:lang w:eastAsia="zh-CN"/>
              </w:rPr>
            </w:pPr>
            <w:r>
              <w:rPr>
                <w:rFonts w:hint="eastAsia"/>
                <w:bCs/>
                <w:color w:val="auto"/>
                <w:sz w:val="24"/>
                <w:u w:val="none"/>
              </w:rPr>
              <w:t>本项目污水处理采用“格栅井+调节池+混凝沉淀+A2/O+二沉池+深度反应池+三沉池”</w:t>
            </w:r>
            <w:r>
              <w:rPr>
                <w:rFonts w:hint="eastAsia"/>
                <w:bCs/>
                <w:color w:val="auto"/>
                <w:sz w:val="24"/>
                <w:u w:val="none"/>
                <w:lang w:val="en-US" w:eastAsia="zh-CN"/>
              </w:rPr>
              <w:t>处理工艺。</w:t>
            </w:r>
            <w:r>
              <w:rPr>
                <w:rFonts w:hint="eastAsia"/>
                <w:bCs/>
                <w:color w:val="auto"/>
                <w:sz w:val="24"/>
                <w:u w:val="none"/>
              </w:rPr>
              <w:t>具体生产工艺流程及产污节点详见下图</w:t>
            </w:r>
            <w:r>
              <w:rPr>
                <w:rFonts w:hint="eastAsia"/>
                <w:bCs/>
                <w:color w:val="auto"/>
                <w:sz w:val="24"/>
                <w:u w:val="none"/>
                <w:lang w:eastAsia="zh-CN"/>
              </w:rPr>
              <w:t>：</w:t>
            </w:r>
          </w:p>
          <w:p>
            <w:pPr>
              <w:keepNext w:val="0"/>
              <w:keepLines w:val="0"/>
              <w:suppressLineNumbers w:val="0"/>
              <w:adjustRightInd w:val="0"/>
              <w:snapToGrid w:val="0"/>
              <w:spacing w:before="0" w:beforeAutospacing="0" w:after="156" w:afterLines="50" w:afterAutospacing="0"/>
              <w:ind w:left="0" w:right="0"/>
              <w:jc w:val="left"/>
              <w:rPr>
                <w:rFonts w:hint="default"/>
                <w:b/>
                <w:color w:val="auto"/>
                <w:szCs w:val="21"/>
                <w:u w:val="none"/>
              </w:rPr>
            </w:pPr>
            <w:r>
              <w:rPr>
                <w:rFonts w:hint="default"/>
                <w:color w:val="auto"/>
              </w:rPr>
              <w:drawing>
                <wp:inline distT="0" distB="0" distL="114300" distR="114300">
                  <wp:extent cx="5372100" cy="6848475"/>
                  <wp:effectExtent l="0" t="0" r="0" b="9525"/>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7"/>
                          <a:stretch>
                            <a:fillRect/>
                          </a:stretch>
                        </pic:blipFill>
                        <pic:spPr>
                          <a:xfrm>
                            <a:off x="0" y="0"/>
                            <a:ext cx="5372100" cy="6848475"/>
                          </a:xfrm>
                          <a:prstGeom prst="rect">
                            <a:avLst/>
                          </a:prstGeom>
                          <a:noFill/>
                          <a:ln>
                            <a:noFill/>
                          </a:ln>
                        </pic:spPr>
                      </pic:pic>
                    </a:graphicData>
                  </a:graphic>
                </wp:inline>
              </w:drawing>
            </w:r>
          </w:p>
          <w:p>
            <w:pPr>
              <w:keepNext w:val="0"/>
              <w:keepLines w:val="0"/>
              <w:suppressLineNumbers w:val="0"/>
              <w:adjustRightInd w:val="0"/>
              <w:snapToGrid w:val="0"/>
              <w:spacing w:before="0" w:beforeAutospacing="0" w:after="156" w:afterLines="50" w:afterAutospacing="0"/>
              <w:ind w:left="0" w:right="0"/>
              <w:jc w:val="center"/>
              <w:rPr>
                <w:rFonts w:hint="default" w:eastAsia="宋体"/>
                <w:color w:val="auto"/>
                <w:szCs w:val="21"/>
                <w:u w:val="single"/>
                <w:lang w:val="en-US" w:eastAsia="zh-CN"/>
              </w:rPr>
            </w:pPr>
            <w:r>
              <w:rPr>
                <w:rFonts w:hint="default"/>
                <w:b/>
                <w:color w:val="auto"/>
                <w:szCs w:val="21"/>
                <w:u w:val="single"/>
              </w:rPr>
              <w:t>图</w:t>
            </w:r>
            <w:r>
              <w:rPr>
                <w:rFonts w:hint="eastAsia"/>
                <w:b/>
                <w:color w:val="auto"/>
                <w:szCs w:val="21"/>
                <w:u w:val="single"/>
              </w:rPr>
              <w:t>2-</w:t>
            </w:r>
            <w:r>
              <w:rPr>
                <w:rFonts w:hint="eastAsia"/>
                <w:b/>
                <w:color w:val="auto"/>
                <w:szCs w:val="21"/>
                <w:u w:val="single"/>
                <w:lang w:val="en-US" w:eastAsia="zh-CN"/>
              </w:rPr>
              <w:t>3</w:t>
            </w:r>
            <w:r>
              <w:rPr>
                <w:rFonts w:hint="eastAsia"/>
                <w:b/>
                <w:color w:val="auto"/>
                <w:szCs w:val="21"/>
                <w:u w:val="single"/>
              </w:rPr>
              <w:t>项目运营期</w:t>
            </w:r>
            <w:r>
              <w:rPr>
                <w:rFonts w:hint="eastAsia"/>
                <w:b/>
                <w:color w:val="auto"/>
                <w:szCs w:val="21"/>
                <w:u w:val="single"/>
                <w:lang w:val="en-US" w:eastAsia="zh-CN"/>
              </w:rPr>
              <w:t>污水处理工艺流程图</w:t>
            </w:r>
          </w:p>
          <w:p>
            <w:pPr>
              <w:keepNext w:val="0"/>
              <w:keepLines w:val="0"/>
              <w:suppressLineNumbers w:val="0"/>
              <w:spacing w:before="0" w:beforeAutospacing="0" w:after="0" w:afterAutospacing="0" w:line="360" w:lineRule="auto"/>
              <w:ind w:left="0" w:right="0" w:firstLine="480"/>
              <w:rPr>
                <w:rFonts w:hint="eastAsia"/>
                <w:b/>
                <w:bCs/>
                <w:color w:val="auto"/>
                <w:sz w:val="24"/>
                <w:u w:val="single"/>
              </w:rPr>
            </w:pPr>
            <w:r>
              <w:rPr>
                <w:rFonts w:hint="eastAsia"/>
                <w:b/>
                <w:bCs/>
                <w:color w:val="auto"/>
                <w:sz w:val="24"/>
                <w:u w:val="single"/>
              </w:rPr>
              <w:t>工作流程简述：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lang w:val="en-US" w:eastAsia="zh-CN"/>
              </w:rPr>
            </w:pPr>
            <w:r>
              <w:rPr>
                <w:rFonts w:hint="eastAsia" w:ascii="Times New Roman" w:hAnsi="Times New Roman" w:eastAsia="宋体" w:cs="Times New Roman"/>
                <w:color w:val="auto"/>
                <w:sz w:val="24"/>
                <w:lang w:val="en-US" w:eastAsia="zh-CN"/>
              </w:rPr>
              <w:t>具体工艺流程说明如下：生活污水经收集管网排入污水格栅渠，</w:t>
            </w:r>
            <w:r>
              <w:rPr>
                <w:rFonts w:hint="eastAsia" w:cs="Times New Roman"/>
                <w:color w:val="auto"/>
                <w:sz w:val="24"/>
                <w:lang w:val="en-US" w:eastAsia="zh-CN"/>
              </w:rPr>
              <w:t>经过格栅机</w:t>
            </w:r>
            <w:r>
              <w:rPr>
                <w:rFonts w:hint="eastAsia" w:ascii="Times New Roman" w:hAnsi="Times New Roman" w:eastAsia="宋体" w:cs="Times New Roman"/>
                <w:color w:val="auto"/>
                <w:sz w:val="24"/>
                <w:lang w:val="en-US" w:eastAsia="zh-CN"/>
              </w:rPr>
              <w:t>除去大颗粒的杂物，经格栅</w:t>
            </w:r>
            <w:r>
              <w:rPr>
                <w:rFonts w:hint="eastAsia" w:cs="Times New Roman"/>
                <w:color w:val="auto"/>
                <w:sz w:val="24"/>
                <w:lang w:val="en-US" w:eastAsia="zh-CN"/>
              </w:rPr>
              <w:t>机</w:t>
            </w:r>
            <w:r>
              <w:rPr>
                <w:rFonts w:hint="eastAsia" w:ascii="Times New Roman" w:hAnsi="Times New Roman" w:eastAsia="宋体" w:cs="Times New Roman"/>
                <w:color w:val="auto"/>
                <w:sz w:val="24"/>
                <w:lang w:val="en-US" w:eastAsia="zh-CN"/>
              </w:rPr>
              <w:t>处理后的污水自流进入调节池。调节池内根据实际情况，可安装曝气系统。污水在调节池内充分调节稳定水质后，经提升泵提升至</w:t>
            </w:r>
            <w:r>
              <w:rPr>
                <w:rFonts w:hint="eastAsia" w:cs="Times New Roman"/>
                <w:color w:val="auto"/>
                <w:sz w:val="24"/>
                <w:lang w:val="en-US" w:eastAsia="zh-CN"/>
              </w:rPr>
              <w:t>混凝沉淀池。混凝沉淀池采用混凝剂PAC进行混凝，并使用助凝剂PAM进行助絮凝去除污水中悬浮物。经混凝沉淀后污水进入初沉池进行沉淀，该部分产生污染物为沉淀污泥。沉淀后进入厌氧水解酸化池。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default" w:cs="Times New Roman"/>
                <w:b/>
                <w:bCs/>
                <w:color w:val="auto"/>
                <w:sz w:val="24"/>
                <w:lang w:val="en-US" w:eastAsia="zh-CN"/>
              </w:rPr>
            </w:pPr>
            <w:r>
              <w:rPr>
                <w:rFonts w:hint="eastAsia" w:cs="Times New Roman"/>
                <w:b/>
                <w:bCs/>
                <w:color w:val="auto"/>
                <w:sz w:val="24"/>
                <w:lang w:val="en-US" w:eastAsia="zh-CN"/>
              </w:rPr>
              <w:t>水解酸化：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lang w:val="en-US" w:eastAsia="zh-CN"/>
              </w:rPr>
            </w:pPr>
            <w:r>
              <w:rPr>
                <w:rFonts w:hint="eastAsia" w:cs="Times New Roman"/>
                <w:color w:val="auto"/>
                <w:sz w:val="24"/>
                <w:lang w:val="en-US" w:eastAsia="zh-CN"/>
              </w:rPr>
              <w:t>水解酸化分为水解和酸化两个阶段，通过将废水中大分子有机物分解为小分子有机物后，降解为易被细菌利用的营养物质，从而提高废水的可生化性，水解酸化阶段产生的污染物主要为剩余污泥，定期泵入污泥浓缩池进行浓缩后进行板框压滤后外运处理。经水解酸化后，污水进入A/O生化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eastAsia" w:cs="Times New Roman"/>
                <w:b/>
                <w:bCs/>
                <w:color w:val="auto"/>
                <w:sz w:val="24"/>
                <w:lang w:val="en-US" w:eastAsia="zh-CN"/>
              </w:rPr>
            </w:pPr>
            <w:r>
              <w:rPr>
                <w:rFonts w:hint="eastAsia" w:cs="Times New Roman"/>
                <w:b/>
                <w:bCs/>
                <w:color w:val="auto"/>
                <w:sz w:val="24"/>
                <w:lang w:val="en-US" w:eastAsia="zh-CN"/>
              </w:rPr>
              <w:t>A/O生化池：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cs="Times New Roman"/>
                <w:color w:val="auto"/>
                <w:sz w:val="24"/>
                <w:lang w:val="en-US" w:eastAsia="zh-CN"/>
              </w:rPr>
            </w:pPr>
            <w:r>
              <w:rPr>
                <w:rFonts w:hint="eastAsia" w:cs="Times New Roman"/>
                <w:color w:val="auto"/>
                <w:sz w:val="24"/>
                <w:lang w:val="en-US" w:eastAsia="zh-CN"/>
              </w:rPr>
              <w:t>A/O生化池将前段缺氧段和后段好氧段串联在一起，在缺氧段异养菌将废水中的碳水化合物等悬浮污染物和可溶性有机物水解为有机酸，使大分子有机物分解为小分子有机物，不溶性的有机物转化成可溶性有机物，当这些经缺氧水解的产物进入好氧池进行好氧处理时，提高污水的可生化性，提高氧的效率；在缺氧段异养菌将蛋白质、脂肪等污染物进行氨化（有机链上的N或氨基酸中的氨基）游离出氨（NH</w:t>
            </w:r>
            <w:r>
              <w:rPr>
                <w:rFonts w:hint="eastAsia" w:cs="Times New Roman"/>
                <w:color w:val="auto"/>
                <w:sz w:val="24"/>
                <w:vertAlign w:val="subscript"/>
                <w:lang w:val="en-US" w:eastAsia="zh-CN"/>
              </w:rPr>
              <w:t>3</w:t>
            </w:r>
            <w:r>
              <w:rPr>
                <w:rFonts w:hint="eastAsia" w:cs="Times New Roman"/>
                <w:color w:val="auto"/>
                <w:sz w:val="24"/>
                <w:lang w:val="en-US" w:eastAsia="zh-CN"/>
              </w:rPr>
              <w:t>、NH</w:t>
            </w:r>
            <w:r>
              <w:rPr>
                <w:rFonts w:hint="eastAsia" w:cs="Times New Roman"/>
                <w:color w:val="auto"/>
                <w:sz w:val="24"/>
                <w:vertAlign w:val="subscript"/>
                <w:lang w:val="en-US" w:eastAsia="zh-CN"/>
              </w:rPr>
              <w:t>4</w:t>
            </w:r>
            <w:r>
              <w:rPr>
                <w:rFonts w:hint="eastAsia" w:cs="Times New Roman"/>
                <w:color w:val="auto"/>
                <w:sz w:val="24"/>
                <w:vertAlign w:val="superscript"/>
                <w:lang w:val="en-US" w:eastAsia="zh-CN"/>
              </w:rPr>
              <w:t>+</w:t>
            </w:r>
            <w:r>
              <w:rPr>
                <w:rFonts w:hint="eastAsia" w:cs="Times New Roman"/>
                <w:color w:val="auto"/>
                <w:sz w:val="24"/>
                <w:lang w:val="en-US" w:eastAsia="zh-CN"/>
              </w:rPr>
              <w:t>），在充足供氧条件下，自养菌的硝化作用将NH</w:t>
            </w:r>
            <w:r>
              <w:rPr>
                <w:rFonts w:hint="eastAsia" w:cs="Times New Roman"/>
                <w:color w:val="auto"/>
                <w:sz w:val="24"/>
                <w:vertAlign w:val="subscript"/>
                <w:lang w:val="en-US" w:eastAsia="zh-CN"/>
              </w:rPr>
              <w:t>3</w:t>
            </w:r>
            <w:r>
              <w:rPr>
                <w:rFonts w:hint="eastAsia" w:cs="Times New Roman"/>
                <w:color w:val="auto"/>
                <w:sz w:val="24"/>
                <w:lang w:val="en-US" w:eastAsia="zh-CN"/>
              </w:rPr>
              <w:t>-N（NH</w:t>
            </w:r>
            <w:r>
              <w:rPr>
                <w:rFonts w:hint="eastAsia" w:cs="Times New Roman"/>
                <w:color w:val="auto"/>
                <w:sz w:val="24"/>
                <w:vertAlign w:val="subscript"/>
                <w:lang w:val="en-US" w:eastAsia="zh-CN"/>
              </w:rPr>
              <w:t>4</w:t>
            </w:r>
            <w:r>
              <w:rPr>
                <w:rFonts w:hint="eastAsia" w:cs="Times New Roman"/>
                <w:color w:val="auto"/>
                <w:sz w:val="24"/>
                <w:vertAlign w:val="superscript"/>
                <w:lang w:val="en-US" w:eastAsia="zh-CN"/>
              </w:rPr>
              <w:t>+</w:t>
            </w:r>
            <w:r>
              <w:rPr>
                <w:rFonts w:hint="eastAsia" w:cs="Times New Roman"/>
                <w:color w:val="auto"/>
                <w:sz w:val="24"/>
                <w:lang w:val="en-US" w:eastAsia="zh-CN"/>
              </w:rPr>
              <w:t>）氧化为NO</w:t>
            </w:r>
            <w:r>
              <w:rPr>
                <w:rFonts w:hint="eastAsia" w:cs="Times New Roman"/>
                <w:color w:val="auto"/>
                <w:sz w:val="24"/>
                <w:vertAlign w:val="subscript"/>
                <w:lang w:val="en-US" w:eastAsia="zh-CN"/>
              </w:rPr>
              <w:t>3</w:t>
            </w:r>
            <w:r>
              <w:rPr>
                <w:rFonts w:hint="eastAsia" w:cs="Times New Roman"/>
                <w:color w:val="auto"/>
                <w:sz w:val="24"/>
                <w:vertAlign w:val="superscript"/>
                <w:lang w:val="en-US" w:eastAsia="zh-CN"/>
              </w:rPr>
              <w:t>-</w:t>
            </w:r>
            <w:r>
              <w:rPr>
                <w:rFonts w:hint="eastAsia" w:cs="Times New Roman"/>
                <w:color w:val="auto"/>
                <w:sz w:val="24"/>
                <w:lang w:val="en-US" w:eastAsia="zh-CN"/>
              </w:rPr>
              <w:t>，通过回流控制返回至A池，在缺氧条件下，异氧菌的反硝化作用将NO</w:t>
            </w:r>
            <w:r>
              <w:rPr>
                <w:rFonts w:hint="eastAsia" w:cs="Times New Roman"/>
                <w:color w:val="auto"/>
                <w:sz w:val="24"/>
                <w:vertAlign w:val="subscript"/>
                <w:lang w:val="en-US" w:eastAsia="zh-CN"/>
              </w:rPr>
              <w:t>3</w:t>
            </w:r>
            <w:r>
              <w:rPr>
                <w:rFonts w:hint="eastAsia" w:cs="Times New Roman"/>
                <w:color w:val="auto"/>
                <w:sz w:val="24"/>
                <w:vertAlign w:val="superscript"/>
                <w:lang w:val="en-US" w:eastAsia="zh-CN"/>
              </w:rPr>
              <w:t>-</w:t>
            </w:r>
            <w:r>
              <w:rPr>
                <w:rFonts w:hint="eastAsia" w:cs="Times New Roman"/>
                <w:color w:val="auto"/>
                <w:sz w:val="24"/>
                <w:lang w:val="en-US" w:eastAsia="zh-CN"/>
              </w:rPr>
              <w:t>还原为分子态氮（N</w:t>
            </w:r>
            <w:r>
              <w:rPr>
                <w:rFonts w:hint="eastAsia" w:cs="Times New Roman"/>
                <w:color w:val="auto"/>
                <w:sz w:val="24"/>
                <w:vertAlign w:val="subscript"/>
                <w:lang w:val="en-US" w:eastAsia="zh-CN"/>
              </w:rPr>
              <w:t>2</w:t>
            </w:r>
            <w:r>
              <w:rPr>
                <w:rFonts w:hint="eastAsia" w:cs="Times New Roman"/>
                <w:color w:val="auto"/>
                <w:sz w:val="24"/>
                <w:lang w:val="en-US" w:eastAsia="zh-CN"/>
              </w:rPr>
              <w:t>）完成C、N、O在生态中的循环，从而实现对水体中COD、BOD、氨氮、TP、TN处理。该阶段产生污染物主要为剩余污泥，定期泵入污泥浓缩池进行浓缩池，定期泵入污泥浓缩池进行浓缩后进行板框压滤后外运处理。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Times New Roman"/>
                <w:color w:val="auto"/>
                <w:sz w:val="24"/>
                <w:lang w:val="en-US" w:eastAsia="zh-CN"/>
              </w:rPr>
            </w:pPr>
            <w:r>
              <w:rPr>
                <w:rFonts w:hint="eastAsia" w:cs="Times New Roman"/>
                <w:color w:val="auto"/>
                <w:sz w:val="24"/>
                <w:lang w:val="en-US" w:eastAsia="zh-CN"/>
              </w:rPr>
              <w:t>经A/O池生化处理后，污水进入二沉池进行沉淀处理，上清液基本达到《城镇污水处理厂污染物排放标准》（GB18918-2002）一级A出水标准，可直接进行回用，该环节主要污染物为沉淀的污泥。本项目在二沉池后端增加深度反应池及三沉池，考虑在应对水质水量较大的情况下，作为末端把关加强处理环节，通过添加药剂对污水进行进一步处理，最终保证出水稳定达到《城镇污水处理厂污染物排放标准》（GB18918-2002）一级A出水标准。深度反应池及三沉池在水质稳定达标正常运行的情况下，不运行。</w:t>
            </w:r>
          </w:p>
          <w:p>
            <w:pPr>
              <w:keepNext w:val="0"/>
              <w:keepLines w:val="0"/>
              <w:suppressLineNumbers w:val="0"/>
              <w:spacing w:before="0" w:beforeAutospacing="0" w:after="0" w:afterAutospacing="0" w:line="360" w:lineRule="auto"/>
              <w:ind w:left="0" w:right="0" w:firstLine="480"/>
              <w:rPr>
                <w:rFonts w:hint="eastAsia" w:ascii="Times New Roman" w:hAnsi="Times New Roman" w:cs="Times New Roman"/>
                <w:b/>
                <w:bCs/>
                <w:color w:val="auto"/>
                <w:sz w:val="24"/>
                <w:u w:val="single"/>
                <w:lang w:val="en-US" w:eastAsia="zh-CN"/>
              </w:rPr>
            </w:pPr>
            <w:r>
              <w:rPr>
                <w:rFonts w:hint="eastAsia" w:ascii="Times New Roman" w:hAnsi="Times New Roman" w:cs="Times New Roman"/>
                <w:b/>
                <w:bCs/>
                <w:color w:val="auto"/>
                <w:sz w:val="24"/>
                <w:u w:val="single"/>
                <w:lang w:val="en-US" w:eastAsia="zh-CN"/>
              </w:rPr>
              <w:t>产污环节：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cs="宋体"/>
                <w:color w:val="auto"/>
                <w:sz w:val="24"/>
                <w:u w:val="none"/>
                <w:lang w:val="en-US" w:eastAsia="zh-CN"/>
              </w:rPr>
            </w:pPr>
            <w:r>
              <w:rPr>
                <w:rFonts w:hint="eastAsia" w:ascii="Times New Roman" w:hAnsi="Times New Roman" w:cs="宋体"/>
                <w:color w:val="auto"/>
                <w:sz w:val="24"/>
                <w:u w:val="none"/>
                <w:lang w:val="en-US" w:eastAsia="zh-CN"/>
              </w:rPr>
              <w:t>①废气：污水处理工段散发的臭味。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cs="宋体"/>
                <w:color w:val="auto"/>
                <w:sz w:val="24"/>
                <w:u w:val="none"/>
                <w:lang w:val="en-US" w:eastAsia="zh-CN"/>
              </w:rPr>
            </w:pPr>
            <w:r>
              <w:rPr>
                <w:rFonts w:hint="eastAsia" w:ascii="Times New Roman" w:hAnsi="Times New Roman" w:cs="宋体"/>
                <w:color w:val="auto"/>
                <w:sz w:val="24"/>
                <w:u w:val="none"/>
                <w:lang w:val="en-US" w:eastAsia="zh-CN"/>
              </w:rPr>
              <w:t>②废水：生活污水、污泥脱水废水与进厂污水一并处理处理后</w:t>
            </w:r>
            <w:r>
              <w:rPr>
                <w:rFonts w:hint="eastAsia" w:cs="宋体"/>
                <w:color w:val="auto"/>
                <w:sz w:val="24"/>
                <w:u w:val="none"/>
                <w:lang w:val="en-US" w:eastAsia="zh-CN"/>
              </w:rPr>
              <w:t>回用</w:t>
            </w:r>
            <w:r>
              <w:rPr>
                <w:rFonts w:hint="eastAsia" w:ascii="Times New Roman" w:hAnsi="Times New Roman" w:cs="宋体"/>
                <w:color w:val="auto"/>
                <w:sz w:val="24"/>
                <w:u w:val="none"/>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imes New Roman" w:hAnsi="Times New Roman" w:cs="宋体"/>
                <w:color w:val="auto"/>
                <w:sz w:val="24"/>
                <w:u w:val="none"/>
                <w:lang w:val="en-US" w:eastAsia="zh-CN"/>
              </w:rPr>
            </w:pPr>
            <w:r>
              <w:rPr>
                <w:rFonts w:hint="eastAsia" w:ascii="Times New Roman" w:hAnsi="Times New Roman" w:cs="宋体"/>
                <w:color w:val="auto"/>
                <w:sz w:val="24"/>
                <w:u w:val="none"/>
                <w:lang w:val="en-US" w:eastAsia="zh-CN"/>
              </w:rPr>
              <w:t>③噪声：各种叠螺机噪声等。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cs="宋体"/>
                <w:color w:val="auto"/>
                <w:sz w:val="24"/>
                <w:u w:val="none"/>
                <w:lang w:val="en-US" w:eastAsia="zh-CN"/>
              </w:rPr>
            </w:pPr>
            <w:r>
              <w:rPr>
                <w:rFonts w:hint="eastAsia" w:ascii="Times New Roman" w:hAnsi="Times New Roman" w:cs="宋体"/>
                <w:color w:val="auto"/>
                <w:sz w:val="24"/>
                <w:u w:val="none"/>
                <w:lang w:val="en-US" w:eastAsia="zh-CN"/>
              </w:rPr>
              <w:t>④固废：污水处理过程中产生的污泥、格栅沉渣、员工生活垃圾设备检修、维护产生的废机油等。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rPr>
                <w:rFonts w:hint="default" w:cs="Times New Roman"/>
                <w:b/>
                <w:bCs/>
                <w:color w:val="auto"/>
                <w:sz w:val="24"/>
                <w:lang w:val="en-US" w:eastAsia="zh-CN"/>
              </w:rPr>
            </w:pPr>
            <w:r>
              <w:rPr>
                <w:rFonts w:hint="eastAsia" w:cs="Times New Roman"/>
                <w:b/>
                <w:bCs/>
                <w:color w:val="auto"/>
                <w:sz w:val="24"/>
                <w:lang w:val="en-US" w:eastAsia="zh-CN"/>
              </w:rPr>
              <w:t>本项目近期内运行方式：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cs="宋体"/>
                <w:color w:val="auto"/>
                <w:sz w:val="24"/>
                <w:u w:val="none"/>
                <w:lang w:val="en-US" w:eastAsia="zh-CN"/>
              </w:rPr>
            </w:pPr>
            <w:r>
              <w:rPr>
                <w:rFonts w:hint="eastAsia" w:cs="Times New Roman"/>
                <w:color w:val="auto"/>
                <w:sz w:val="24"/>
                <w:lang w:val="en-US" w:eastAsia="zh-CN"/>
              </w:rPr>
              <w:t>本项目建设规模为</w:t>
            </w:r>
            <w:r>
              <w:rPr>
                <w:rFonts w:hint="eastAsia" w:ascii="Times New Roman" w:hAnsi="Times New Roman" w:cs="宋体"/>
                <w:color w:val="auto"/>
                <w:sz w:val="24"/>
                <w:u w:val="none"/>
                <w:lang w:val="en-US" w:eastAsia="zh-CN"/>
              </w:rPr>
              <w:t>1000m</w:t>
            </w:r>
            <w:r>
              <w:rPr>
                <w:rFonts w:hint="eastAsia" w:ascii="Times New Roman" w:hAnsi="Times New Roman" w:cs="宋体"/>
                <w:color w:val="auto"/>
                <w:sz w:val="24"/>
                <w:u w:val="none"/>
                <w:vertAlign w:val="superscript"/>
                <w:lang w:val="en-US" w:eastAsia="zh-CN"/>
              </w:rPr>
              <w:t>3</w:t>
            </w:r>
            <w:r>
              <w:rPr>
                <w:rFonts w:hint="eastAsia" w:ascii="Times New Roman" w:hAnsi="Times New Roman" w:cs="宋体"/>
                <w:color w:val="auto"/>
                <w:sz w:val="24"/>
                <w:u w:val="none"/>
                <w:lang w:val="en-US" w:eastAsia="zh-CN"/>
              </w:rPr>
              <w:t>/d，近期内处理水量为</w:t>
            </w:r>
            <w:r>
              <w:rPr>
                <w:rFonts w:hint="eastAsia" w:cs="宋体"/>
                <w:color w:val="auto"/>
                <w:sz w:val="24"/>
                <w:u w:val="none"/>
                <w:lang w:val="en-US" w:eastAsia="zh-CN"/>
              </w:rPr>
              <w:t>180.656</w:t>
            </w:r>
            <w:r>
              <w:rPr>
                <w:rFonts w:hint="eastAsia" w:ascii="Times New Roman" w:hAnsi="Times New Roman" w:cs="宋体"/>
                <w:color w:val="auto"/>
                <w:sz w:val="24"/>
                <w:u w:val="none"/>
                <w:lang w:val="en-US" w:eastAsia="zh-CN"/>
              </w:rPr>
              <w:t>m</w:t>
            </w:r>
            <w:r>
              <w:rPr>
                <w:rFonts w:hint="eastAsia" w:ascii="Times New Roman" w:hAnsi="Times New Roman" w:cs="宋体"/>
                <w:color w:val="auto"/>
                <w:sz w:val="24"/>
                <w:u w:val="none"/>
                <w:vertAlign w:val="superscript"/>
                <w:lang w:val="en-US" w:eastAsia="zh-CN"/>
              </w:rPr>
              <w:t>3</w:t>
            </w:r>
            <w:r>
              <w:rPr>
                <w:rFonts w:hint="eastAsia" w:ascii="Times New Roman" w:hAnsi="Times New Roman" w:cs="宋体"/>
                <w:color w:val="auto"/>
                <w:sz w:val="24"/>
                <w:u w:val="none"/>
                <w:lang w:val="en-US" w:eastAsia="zh-CN"/>
              </w:rPr>
              <w:t>/d，经处理后全部回用。远期考虑后续项目建设，处理水量预计可达800m</w:t>
            </w:r>
            <w:r>
              <w:rPr>
                <w:rFonts w:hint="eastAsia" w:ascii="Times New Roman" w:hAnsi="Times New Roman" w:cs="宋体"/>
                <w:color w:val="auto"/>
                <w:sz w:val="24"/>
                <w:u w:val="none"/>
                <w:vertAlign w:val="superscript"/>
                <w:lang w:val="en-US" w:eastAsia="zh-CN"/>
              </w:rPr>
              <w:t>3</w:t>
            </w:r>
            <w:r>
              <w:rPr>
                <w:rFonts w:hint="eastAsia" w:ascii="Times New Roman" w:hAnsi="Times New Roman" w:cs="宋体"/>
                <w:color w:val="auto"/>
                <w:sz w:val="24"/>
                <w:u w:val="none"/>
                <w:lang w:val="en-US" w:eastAsia="zh-CN"/>
              </w:rPr>
              <w:t>/d，不能回用厂区部分排入市政管网后进行进一步深度处理。</w:t>
            </w:r>
            <w:r>
              <w:rPr>
                <w:rFonts w:hint="eastAsia" w:cs="宋体"/>
                <w:color w:val="auto"/>
                <w:sz w:val="24"/>
                <w:u w:val="none"/>
                <w:lang w:val="en-US" w:eastAsia="zh-CN"/>
              </w:rPr>
              <w:t>近期内，考虑污水处理量较小，采用污水处理厂前期处理阶段暂不回用，待污水处理池容满足污水处理厂运行要求后，每天进行废水外排回用，即污水处理厂稳定运行后，稳定进水量为180.656</w:t>
            </w:r>
            <w:r>
              <w:rPr>
                <w:rFonts w:hint="eastAsia" w:ascii="Times New Roman" w:hAnsi="Times New Roman" w:cs="宋体"/>
                <w:color w:val="auto"/>
                <w:sz w:val="24"/>
                <w:u w:val="none"/>
                <w:lang w:val="en-US" w:eastAsia="zh-CN"/>
              </w:rPr>
              <w:t>m</w:t>
            </w:r>
            <w:r>
              <w:rPr>
                <w:rFonts w:hint="eastAsia" w:ascii="Times New Roman" w:hAnsi="Times New Roman" w:cs="宋体"/>
                <w:color w:val="auto"/>
                <w:sz w:val="24"/>
                <w:u w:val="none"/>
                <w:vertAlign w:val="superscript"/>
                <w:lang w:val="en-US" w:eastAsia="zh-CN"/>
              </w:rPr>
              <w:t>3</w:t>
            </w:r>
            <w:r>
              <w:rPr>
                <w:rFonts w:hint="eastAsia" w:ascii="Times New Roman" w:hAnsi="Times New Roman" w:cs="宋体"/>
                <w:color w:val="auto"/>
                <w:sz w:val="24"/>
                <w:u w:val="none"/>
                <w:lang w:val="en-US" w:eastAsia="zh-CN"/>
              </w:rPr>
              <w:t>/d</w:t>
            </w:r>
            <w:r>
              <w:rPr>
                <w:rFonts w:hint="eastAsia" w:cs="宋体"/>
                <w:color w:val="auto"/>
                <w:sz w:val="24"/>
                <w:u w:val="none"/>
                <w:lang w:val="en-US" w:eastAsia="zh-CN"/>
              </w:rPr>
              <w:t>，外排回用水量为180.656。本项目进水水量于出水水平水平衡图见下图。</w:t>
            </w:r>
          </w:p>
          <w:p>
            <w:pPr>
              <w:pStyle w:val="44"/>
              <w:keepNext w:val="0"/>
              <w:keepLines w:val="0"/>
              <w:suppressLineNumbers w:val="0"/>
              <w:spacing w:beforeAutospacing="0" w:afterAutospacing="0"/>
              <w:ind w:left="0"/>
              <w:rPr>
                <w:rFonts w:hint="default"/>
                <w:color w:val="auto"/>
                <w:lang w:val="en-US" w:eastAsia="zh-CN"/>
              </w:rPr>
            </w:pPr>
            <w:r>
              <w:rPr>
                <w:rFonts w:hint="default"/>
                <w:color w:val="auto"/>
              </w:rPr>
              <w:drawing>
                <wp:inline distT="0" distB="0" distL="114300" distR="114300">
                  <wp:extent cx="5506720" cy="2638425"/>
                  <wp:effectExtent l="0" t="0" r="17780" b="9525"/>
                  <wp:docPr id="4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5"/>
                          <pic:cNvPicPr>
                            <a:picLocks noChangeAspect="1"/>
                          </pic:cNvPicPr>
                        </pic:nvPicPr>
                        <pic:blipFill>
                          <a:blip r:embed="rId8"/>
                          <a:stretch>
                            <a:fillRect/>
                          </a:stretch>
                        </pic:blipFill>
                        <pic:spPr>
                          <a:xfrm>
                            <a:off x="0" y="0"/>
                            <a:ext cx="5506720" cy="2638425"/>
                          </a:xfrm>
                          <a:prstGeom prst="rect">
                            <a:avLst/>
                          </a:prstGeom>
                          <a:noFill/>
                          <a:ln>
                            <a:noFill/>
                          </a:ln>
                        </pic:spPr>
                      </pic:pic>
                    </a:graphicData>
                  </a:graphic>
                </wp:inline>
              </w:drawing>
            </w:r>
          </w:p>
          <w:p>
            <w:pPr>
              <w:keepNext w:val="0"/>
              <w:keepLines w:val="0"/>
              <w:suppressLineNumbers w:val="0"/>
              <w:spacing w:before="0" w:beforeAutospacing="0" w:after="0" w:afterAutospacing="0"/>
              <w:ind w:left="0" w:right="0"/>
              <w:jc w:val="center"/>
              <w:rPr>
                <w:rFonts w:hint="eastAsia"/>
                <w:b/>
                <w:color w:val="auto"/>
                <w:szCs w:val="21"/>
                <w:u w:val="single"/>
                <w:lang w:val="en-US" w:eastAsia="zh-CN"/>
              </w:rPr>
            </w:pPr>
            <w:r>
              <w:rPr>
                <w:rFonts w:hint="eastAsia"/>
                <w:b/>
                <w:color w:val="auto"/>
                <w:szCs w:val="21"/>
                <w:u w:val="single"/>
                <w:lang w:val="en-US" w:eastAsia="zh-CN"/>
              </w:rPr>
              <w:t>图2-4 项目水平衡图</w:t>
            </w:r>
          </w:p>
          <w:p>
            <w:pPr>
              <w:keepNext w:val="0"/>
              <w:keepLines w:val="0"/>
              <w:suppressLineNumbers w:val="0"/>
              <w:spacing w:before="0" w:beforeAutospacing="0" w:after="0" w:afterAutospacing="0"/>
              <w:ind w:left="0" w:right="0"/>
              <w:jc w:val="center"/>
              <w:rPr>
                <w:rFonts w:hint="eastAsia"/>
                <w:b/>
                <w:color w:val="auto"/>
                <w:szCs w:val="21"/>
                <w:u w:val="single"/>
                <w:lang w:val="en-US" w:eastAsia="zh-CN"/>
              </w:rPr>
            </w:pPr>
          </w:p>
          <w:p>
            <w:pPr>
              <w:keepNext w:val="0"/>
              <w:keepLines w:val="0"/>
              <w:suppressLineNumbers w:val="0"/>
              <w:spacing w:before="0" w:beforeAutospacing="0" w:after="0" w:afterAutospacing="0"/>
              <w:ind w:left="0" w:right="0"/>
              <w:jc w:val="center"/>
              <w:rPr>
                <w:rFonts w:hint="eastAsia"/>
                <w:b/>
                <w:color w:val="auto"/>
                <w:szCs w:val="21"/>
                <w:u w:val="single"/>
                <w:lang w:val="en-US" w:eastAsia="zh-CN"/>
              </w:rPr>
            </w:pPr>
          </w:p>
          <w:p>
            <w:pPr>
              <w:keepNext w:val="0"/>
              <w:keepLines w:val="0"/>
              <w:suppressLineNumbers w:val="0"/>
              <w:spacing w:before="0" w:beforeAutospacing="0" w:after="0" w:afterAutospacing="0"/>
              <w:ind w:left="0" w:right="0"/>
              <w:jc w:val="center"/>
              <w:rPr>
                <w:rFonts w:hint="eastAsia"/>
                <w:b/>
                <w:color w:val="auto"/>
                <w:szCs w:val="21"/>
                <w:u w:val="single"/>
                <w:lang w:val="en-US" w:eastAsia="zh-CN"/>
              </w:rPr>
            </w:pPr>
          </w:p>
          <w:p>
            <w:pPr>
              <w:keepNext w:val="0"/>
              <w:keepLines w:val="0"/>
              <w:suppressLineNumbers w:val="0"/>
              <w:spacing w:before="0" w:beforeAutospacing="0" w:after="0" w:afterAutospacing="0"/>
              <w:ind w:left="0" w:right="0"/>
              <w:jc w:val="center"/>
              <w:rPr>
                <w:rFonts w:hint="eastAsia"/>
                <w:b/>
                <w:color w:val="auto"/>
                <w:szCs w:val="21"/>
                <w:u w:val="single"/>
                <w:lang w:val="en-US" w:eastAsia="zh-CN"/>
              </w:rPr>
            </w:pPr>
          </w:p>
          <w:p>
            <w:pPr>
              <w:keepNext w:val="0"/>
              <w:keepLines w:val="0"/>
              <w:suppressLineNumbers w:val="0"/>
              <w:spacing w:before="0" w:beforeAutospacing="0" w:after="0" w:afterAutospacing="0"/>
              <w:ind w:left="0" w:right="0"/>
              <w:jc w:val="center"/>
              <w:rPr>
                <w:rFonts w:hint="eastAsia"/>
                <w:b/>
                <w:color w:val="auto"/>
                <w:szCs w:val="21"/>
                <w:u w:val="single"/>
                <w:lang w:val="en-US" w:eastAsia="zh-CN"/>
              </w:rPr>
            </w:pPr>
          </w:p>
          <w:p>
            <w:pPr>
              <w:keepNext w:val="0"/>
              <w:keepLines w:val="0"/>
              <w:suppressLineNumbers w:val="0"/>
              <w:spacing w:before="0" w:beforeAutospacing="0" w:after="0" w:afterAutospacing="0"/>
              <w:ind w:left="0" w:right="0"/>
              <w:jc w:val="center"/>
              <w:rPr>
                <w:rFonts w:hint="eastAsia"/>
                <w:b/>
                <w:color w:val="auto"/>
                <w:szCs w:val="21"/>
                <w:u w:val="single"/>
                <w:lang w:val="en-US" w:eastAsia="zh-CN"/>
              </w:rPr>
            </w:pPr>
          </w:p>
          <w:p>
            <w:pPr>
              <w:keepNext w:val="0"/>
              <w:keepLines w:val="0"/>
              <w:suppressLineNumbers w:val="0"/>
              <w:spacing w:before="0" w:beforeAutospacing="0" w:after="0" w:afterAutospacing="0"/>
              <w:ind w:left="0" w:right="0"/>
              <w:jc w:val="center"/>
              <w:rPr>
                <w:rFonts w:hint="eastAsia"/>
                <w:b/>
                <w:color w:val="auto"/>
                <w:szCs w:val="21"/>
                <w:u w:val="single"/>
                <w:lang w:val="en-US" w:eastAsia="zh-CN"/>
              </w:rPr>
            </w:pPr>
          </w:p>
          <w:p>
            <w:pPr>
              <w:keepNext w:val="0"/>
              <w:keepLines w:val="0"/>
              <w:suppressLineNumbers w:val="0"/>
              <w:spacing w:before="0" w:beforeAutospacing="0" w:after="0" w:afterAutospacing="0"/>
              <w:ind w:left="0" w:right="0"/>
              <w:jc w:val="center"/>
              <w:rPr>
                <w:rFonts w:hint="eastAsia"/>
                <w:b/>
                <w:color w:val="auto"/>
                <w:szCs w:val="21"/>
                <w:u w:val="single"/>
                <w:lang w:val="en-US" w:eastAsia="zh-CN"/>
              </w:rPr>
            </w:pPr>
          </w:p>
          <w:p>
            <w:pPr>
              <w:keepNext w:val="0"/>
              <w:keepLines w:val="0"/>
              <w:suppressLineNumbers w:val="0"/>
              <w:spacing w:before="0" w:beforeAutospacing="0" w:after="0" w:afterAutospacing="0"/>
              <w:ind w:left="0" w:right="0"/>
              <w:jc w:val="center"/>
              <w:rPr>
                <w:rFonts w:hint="eastAsia"/>
                <w:b/>
                <w:color w:val="auto"/>
                <w:szCs w:val="21"/>
                <w:u w:val="single"/>
                <w:lang w:val="en-US" w:eastAsia="zh-CN"/>
              </w:rPr>
            </w:pPr>
          </w:p>
          <w:p>
            <w:pPr>
              <w:keepNext w:val="0"/>
              <w:keepLines w:val="0"/>
              <w:suppressLineNumbers w:val="0"/>
              <w:spacing w:before="0" w:beforeAutospacing="0" w:after="0" w:afterAutospacing="0"/>
              <w:ind w:left="0" w:right="0"/>
              <w:jc w:val="center"/>
              <w:rPr>
                <w:rFonts w:hint="eastAsia"/>
                <w:b/>
                <w:color w:val="auto"/>
                <w:szCs w:val="21"/>
                <w:u w:val="single"/>
                <w:lang w:val="en-US" w:eastAsia="zh-CN"/>
              </w:rPr>
            </w:pPr>
          </w:p>
          <w:p>
            <w:pPr>
              <w:keepNext w:val="0"/>
              <w:keepLines w:val="0"/>
              <w:suppressLineNumbers w:val="0"/>
              <w:spacing w:before="0" w:beforeAutospacing="0" w:after="0" w:afterAutospacing="0"/>
              <w:ind w:left="0" w:right="0"/>
              <w:jc w:val="center"/>
              <w:rPr>
                <w:rFonts w:hint="eastAsia"/>
                <w:b/>
                <w:color w:val="auto"/>
                <w:szCs w:val="21"/>
                <w:u w:val="single"/>
                <w:lang w:val="en-US" w:eastAsia="zh-CN"/>
              </w:rPr>
            </w:pPr>
          </w:p>
          <w:p>
            <w:pPr>
              <w:keepNext w:val="0"/>
              <w:keepLines w:val="0"/>
              <w:suppressLineNumbers w:val="0"/>
              <w:spacing w:before="0" w:beforeAutospacing="0" w:after="0" w:afterAutospacing="0"/>
              <w:ind w:left="0" w:right="0"/>
              <w:jc w:val="center"/>
              <w:rPr>
                <w:rFonts w:hint="default"/>
                <w:b/>
                <w:color w:val="auto"/>
                <w:szCs w:val="21"/>
                <w:u w:val="singl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831" w:type="dxa"/>
            <w:noWrap w:val="0"/>
            <w:vAlign w:val="center"/>
          </w:tcPr>
          <w:p>
            <w:pPr>
              <w:pStyle w:val="25"/>
              <w:keepNext w:val="0"/>
              <w:keepLines w:val="0"/>
              <w:suppressLineNumbers w:val="0"/>
              <w:adjustRightInd w:val="0"/>
              <w:snapToGrid w:val="0"/>
              <w:spacing w:before="0" w:beforeAutospacing="0" w:after="0" w:afterAutospacing="0"/>
              <w:ind w:left="0" w:right="0"/>
              <w:jc w:val="center"/>
              <w:rPr>
                <w:rFonts w:hint="default" w:ascii="Times New Roman" w:hAnsi="Times New Roman" w:cs="宋体"/>
                <w:color w:val="auto"/>
                <w:szCs w:val="24"/>
              </w:rPr>
            </w:pPr>
            <w:r>
              <w:rPr>
                <w:rFonts w:hint="eastAsia" w:ascii="Times New Roman" w:hAnsi="Times New Roman" w:cs="宋体"/>
                <w:bCs/>
                <w:color w:val="auto"/>
                <w:kern w:val="2"/>
                <w:szCs w:val="24"/>
              </w:rPr>
              <w:t>与项目有关的原有环境污染问题</w:t>
            </w:r>
          </w:p>
        </w:tc>
        <w:tc>
          <w:tcPr>
            <w:tcW w:w="8240" w:type="dxa"/>
            <w:noWrap w:val="0"/>
            <w:vAlign w:val="top"/>
          </w:tcPr>
          <w:p>
            <w:pPr>
              <w:keepNext w:val="0"/>
              <w:keepLines w:val="0"/>
              <w:suppressLineNumbers w:val="0"/>
              <w:spacing w:before="0" w:beforeAutospacing="0" w:after="0" w:afterAutospacing="0" w:line="360" w:lineRule="auto"/>
              <w:ind w:left="0" w:right="0" w:firstLine="480"/>
              <w:rPr>
                <w:rFonts w:hint="default"/>
                <w:color w:val="auto"/>
                <w:sz w:val="24"/>
              </w:rPr>
            </w:pPr>
            <w:r>
              <w:rPr>
                <w:rFonts w:hint="eastAsia"/>
                <w:color w:val="auto"/>
                <w:sz w:val="24"/>
              </w:rPr>
              <w:t>本项目为新建项目，</w:t>
            </w:r>
            <w:r>
              <w:rPr>
                <w:rFonts w:hint="eastAsia"/>
                <w:color w:val="auto"/>
                <w:sz w:val="24"/>
                <w:lang w:val="en-US" w:eastAsia="zh-CN"/>
              </w:rPr>
              <w:t>本项目厂址现为荒地，现有厂址上</w:t>
            </w:r>
            <w:r>
              <w:rPr>
                <w:rFonts w:hint="eastAsia"/>
                <w:color w:val="auto"/>
                <w:sz w:val="24"/>
              </w:rPr>
              <w:t>无与本项目有关的原有环境污染问题。</w:t>
            </w:r>
          </w:p>
          <w:p>
            <w:pPr>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本项目为</w:t>
            </w:r>
            <w:r>
              <w:rPr>
                <w:rFonts w:hint="eastAsia" w:ascii="Times New Roman" w:hAnsi="Times New Roman" w:eastAsia="宋体" w:cs="Times New Roman"/>
                <w:color w:val="auto"/>
                <w:sz w:val="24"/>
              </w:rPr>
              <w:t>湖南鲁丽木业有限公司</w:t>
            </w:r>
            <w:r>
              <w:rPr>
                <w:rFonts w:hint="eastAsia" w:cs="Times New Roman"/>
                <w:color w:val="auto"/>
                <w:sz w:val="24"/>
                <w:lang w:val="en-US" w:eastAsia="zh-CN"/>
              </w:rPr>
              <w:t>配套附属工程项目</w:t>
            </w:r>
            <w:r>
              <w:rPr>
                <w:rFonts w:hint="eastAsia"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rPr>
              <w:t>公司已于2022年5月和7月委托湖南众诚工程咨询有限公司分别编制了《湖南鲁丽木业有限公司3×170t/h+2</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rPr>
              <w:t>30MW生物质电厂项目环境影响报告书》和《湖南鲁丽木业有限公司年产2</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rPr>
              <w:t>80万立方米刨花板项目环境影响报告书》，</w:t>
            </w:r>
            <w:r>
              <w:rPr>
                <w:rFonts w:hint="eastAsia" w:ascii="Times New Roman" w:hAnsi="Times New Roman" w:eastAsia="宋体" w:cs="Times New Roman"/>
                <w:color w:val="auto"/>
                <w:sz w:val="24"/>
                <w:lang w:val="en-US" w:eastAsia="zh-CN"/>
              </w:rPr>
              <w:t>目前“年产2</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80万立方米刨花板项目”已通过永州市生态环境局的审批（永环评[2022]13号）、“3</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170t/h+2</w:t>
            </w:r>
            <w:r>
              <w:rPr>
                <w:rFonts w:hint="default"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val="en-US" w:eastAsia="zh-CN"/>
              </w:rPr>
              <w:t>30MW生物质电厂项目”</w:t>
            </w:r>
            <w:r>
              <w:rPr>
                <w:rFonts w:hint="eastAsia" w:ascii="Times New Roman" w:hAnsi="Times New Roman" w:eastAsia="宋体" w:cs="Times New Roman"/>
                <w:color w:val="auto"/>
                <w:sz w:val="24"/>
              </w:rPr>
              <w:t>环评正在报批阶段。其中3×170t/h+2×30MW生物质电厂项目属于科技产业园的辅助配套工程，为科技产业园提供蒸汽和电力，其使用的生物质来源于科技产业园内刨花板、木材加工等项目产生的木材边角料。</w:t>
            </w:r>
            <w:r>
              <w:rPr>
                <w:rFonts w:hint="eastAsia" w:ascii="Times New Roman" w:hAnsi="Times New Roman" w:eastAsia="宋体" w:cs="Times New Roman"/>
                <w:color w:val="auto"/>
                <w:sz w:val="24"/>
                <w:lang w:val="en-US" w:eastAsia="zh-CN"/>
              </w:rPr>
              <w:t>于2022年10月委托湖南乐和环保科技有限公司编制了《湖南鲁丽木业绿色新材料科技产业园木材加工项目》已通过永州市生态环境局新田分局的审批（新环评【2023】2号）</w:t>
            </w:r>
            <w:r>
              <w:rPr>
                <w:rFonts w:hint="eastAsia" w:cs="宋体"/>
                <w:color w:val="auto"/>
                <w:sz w:val="24"/>
                <w:u w:val="none"/>
                <w:lang w:val="en-US" w:eastAsia="zh-CN"/>
              </w:rPr>
              <w:t>。</w:t>
            </w:r>
            <w:r>
              <w:rPr>
                <w:rFonts w:hint="eastAsia" w:ascii="Times New Roman" w:hAnsi="Times New Roman" w:eastAsia="宋体" w:cs="Times New Roman"/>
                <w:color w:val="auto"/>
                <w:sz w:val="24"/>
                <w:lang w:val="en-US" w:eastAsia="zh-CN"/>
              </w:rPr>
              <w:t>上述项目目前尚未投产，处于建设阶段，</w:t>
            </w:r>
            <w:r>
              <w:rPr>
                <w:rFonts w:hint="eastAsia" w:ascii="Times New Roman" w:hAnsi="Times New Roman" w:cs="Times New Roman"/>
                <w:color w:val="auto"/>
                <w:sz w:val="24"/>
                <w:lang w:val="en-US" w:eastAsia="zh-CN"/>
              </w:rPr>
              <w:t>未进行</w:t>
            </w:r>
            <w:r>
              <w:rPr>
                <w:rFonts w:hint="eastAsia" w:ascii="Times New Roman" w:hAnsi="Times New Roman" w:eastAsia="宋体" w:cs="Times New Roman"/>
                <w:color w:val="auto"/>
                <w:sz w:val="24"/>
                <w:lang w:val="en-US" w:eastAsia="zh-CN"/>
              </w:rPr>
              <w:t>竣工环境保护验收、排污许可手续</w:t>
            </w:r>
            <w:r>
              <w:rPr>
                <w:rFonts w:hint="eastAsia" w:ascii="Times New Roman" w:hAnsi="Times New Roman" w:cs="Times New Roman"/>
                <w:color w:val="auto"/>
                <w:sz w:val="24"/>
                <w:lang w:val="en-US" w:eastAsia="zh-CN"/>
              </w:rPr>
              <w:t>。</w:t>
            </w:r>
          </w:p>
          <w:p>
            <w:pPr>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lang w:val="en-US" w:eastAsia="zh-CN"/>
              </w:rPr>
            </w:pPr>
            <w:r>
              <w:rPr>
                <w:rFonts w:hint="eastAsia" w:cs="Times New Roman"/>
                <w:color w:val="auto"/>
                <w:sz w:val="24"/>
                <w:lang w:val="en-US" w:eastAsia="zh-CN"/>
              </w:rPr>
              <w:t>在建</w:t>
            </w:r>
            <w:r>
              <w:rPr>
                <w:rFonts w:hint="eastAsia" w:ascii="Times New Roman" w:hAnsi="Times New Roman" w:eastAsia="宋体" w:cs="Times New Roman"/>
                <w:color w:val="auto"/>
                <w:sz w:val="24"/>
                <w:lang w:val="en-US" w:eastAsia="zh-CN"/>
              </w:rPr>
              <w:t>的</w:t>
            </w:r>
            <w:r>
              <w:rPr>
                <w:rFonts w:hint="eastAsia" w:ascii="Times New Roman" w:hAnsi="Times New Roman" w:eastAsia="宋体" w:cs="Times New Roman"/>
                <w:color w:val="auto"/>
                <w:sz w:val="24"/>
              </w:rPr>
              <w:t>生物质电厂项目</w:t>
            </w:r>
            <w:r>
              <w:rPr>
                <w:rFonts w:hint="eastAsia" w:ascii="Times New Roman" w:hAnsi="Times New Roman" w:eastAsia="宋体" w:cs="Times New Roman"/>
                <w:color w:val="auto"/>
                <w:sz w:val="24"/>
                <w:lang w:val="en-US" w:eastAsia="zh-CN"/>
              </w:rPr>
              <w:t>和刨花板项目两个项目的情况</w:t>
            </w:r>
            <w:r>
              <w:rPr>
                <w:rFonts w:hint="eastAsia" w:ascii="Times New Roman" w:hAnsi="Times New Roman" w:cs="Times New Roman"/>
                <w:color w:val="auto"/>
                <w:sz w:val="24"/>
                <w:lang w:val="en-US" w:eastAsia="zh-CN"/>
              </w:rPr>
              <w:t>如下</w:t>
            </w:r>
            <w:r>
              <w:rPr>
                <w:rFonts w:hint="eastAsia" w:ascii="Times New Roman" w:hAnsi="Times New Roman" w:eastAsia="宋体" w:cs="Times New Roman"/>
                <w:color w:val="auto"/>
                <w:sz w:val="24"/>
                <w:lang w:val="en-US" w:eastAsia="zh-CN"/>
              </w:rPr>
              <w:t>。</w:t>
            </w:r>
          </w:p>
          <w:p>
            <w:pPr>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1、根据</w:t>
            </w:r>
            <w:r>
              <w:rPr>
                <w:rFonts w:hint="eastAsia" w:ascii="Times New Roman" w:hAnsi="Times New Roman" w:eastAsia="宋体" w:cs="Times New Roman"/>
                <w:color w:val="auto"/>
                <w:sz w:val="24"/>
              </w:rPr>
              <w:t>《湖南鲁丽木业有限公司3×170t/h+2</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rPr>
              <w:t>30MW生物质电厂项目环境影响报告书》</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该项目建成后，其污染物排放情况如下：</w:t>
            </w:r>
          </w:p>
          <w:p>
            <w:pPr>
              <w:keepNext w:val="0"/>
              <w:keepLines w:val="0"/>
              <w:suppressLineNumbers w:val="0"/>
              <w:spacing w:before="0" w:beforeAutospacing="0" w:after="0" w:afterAutospacing="0"/>
              <w:ind w:left="0" w:right="0"/>
              <w:jc w:val="center"/>
              <w:rPr>
                <w:rFonts w:hint="eastAsia"/>
                <w:b/>
                <w:bCs/>
                <w:color w:val="auto"/>
                <w:szCs w:val="21"/>
                <w:u w:val="none"/>
              </w:rPr>
            </w:pPr>
            <w:r>
              <w:rPr>
                <w:rFonts w:hint="eastAsia"/>
                <w:b/>
                <w:bCs/>
                <w:color w:val="auto"/>
                <w:szCs w:val="21"/>
                <w:u w:val="none"/>
              </w:rPr>
              <w:t>表2</w:t>
            </w:r>
            <w:r>
              <w:rPr>
                <w:rFonts w:hint="default"/>
                <w:b/>
                <w:bCs/>
                <w:color w:val="auto"/>
                <w:szCs w:val="21"/>
                <w:u w:val="none"/>
              </w:rPr>
              <w:t>-</w:t>
            </w:r>
            <w:r>
              <w:rPr>
                <w:rFonts w:hint="eastAsia"/>
                <w:b/>
                <w:bCs/>
                <w:color w:val="auto"/>
                <w:szCs w:val="21"/>
                <w:u w:val="none"/>
                <w:lang w:val="en-US" w:eastAsia="zh-CN"/>
              </w:rPr>
              <w:t>7鲁丽木业生物质电厂项目污染物排放情况一览表</w:t>
            </w:r>
          </w:p>
          <w:tbl>
            <w:tblPr>
              <w:tblStyle w:val="29"/>
              <w:tblW w:w="0" w:type="auto"/>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1361"/>
              <w:gridCol w:w="1725"/>
              <w:gridCol w:w="1110"/>
              <w:gridCol w:w="31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noWrap w:val="0"/>
                  <w:vAlign w:val="center"/>
                </w:tcPr>
                <w:p>
                  <w:pPr>
                    <w:keepNext w:val="0"/>
                    <w:keepLines w:val="0"/>
                    <w:suppressLineNumbers w:val="0"/>
                    <w:snapToGrid w:val="0"/>
                    <w:spacing w:before="0" w:beforeAutospacing="0" w:after="0" w:afterAutospacing="0"/>
                    <w:ind w:left="0" w:right="0"/>
                    <w:jc w:val="center"/>
                    <w:rPr>
                      <w:rFonts w:hint="eastAsia" w:eastAsia="宋体"/>
                      <w:color w:val="auto"/>
                      <w:sz w:val="18"/>
                      <w:szCs w:val="18"/>
                      <w:u w:val="none"/>
                      <w:lang w:eastAsia="zh-CN"/>
                    </w:rPr>
                  </w:pPr>
                  <w:r>
                    <w:rPr>
                      <w:rFonts w:hint="eastAsia"/>
                      <w:color w:val="auto"/>
                      <w:sz w:val="18"/>
                      <w:szCs w:val="18"/>
                      <w:u w:val="none"/>
                      <w:lang w:val="en-US" w:eastAsia="zh-CN"/>
                    </w:rPr>
                    <w:t>类别</w:t>
                  </w:r>
                </w:p>
              </w:tc>
              <w:tc>
                <w:tcPr>
                  <w:tcW w:w="1361" w:type="dxa"/>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eastAsia="宋体"/>
                      <w:color w:val="auto"/>
                      <w:sz w:val="18"/>
                      <w:szCs w:val="18"/>
                      <w:u w:val="none"/>
                      <w:lang w:val="en-US" w:eastAsia="zh-CN"/>
                    </w:rPr>
                  </w:pPr>
                  <w:r>
                    <w:rPr>
                      <w:rFonts w:hint="eastAsia"/>
                      <w:color w:val="auto"/>
                      <w:sz w:val="18"/>
                      <w:szCs w:val="18"/>
                      <w:u w:val="none"/>
                      <w:lang w:val="en-US" w:eastAsia="zh-CN"/>
                    </w:rPr>
                    <w:t>工序或来源</w:t>
                  </w:r>
                </w:p>
              </w:tc>
              <w:tc>
                <w:tcPr>
                  <w:tcW w:w="1725" w:type="dxa"/>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eastAsia="宋体"/>
                      <w:color w:val="auto"/>
                      <w:sz w:val="18"/>
                      <w:szCs w:val="18"/>
                      <w:u w:val="none"/>
                      <w:lang w:eastAsia="zh-CN"/>
                    </w:rPr>
                  </w:pPr>
                  <w:r>
                    <w:rPr>
                      <w:rFonts w:hint="eastAsia"/>
                      <w:color w:val="auto"/>
                      <w:sz w:val="18"/>
                      <w:szCs w:val="18"/>
                      <w:u w:val="none"/>
                      <w:lang w:val="en-US" w:eastAsia="zh-CN"/>
                    </w:rPr>
                    <w:t>污染物</w:t>
                  </w:r>
                </w:p>
              </w:tc>
              <w:tc>
                <w:tcPr>
                  <w:tcW w:w="1110" w:type="dxa"/>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eastAsia="宋体"/>
                      <w:color w:val="auto"/>
                      <w:sz w:val="18"/>
                      <w:szCs w:val="18"/>
                      <w:u w:val="none"/>
                      <w:lang w:val="en-US" w:eastAsia="zh-CN"/>
                    </w:rPr>
                  </w:pPr>
                  <w:r>
                    <w:rPr>
                      <w:rFonts w:hint="eastAsia" w:eastAsia="宋体"/>
                      <w:color w:val="auto"/>
                      <w:sz w:val="18"/>
                      <w:szCs w:val="18"/>
                      <w:u w:val="none"/>
                      <w:lang w:val="en-US" w:eastAsia="zh-CN"/>
                    </w:rPr>
                    <w:t>排放量</w:t>
                  </w:r>
                  <w:r>
                    <w:rPr>
                      <w:rFonts w:hint="eastAsia"/>
                      <w:color w:val="auto"/>
                      <w:sz w:val="18"/>
                      <w:szCs w:val="18"/>
                      <w:u w:val="none"/>
                      <w:lang w:val="en-US" w:eastAsia="zh-CN"/>
                    </w:rPr>
                    <w:t>/t/a</w:t>
                  </w:r>
                </w:p>
              </w:tc>
              <w:tc>
                <w:tcPr>
                  <w:tcW w:w="3133" w:type="dxa"/>
                  <w:noWrap w:val="0"/>
                  <w:vAlign w:val="center"/>
                </w:tcPr>
                <w:p>
                  <w:pPr>
                    <w:keepNext w:val="0"/>
                    <w:keepLines w:val="0"/>
                    <w:suppressLineNumbers w:val="0"/>
                    <w:snapToGrid w:val="0"/>
                    <w:spacing w:before="0" w:beforeAutospacing="0" w:after="0" w:afterAutospacing="0"/>
                    <w:ind w:left="0" w:right="0"/>
                    <w:jc w:val="center"/>
                    <w:rPr>
                      <w:rFonts w:hint="default" w:eastAsia="宋体"/>
                      <w:color w:val="auto"/>
                      <w:sz w:val="18"/>
                      <w:szCs w:val="18"/>
                      <w:u w:val="none"/>
                      <w:lang w:val="en-US" w:eastAsia="zh-CN"/>
                    </w:rPr>
                  </w:pPr>
                  <w:r>
                    <w:rPr>
                      <w:rFonts w:hint="eastAsia"/>
                      <w:color w:val="auto"/>
                      <w:sz w:val="18"/>
                      <w:szCs w:val="18"/>
                      <w:u w:val="none"/>
                      <w:lang w:val="en-US" w:eastAsia="zh-CN"/>
                    </w:rPr>
                    <w:t>排放去向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Merge w:val="restart"/>
                  <w:noWrap w:val="0"/>
                  <w:vAlign w:val="center"/>
                </w:tcPr>
                <w:p>
                  <w:pPr>
                    <w:keepNext w:val="0"/>
                    <w:keepLines w:val="0"/>
                    <w:suppressLineNumbers w:val="0"/>
                    <w:snapToGrid w:val="0"/>
                    <w:spacing w:before="0" w:beforeAutospacing="0" w:after="0" w:afterAutospacing="0"/>
                    <w:ind w:left="0" w:right="0"/>
                    <w:jc w:val="center"/>
                    <w:rPr>
                      <w:rFonts w:hint="eastAsia" w:eastAsia="宋体"/>
                      <w:color w:val="auto"/>
                      <w:sz w:val="18"/>
                      <w:szCs w:val="18"/>
                      <w:u w:val="none"/>
                      <w:lang w:val="en-US" w:eastAsia="zh-CN"/>
                    </w:rPr>
                  </w:pPr>
                  <w:r>
                    <w:rPr>
                      <w:rFonts w:hint="eastAsia"/>
                      <w:color w:val="auto"/>
                      <w:sz w:val="18"/>
                      <w:szCs w:val="18"/>
                      <w:u w:val="none"/>
                      <w:lang w:val="en-US" w:eastAsia="zh-CN"/>
                    </w:rPr>
                    <w:t>废气</w:t>
                  </w:r>
                </w:p>
              </w:tc>
              <w:tc>
                <w:tcPr>
                  <w:tcW w:w="1361" w:type="dxa"/>
                  <w:vMerge w:val="restart"/>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rPr>
                  </w:pPr>
                  <w:r>
                    <w:rPr>
                      <w:rFonts w:hint="eastAsia"/>
                      <w:color w:val="auto"/>
                      <w:sz w:val="18"/>
                      <w:szCs w:val="18"/>
                      <w:u w:val="none"/>
                      <w:lang w:val="en-US" w:eastAsia="zh-CN"/>
                    </w:rPr>
                    <w:t>锅炉</w:t>
                  </w:r>
                </w:p>
              </w:tc>
              <w:tc>
                <w:tcPr>
                  <w:tcW w:w="172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rPr>
                  </w:pPr>
                  <w:r>
                    <w:rPr>
                      <w:rFonts w:hint="eastAsia"/>
                      <w:color w:val="auto"/>
                      <w:sz w:val="18"/>
                      <w:szCs w:val="18"/>
                      <w:u w:val="none"/>
                      <w:lang w:val="en-US" w:eastAsia="zh-CN"/>
                    </w:rPr>
                    <w:t>PM</w:t>
                  </w:r>
                  <w:r>
                    <w:rPr>
                      <w:rFonts w:hint="eastAsia"/>
                      <w:color w:val="auto"/>
                      <w:sz w:val="18"/>
                      <w:szCs w:val="18"/>
                      <w:u w:val="none"/>
                      <w:vertAlign w:val="subscript"/>
                      <w:lang w:val="en-US" w:eastAsia="zh-CN"/>
                    </w:rPr>
                    <w:t>10</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r>
                    <w:rPr>
                      <w:rFonts w:hint="eastAsia"/>
                      <w:color w:val="auto"/>
                      <w:sz w:val="18"/>
                      <w:szCs w:val="18"/>
                      <w:u w:val="none"/>
                      <w:lang w:val="en-US" w:eastAsia="zh-CN"/>
                    </w:rPr>
                    <w:t>79.17</w:t>
                  </w:r>
                </w:p>
              </w:tc>
              <w:tc>
                <w:tcPr>
                  <w:tcW w:w="3133" w:type="dxa"/>
                  <w:vMerge w:val="restart"/>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r>
                    <w:rPr>
                      <w:rFonts w:hint="default" w:eastAsia="宋体"/>
                      <w:color w:val="auto"/>
                      <w:sz w:val="18"/>
                      <w:szCs w:val="18"/>
                      <w:u w:val="none"/>
                      <w:lang w:val="en-US" w:eastAsia="zh-CN"/>
                    </w:rPr>
                    <w:t>经脱硫除尘脱硝处理后由120m烟囱高空排放（DA001）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rPr>
                  </w:pPr>
                </w:p>
              </w:tc>
              <w:tc>
                <w:tcPr>
                  <w:tcW w:w="172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rPr>
                  </w:pPr>
                  <w:r>
                    <w:rPr>
                      <w:rFonts w:hint="eastAsia"/>
                      <w:color w:val="auto"/>
                      <w:sz w:val="18"/>
                      <w:szCs w:val="18"/>
                      <w:u w:val="none"/>
                      <w:lang w:val="en-US" w:eastAsia="zh-CN"/>
                    </w:rPr>
                    <w:t>PM</w:t>
                  </w:r>
                  <w:r>
                    <w:rPr>
                      <w:rFonts w:hint="eastAsia"/>
                      <w:color w:val="auto"/>
                      <w:sz w:val="18"/>
                      <w:szCs w:val="18"/>
                      <w:u w:val="none"/>
                      <w:vertAlign w:val="subscript"/>
                      <w:lang w:val="en-US" w:eastAsia="zh-CN"/>
                    </w:rPr>
                    <w:t>2.5</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r>
                    <w:rPr>
                      <w:rFonts w:hint="eastAsia"/>
                      <w:color w:val="auto"/>
                      <w:sz w:val="18"/>
                      <w:szCs w:val="18"/>
                      <w:u w:val="none"/>
                      <w:lang w:val="en-US" w:eastAsia="zh-CN"/>
                    </w:rPr>
                    <w:t>39.58</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rPr>
                  </w:pPr>
                </w:p>
              </w:tc>
              <w:tc>
                <w:tcPr>
                  <w:tcW w:w="172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rPr>
                  </w:pPr>
                  <w:r>
                    <w:rPr>
                      <w:rFonts w:hint="eastAsia"/>
                      <w:color w:val="auto"/>
                      <w:sz w:val="18"/>
                      <w:szCs w:val="18"/>
                      <w:u w:val="none"/>
                      <w:lang w:val="en-US" w:eastAsia="zh-CN"/>
                    </w:rPr>
                    <w:t>SO</w:t>
                  </w:r>
                  <w:r>
                    <w:rPr>
                      <w:rFonts w:hint="eastAsia"/>
                      <w:color w:val="auto"/>
                      <w:sz w:val="18"/>
                      <w:szCs w:val="18"/>
                      <w:u w:val="none"/>
                      <w:vertAlign w:val="subscript"/>
                      <w:lang w:val="en-US" w:eastAsia="zh-CN"/>
                    </w:rPr>
                    <w:t>2</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r>
                    <w:rPr>
                      <w:rFonts w:hint="eastAsia"/>
                      <w:color w:val="auto"/>
                      <w:sz w:val="18"/>
                      <w:szCs w:val="18"/>
                      <w:u w:val="none"/>
                      <w:lang w:val="en-US" w:eastAsia="zh-CN"/>
                    </w:rPr>
                    <w:t>208.30</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rPr>
                  </w:pPr>
                </w:p>
              </w:tc>
              <w:tc>
                <w:tcPr>
                  <w:tcW w:w="172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r>
                    <w:rPr>
                      <w:rFonts w:hint="eastAsia"/>
                      <w:color w:val="auto"/>
                      <w:sz w:val="18"/>
                      <w:szCs w:val="18"/>
                      <w:u w:val="none"/>
                      <w:lang w:val="en-US" w:eastAsia="zh-CN"/>
                    </w:rPr>
                    <w:t>NOx</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r>
                    <w:rPr>
                      <w:rFonts w:hint="eastAsia"/>
                      <w:color w:val="auto"/>
                      <w:sz w:val="18"/>
                      <w:szCs w:val="18"/>
                      <w:u w:val="none"/>
                      <w:lang w:val="en-US" w:eastAsia="zh-CN"/>
                    </w:rPr>
                    <w:t>206.81</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rPr>
                  </w:pPr>
                </w:p>
              </w:tc>
              <w:tc>
                <w:tcPr>
                  <w:tcW w:w="172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r>
                    <w:rPr>
                      <w:rFonts w:hint="eastAsia"/>
                      <w:color w:val="auto"/>
                      <w:sz w:val="18"/>
                      <w:szCs w:val="18"/>
                      <w:u w:val="none"/>
                      <w:lang w:val="en-US" w:eastAsia="zh-CN"/>
                    </w:rPr>
                    <w:t>汞及其化合物</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r>
                    <w:rPr>
                      <w:rFonts w:hint="eastAsia"/>
                      <w:color w:val="auto"/>
                      <w:sz w:val="18"/>
                      <w:szCs w:val="18"/>
                      <w:u w:val="none"/>
                      <w:lang w:val="en-US" w:eastAsia="zh-CN"/>
                    </w:rPr>
                    <w:t>0.017</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rPr>
                  </w:pPr>
                </w:p>
              </w:tc>
              <w:tc>
                <w:tcPr>
                  <w:tcW w:w="172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r>
                    <w:rPr>
                      <w:rFonts w:hint="eastAsia"/>
                      <w:color w:val="auto"/>
                      <w:sz w:val="18"/>
                      <w:szCs w:val="18"/>
                      <w:u w:val="none"/>
                      <w:lang w:val="en-US" w:eastAsia="zh-CN"/>
                    </w:rPr>
                    <w:t>HCl</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r>
                    <w:rPr>
                      <w:rFonts w:hint="eastAsia"/>
                      <w:color w:val="auto"/>
                      <w:sz w:val="18"/>
                      <w:szCs w:val="18"/>
                      <w:u w:val="none"/>
                      <w:lang w:val="en-US" w:eastAsia="zh-CN"/>
                    </w:rPr>
                    <w:t>21.54</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rPr>
                  </w:pPr>
                </w:p>
              </w:tc>
              <w:tc>
                <w:tcPr>
                  <w:tcW w:w="172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color w:val="auto"/>
                      <w:sz w:val="18"/>
                      <w:szCs w:val="18"/>
                      <w:u w:val="none"/>
                      <w:lang w:val="en-US" w:eastAsia="zh-CN"/>
                    </w:rPr>
                    <w:t>逃逸氨</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r>
                    <w:rPr>
                      <w:rFonts w:hint="eastAsia"/>
                      <w:color w:val="auto"/>
                      <w:sz w:val="18"/>
                      <w:szCs w:val="18"/>
                      <w:u w:val="none"/>
                      <w:lang w:val="en-US" w:eastAsia="zh-CN"/>
                    </w:rPr>
                    <w:t>12.93</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color w:val="auto"/>
                      <w:sz w:val="18"/>
                      <w:szCs w:val="18"/>
                      <w:u w:val="none"/>
                      <w:lang w:val="en-US" w:eastAsia="zh-CN"/>
                    </w:rPr>
                    <w:t>灰库</w:t>
                  </w:r>
                </w:p>
              </w:tc>
              <w:tc>
                <w:tcPr>
                  <w:tcW w:w="172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color w:val="auto"/>
                      <w:sz w:val="18"/>
                      <w:szCs w:val="18"/>
                      <w:u w:val="none"/>
                      <w:lang w:val="en-US" w:eastAsia="zh-CN"/>
                    </w:rPr>
                    <w:t>颗粒物</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r>
                    <w:rPr>
                      <w:rFonts w:hint="eastAsia"/>
                      <w:color w:val="auto"/>
                      <w:sz w:val="18"/>
                      <w:szCs w:val="18"/>
                      <w:u w:val="none"/>
                      <w:lang w:val="en-US" w:eastAsia="zh-CN"/>
                    </w:rPr>
                    <w:t>3.95</w:t>
                  </w:r>
                </w:p>
              </w:tc>
              <w:tc>
                <w:tcPr>
                  <w:tcW w:w="3133" w:type="dxa"/>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eastAsia="宋体"/>
                      <w:color w:val="auto"/>
                      <w:sz w:val="18"/>
                      <w:szCs w:val="18"/>
                      <w:u w:val="none"/>
                      <w:lang w:val="en-US" w:eastAsia="zh-CN"/>
                    </w:rPr>
                    <w:t>布袋除尘+15m排气筒（DA002）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eastAsia" w:ascii="宋体" w:hAnsi="宋体" w:eastAsia="宋体" w:cs="宋体"/>
                      <w:color w:val="auto"/>
                      <w:kern w:val="0"/>
                      <w:sz w:val="20"/>
                      <w:szCs w:val="20"/>
                      <w:lang w:val="en-US" w:eastAsia="zh-CN" w:bidi="ar"/>
                    </w:rPr>
                    <w:t>渣库</w:t>
                  </w:r>
                </w:p>
              </w:tc>
              <w:tc>
                <w:tcPr>
                  <w:tcW w:w="1725"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eastAsia" w:ascii="宋体" w:hAnsi="宋体" w:eastAsia="宋体" w:cs="宋体"/>
                      <w:color w:val="auto"/>
                      <w:kern w:val="0"/>
                      <w:sz w:val="20"/>
                      <w:szCs w:val="20"/>
                      <w:lang w:val="en-US" w:eastAsia="zh-CN" w:bidi="ar"/>
                    </w:rPr>
                    <w:t>颗粒物</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4.03</w:t>
                  </w:r>
                </w:p>
              </w:tc>
              <w:tc>
                <w:tcPr>
                  <w:tcW w:w="3133" w:type="dxa"/>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ascii="宋体" w:hAnsi="宋体" w:eastAsia="宋体" w:cs="宋体"/>
                      <w:color w:val="auto"/>
                      <w:kern w:val="0"/>
                      <w:sz w:val="20"/>
                      <w:szCs w:val="20"/>
                      <w:lang w:val="en-US" w:eastAsia="zh-CN" w:bidi="ar"/>
                    </w:rPr>
                    <w:t>布袋除尘</w:t>
                  </w:r>
                  <w:r>
                    <w:rPr>
                      <w:rFonts w:hint="default" w:ascii="Times New Roman" w:hAnsi="Times New Roman" w:eastAsia="宋体" w:cs="Times New Roman"/>
                      <w:color w:val="auto"/>
                      <w:kern w:val="0"/>
                      <w:sz w:val="20"/>
                      <w:szCs w:val="20"/>
                      <w:lang w:val="en-US" w:eastAsia="zh-CN" w:bidi="ar"/>
                    </w:rPr>
                    <w:t>+15m</w:t>
                  </w:r>
                  <w:r>
                    <w:rPr>
                      <w:rFonts w:hint="eastAsia" w:ascii="宋体" w:hAnsi="宋体" w:eastAsia="宋体" w:cs="宋体"/>
                      <w:color w:val="auto"/>
                      <w:kern w:val="0"/>
                      <w:sz w:val="20"/>
                      <w:szCs w:val="20"/>
                      <w:lang w:val="en-US" w:eastAsia="zh-CN" w:bidi="ar"/>
                    </w:rPr>
                    <w:t>排气筒（</w:t>
                  </w:r>
                  <w:r>
                    <w:rPr>
                      <w:rFonts w:hint="default" w:ascii="Times New Roman" w:hAnsi="Times New Roman" w:eastAsia="宋体" w:cs="Times New Roman"/>
                      <w:color w:val="auto"/>
                      <w:kern w:val="0"/>
                      <w:sz w:val="20"/>
                      <w:szCs w:val="20"/>
                      <w:lang w:val="en-US" w:eastAsia="zh-CN" w:bidi="ar"/>
                    </w:rPr>
                    <w:t>DA003</w:t>
                  </w:r>
                  <w:r>
                    <w:rPr>
                      <w:rFonts w:hint="eastAsia" w:ascii="宋体" w:hAnsi="宋体" w:eastAsia="宋体" w:cs="宋体"/>
                      <w:color w:val="auto"/>
                      <w:kern w:val="0"/>
                      <w:sz w:val="20"/>
                      <w:szCs w:val="20"/>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石灰石粉仓</w:t>
                  </w:r>
                </w:p>
              </w:tc>
              <w:tc>
                <w:tcPr>
                  <w:tcW w:w="172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颗粒物</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0.24</w:t>
                  </w:r>
                </w:p>
              </w:tc>
              <w:tc>
                <w:tcPr>
                  <w:tcW w:w="3133" w:type="dxa"/>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eastAsia="宋体"/>
                      <w:color w:val="auto"/>
                      <w:sz w:val="18"/>
                      <w:szCs w:val="18"/>
                      <w:u w:val="none"/>
                      <w:lang w:val="en-US" w:eastAsia="zh-CN"/>
                    </w:rPr>
                    <w:t>布袋除尘+15m排气筒（DA004）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r>
                    <w:rPr>
                      <w:rFonts w:hint="eastAsia"/>
                      <w:color w:val="auto"/>
                      <w:sz w:val="18"/>
                      <w:szCs w:val="18"/>
                      <w:u w:val="none"/>
                      <w:lang w:val="en-US" w:eastAsia="zh-CN"/>
                    </w:rPr>
                    <w:t>燃料装卸</w:t>
                  </w:r>
                </w:p>
              </w:tc>
              <w:tc>
                <w:tcPr>
                  <w:tcW w:w="1725"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eastAsia" w:ascii="宋体" w:hAnsi="宋体" w:eastAsia="宋体" w:cs="宋体"/>
                      <w:color w:val="auto"/>
                      <w:kern w:val="0"/>
                      <w:sz w:val="20"/>
                      <w:szCs w:val="20"/>
                      <w:lang w:val="en-US" w:eastAsia="zh-CN" w:bidi="ar"/>
                    </w:rPr>
                    <w:t>颗粒物</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1.25</w:t>
                  </w:r>
                </w:p>
              </w:tc>
              <w:tc>
                <w:tcPr>
                  <w:tcW w:w="3133" w:type="dxa"/>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ascii="宋体" w:hAnsi="宋体" w:eastAsia="宋体" w:cs="宋体"/>
                      <w:color w:val="auto"/>
                      <w:kern w:val="0"/>
                      <w:sz w:val="20"/>
                      <w:szCs w:val="20"/>
                      <w:lang w:val="en-US" w:eastAsia="zh-CN" w:bidi="ar"/>
                    </w:rPr>
                    <w:t>封闭式料棚和廊桥、喷雾除尘后无组织排放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eastAsia" w:ascii="宋体" w:hAnsi="宋体" w:eastAsia="宋体" w:cs="宋体"/>
                      <w:color w:val="auto"/>
                      <w:kern w:val="0"/>
                      <w:sz w:val="20"/>
                      <w:szCs w:val="20"/>
                      <w:lang w:val="en-US" w:eastAsia="zh-CN" w:bidi="ar"/>
                    </w:rPr>
                    <w:t>燃料进料</w:t>
                  </w:r>
                </w:p>
              </w:tc>
              <w:tc>
                <w:tcPr>
                  <w:tcW w:w="1725"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eastAsia" w:ascii="宋体" w:hAnsi="宋体" w:eastAsia="宋体" w:cs="宋体"/>
                      <w:color w:val="auto"/>
                      <w:kern w:val="0"/>
                      <w:sz w:val="20"/>
                      <w:szCs w:val="20"/>
                      <w:lang w:val="en-US" w:eastAsia="zh-CN" w:bidi="ar"/>
                    </w:rPr>
                    <w:t>颗粒物</w:t>
                  </w:r>
                </w:p>
              </w:tc>
              <w:tc>
                <w:tcPr>
                  <w:tcW w:w="1110" w:type="dxa"/>
                  <w:tcBorders>
                    <w:lef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default" w:ascii="Times New Roman" w:hAnsi="Times New Roman" w:eastAsia="宋体" w:cs="Times New Roman"/>
                      <w:color w:val="auto"/>
                      <w:kern w:val="0"/>
                      <w:sz w:val="20"/>
                      <w:szCs w:val="20"/>
                      <w:lang w:val="en-US" w:eastAsia="zh-CN" w:bidi="ar"/>
                    </w:rPr>
                    <w:t>0.63</w:t>
                  </w:r>
                </w:p>
              </w:tc>
              <w:tc>
                <w:tcPr>
                  <w:tcW w:w="3133" w:type="dxa"/>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ascii="宋体" w:hAnsi="宋体" w:eastAsia="宋体" w:cs="宋体"/>
                      <w:color w:val="auto"/>
                      <w:kern w:val="0"/>
                      <w:sz w:val="20"/>
                      <w:szCs w:val="20"/>
                      <w:lang w:val="en-US" w:eastAsia="zh-CN" w:bidi="ar"/>
                    </w:rPr>
                    <w:t>布袋除尘后无组织排放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vMerge w:val="restart"/>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eastAsia" w:ascii="宋体" w:hAnsi="宋体" w:eastAsia="宋体" w:cs="宋体"/>
                      <w:color w:val="auto"/>
                      <w:kern w:val="0"/>
                      <w:sz w:val="20"/>
                      <w:szCs w:val="20"/>
                      <w:lang w:val="en-US" w:eastAsia="zh-CN" w:bidi="ar"/>
                    </w:rPr>
                    <w:t>燃料储存</w:t>
                  </w:r>
                </w:p>
              </w:tc>
              <w:tc>
                <w:tcPr>
                  <w:tcW w:w="1725"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eastAsia" w:ascii="宋体" w:hAnsi="宋体" w:eastAsia="宋体" w:cs="宋体"/>
                      <w:color w:val="auto"/>
                      <w:kern w:val="0"/>
                      <w:sz w:val="20"/>
                      <w:szCs w:val="20"/>
                      <w:lang w:val="en-US" w:eastAsia="zh-CN" w:bidi="ar"/>
                    </w:rPr>
                    <w:t>氨</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2.0</w:t>
                  </w:r>
                </w:p>
              </w:tc>
              <w:tc>
                <w:tcPr>
                  <w:tcW w:w="3133" w:type="dxa"/>
                  <w:vMerge w:val="restart"/>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ascii="宋体" w:hAnsi="宋体" w:eastAsia="宋体" w:cs="宋体"/>
                      <w:color w:val="auto"/>
                      <w:kern w:val="0"/>
                      <w:sz w:val="20"/>
                      <w:szCs w:val="20"/>
                      <w:lang w:val="en-US" w:eastAsia="zh-CN" w:bidi="ar"/>
                    </w:rPr>
                    <w:t>无组织排放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p>
              </w:tc>
              <w:tc>
                <w:tcPr>
                  <w:tcW w:w="172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r>
                    <w:rPr>
                      <w:rFonts w:hint="eastAsia" w:ascii="宋体" w:hAnsi="宋体" w:eastAsia="宋体" w:cs="宋体"/>
                      <w:color w:val="auto"/>
                      <w:kern w:val="0"/>
                      <w:sz w:val="20"/>
                      <w:szCs w:val="20"/>
                      <w:lang w:val="en-US" w:eastAsia="zh-CN" w:bidi="ar"/>
                    </w:rPr>
                    <w:t>硫化氢</w:t>
                  </w:r>
                </w:p>
              </w:tc>
              <w:tc>
                <w:tcPr>
                  <w:tcW w:w="1110" w:type="dxa"/>
                  <w:tcBorders>
                    <w:lef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eastAsia" w:ascii="宋体" w:hAnsi="宋体" w:eastAsia="宋体" w:cs="宋体"/>
                      <w:color w:val="auto"/>
                      <w:kern w:val="0"/>
                      <w:sz w:val="20"/>
                      <w:szCs w:val="20"/>
                      <w:lang w:val="en-US" w:eastAsia="zh-CN" w:bidi="ar"/>
                    </w:rPr>
                    <w:t>0.08</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eastAsia" w:ascii="宋体" w:hAnsi="宋体" w:eastAsia="宋体" w:cs="宋体"/>
                      <w:color w:val="auto"/>
                      <w:kern w:val="0"/>
                      <w:sz w:val="20"/>
                      <w:szCs w:val="20"/>
                      <w:lang w:val="en-US" w:eastAsia="zh-CN" w:bidi="ar"/>
                    </w:rPr>
                    <w:t>氨水储罐</w:t>
                  </w:r>
                </w:p>
              </w:tc>
              <w:tc>
                <w:tcPr>
                  <w:tcW w:w="1725"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eastAsia" w:ascii="宋体" w:hAnsi="宋体" w:eastAsia="宋体" w:cs="宋体"/>
                      <w:color w:val="auto"/>
                      <w:kern w:val="0"/>
                      <w:sz w:val="20"/>
                      <w:szCs w:val="20"/>
                      <w:lang w:val="en-US" w:eastAsia="zh-CN" w:bidi="ar"/>
                    </w:rPr>
                    <w:t>氨</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0.02</w:t>
                  </w:r>
                </w:p>
              </w:tc>
              <w:tc>
                <w:tcPr>
                  <w:tcW w:w="3133" w:type="dxa"/>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ascii="宋体" w:hAnsi="宋体" w:eastAsia="宋体" w:cs="宋体"/>
                      <w:color w:val="auto"/>
                      <w:kern w:val="0"/>
                      <w:sz w:val="20"/>
                      <w:szCs w:val="20"/>
                      <w:lang w:val="en-US" w:eastAsia="zh-CN" w:bidi="ar"/>
                    </w:rPr>
                    <w:t>加注管线回收，无组织排放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restart"/>
                  <w:noWrap w:val="0"/>
                  <w:vAlign w:val="center"/>
                </w:tcPr>
                <w:p>
                  <w:pPr>
                    <w:keepNext w:val="0"/>
                    <w:keepLines w:val="0"/>
                    <w:suppressLineNumbers w:val="0"/>
                    <w:snapToGrid w:val="0"/>
                    <w:spacing w:before="0" w:beforeAutospacing="0" w:after="0" w:afterAutospacing="0"/>
                    <w:ind w:left="0" w:right="0"/>
                    <w:jc w:val="center"/>
                    <w:rPr>
                      <w:rFonts w:hint="eastAsia" w:eastAsia="宋体"/>
                      <w:color w:val="auto"/>
                      <w:sz w:val="18"/>
                      <w:szCs w:val="18"/>
                      <w:u w:val="none"/>
                      <w:lang w:val="en-US" w:eastAsia="zh-CN"/>
                    </w:rPr>
                  </w:pPr>
                  <w:r>
                    <w:rPr>
                      <w:rFonts w:hint="eastAsia"/>
                      <w:color w:val="auto"/>
                      <w:sz w:val="18"/>
                      <w:szCs w:val="18"/>
                      <w:u w:val="none"/>
                      <w:lang w:val="en-US" w:eastAsia="zh-CN"/>
                    </w:rPr>
                    <w:t>废水</w:t>
                  </w:r>
                </w:p>
              </w:tc>
              <w:tc>
                <w:tcPr>
                  <w:tcW w:w="1361" w:type="dxa"/>
                  <w:vMerge w:val="restart"/>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生产废水</w:t>
                  </w:r>
                </w:p>
              </w:tc>
              <w:tc>
                <w:tcPr>
                  <w:tcW w:w="172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废水量</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64800</w:t>
                  </w:r>
                </w:p>
              </w:tc>
              <w:tc>
                <w:tcPr>
                  <w:tcW w:w="3133" w:type="dxa"/>
                  <w:vMerge w:val="restart"/>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eastAsia="宋体"/>
                      <w:color w:val="auto"/>
                      <w:sz w:val="18"/>
                      <w:szCs w:val="18"/>
                      <w:u w:val="none"/>
                      <w:lang w:val="en-US" w:eastAsia="zh-CN"/>
                    </w:rPr>
                    <w:t>分别经预处理后近期进新田县污水处理厂集中处理，远期进新田县南部新城工业园污水处理厂集中处理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p>
              </w:tc>
              <w:tc>
                <w:tcPr>
                  <w:tcW w:w="172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COD</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16.20</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p>
              </w:tc>
              <w:tc>
                <w:tcPr>
                  <w:tcW w:w="172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BOD</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9.72</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p>
              </w:tc>
              <w:tc>
                <w:tcPr>
                  <w:tcW w:w="172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SS</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12.96</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p>
              </w:tc>
              <w:tc>
                <w:tcPr>
                  <w:tcW w:w="172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氨氮</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0.97</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vMerge w:val="restart"/>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生活污水</w:t>
                  </w:r>
                </w:p>
              </w:tc>
              <w:tc>
                <w:tcPr>
                  <w:tcW w:w="172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kern w:val="2"/>
                      <w:sz w:val="18"/>
                      <w:szCs w:val="18"/>
                      <w:u w:val="none"/>
                      <w:lang w:val="en-US" w:eastAsia="zh-CN" w:bidi="ar-SA"/>
                    </w:rPr>
                  </w:pPr>
                  <w:r>
                    <w:rPr>
                      <w:rFonts w:hint="eastAsia"/>
                      <w:color w:val="auto"/>
                      <w:sz w:val="18"/>
                      <w:szCs w:val="18"/>
                      <w:u w:val="none"/>
                      <w:lang w:val="en-US" w:eastAsia="zh-CN"/>
                    </w:rPr>
                    <w:t>废水量</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4032</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p>
              </w:tc>
              <w:tc>
                <w:tcPr>
                  <w:tcW w:w="172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kern w:val="2"/>
                      <w:sz w:val="18"/>
                      <w:szCs w:val="18"/>
                      <w:u w:val="none"/>
                      <w:lang w:val="en-US" w:eastAsia="zh-CN" w:bidi="ar-SA"/>
                    </w:rPr>
                  </w:pPr>
                  <w:r>
                    <w:rPr>
                      <w:rFonts w:hint="eastAsia"/>
                      <w:color w:val="auto"/>
                      <w:sz w:val="18"/>
                      <w:szCs w:val="18"/>
                      <w:u w:val="none"/>
                      <w:lang w:val="en-US" w:eastAsia="zh-CN"/>
                    </w:rPr>
                    <w:t>COD</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1.01</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p>
              </w:tc>
              <w:tc>
                <w:tcPr>
                  <w:tcW w:w="172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kern w:val="2"/>
                      <w:sz w:val="18"/>
                      <w:szCs w:val="18"/>
                      <w:u w:val="none"/>
                      <w:lang w:val="en-US" w:eastAsia="zh-CN" w:bidi="ar-SA"/>
                    </w:rPr>
                  </w:pPr>
                  <w:r>
                    <w:rPr>
                      <w:rFonts w:hint="eastAsia"/>
                      <w:color w:val="auto"/>
                      <w:sz w:val="18"/>
                      <w:szCs w:val="18"/>
                      <w:u w:val="none"/>
                      <w:lang w:val="en-US" w:eastAsia="zh-CN"/>
                    </w:rPr>
                    <w:t>BOD</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0.48</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p>
              </w:tc>
              <w:tc>
                <w:tcPr>
                  <w:tcW w:w="172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kern w:val="2"/>
                      <w:sz w:val="18"/>
                      <w:szCs w:val="18"/>
                      <w:u w:val="none"/>
                      <w:lang w:val="en-US" w:eastAsia="zh-CN" w:bidi="ar-SA"/>
                    </w:rPr>
                  </w:pPr>
                  <w:r>
                    <w:rPr>
                      <w:rFonts w:hint="eastAsia"/>
                      <w:color w:val="auto"/>
                      <w:sz w:val="18"/>
                      <w:szCs w:val="18"/>
                      <w:u w:val="none"/>
                      <w:lang w:val="en-US" w:eastAsia="zh-CN"/>
                    </w:rPr>
                    <w:t>SS</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0.48</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p>
              </w:tc>
              <w:tc>
                <w:tcPr>
                  <w:tcW w:w="172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kern w:val="2"/>
                      <w:sz w:val="18"/>
                      <w:szCs w:val="18"/>
                      <w:u w:val="none"/>
                      <w:lang w:val="en-US" w:eastAsia="zh-CN" w:bidi="ar-SA"/>
                    </w:rPr>
                  </w:pPr>
                  <w:r>
                    <w:rPr>
                      <w:rFonts w:hint="eastAsia"/>
                      <w:color w:val="auto"/>
                      <w:sz w:val="18"/>
                      <w:szCs w:val="18"/>
                      <w:u w:val="none"/>
                      <w:lang w:val="en-US" w:eastAsia="zh-CN"/>
                    </w:rPr>
                    <w:t>氨氮</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0.10</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p>
              </w:tc>
              <w:tc>
                <w:tcPr>
                  <w:tcW w:w="172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动植物油</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0.12</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restart"/>
                  <w:noWrap w:val="0"/>
                  <w:vAlign w:val="center"/>
                </w:tcPr>
                <w:p>
                  <w:pPr>
                    <w:keepNext w:val="0"/>
                    <w:keepLines w:val="0"/>
                    <w:suppressLineNumbers w:val="0"/>
                    <w:snapToGrid w:val="0"/>
                    <w:spacing w:before="0" w:beforeAutospacing="0" w:after="0" w:afterAutospacing="0"/>
                    <w:ind w:left="0" w:right="0"/>
                    <w:jc w:val="center"/>
                    <w:rPr>
                      <w:rFonts w:hint="default" w:eastAsia="宋体"/>
                      <w:color w:val="auto"/>
                      <w:sz w:val="18"/>
                      <w:szCs w:val="18"/>
                      <w:u w:val="none"/>
                      <w:lang w:val="en-US" w:eastAsia="zh-CN"/>
                    </w:rPr>
                  </w:pPr>
                  <w:r>
                    <w:rPr>
                      <w:rFonts w:hint="eastAsia"/>
                      <w:color w:val="auto"/>
                      <w:sz w:val="18"/>
                      <w:szCs w:val="18"/>
                      <w:u w:val="none"/>
                      <w:lang w:val="en-US" w:eastAsia="zh-CN"/>
                    </w:rPr>
                    <w:t>固体废物</w:t>
                  </w:r>
                </w:p>
              </w:tc>
              <w:tc>
                <w:tcPr>
                  <w:tcW w:w="1361" w:type="dxa"/>
                  <w:vMerge w:val="restart"/>
                  <w:tcBorders>
                    <w:right w:val="single" w:color="000000"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color w:val="auto"/>
                      <w:sz w:val="18"/>
                      <w:szCs w:val="18"/>
                      <w:u w:val="none"/>
                      <w:lang w:val="en-US" w:eastAsia="zh-CN"/>
                    </w:rPr>
                  </w:pPr>
                  <w:r>
                    <w:rPr>
                      <w:rFonts w:hint="eastAsia"/>
                      <w:color w:val="auto"/>
                      <w:sz w:val="18"/>
                      <w:szCs w:val="18"/>
                      <w:u w:val="none"/>
                      <w:lang w:val="en-US" w:eastAsia="zh-CN"/>
                    </w:rPr>
                    <w:t>一般工业固废（产生量）</w:t>
                  </w:r>
                </w:p>
              </w:tc>
              <w:tc>
                <w:tcPr>
                  <w:tcW w:w="1725"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粉炉灰</w:t>
                  </w:r>
                </w:p>
                <w:p>
                  <w:pPr>
                    <w:keepNext w:val="0"/>
                    <w:keepLines w:val="0"/>
                    <w:widowControl/>
                    <w:suppressLineNumbers w:val="0"/>
                    <w:spacing w:before="0" w:beforeAutospacing="0" w:after="0" w:afterAutospacing="0" w:line="240" w:lineRule="auto"/>
                    <w:ind w:left="0" w:right="0"/>
                    <w:jc w:val="center"/>
                    <w:rPr>
                      <w:rFonts w:hint="eastAsia"/>
                      <w:color w:val="auto"/>
                      <w:sz w:val="18"/>
                      <w:szCs w:val="18"/>
                      <w:u w:val="none"/>
                      <w:lang w:val="en-US" w:eastAsia="zh-CN"/>
                    </w:rPr>
                  </w:pPr>
                  <w:r>
                    <w:rPr>
                      <w:rFonts w:hint="eastAsia" w:ascii="宋体" w:hAnsi="宋体" w:eastAsia="宋体" w:cs="宋体"/>
                      <w:color w:val="auto"/>
                      <w:kern w:val="0"/>
                      <w:sz w:val="20"/>
                      <w:szCs w:val="20"/>
                      <w:lang w:val="en-US" w:eastAsia="zh-CN" w:bidi="ar"/>
                    </w:rPr>
                    <w:t>（含脱硫灰）</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color w:val="auto"/>
                      <w:sz w:val="18"/>
                      <w:szCs w:val="18"/>
                      <w:u w:val="none"/>
                      <w:lang w:val="en-US" w:eastAsia="zh-CN"/>
                    </w:rPr>
                  </w:pPr>
                  <w:r>
                    <w:rPr>
                      <w:rFonts w:hint="eastAsia"/>
                      <w:color w:val="auto"/>
                      <w:sz w:val="18"/>
                      <w:szCs w:val="18"/>
                      <w:u w:val="none"/>
                      <w:lang w:val="en-US" w:eastAsia="zh-CN"/>
                    </w:rPr>
                    <w:t>79089.82</w:t>
                  </w:r>
                </w:p>
              </w:tc>
              <w:tc>
                <w:tcPr>
                  <w:tcW w:w="3133" w:type="dxa"/>
                  <w:vMerge w:val="restart"/>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ascii="宋体" w:hAnsi="宋体" w:eastAsia="宋体" w:cs="宋体"/>
                      <w:color w:val="auto"/>
                      <w:kern w:val="0"/>
                      <w:sz w:val="20"/>
                      <w:szCs w:val="20"/>
                      <w:lang w:val="en-US" w:eastAsia="zh-CN" w:bidi="ar"/>
                    </w:rPr>
                    <w:t>外售综合利用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eastAsia"/>
                      <w:color w:val="auto"/>
                      <w:sz w:val="18"/>
                      <w:szCs w:val="18"/>
                      <w:u w:val="none"/>
                      <w:lang w:val="en-US" w:eastAsia="zh-CN"/>
                    </w:rPr>
                  </w:pPr>
                </w:p>
              </w:tc>
              <w:tc>
                <w:tcPr>
                  <w:tcW w:w="1361" w:type="dxa"/>
                  <w:vMerge w:val="continue"/>
                  <w:tcBorders>
                    <w:right w:val="single" w:color="000000"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color w:val="auto"/>
                      <w:sz w:val="18"/>
                      <w:szCs w:val="18"/>
                      <w:u w:val="none"/>
                      <w:lang w:val="en-US" w:eastAsia="zh-CN"/>
                    </w:rPr>
                  </w:pPr>
                </w:p>
              </w:tc>
              <w:tc>
                <w:tcPr>
                  <w:tcW w:w="1725"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color w:val="auto"/>
                      <w:sz w:val="18"/>
                      <w:szCs w:val="18"/>
                      <w:u w:val="none"/>
                      <w:lang w:val="en-US" w:eastAsia="zh-CN"/>
                    </w:rPr>
                  </w:pPr>
                  <w:r>
                    <w:rPr>
                      <w:rFonts w:hint="eastAsia" w:ascii="宋体" w:hAnsi="宋体" w:eastAsia="宋体" w:cs="宋体"/>
                      <w:color w:val="auto"/>
                      <w:kern w:val="0"/>
                      <w:sz w:val="20"/>
                      <w:szCs w:val="20"/>
                      <w:lang w:val="en-US" w:eastAsia="zh-CN" w:bidi="ar"/>
                    </w:rPr>
                    <w:t>炉渣</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color w:val="auto"/>
                      <w:sz w:val="18"/>
                      <w:szCs w:val="18"/>
                      <w:u w:val="none"/>
                      <w:lang w:val="en-US" w:eastAsia="zh-CN"/>
                    </w:rPr>
                  </w:pPr>
                  <w:r>
                    <w:rPr>
                      <w:rFonts w:hint="eastAsia"/>
                      <w:color w:val="auto"/>
                      <w:sz w:val="18"/>
                      <w:szCs w:val="18"/>
                      <w:u w:val="none"/>
                      <w:lang w:val="en-US" w:eastAsia="zh-CN"/>
                    </w:rPr>
                    <w:t>80680.32</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eastAsia"/>
                      <w:color w:val="auto"/>
                      <w:sz w:val="18"/>
                      <w:szCs w:val="18"/>
                      <w:u w:val="none"/>
                      <w:lang w:val="en-US" w:eastAsia="zh-CN"/>
                    </w:rPr>
                  </w:pPr>
                </w:p>
              </w:tc>
              <w:tc>
                <w:tcPr>
                  <w:tcW w:w="1361" w:type="dxa"/>
                  <w:vMerge w:val="continue"/>
                  <w:tcBorders>
                    <w:right w:val="single" w:color="000000"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color w:val="auto"/>
                      <w:sz w:val="18"/>
                      <w:szCs w:val="18"/>
                      <w:u w:val="none"/>
                      <w:lang w:val="en-US" w:eastAsia="zh-CN"/>
                    </w:rPr>
                  </w:pPr>
                </w:p>
              </w:tc>
              <w:tc>
                <w:tcPr>
                  <w:tcW w:w="1725"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color w:val="auto"/>
                      <w:sz w:val="18"/>
                      <w:szCs w:val="18"/>
                      <w:u w:val="none"/>
                      <w:lang w:val="en-US" w:eastAsia="zh-CN"/>
                    </w:rPr>
                  </w:pPr>
                  <w:r>
                    <w:rPr>
                      <w:rFonts w:hint="eastAsia" w:ascii="宋体" w:hAnsi="宋体" w:eastAsia="宋体" w:cs="宋体"/>
                      <w:color w:val="auto"/>
                      <w:kern w:val="0"/>
                      <w:sz w:val="20"/>
                      <w:szCs w:val="20"/>
                      <w:lang w:val="en-US" w:eastAsia="zh-CN" w:bidi="ar"/>
                    </w:rPr>
                    <w:t>河水净化污泥</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color w:val="auto"/>
                      <w:sz w:val="18"/>
                      <w:szCs w:val="18"/>
                      <w:u w:val="none"/>
                      <w:lang w:val="en-US" w:eastAsia="zh-CN"/>
                    </w:rPr>
                  </w:pPr>
                  <w:r>
                    <w:rPr>
                      <w:rFonts w:hint="eastAsia"/>
                      <w:color w:val="auto"/>
                      <w:sz w:val="18"/>
                      <w:szCs w:val="18"/>
                      <w:u w:val="none"/>
                      <w:lang w:val="en-US" w:eastAsia="zh-CN"/>
                    </w:rPr>
                    <w:t>200</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eastAsia"/>
                      <w:color w:val="auto"/>
                      <w:sz w:val="18"/>
                      <w:szCs w:val="18"/>
                      <w:u w:val="none"/>
                      <w:lang w:val="en-US" w:eastAsia="zh-CN"/>
                    </w:rPr>
                  </w:pPr>
                </w:p>
              </w:tc>
              <w:tc>
                <w:tcPr>
                  <w:tcW w:w="1361" w:type="dxa"/>
                  <w:vMerge w:val="continue"/>
                  <w:tcBorders>
                    <w:right w:val="single" w:color="000000"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color w:val="auto"/>
                      <w:sz w:val="18"/>
                      <w:szCs w:val="18"/>
                      <w:u w:val="none"/>
                      <w:lang w:val="en-US" w:eastAsia="zh-CN"/>
                    </w:rPr>
                  </w:pPr>
                </w:p>
              </w:tc>
              <w:tc>
                <w:tcPr>
                  <w:tcW w:w="1725"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color w:val="auto"/>
                      <w:sz w:val="18"/>
                      <w:szCs w:val="18"/>
                      <w:u w:val="none"/>
                      <w:lang w:val="en-US" w:eastAsia="zh-CN"/>
                    </w:rPr>
                  </w:pPr>
                  <w:r>
                    <w:rPr>
                      <w:rFonts w:hint="eastAsia" w:ascii="宋体" w:hAnsi="宋体" w:eastAsia="宋体" w:cs="宋体"/>
                      <w:color w:val="auto"/>
                      <w:kern w:val="0"/>
                      <w:sz w:val="20"/>
                      <w:szCs w:val="20"/>
                      <w:lang w:val="en-US" w:eastAsia="zh-CN" w:bidi="ar"/>
                    </w:rPr>
                    <w:t>废反渗透膜</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color w:val="auto"/>
                      <w:sz w:val="18"/>
                      <w:szCs w:val="18"/>
                      <w:u w:val="none"/>
                      <w:lang w:val="en-US" w:eastAsia="zh-CN"/>
                    </w:rPr>
                  </w:pPr>
                  <w:r>
                    <w:rPr>
                      <w:rFonts w:hint="eastAsia"/>
                      <w:color w:val="auto"/>
                      <w:sz w:val="18"/>
                      <w:szCs w:val="18"/>
                      <w:u w:val="none"/>
                      <w:lang w:val="en-US" w:eastAsia="zh-CN"/>
                    </w:rPr>
                    <w:t>2</w:t>
                  </w:r>
                </w:p>
              </w:tc>
              <w:tc>
                <w:tcPr>
                  <w:tcW w:w="3133" w:type="dxa"/>
                  <w:vMerge w:val="restart"/>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ascii="宋体" w:hAnsi="宋体" w:eastAsia="宋体" w:cs="宋体"/>
                      <w:color w:val="auto"/>
                      <w:kern w:val="0"/>
                      <w:sz w:val="20"/>
                      <w:szCs w:val="20"/>
                      <w:lang w:val="en-US" w:eastAsia="zh-CN" w:bidi="ar"/>
                    </w:rPr>
                    <w:t>厂家回收利用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eastAsia"/>
                      <w:color w:val="auto"/>
                      <w:sz w:val="18"/>
                      <w:szCs w:val="18"/>
                      <w:u w:val="none"/>
                      <w:lang w:val="en-US" w:eastAsia="zh-CN"/>
                    </w:rPr>
                  </w:pPr>
                </w:p>
              </w:tc>
              <w:tc>
                <w:tcPr>
                  <w:tcW w:w="1361" w:type="dxa"/>
                  <w:vMerge w:val="continue"/>
                  <w:tcBorders>
                    <w:right w:val="single" w:color="000000"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color w:val="auto"/>
                      <w:sz w:val="18"/>
                      <w:szCs w:val="18"/>
                      <w:u w:val="none"/>
                      <w:lang w:val="en-US" w:eastAsia="zh-CN"/>
                    </w:rPr>
                  </w:pPr>
                </w:p>
              </w:tc>
              <w:tc>
                <w:tcPr>
                  <w:tcW w:w="1725"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color w:val="auto"/>
                      <w:sz w:val="18"/>
                      <w:szCs w:val="18"/>
                      <w:u w:val="none"/>
                      <w:lang w:val="en-US" w:eastAsia="zh-CN"/>
                    </w:rPr>
                  </w:pPr>
                  <w:r>
                    <w:rPr>
                      <w:rFonts w:hint="eastAsia" w:ascii="宋体" w:hAnsi="宋体" w:eastAsia="宋体" w:cs="宋体"/>
                      <w:color w:val="auto"/>
                      <w:kern w:val="0"/>
                      <w:sz w:val="20"/>
                      <w:szCs w:val="20"/>
                      <w:lang w:val="en-US" w:eastAsia="zh-CN" w:bidi="ar"/>
                    </w:rPr>
                    <w:t>废离子交换树脂</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color w:val="auto"/>
                      <w:sz w:val="18"/>
                      <w:szCs w:val="18"/>
                      <w:u w:val="none"/>
                      <w:lang w:val="en-US" w:eastAsia="zh-CN"/>
                    </w:rPr>
                  </w:pPr>
                  <w:r>
                    <w:rPr>
                      <w:rFonts w:hint="eastAsia"/>
                      <w:color w:val="auto"/>
                      <w:sz w:val="18"/>
                      <w:szCs w:val="18"/>
                      <w:u w:val="none"/>
                      <w:lang w:val="en-US" w:eastAsia="zh-CN"/>
                    </w:rPr>
                    <w:t>1</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vMerge w:val="restart"/>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r>
                    <w:rPr>
                      <w:rFonts w:hint="eastAsia"/>
                      <w:color w:val="auto"/>
                      <w:sz w:val="18"/>
                      <w:szCs w:val="18"/>
                      <w:u w:val="none"/>
                      <w:lang w:val="en-US" w:eastAsia="zh-CN"/>
                    </w:rPr>
                    <w:t>危险废物</w:t>
                  </w:r>
                </w:p>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（产生量）</w:t>
                  </w:r>
                </w:p>
              </w:tc>
              <w:tc>
                <w:tcPr>
                  <w:tcW w:w="1725"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eastAsia" w:ascii="宋体" w:hAnsi="宋体" w:eastAsia="宋体" w:cs="宋体"/>
                      <w:color w:val="auto"/>
                      <w:kern w:val="0"/>
                      <w:sz w:val="20"/>
                      <w:szCs w:val="20"/>
                      <w:lang w:val="en-US" w:eastAsia="zh-CN" w:bidi="ar"/>
                    </w:rPr>
                    <w:t>废矿物油</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10</w:t>
                  </w:r>
                </w:p>
              </w:tc>
              <w:tc>
                <w:tcPr>
                  <w:tcW w:w="3133" w:type="dxa"/>
                  <w:vMerge w:val="restart"/>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ascii="宋体" w:hAnsi="宋体" w:eastAsia="宋体" w:cs="宋体"/>
                      <w:color w:val="auto"/>
                      <w:kern w:val="0"/>
                      <w:sz w:val="20"/>
                      <w:szCs w:val="20"/>
                      <w:lang w:val="en-US" w:eastAsia="zh-CN" w:bidi="ar"/>
                    </w:rPr>
                    <w:t>委托具备危废处理资质单位处置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p>
              </w:tc>
              <w:tc>
                <w:tcPr>
                  <w:tcW w:w="1725"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eastAsia" w:ascii="宋体" w:hAnsi="宋体" w:eastAsia="宋体" w:cs="宋体"/>
                      <w:color w:val="auto"/>
                      <w:kern w:val="0"/>
                      <w:sz w:val="20"/>
                      <w:szCs w:val="20"/>
                      <w:lang w:val="en-US" w:eastAsia="zh-CN" w:bidi="ar"/>
                    </w:rPr>
                    <w:t>废油桶</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0.5</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361"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r>
                    <w:rPr>
                      <w:rFonts w:hint="eastAsia"/>
                      <w:color w:val="auto"/>
                      <w:sz w:val="18"/>
                      <w:szCs w:val="18"/>
                      <w:u w:val="none"/>
                      <w:lang w:val="en-US" w:eastAsia="zh-CN"/>
                    </w:rPr>
                    <w:t>生活垃圾</w:t>
                  </w:r>
                </w:p>
              </w:tc>
              <w:tc>
                <w:tcPr>
                  <w:tcW w:w="172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r>
                    <w:rPr>
                      <w:rFonts w:hint="eastAsia"/>
                      <w:color w:val="auto"/>
                      <w:sz w:val="18"/>
                      <w:szCs w:val="18"/>
                      <w:u w:val="none"/>
                      <w:lang w:val="en-US" w:eastAsia="zh-CN"/>
                    </w:rPr>
                    <w:t>生活垃圾</w:t>
                  </w:r>
                </w:p>
              </w:tc>
              <w:tc>
                <w:tcPr>
                  <w:tcW w:w="11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31.5</w:t>
                  </w:r>
                </w:p>
              </w:tc>
              <w:tc>
                <w:tcPr>
                  <w:tcW w:w="3133" w:type="dxa"/>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ascii="宋体" w:hAnsi="宋体" w:eastAsia="宋体" w:cs="宋体"/>
                      <w:color w:val="auto"/>
                      <w:kern w:val="0"/>
                      <w:sz w:val="20"/>
                      <w:szCs w:val="20"/>
                      <w:lang w:val="en-US" w:eastAsia="zh-CN" w:bidi="ar"/>
                    </w:rPr>
                    <w:t>交由环卫部门清运处理</w:t>
                  </w:r>
                </w:p>
              </w:tc>
            </w:tr>
          </w:tbl>
          <w:p>
            <w:pPr>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2、根据</w:t>
            </w:r>
            <w:r>
              <w:rPr>
                <w:rFonts w:hint="eastAsia" w:ascii="Times New Roman" w:hAnsi="Times New Roman" w:eastAsia="宋体" w:cs="Times New Roman"/>
                <w:color w:val="auto"/>
                <w:sz w:val="24"/>
              </w:rPr>
              <w:t>《湖南鲁丽木业有限公司年产2</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rPr>
              <w:t>80万立方米刨花板项目环境影响报告书》</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该项目建成后，其污染物排放情况如下：</w:t>
            </w:r>
          </w:p>
          <w:p>
            <w:pPr>
              <w:keepNext w:val="0"/>
              <w:keepLines w:val="0"/>
              <w:suppressLineNumbers w:val="0"/>
              <w:spacing w:before="0" w:beforeAutospacing="0" w:after="0" w:afterAutospacing="0"/>
              <w:ind w:left="0" w:right="0"/>
              <w:jc w:val="center"/>
              <w:rPr>
                <w:rFonts w:hint="eastAsia"/>
                <w:b/>
                <w:bCs/>
                <w:color w:val="auto"/>
                <w:szCs w:val="21"/>
                <w:u w:val="none"/>
              </w:rPr>
            </w:pPr>
            <w:r>
              <w:rPr>
                <w:rFonts w:hint="eastAsia"/>
                <w:b/>
                <w:bCs/>
                <w:color w:val="auto"/>
                <w:szCs w:val="21"/>
                <w:u w:val="none"/>
              </w:rPr>
              <w:t>表2</w:t>
            </w:r>
            <w:r>
              <w:rPr>
                <w:rFonts w:hint="default"/>
                <w:b/>
                <w:bCs/>
                <w:color w:val="auto"/>
                <w:szCs w:val="21"/>
                <w:u w:val="none"/>
              </w:rPr>
              <w:t>-</w:t>
            </w:r>
            <w:r>
              <w:rPr>
                <w:rFonts w:hint="eastAsia"/>
                <w:b/>
                <w:bCs/>
                <w:color w:val="auto"/>
                <w:szCs w:val="21"/>
                <w:u w:val="none"/>
                <w:lang w:val="en-US" w:eastAsia="zh-CN"/>
              </w:rPr>
              <w:t>8鲁丽木业刨花板项目污染物排放情况一览表</w:t>
            </w:r>
          </w:p>
          <w:tbl>
            <w:tblPr>
              <w:tblStyle w:val="29"/>
              <w:tblW w:w="0" w:type="auto"/>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1289"/>
              <w:gridCol w:w="1380"/>
              <w:gridCol w:w="1286"/>
              <w:gridCol w:w="1069"/>
              <w:gridCol w:w="23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noWrap w:val="0"/>
                  <w:vAlign w:val="center"/>
                </w:tcPr>
                <w:p>
                  <w:pPr>
                    <w:keepNext w:val="0"/>
                    <w:keepLines w:val="0"/>
                    <w:suppressLineNumbers w:val="0"/>
                    <w:snapToGrid w:val="0"/>
                    <w:spacing w:before="0" w:beforeAutospacing="0" w:after="0" w:afterAutospacing="0"/>
                    <w:ind w:left="0" w:right="0"/>
                    <w:jc w:val="center"/>
                    <w:rPr>
                      <w:rFonts w:hint="eastAsia" w:eastAsia="宋体"/>
                      <w:color w:val="auto"/>
                      <w:sz w:val="18"/>
                      <w:szCs w:val="18"/>
                      <w:u w:val="none"/>
                      <w:lang w:eastAsia="zh-CN"/>
                    </w:rPr>
                  </w:pPr>
                  <w:r>
                    <w:rPr>
                      <w:rFonts w:hint="eastAsia"/>
                      <w:color w:val="auto"/>
                      <w:sz w:val="18"/>
                      <w:szCs w:val="18"/>
                      <w:u w:val="none"/>
                      <w:lang w:val="en-US" w:eastAsia="zh-CN"/>
                    </w:rPr>
                    <w:t>类别</w:t>
                  </w:r>
                </w:p>
              </w:tc>
              <w:tc>
                <w:tcPr>
                  <w:tcW w:w="2669" w:type="dxa"/>
                  <w:gridSpan w:val="2"/>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eastAsia="宋体"/>
                      <w:color w:val="auto"/>
                      <w:sz w:val="18"/>
                      <w:szCs w:val="18"/>
                      <w:u w:val="none"/>
                      <w:lang w:val="en-US" w:eastAsia="zh-CN"/>
                    </w:rPr>
                  </w:pPr>
                  <w:r>
                    <w:rPr>
                      <w:rFonts w:hint="eastAsia"/>
                      <w:color w:val="auto"/>
                      <w:sz w:val="18"/>
                      <w:szCs w:val="18"/>
                      <w:u w:val="none"/>
                      <w:lang w:val="en-US" w:eastAsia="zh-CN"/>
                    </w:rPr>
                    <w:t>工序或来源</w:t>
                  </w:r>
                </w:p>
              </w:tc>
              <w:tc>
                <w:tcPr>
                  <w:tcW w:w="1286" w:type="dxa"/>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eastAsia="宋体"/>
                      <w:color w:val="auto"/>
                      <w:sz w:val="18"/>
                      <w:szCs w:val="18"/>
                      <w:u w:val="none"/>
                      <w:lang w:eastAsia="zh-CN"/>
                    </w:rPr>
                  </w:pPr>
                  <w:r>
                    <w:rPr>
                      <w:rFonts w:hint="eastAsia"/>
                      <w:color w:val="auto"/>
                      <w:sz w:val="18"/>
                      <w:szCs w:val="18"/>
                      <w:u w:val="none"/>
                      <w:lang w:val="en-US" w:eastAsia="zh-CN"/>
                    </w:rPr>
                    <w:t>污染物</w:t>
                  </w:r>
                </w:p>
              </w:tc>
              <w:tc>
                <w:tcPr>
                  <w:tcW w:w="1069" w:type="dxa"/>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eastAsia="宋体"/>
                      <w:color w:val="auto"/>
                      <w:sz w:val="18"/>
                      <w:szCs w:val="18"/>
                      <w:u w:val="none"/>
                      <w:lang w:val="en-US" w:eastAsia="zh-CN"/>
                    </w:rPr>
                  </w:pPr>
                  <w:r>
                    <w:rPr>
                      <w:rFonts w:hint="eastAsia" w:eastAsia="宋体"/>
                      <w:color w:val="auto"/>
                      <w:sz w:val="18"/>
                      <w:szCs w:val="18"/>
                      <w:u w:val="none"/>
                      <w:lang w:val="en-US" w:eastAsia="zh-CN"/>
                    </w:rPr>
                    <w:t>排放量</w:t>
                  </w:r>
                  <w:r>
                    <w:rPr>
                      <w:rFonts w:hint="eastAsia"/>
                      <w:color w:val="auto"/>
                      <w:sz w:val="18"/>
                      <w:szCs w:val="18"/>
                      <w:u w:val="none"/>
                      <w:lang w:val="en-US" w:eastAsia="zh-CN"/>
                    </w:rPr>
                    <w:t>/t/a</w:t>
                  </w:r>
                </w:p>
              </w:tc>
              <w:tc>
                <w:tcPr>
                  <w:tcW w:w="2305" w:type="dxa"/>
                  <w:noWrap w:val="0"/>
                  <w:vAlign w:val="center"/>
                </w:tcPr>
                <w:p>
                  <w:pPr>
                    <w:keepNext w:val="0"/>
                    <w:keepLines w:val="0"/>
                    <w:suppressLineNumbers w:val="0"/>
                    <w:snapToGrid w:val="0"/>
                    <w:spacing w:before="0" w:beforeAutospacing="0" w:after="0" w:afterAutospacing="0"/>
                    <w:ind w:left="0" w:right="0"/>
                    <w:jc w:val="center"/>
                    <w:rPr>
                      <w:rFonts w:hint="default" w:eastAsia="宋体"/>
                      <w:color w:val="auto"/>
                      <w:sz w:val="18"/>
                      <w:szCs w:val="18"/>
                      <w:u w:val="none"/>
                      <w:lang w:val="en-US" w:eastAsia="zh-CN"/>
                    </w:rPr>
                  </w:pPr>
                  <w:r>
                    <w:rPr>
                      <w:rFonts w:hint="eastAsia"/>
                      <w:color w:val="auto"/>
                      <w:sz w:val="18"/>
                      <w:szCs w:val="18"/>
                      <w:u w:val="none"/>
                      <w:lang w:val="en-US" w:eastAsia="zh-CN"/>
                    </w:rPr>
                    <w:t>排放去向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restart"/>
                  <w:noWrap w:val="0"/>
                  <w:vAlign w:val="center"/>
                </w:tcPr>
                <w:p>
                  <w:pPr>
                    <w:keepNext w:val="0"/>
                    <w:keepLines w:val="0"/>
                    <w:suppressLineNumbers w:val="0"/>
                    <w:snapToGrid w:val="0"/>
                    <w:spacing w:before="0" w:beforeAutospacing="0" w:after="0" w:afterAutospacing="0"/>
                    <w:ind w:left="0" w:right="0"/>
                    <w:jc w:val="center"/>
                    <w:rPr>
                      <w:rFonts w:hint="eastAsia" w:eastAsia="宋体"/>
                      <w:color w:val="auto"/>
                      <w:sz w:val="18"/>
                      <w:szCs w:val="18"/>
                      <w:u w:val="none"/>
                      <w:lang w:val="en-US" w:eastAsia="zh-CN"/>
                    </w:rPr>
                  </w:pPr>
                  <w:r>
                    <w:rPr>
                      <w:rFonts w:hint="eastAsia"/>
                      <w:color w:val="auto"/>
                      <w:sz w:val="18"/>
                      <w:szCs w:val="18"/>
                      <w:u w:val="none"/>
                      <w:lang w:val="en-US" w:eastAsia="zh-CN"/>
                    </w:rPr>
                    <w:t>废气</w:t>
                  </w:r>
                </w:p>
              </w:tc>
              <w:tc>
                <w:tcPr>
                  <w:tcW w:w="1289" w:type="dxa"/>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eastAsia" w:ascii="宋体" w:hAnsi="宋体" w:eastAsia="宋体" w:cs="宋体"/>
                      <w:color w:val="auto"/>
                      <w:kern w:val="0"/>
                      <w:sz w:val="20"/>
                      <w:szCs w:val="20"/>
                      <w:lang w:val="en-US" w:eastAsia="zh-CN" w:bidi="ar"/>
                    </w:rPr>
                    <w:t>备料</w:t>
                  </w:r>
                </w:p>
              </w:tc>
              <w:tc>
                <w:tcPr>
                  <w:tcW w:w="1380" w:type="dxa"/>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无组织</w:t>
                  </w:r>
                </w:p>
              </w:tc>
              <w:tc>
                <w:tcPr>
                  <w:tcW w:w="1286" w:type="dxa"/>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color w:val="auto"/>
                      <w:sz w:val="18"/>
                      <w:szCs w:val="18"/>
                      <w:u w:val="none"/>
                      <w:lang w:val="en-US" w:eastAsia="zh-CN"/>
                    </w:rPr>
                  </w:pPr>
                  <w:r>
                    <w:rPr>
                      <w:rFonts w:hint="eastAsia"/>
                      <w:color w:val="auto"/>
                      <w:sz w:val="18"/>
                      <w:szCs w:val="18"/>
                      <w:u w:val="none"/>
                      <w:lang w:val="en-US" w:eastAsia="zh-CN"/>
                    </w:rPr>
                    <w:t>颗粒物</w:t>
                  </w:r>
                </w:p>
              </w:tc>
              <w:tc>
                <w:tcPr>
                  <w:tcW w:w="1069" w:type="dxa"/>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eastAsia="宋体"/>
                      <w:color w:val="auto"/>
                      <w:sz w:val="18"/>
                      <w:szCs w:val="18"/>
                      <w:u w:val="none"/>
                      <w:lang w:val="en-US" w:eastAsia="zh-CN"/>
                    </w:rPr>
                  </w:pPr>
                  <w:r>
                    <w:rPr>
                      <w:rFonts w:hint="eastAsia" w:eastAsia="宋体"/>
                      <w:color w:val="auto"/>
                      <w:sz w:val="18"/>
                      <w:szCs w:val="18"/>
                      <w:u w:val="none"/>
                      <w:lang w:val="en-US" w:eastAsia="zh-CN"/>
                    </w:rPr>
                    <w:t>7.2</w:t>
                  </w:r>
                </w:p>
              </w:tc>
              <w:tc>
                <w:tcPr>
                  <w:tcW w:w="2305" w:type="dxa"/>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eastAsia" w:ascii="宋体" w:hAnsi="宋体" w:eastAsia="宋体" w:cs="宋体"/>
                      <w:color w:val="auto"/>
                      <w:kern w:val="0"/>
                      <w:sz w:val="20"/>
                      <w:szCs w:val="20"/>
                      <w:lang w:val="en-US" w:eastAsia="zh-CN" w:bidi="ar"/>
                    </w:rPr>
                    <w:t>旋风除尘</w:t>
                  </w:r>
                  <w:r>
                    <w:rPr>
                      <w:rFonts w:hint="default" w:ascii="Times New Roman" w:hAnsi="Times New Roman" w:eastAsia="宋体" w:cs="Times New Roman"/>
                      <w:color w:val="auto"/>
                      <w:kern w:val="0"/>
                      <w:sz w:val="20"/>
                      <w:szCs w:val="20"/>
                      <w:lang w:val="en-US" w:eastAsia="zh-CN" w:bidi="ar"/>
                    </w:rPr>
                    <w:t>+</w:t>
                  </w:r>
                  <w:r>
                    <w:rPr>
                      <w:rFonts w:hint="eastAsia" w:ascii="宋体" w:hAnsi="宋体" w:eastAsia="宋体" w:cs="宋体"/>
                      <w:color w:val="auto"/>
                      <w:kern w:val="0"/>
                      <w:sz w:val="20"/>
                      <w:szCs w:val="20"/>
                      <w:lang w:val="en-US" w:eastAsia="zh-CN" w:bidi="ar"/>
                    </w:rPr>
                    <w:t>车间自然沉降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eastAsia" w:eastAsia="宋体"/>
                      <w:color w:val="auto"/>
                      <w:sz w:val="18"/>
                      <w:szCs w:val="18"/>
                      <w:u w:val="none"/>
                      <w:lang w:val="en-US" w:eastAsia="zh-CN"/>
                    </w:rPr>
                  </w:pPr>
                </w:p>
              </w:tc>
              <w:tc>
                <w:tcPr>
                  <w:tcW w:w="1289" w:type="dxa"/>
                  <w:vMerge w:val="restart"/>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color w:val="auto"/>
                      <w:sz w:val="18"/>
                      <w:szCs w:val="18"/>
                      <w:u w:val="none"/>
                      <w:lang w:val="en-US" w:eastAsia="zh-CN"/>
                    </w:rPr>
                    <w:t>干燥</w:t>
                  </w:r>
                </w:p>
              </w:tc>
              <w:tc>
                <w:tcPr>
                  <w:tcW w:w="1380" w:type="dxa"/>
                  <w:vMerge w:val="restart"/>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eastAsia" w:ascii="宋体" w:hAnsi="宋体" w:eastAsia="宋体" w:cs="宋体"/>
                      <w:color w:val="auto"/>
                      <w:kern w:val="0"/>
                      <w:sz w:val="20"/>
                      <w:szCs w:val="20"/>
                      <w:lang w:val="en-US" w:eastAsia="zh-CN" w:bidi="ar"/>
                    </w:rPr>
                    <w:t>排气筒</w:t>
                  </w:r>
                  <w:r>
                    <w:rPr>
                      <w:rFonts w:hint="default" w:ascii="Times New Roman" w:hAnsi="Times New Roman" w:eastAsia="宋体" w:cs="Times New Roman"/>
                      <w:color w:val="auto"/>
                      <w:kern w:val="0"/>
                      <w:sz w:val="20"/>
                      <w:szCs w:val="20"/>
                      <w:lang w:val="en-US" w:eastAsia="zh-CN" w:bidi="ar"/>
                    </w:rPr>
                    <w:t>DA001</w:t>
                  </w:r>
                </w:p>
              </w:tc>
              <w:tc>
                <w:tcPr>
                  <w:tcW w:w="1286"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color w:val="auto"/>
                      <w:sz w:val="18"/>
                      <w:szCs w:val="18"/>
                      <w:u w:val="none"/>
                      <w:lang w:val="en-US"/>
                    </w:rPr>
                  </w:pPr>
                  <w:r>
                    <w:rPr>
                      <w:rFonts w:hint="default" w:ascii="Times New Roman" w:hAnsi="Times New Roman" w:eastAsia="宋体" w:cs="Times New Roman"/>
                      <w:color w:val="auto"/>
                      <w:kern w:val="0"/>
                      <w:sz w:val="20"/>
                      <w:szCs w:val="20"/>
                      <w:lang w:val="en-US" w:eastAsia="zh-CN" w:bidi="ar"/>
                    </w:rPr>
                    <w:t>VOCs</w:t>
                  </w:r>
                </w:p>
              </w:tc>
              <w:tc>
                <w:tcPr>
                  <w:tcW w:w="1069"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r>
                    <w:rPr>
                      <w:rFonts w:hint="eastAsia" w:eastAsia="宋体"/>
                      <w:color w:val="auto"/>
                      <w:sz w:val="18"/>
                      <w:szCs w:val="18"/>
                      <w:u w:val="none"/>
                      <w:lang w:val="en-US" w:eastAsia="zh-CN"/>
                    </w:rPr>
                    <w:t>0.608</w:t>
                  </w:r>
                </w:p>
              </w:tc>
              <w:tc>
                <w:tcPr>
                  <w:tcW w:w="2305" w:type="dxa"/>
                  <w:vMerge w:val="restart"/>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r>
                    <w:rPr>
                      <w:rFonts w:hint="default" w:eastAsia="宋体"/>
                      <w:color w:val="auto"/>
                      <w:sz w:val="18"/>
                      <w:szCs w:val="18"/>
                      <w:u w:val="none"/>
                      <w:lang w:val="en-US" w:eastAsia="zh-CN"/>
                    </w:rPr>
                    <w:t>旋风+湿式静电+40m排气筒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eastAsia" w:eastAsia="宋体"/>
                      <w:color w:val="auto"/>
                      <w:sz w:val="18"/>
                      <w:szCs w:val="18"/>
                      <w:u w:val="none"/>
                      <w:lang w:val="en-US" w:eastAsia="zh-CN"/>
                    </w:rPr>
                  </w:pPr>
                </w:p>
              </w:tc>
              <w:tc>
                <w:tcPr>
                  <w:tcW w:w="1289"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p>
              </w:tc>
              <w:tc>
                <w:tcPr>
                  <w:tcW w:w="1380"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p>
              </w:tc>
              <w:tc>
                <w:tcPr>
                  <w:tcW w:w="1286"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rPr>
                  </w:pPr>
                  <w:r>
                    <w:rPr>
                      <w:rFonts w:hint="eastAsia"/>
                      <w:color w:val="auto"/>
                      <w:sz w:val="18"/>
                      <w:szCs w:val="18"/>
                      <w:u w:val="none"/>
                      <w:lang w:val="en-US" w:eastAsia="zh-CN"/>
                    </w:rPr>
                    <w:t>颗粒物</w:t>
                  </w:r>
                </w:p>
              </w:tc>
              <w:tc>
                <w:tcPr>
                  <w:tcW w:w="1069"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r>
                    <w:rPr>
                      <w:rFonts w:hint="eastAsia" w:eastAsia="宋体"/>
                      <w:color w:val="auto"/>
                      <w:sz w:val="18"/>
                      <w:szCs w:val="18"/>
                      <w:u w:val="none"/>
                      <w:lang w:val="en-US" w:eastAsia="zh-CN"/>
                    </w:rPr>
                    <w:t>0.076</w:t>
                  </w:r>
                </w:p>
              </w:tc>
              <w:tc>
                <w:tcPr>
                  <w:tcW w:w="2305" w:type="dxa"/>
                  <w:vMerge w:val="continue"/>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eastAsia" w:eastAsia="宋体"/>
                      <w:color w:val="auto"/>
                      <w:sz w:val="18"/>
                      <w:szCs w:val="18"/>
                      <w:u w:val="none"/>
                      <w:lang w:val="en-US" w:eastAsia="zh-CN"/>
                    </w:rPr>
                  </w:pPr>
                </w:p>
              </w:tc>
              <w:tc>
                <w:tcPr>
                  <w:tcW w:w="1289"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p>
              </w:tc>
              <w:tc>
                <w:tcPr>
                  <w:tcW w:w="1380" w:type="dxa"/>
                  <w:vMerge w:val="restart"/>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r>
                    <w:rPr>
                      <w:rFonts w:hint="eastAsia" w:ascii="宋体" w:hAnsi="宋体" w:eastAsia="宋体" w:cs="宋体"/>
                      <w:color w:val="auto"/>
                      <w:kern w:val="0"/>
                      <w:sz w:val="20"/>
                      <w:szCs w:val="20"/>
                      <w:lang w:val="en-US" w:eastAsia="zh-CN" w:bidi="ar"/>
                    </w:rPr>
                    <w:t>无组织</w:t>
                  </w:r>
                </w:p>
              </w:tc>
              <w:tc>
                <w:tcPr>
                  <w:tcW w:w="1286"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color w:val="auto"/>
                      <w:sz w:val="18"/>
                      <w:szCs w:val="18"/>
                      <w:u w:val="none"/>
                      <w:lang w:val="en-US"/>
                    </w:rPr>
                  </w:pPr>
                  <w:r>
                    <w:rPr>
                      <w:rFonts w:hint="default" w:ascii="Times New Roman" w:hAnsi="Times New Roman" w:eastAsia="宋体" w:cs="Times New Roman"/>
                      <w:color w:val="auto"/>
                      <w:kern w:val="0"/>
                      <w:sz w:val="20"/>
                      <w:szCs w:val="20"/>
                      <w:lang w:val="en-US" w:eastAsia="zh-CN" w:bidi="ar"/>
                    </w:rPr>
                    <w:t>VOCs</w:t>
                  </w:r>
                </w:p>
              </w:tc>
              <w:tc>
                <w:tcPr>
                  <w:tcW w:w="1069"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r>
                    <w:rPr>
                      <w:rFonts w:hint="eastAsia" w:eastAsia="宋体"/>
                      <w:color w:val="auto"/>
                      <w:sz w:val="18"/>
                      <w:szCs w:val="18"/>
                      <w:u w:val="none"/>
                      <w:lang w:val="en-US" w:eastAsia="zh-CN"/>
                    </w:rPr>
                    <w:t>0.032</w:t>
                  </w:r>
                </w:p>
              </w:tc>
              <w:tc>
                <w:tcPr>
                  <w:tcW w:w="2305" w:type="dxa"/>
                  <w:vMerge w:val="restart"/>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r>
                    <w:rPr>
                      <w:rFonts w:hint="eastAsia" w:ascii="宋体" w:hAnsi="宋体" w:eastAsia="宋体" w:cs="宋体"/>
                      <w:color w:val="auto"/>
                      <w:kern w:val="0"/>
                      <w:sz w:val="20"/>
                      <w:szCs w:val="20"/>
                      <w:lang w:val="en-US" w:eastAsia="zh-CN" w:bidi="ar"/>
                    </w:rPr>
                    <w:t>车间自然沉降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eastAsia" w:eastAsia="宋体"/>
                      <w:color w:val="auto"/>
                      <w:sz w:val="18"/>
                      <w:szCs w:val="18"/>
                      <w:u w:val="none"/>
                      <w:lang w:val="en-US" w:eastAsia="zh-CN"/>
                    </w:rPr>
                  </w:pPr>
                </w:p>
              </w:tc>
              <w:tc>
                <w:tcPr>
                  <w:tcW w:w="1289"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p>
              </w:tc>
              <w:tc>
                <w:tcPr>
                  <w:tcW w:w="1380"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p>
              </w:tc>
              <w:tc>
                <w:tcPr>
                  <w:tcW w:w="1286"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rPr>
                  </w:pPr>
                  <w:r>
                    <w:rPr>
                      <w:rFonts w:hint="eastAsia"/>
                      <w:color w:val="auto"/>
                      <w:sz w:val="18"/>
                      <w:szCs w:val="18"/>
                      <w:u w:val="none"/>
                      <w:lang w:val="en-US" w:eastAsia="zh-CN"/>
                    </w:rPr>
                    <w:t>颗粒物</w:t>
                  </w:r>
                </w:p>
              </w:tc>
              <w:tc>
                <w:tcPr>
                  <w:tcW w:w="1069"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r>
                    <w:rPr>
                      <w:rFonts w:hint="eastAsia" w:eastAsia="宋体"/>
                      <w:color w:val="auto"/>
                      <w:sz w:val="18"/>
                      <w:szCs w:val="18"/>
                      <w:u w:val="none"/>
                      <w:lang w:val="en-US" w:eastAsia="zh-CN"/>
                    </w:rPr>
                    <w:t>1.2</w:t>
                  </w:r>
                </w:p>
              </w:tc>
              <w:tc>
                <w:tcPr>
                  <w:tcW w:w="2305" w:type="dxa"/>
                  <w:vMerge w:val="continue"/>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289"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eastAsia="宋体"/>
                      <w:color w:val="auto"/>
                      <w:sz w:val="18"/>
                      <w:szCs w:val="18"/>
                      <w:u w:val="none"/>
                      <w:lang w:val="en-US" w:eastAsia="zh-CN"/>
                    </w:rPr>
                    <w:t>干燥后筛分</w:t>
                  </w:r>
                </w:p>
              </w:tc>
              <w:tc>
                <w:tcPr>
                  <w:tcW w:w="1380"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ascii="宋体" w:hAnsi="宋体" w:eastAsia="宋体" w:cs="宋体"/>
                      <w:color w:val="auto"/>
                      <w:kern w:val="0"/>
                      <w:sz w:val="20"/>
                      <w:szCs w:val="20"/>
                      <w:lang w:val="en-US" w:eastAsia="zh-CN" w:bidi="ar"/>
                    </w:rPr>
                    <w:t>无组织</w:t>
                  </w:r>
                </w:p>
              </w:tc>
              <w:tc>
                <w:tcPr>
                  <w:tcW w:w="1286"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color w:val="auto"/>
                      <w:sz w:val="18"/>
                      <w:szCs w:val="18"/>
                      <w:u w:val="none"/>
                      <w:lang w:val="en-US" w:eastAsia="zh-CN"/>
                    </w:rPr>
                    <w:t>颗粒物</w:t>
                  </w:r>
                </w:p>
              </w:tc>
              <w:tc>
                <w:tcPr>
                  <w:tcW w:w="1069"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r>
                    <w:rPr>
                      <w:rFonts w:hint="eastAsia" w:eastAsia="宋体"/>
                      <w:color w:val="auto"/>
                      <w:sz w:val="18"/>
                      <w:szCs w:val="18"/>
                      <w:u w:val="none"/>
                      <w:lang w:val="en-US" w:eastAsia="zh-CN"/>
                    </w:rPr>
                    <w:t>0.0536</w:t>
                  </w:r>
                </w:p>
              </w:tc>
              <w:tc>
                <w:tcPr>
                  <w:tcW w:w="2305" w:type="dxa"/>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r>
                    <w:rPr>
                      <w:rFonts w:hint="eastAsia" w:eastAsia="宋体"/>
                      <w:color w:val="auto"/>
                      <w:sz w:val="18"/>
                      <w:szCs w:val="18"/>
                      <w:u w:val="none"/>
                      <w:lang w:val="en-US" w:eastAsia="zh-CN"/>
                    </w:rPr>
                    <w:t>布袋除尘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289" w:type="dxa"/>
                  <w:vMerge w:val="restart"/>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eastAsia"/>
                      <w:color w:val="auto"/>
                      <w:sz w:val="18"/>
                      <w:szCs w:val="18"/>
                      <w:u w:val="none"/>
                      <w:lang w:val="en-US" w:eastAsia="zh-CN"/>
                    </w:rPr>
                    <w:t>调胶、施胶、热压</w:t>
                  </w:r>
                </w:p>
              </w:tc>
              <w:tc>
                <w:tcPr>
                  <w:tcW w:w="1380" w:type="dxa"/>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eastAsia"/>
                      <w:color w:val="auto"/>
                      <w:sz w:val="18"/>
                      <w:szCs w:val="18"/>
                      <w:u w:val="none"/>
                      <w:lang w:val="en-US" w:eastAsia="zh-CN"/>
                    </w:rPr>
                    <w:t>排气筒DA002</w:t>
                  </w:r>
                </w:p>
              </w:tc>
              <w:tc>
                <w:tcPr>
                  <w:tcW w:w="1286"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color w:val="auto"/>
                      <w:sz w:val="18"/>
                      <w:szCs w:val="18"/>
                      <w:u w:val="none"/>
                      <w:lang w:val="en-US" w:eastAsia="zh-CN"/>
                    </w:rPr>
                  </w:pPr>
                  <w:r>
                    <w:rPr>
                      <w:rFonts w:hint="default" w:ascii="Times New Roman" w:hAnsi="Times New Roman" w:eastAsia="宋体" w:cs="Times New Roman"/>
                      <w:color w:val="auto"/>
                      <w:kern w:val="0"/>
                      <w:sz w:val="20"/>
                      <w:szCs w:val="20"/>
                      <w:lang w:val="en-US" w:eastAsia="zh-CN" w:bidi="ar"/>
                    </w:rPr>
                    <w:t>VOCs</w:t>
                  </w:r>
                </w:p>
              </w:tc>
              <w:tc>
                <w:tcPr>
                  <w:tcW w:w="1069" w:type="dxa"/>
                  <w:tcBorders>
                    <w:lef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6.7944</w:t>
                  </w:r>
                </w:p>
              </w:tc>
              <w:tc>
                <w:tcPr>
                  <w:tcW w:w="2305" w:type="dxa"/>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eastAsia="宋体"/>
                      <w:color w:val="auto"/>
                      <w:sz w:val="18"/>
                      <w:szCs w:val="18"/>
                      <w:u w:val="none"/>
                      <w:lang w:val="en-US" w:eastAsia="zh-CN"/>
                    </w:rPr>
                    <w:t>焚烧+120m排气筒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289"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p>
              </w:tc>
              <w:tc>
                <w:tcPr>
                  <w:tcW w:w="1380"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ascii="宋体" w:hAnsi="宋体" w:eastAsia="宋体" w:cs="宋体"/>
                      <w:color w:val="auto"/>
                      <w:kern w:val="0"/>
                      <w:sz w:val="20"/>
                      <w:szCs w:val="20"/>
                      <w:lang w:val="en-US" w:eastAsia="zh-CN" w:bidi="ar"/>
                    </w:rPr>
                    <w:t>无组织</w:t>
                  </w:r>
                </w:p>
              </w:tc>
              <w:tc>
                <w:tcPr>
                  <w:tcW w:w="1286"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default" w:ascii="Times New Roman" w:hAnsi="Times New Roman" w:eastAsia="宋体" w:cs="Times New Roman"/>
                      <w:color w:val="auto"/>
                      <w:kern w:val="0"/>
                      <w:sz w:val="20"/>
                      <w:szCs w:val="20"/>
                      <w:lang w:val="en-US" w:eastAsia="zh-CN" w:bidi="ar"/>
                    </w:rPr>
                    <w:t>VOCs</w:t>
                  </w:r>
                </w:p>
              </w:tc>
              <w:tc>
                <w:tcPr>
                  <w:tcW w:w="1069"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3.5760</w:t>
                  </w:r>
                </w:p>
              </w:tc>
              <w:tc>
                <w:tcPr>
                  <w:tcW w:w="2305" w:type="dxa"/>
                  <w:noWrap w:val="0"/>
                  <w:vAlign w:val="center"/>
                </w:tcPr>
                <w:p>
                  <w:pPr>
                    <w:keepNext w:val="0"/>
                    <w:keepLines w:val="0"/>
                    <w:suppressLineNumbers w:val="0"/>
                    <w:spacing w:before="0" w:beforeAutospacing="0" w:after="0" w:afterAutospacing="0"/>
                    <w:ind w:left="0" w:right="0"/>
                    <w:jc w:val="center"/>
                    <w:rPr>
                      <w:rFonts w:hint="default" w:eastAsia="宋体"/>
                      <w:color w:val="auto"/>
                      <w:sz w:val="18"/>
                      <w:szCs w:val="18"/>
                      <w:u w:val="none"/>
                      <w:lang w:val="en-US" w:eastAsia="zh-CN"/>
                    </w:rPr>
                  </w:pPr>
                  <w:r>
                    <w:rPr>
                      <w:rFonts w:hint="eastAsia" w:eastAsia="宋体"/>
                      <w:color w:val="auto"/>
                      <w:sz w:val="18"/>
                      <w:szCs w:val="18"/>
                      <w:u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289"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铺装</w:t>
                  </w:r>
                </w:p>
              </w:tc>
              <w:tc>
                <w:tcPr>
                  <w:tcW w:w="1380"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无组织</w:t>
                  </w:r>
                </w:p>
              </w:tc>
              <w:tc>
                <w:tcPr>
                  <w:tcW w:w="1286"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颗粒物</w:t>
                  </w:r>
                </w:p>
              </w:tc>
              <w:tc>
                <w:tcPr>
                  <w:tcW w:w="1069"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2.7680</w:t>
                  </w:r>
                </w:p>
              </w:tc>
              <w:tc>
                <w:tcPr>
                  <w:tcW w:w="2305" w:type="dxa"/>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eastAsia="宋体"/>
                      <w:color w:val="auto"/>
                      <w:sz w:val="18"/>
                      <w:szCs w:val="18"/>
                      <w:u w:val="none"/>
                      <w:lang w:val="en-US" w:eastAsia="zh-CN"/>
                    </w:rPr>
                    <w:t>布袋除尘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289" w:type="dxa"/>
                  <w:vMerge w:val="restart"/>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eastAsia"/>
                      <w:color w:val="auto"/>
                      <w:sz w:val="18"/>
                      <w:szCs w:val="18"/>
                      <w:u w:val="none"/>
                      <w:lang w:val="en-US" w:eastAsia="zh-CN"/>
                    </w:rPr>
                    <w:t>砂光、锯切</w:t>
                  </w:r>
                </w:p>
              </w:tc>
              <w:tc>
                <w:tcPr>
                  <w:tcW w:w="1380" w:type="dxa"/>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排气筒DA003</w:t>
                  </w:r>
                </w:p>
              </w:tc>
              <w:tc>
                <w:tcPr>
                  <w:tcW w:w="1286"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eastAsia"/>
                      <w:color w:val="auto"/>
                      <w:sz w:val="18"/>
                      <w:szCs w:val="18"/>
                      <w:u w:val="none"/>
                      <w:lang w:val="en-US" w:eastAsia="zh-CN"/>
                    </w:rPr>
                    <w:t>颗粒物</w:t>
                  </w:r>
                </w:p>
              </w:tc>
              <w:tc>
                <w:tcPr>
                  <w:tcW w:w="1069" w:type="dxa"/>
                  <w:tcBorders>
                    <w:lef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2.7305</w:t>
                  </w:r>
                </w:p>
              </w:tc>
              <w:tc>
                <w:tcPr>
                  <w:tcW w:w="2305" w:type="dxa"/>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eastAsia="宋体"/>
                      <w:color w:val="auto"/>
                      <w:sz w:val="18"/>
                      <w:szCs w:val="18"/>
                      <w:u w:val="none"/>
                      <w:lang w:val="en-US" w:eastAsia="zh-CN"/>
                    </w:rPr>
                    <w:t>多级布袋除尘+40m排气筒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289" w:type="dxa"/>
                  <w:vMerge w:val="continue"/>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p>
              </w:tc>
              <w:tc>
                <w:tcPr>
                  <w:tcW w:w="1380" w:type="dxa"/>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eastAsia"/>
                      <w:color w:val="auto"/>
                      <w:sz w:val="18"/>
                      <w:szCs w:val="18"/>
                      <w:u w:val="none"/>
                      <w:lang w:val="en-US" w:eastAsia="zh-CN"/>
                    </w:rPr>
                    <w:t>无组织</w:t>
                  </w:r>
                </w:p>
              </w:tc>
              <w:tc>
                <w:tcPr>
                  <w:tcW w:w="1286"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eastAsia"/>
                      <w:color w:val="auto"/>
                      <w:sz w:val="18"/>
                      <w:szCs w:val="18"/>
                      <w:u w:val="none"/>
                      <w:lang w:val="en-US" w:eastAsia="zh-CN"/>
                    </w:rPr>
                    <w:t>颗粒物</w:t>
                  </w:r>
                </w:p>
              </w:tc>
              <w:tc>
                <w:tcPr>
                  <w:tcW w:w="1069" w:type="dxa"/>
                  <w:tcBorders>
                    <w:lef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1.6416</w:t>
                  </w:r>
                </w:p>
              </w:tc>
              <w:tc>
                <w:tcPr>
                  <w:tcW w:w="2305" w:type="dxa"/>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ascii="宋体" w:hAnsi="宋体" w:eastAsia="宋体" w:cs="宋体"/>
                      <w:color w:val="auto"/>
                      <w:kern w:val="0"/>
                      <w:sz w:val="20"/>
                      <w:szCs w:val="20"/>
                      <w:lang w:val="en-US" w:eastAsia="zh-CN" w:bidi="ar"/>
                    </w:rPr>
                    <w:t>车间自然沉降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289" w:type="dxa"/>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员工食堂</w:t>
                  </w:r>
                </w:p>
              </w:tc>
              <w:tc>
                <w:tcPr>
                  <w:tcW w:w="1380" w:type="dxa"/>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eastAsia"/>
                      <w:color w:val="auto"/>
                      <w:sz w:val="18"/>
                      <w:szCs w:val="18"/>
                      <w:u w:val="none"/>
                      <w:lang w:val="en-US" w:eastAsia="zh-CN"/>
                    </w:rPr>
                    <w:t>排气筒DA004</w:t>
                  </w:r>
                </w:p>
              </w:tc>
              <w:tc>
                <w:tcPr>
                  <w:tcW w:w="1286"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油烟</w:t>
                  </w:r>
                </w:p>
              </w:tc>
              <w:tc>
                <w:tcPr>
                  <w:tcW w:w="1069" w:type="dxa"/>
                  <w:tcBorders>
                    <w:lef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0.02</w:t>
                  </w:r>
                </w:p>
              </w:tc>
              <w:tc>
                <w:tcPr>
                  <w:tcW w:w="2305" w:type="dxa"/>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eastAsia="宋体"/>
                      <w:color w:val="auto"/>
                      <w:sz w:val="18"/>
                      <w:szCs w:val="18"/>
                      <w:u w:val="none"/>
                      <w:lang w:val="en-US" w:eastAsia="zh-CN"/>
                    </w:rPr>
                    <w:t>静电油烟净化器处理后引至屋顶排放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289" w:type="dxa"/>
                  <w:vMerge w:val="restart"/>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eastAsia"/>
                      <w:color w:val="auto"/>
                      <w:sz w:val="18"/>
                      <w:szCs w:val="18"/>
                      <w:u w:val="none"/>
                      <w:lang w:val="en-US" w:eastAsia="zh-CN"/>
                    </w:rPr>
                    <w:t>备用发电机</w:t>
                  </w:r>
                </w:p>
              </w:tc>
              <w:tc>
                <w:tcPr>
                  <w:tcW w:w="1380" w:type="dxa"/>
                  <w:vMerge w:val="restart"/>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排气筒DA005</w:t>
                  </w:r>
                </w:p>
              </w:tc>
              <w:tc>
                <w:tcPr>
                  <w:tcW w:w="1286"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kern w:val="2"/>
                      <w:sz w:val="18"/>
                      <w:szCs w:val="18"/>
                      <w:u w:val="none"/>
                      <w:lang w:val="en-US" w:eastAsia="zh-CN" w:bidi="ar-SA"/>
                    </w:rPr>
                  </w:pPr>
                  <w:r>
                    <w:rPr>
                      <w:rFonts w:hint="eastAsia"/>
                      <w:color w:val="auto"/>
                      <w:sz w:val="18"/>
                      <w:szCs w:val="18"/>
                      <w:u w:val="none"/>
                      <w:lang w:val="en-US" w:eastAsia="zh-CN"/>
                    </w:rPr>
                    <w:t>SO</w:t>
                  </w:r>
                  <w:r>
                    <w:rPr>
                      <w:rFonts w:hint="eastAsia"/>
                      <w:color w:val="auto"/>
                      <w:sz w:val="18"/>
                      <w:szCs w:val="18"/>
                      <w:u w:val="none"/>
                      <w:vertAlign w:val="subscript"/>
                      <w:lang w:val="en-US" w:eastAsia="zh-CN"/>
                    </w:rPr>
                    <w:t>2</w:t>
                  </w:r>
                </w:p>
              </w:tc>
              <w:tc>
                <w:tcPr>
                  <w:tcW w:w="1069" w:type="dxa"/>
                  <w:tcBorders>
                    <w:lef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0.0000065</w:t>
                  </w:r>
                </w:p>
              </w:tc>
              <w:tc>
                <w:tcPr>
                  <w:tcW w:w="2305" w:type="dxa"/>
                  <w:vMerge w:val="restart"/>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eastAsia="宋体"/>
                      <w:color w:val="auto"/>
                      <w:sz w:val="18"/>
                      <w:szCs w:val="18"/>
                      <w:u w:val="none"/>
                      <w:lang w:val="en-US" w:eastAsia="zh-CN"/>
                    </w:rPr>
                    <w:t>直接通过排气筒引至楼顶排放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289" w:type="dxa"/>
                  <w:vMerge w:val="continue"/>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p>
              </w:tc>
              <w:tc>
                <w:tcPr>
                  <w:tcW w:w="1380" w:type="dxa"/>
                  <w:vMerge w:val="continue"/>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p>
              </w:tc>
              <w:tc>
                <w:tcPr>
                  <w:tcW w:w="1286"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kern w:val="2"/>
                      <w:sz w:val="18"/>
                      <w:szCs w:val="18"/>
                      <w:u w:val="none"/>
                      <w:lang w:val="en-US" w:eastAsia="zh-CN" w:bidi="ar-SA"/>
                    </w:rPr>
                  </w:pPr>
                  <w:r>
                    <w:rPr>
                      <w:rFonts w:hint="eastAsia"/>
                      <w:color w:val="auto"/>
                      <w:sz w:val="18"/>
                      <w:szCs w:val="18"/>
                      <w:u w:val="none"/>
                      <w:lang w:val="en-US" w:eastAsia="zh-CN"/>
                    </w:rPr>
                    <w:t>NOx</w:t>
                  </w:r>
                </w:p>
              </w:tc>
              <w:tc>
                <w:tcPr>
                  <w:tcW w:w="1069" w:type="dxa"/>
                  <w:tcBorders>
                    <w:lef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0.0953</w:t>
                  </w:r>
                </w:p>
              </w:tc>
              <w:tc>
                <w:tcPr>
                  <w:tcW w:w="2305"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1289" w:type="dxa"/>
                  <w:vMerge w:val="continue"/>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p>
              </w:tc>
              <w:tc>
                <w:tcPr>
                  <w:tcW w:w="1380" w:type="dxa"/>
                  <w:vMerge w:val="continue"/>
                  <w:tcBorders>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p>
              </w:tc>
              <w:tc>
                <w:tcPr>
                  <w:tcW w:w="1286"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eastAsia"/>
                      <w:color w:val="auto"/>
                      <w:sz w:val="18"/>
                      <w:szCs w:val="18"/>
                      <w:u w:val="none"/>
                      <w:lang w:val="en-US" w:eastAsia="zh-CN"/>
                    </w:rPr>
                  </w:pPr>
                  <w:r>
                    <w:rPr>
                      <w:rFonts w:hint="eastAsia"/>
                      <w:color w:val="auto"/>
                      <w:sz w:val="18"/>
                      <w:szCs w:val="18"/>
                      <w:u w:val="none"/>
                      <w:lang w:val="en-US" w:eastAsia="zh-CN"/>
                    </w:rPr>
                    <w:t>颗粒物</w:t>
                  </w:r>
                </w:p>
              </w:tc>
              <w:tc>
                <w:tcPr>
                  <w:tcW w:w="1069" w:type="dxa"/>
                  <w:tcBorders>
                    <w:lef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0.0101</w:t>
                  </w:r>
                </w:p>
              </w:tc>
              <w:tc>
                <w:tcPr>
                  <w:tcW w:w="2305" w:type="dxa"/>
                  <w:vMerge w:val="continue"/>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restart"/>
                  <w:noWrap w:val="0"/>
                  <w:vAlign w:val="center"/>
                </w:tcPr>
                <w:p>
                  <w:pPr>
                    <w:keepNext w:val="0"/>
                    <w:keepLines w:val="0"/>
                    <w:suppressLineNumbers w:val="0"/>
                    <w:snapToGrid w:val="0"/>
                    <w:spacing w:before="0" w:beforeAutospacing="0" w:after="0" w:afterAutospacing="0"/>
                    <w:ind w:left="0" w:right="0"/>
                    <w:jc w:val="center"/>
                    <w:rPr>
                      <w:rFonts w:hint="eastAsia" w:eastAsia="宋体"/>
                      <w:color w:val="auto"/>
                      <w:sz w:val="18"/>
                      <w:szCs w:val="18"/>
                      <w:u w:val="none"/>
                      <w:lang w:val="en-US" w:eastAsia="zh-CN"/>
                    </w:rPr>
                  </w:pPr>
                  <w:r>
                    <w:rPr>
                      <w:rFonts w:hint="eastAsia"/>
                      <w:color w:val="auto"/>
                      <w:sz w:val="18"/>
                      <w:szCs w:val="18"/>
                      <w:u w:val="none"/>
                      <w:lang w:val="en-US" w:eastAsia="zh-CN"/>
                    </w:rPr>
                    <w:t>废水</w:t>
                  </w:r>
                </w:p>
              </w:tc>
              <w:tc>
                <w:tcPr>
                  <w:tcW w:w="2669" w:type="dxa"/>
                  <w:gridSpan w:val="2"/>
                  <w:vMerge w:val="restart"/>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生活污水</w:t>
                  </w:r>
                </w:p>
              </w:tc>
              <w:tc>
                <w:tcPr>
                  <w:tcW w:w="1286"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废水量</w:t>
                  </w:r>
                </w:p>
              </w:tc>
              <w:tc>
                <w:tcPr>
                  <w:tcW w:w="1069"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14664</w:t>
                  </w:r>
                </w:p>
              </w:tc>
              <w:tc>
                <w:tcPr>
                  <w:tcW w:w="2305" w:type="dxa"/>
                  <w:vMerge w:val="restart"/>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eastAsia="宋体"/>
                      <w:color w:val="auto"/>
                      <w:sz w:val="18"/>
                      <w:szCs w:val="18"/>
                      <w:u w:val="none"/>
                      <w:lang w:val="en-US" w:eastAsia="zh-CN"/>
                    </w:rPr>
                    <w:t>分别经预处理后近期进新田县污水处理厂集中处理，远期进新田县南部新城工业园污水处理厂集中处理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2669" w:type="dxa"/>
                  <w:gridSpan w:val="2"/>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p>
              </w:tc>
              <w:tc>
                <w:tcPr>
                  <w:tcW w:w="1286"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COD</w:t>
                  </w:r>
                </w:p>
              </w:tc>
              <w:tc>
                <w:tcPr>
                  <w:tcW w:w="1069"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3.67</w:t>
                  </w:r>
                </w:p>
              </w:tc>
              <w:tc>
                <w:tcPr>
                  <w:tcW w:w="2305"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2669" w:type="dxa"/>
                  <w:gridSpan w:val="2"/>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p>
              </w:tc>
              <w:tc>
                <w:tcPr>
                  <w:tcW w:w="1286"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BOD</w:t>
                  </w:r>
                </w:p>
              </w:tc>
              <w:tc>
                <w:tcPr>
                  <w:tcW w:w="1069"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1.76</w:t>
                  </w:r>
                </w:p>
              </w:tc>
              <w:tc>
                <w:tcPr>
                  <w:tcW w:w="2305"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2669" w:type="dxa"/>
                  <w:gridSpan w:val="2"/>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p>
              </w:tc>
              <w:tc>
                <w:tcPr>
                  <w:tcW w:w="1286"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SS</w:t>
                  </w:r>
                </w:p>
              </w:tc>
              <w:tc>
                <w:tcPr>
                  <w:tcW w:w="1069"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1.76</w:t>
                  </w:r>
                </w:p>
              </w:tc>
              <w:tc>
                <w:tcPr>
                  <w:tcW w:w="2305"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2669" w:type="dxa"/>
                  <w:gridSpan w:val="2"/>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p>
              </w:tc>
              <w:tc>
                <w:tcPr>
                  <w:tcW w:w="1286"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氨氮</w:t>
                  </w:r>
                </w:p>
              </w:tc>
              <w:tc>
                <w:tcPr>
                  <w:tcW w:w="1069"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0.37</w:t>
                  </w:r>
                </w:p>
              </w:tc>
              <w:tc>
                <w:tcPr>
                  <w:tcW w:w="2305"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2669" w:type="dxa"/>
                  <w:gridSpan w:val="2"/>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p>
              </w:tc>
              <w:tc>
                <w:tcPr>
                  <w:tcW w:w="1286"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动植物油</w:t>
                  </w:r>
                </w:p>
              </w:tc>
              <w:tc>
                <w:tcPr>
                  <w:tcW w:w="1069"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0.44</w:t>
                  </w:r>
                </w:p>
              </w:tc>
              <w:tc>
                <w:tcPr>
                  <w:tcW w:w="2305"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restart"/>
                  <w:noWrap w:val="0"/>
                  <w:vAlign w:val="center"/>
                </w:tcPr>
                <w:p>
                  <w:pPr>
                    <w:keepNext w:val="0"/>
                    <w:keepLines w:val="0"/>
                    <w:suppressLineNumbers w:val="0"/>
                    <w:snapToGrid w:val="0"/>
                    <w:spacing w:before="0" w:beforeAutospacing="0" w:after="0" w:afterAutospacing="0"/>
                    <w:ind w:left="0" w:right="0"/>
                    <w:jc w:val="center"/>
                    <w:rPr>
                      <w:rFonts w:hint="default" w:eastAsia="宋体"/>
                      <w:color w:val="auto"/>
                      <w:sz w:val="18"/>
                      <w:szCs w:val="18"/>
                      <w:u w:val="none"/>
                      <w:lang w:val="en-US" w:eastAsia="zh-CN"/>
                    </w:rPr>
                  </w:pPr>
                  <w:r>
                    <w:rPr>
                      <w:rFonts w:hint="eastAsia"/>
                      <w:color w:val="auto"/>
                      <w:sz w:val="18"/>
                      <w:szCs w:val="18"/>
                      <w:u w:val="none"/>
                      <w:lang w:val="en-US" w:eastAsia="zh-CN"/>
                    </w:rPr>
                    <w:t>固体废物</w:t>
                  </w:r>
                </w:p>
              </w:tc>
              <w:tc>
                <w:tcPr>
                  <w:tcW w:w="2669" w:type="dxa"/>
                  <w:gridSpan w:val="2"/>
                  <w:vMerge w:val="restart"/>
                  <w:tcBorders>
                    <w:right w:val="single" w:color="000000"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color w:val="auto"/>
                      <w:sz w:val="18"/>
                      <w:szCs w:val="18"/>
                      <w:u w:val="none"/>
                      <w:lang w:val="en-US" w:eastAsia="zh-CN"/>
                    </w:rPr>
                  </w:pPr>
                  <w:r>
                    <w:rPr>
                      <w:rFonts w:hint="eastAsia"/>
                      <w:color w:val="auto"/>
                      <w:sz w:val="18"/>
                      <w:szCs w:val="18"/>
                      <w:u w:val="none"/>
                      <w:lang w:val="en-US" w:eastAsia="zh-CN"/>
                    </w:rPr>
                    <w:t>一般工业固废（产生量）</w:t>
                  </w:r>
                </w:p>
              </w:tc>
              <w:tc>
                <w:tcPr>
                  <w:tcW w:w="1286"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color w:val="auto"/>
                      <w:sz w:val="18"/>
                      <w:szCs w:val="18"/>
                      <w:u w:val="none"/>
                      <w:lang w:val="en-US" w:eastAsia="zh-CN"/>
                    </w:rPr>
                  </w:pPr>
                  <w:r>
                    <w:rPr>
                      <w:rFonts w:hint="eastAsia" w:ascii="宋体" w:hAnsi="宋体" w:eastAsia="宋体" w:cs="宋体"/>
                      <w:color w:val="auto"/>
                      <w:kern w:val="0"/>
                      <w:sz w:val="20"/>
                      <w:szCs w:val="20"/>
                      <w:lang w:val="en-US" w:eastAsia="zh-CN" w:bidi="ar"/>
                    </w:rPr>
                    <w:t>下脚料及废水沉淀渣</w:t>
                  </w:r>
                </w:p>
              </w:tc>
              <w:tc>
                <w:tcPr>
                  <w:tcW w:w="1069" w:type="dxa"/>
                  <w:tcBorders>
                    <w:left w:val="single" w:color="000000"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color w:val="auto"/>
                      <w:sz w:val="18"/>
                      <w:szCs w:val="18"/>
                      <w:u w:val="none"/>
                      <w:lang w:val="en-US" w:eastAsia="zh-CN"/>
                    </w:rPr>
                  </w:pPr>
                  <w:r>
                    <w:rPr>
                      <w:rFonts w:hint="eastAsia"/>
                      <w:color w:val="auto"/>
                      <w:sz w:val="18"/>
                      <w:szCs w:val="18"/>
                      <w:u w:val="none"/>
                      <w:lang w:val="en-US" w:eastAsia="zh-CN"/>
                    </w:rPr>
                    <w:t>992974.1</w:t>
                  </w:r>
                </w:p>
              </w:tc>
              <w:tc>
                <w:tcPr>
                  <w:tcW w:w="2305" w:type="dxa"/>
                  <w:vMerge w:val="restart"/>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ascii="宋体" w:hAnsi="宋体" w:eastAsia="宋体" w:cs="宋体"/>
                      <w:color w:val="auto"/>
                      <w:kern w:val="0"/>
                      <w:sz w:val="20"/>
                      <w:szCs w:val="20"/>
                      <w:lang w:val="en-US" w:eastAsia="zh-CN" w:bidi="ar"/>
                    </w:rPr>
                    <w:t>热电厂燃料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eastAsia"/>
                      <w:color w:val="auto"/>
                      <w:sz w:val="18"/>
                      <w:szCs w:val="18"/>
                      <w:u w:val="none"/>
                      <w:lang w:val="en-US" w:eastAsia="zh-CN"/>
                    </w:rPr>
                  </w:pPr>
                </w:p>
              </w:tc>
              <w:tc>
                <w:tcPr>
                  <w:tcW w:w="2669" w:type="dxa"/>
                  <w:gridSpan w:val="2"/>
                  <w:vMerge w:val="continue"/>
                  <w:tcBorders>
                    <w:right w:val="single" w:color="000000"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color w:val="auto"/>
                      <w:sz w:val="18"/>
                      <w:szCs w:val="18"/>
                      <w:u w:val="none"/>
                      <w:lang w:val="en-US" w:eastAsia="zh-CN"/>
                    </w:rPr>
                  </w:pPr>
                </w:p>
              </w:tc>
              <w:tc>
                <w:tcPr>
                  <w:tcW w:w="1286"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color w:val="auto"/>
                      <w:sz w:val="18"/>
                      <w:szCs w:val="18"/>
                      <w:u w:val="none"/>
                      <w:lang w:val="en-US" w:eastAsia="zh-CN"/>
                    </w:rPr>
                  </w:pPr>
                  <w:r>
                    <w:rPr>
                      <w:rFonts w:hint="eastAsia"/>
                      <w:color w:val="auto"/>
                      <w:sz w:val="18"/>
                      <w:szCs w:val="18"/>
                      <w:u w:val="none"/>
                      <w:lang w:val="en-US" w:eastAsia="zh-CN"/>
                    </w:rPr>
                    <w:t>除尘器收集的粉尘</w:t>
                  </w:r>
                </w:p>
              </w:tc>
              <w:tc>
                <w:tcPr>
                  <w:tcW w:w="1069" w:type="dxa"/>
                  <w:tcBorders>
                    <w:left w:val="single" w:color="000000"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color w:val="auto"/>
                      <w:sz w:val="18"/>
                      <w:szCs w:val="18"/>
                      <w:u w:val="none"/>
                      <w:lang w:val="en-US" w:eastAsia="zh-CN"/>
                    </w:rPr>
                  </w:pPr>
                  <w:r>
                    <w:rPr>
                      <w:rFonts w:hint="eastAsia"/>
                      <w:color w:val="auto"/>
                      <w:sz w:val="18"/>
                      <w:szCs w:val="18"/>
                      <w:u w:val="none"/>
                      <w:lang w:val="en-US" w:eastAsia="zh-CN"/>
                    </w:rPr>
                    <w:t>3806.09</w:t>
                  </w:r>
                </w:p>
              </w:tc>
              <w:tc>
                <w:tcPr>
                  <w:tcW w:w="2305"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eastAsia"/>
                      <w:color w:val="auto"/>
                      <w:sz w:val="18"/>
                      <w:szCs w:val="18"/>
                      <w:u w:val="none"/>
                      <w:lang w:val="en-US" w:eastAsia="zh-CN"/>
                    </w:rPr>
                  </w:pPr>
                </w:p>
              </w:tc>
              <w:tc>
                <w:tcPr>
                  <w:tcW w:w="2669" w:type="dxa"/>
                  <w:gridSpan w:val="2"/>
                  <w:vMerge w:val="continue"/>
                  <w:tcBorders>
                    <w:right w:val="single" w:color="000000"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color w:val="auto"/>
                      <w:sz w:val="18"/>
                      <w:szCs w:val="18"/>
                      <w:u w:val="none"/>
                      <w:lang w:val="en-US" w:eastAsia="zh-CN"/>
                    </w:rPr>
                  </w:pPr>
                </w:p>
              </w:tc>
              <w:tc>
                <w:tcPr>
                  <w:tcW w:w="1286"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color w:val="auto"/>
                      <w:sz w:val="18"/>
                      <w:szCs w:val="18"/>
                      <w:u w:val="none"/>
                      <w:lang w:val="en-US" w:eastAsia="zh-CN"/>
                    </w:rPr>
                  </w:pPr>
                  <w:r>
                    <w:rPr>
                      <w:rFonts w:hint="eastAsia"/>
                      <w:color w:val="auto"/>
                      <w:sz w:val="18"/>
                      <w:szCs w:val="18"/>
                      <w:u w:val="none"/>
                      <w:lang w:val="en-US" w:eastAsia="zh-CN"/>
                    </w:rPr>
                    <w:t>一般性包装材料</w:t>
                  </w:r>
                </w:p>
              </w:tc>
              <w:tc>
                <w:tcPr>
                  <w:tcW w:w="1069" w:type="dxa"/>
                  <w:tcBorders>
                    <w:left w:val="single" w:color="000000"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color w:val="auto"/>
                      <w:sz w:val="18"/>
                      <w:szCs w:val="18"/>
                      <w:u w:val="none"/>
                      <w:lang w:val="en-US" w:eastAsia="zh-CN"/>
                    </w:rPr>
                  </w:pPr>
                  <w:r>
                    <w:rPr>
                      <w:rFonts w:hint="eastAsia"/>
                      <w:color w:val="auto"/>
                      <w:sz w:val="18"/>
                      <w:szCs w:val="18"/>
                      <w:u w:val="none"/>
                      <w:lang w:val="en-US" w:eastAsia="zh-CN"/>
                    </w:rPr>
                    <w:t>3</w:t>
                  </w:r>
                </w:p>
              </w:tc>
              <w:tc>
                <w:tcPr>
                  <w:tcW w:w="2305" w:type="dxa"/>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eastAsia="宋体"/>
                      <w:color w:val="auto"/>
                      <w:sz w:val="18"/>
                      <w:szCs w:val="18"/>
                      <w:u w:val="none"/>
                      <w:lang w:val="en-US" w:eastAsia="zh-CN"/>
                    </w:rPr>
                    <w:t>外售综合利用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2669" w:type="dxa"/>
                  <w:gridSpan w:val="2"/>
                  <w:vMerge w:val="restart"/>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r>
                    <w:rPr>
                      <w:rFonts w:hint="eastAsia"/>
                      <w:color w:val="auto"/>
                      <w:sz w:val="18"/>
                      <w:szCs w:val="18"/>
                      <w:u w:val="none"/>
                      <w:lang w:val="en-US" w:eastAsia="zh-CN"/>
                    </w:rPr>
                    <w:t>危险废物</w:t>
                  </w:r>
                </w:p>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（产生量）</w:t>
                  </w:r>
                </w:p>
              </w:tc>
              <w:tc>
                <w:tcPr>
                  <w:tcW w:w="1286"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color w:val="auto"/>
                      <w:sz w:val="18"/>
                      <w:szCs w:val="18"/>
                      <w:u w:val="none"/>
                      <w:lang w:val="en-US" w:eastAsia="zh-CN"/>
                    </w:rPr>
                  </w:pPr>
                  <w:r>
                    <w:rPr>
                      <w:rFonts w:hint="eastAsia" w:ascii="宋体" w:hAnsi="宋体" w:eastAsia="宋体" w:cs="宋体"/>
                      <w:color w:val="auto"/>
                      <w:kern w:val="0"/>
                      <w:sz w:val="20"/>
                      <w:szCs w:val="20"/>
                      <w:lang w:val="en-US" w:eastAsia="zh-CN" w:bidi="ar"/>
                    </w:rPr>
                    <w:t>废矿物油、废油桶</w:t>
                  </w:r>
                </w:p>
              </w:tc>
              <w:tc>
                <w:tcPr>
                  <w:tcW w:w="1069"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11.2</w:t>
                  </w:r>
                </w:p>
              </w:tc>
              <w:tc>
                <w:tcPr>
                  <w:tcW w:w="2305" w:type="dxa"/>
                  <w:vMerge w:val="restart"/>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ascii="宋体" w:hAnsi="宋体" w:eastAsia="宋体" w:cs="宋体"/>
                      <w:color w:val="auto"/>
                      <w:kern w:val="0"/>
                      <w:sz w:val="20"/>
                      <w:szCs w:val="20"/>
                      <w:lang w:val="en-US" w:eastAsia="zh-CN" w:bidi="ar"/>
                    </w:rPr>
                    <w:t>委托具备危废处理资质单位处置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2669" w:type="dxa"/>
                  <w:gridSpan w:val="2"/>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p>
              </w:tc>
              <w:tc>
                <w:tcPr>
                  <w:tcW w:w="1286" w:type="dxa"/>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color w:val="auto"/>
                      <w:sz w:val="18"/>
                      <w:szCs w:val="18"/>
                      <w:u w:val="none"/>
                      <w:lang w:val="en-US" w:eastAsia="zh-CN"/>
                    </w:rPr>
                  </w:pPr>
                  <w:r>
                    <w:rPr>
                      <w:rFonts w:hint="eastAsia" w:ascii="宋体" w:hAnsi="宋体" w:eastAsia="宋体" w:cs="宋体"/>
                      <w:color w:val="auto"/>
                      <w:kern w:val="0"/>
                      <w:sz w:val="20"/>
                      <w:szCs w:val="20"/>
                      <w:lang w:val="en-US" w:eastAsia="zh-CN" w:bidi="ar"/>
                    </w:rPr>
                    <w:t>辅料废气包装材料</w:t>
                  </w:r>
                </w:p>
              </w:tc>
              <w:tc>
                <w:tcPr>
                  <w:tcW w:w="1069"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0.5</w:t>
                  </w:r>
                </w:p>
              </w:tc>
              <w:tc>
                <w:tcPr>
                  <w:tcW w:w="2305" w:type="dxa"/>
                  <w:vMerge w:val="continue"/>
                  <w:noWrap w:val="0"/>
                  <w:vAlign w:val="center"/>
                </w:tcPr>
                <w:p>
                  <w:pPr>
                    <w:keepNext w:val="0"/>
                    <w:keepLines w:val="0"/>
                    <w:suppressLineNumbers w:val="0"/>
                    <w:spacing w:before="0" w:beforeAutospacing="0" w:after="0" w:afterAutospacing="0"/>
                    <w:ind w:left="0" w:right="0"/>
                    <w:jc w:val="center"/>
                    <w:rPr>
                      <w:rFonts w:hint="eastAsia"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15"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color w:val="auto"/>
                      <w:sz w:val="18"/>
                      <w:szCs w:val="18"/>
                      <w:u w:val="none"/>
                    </w:rPr>
                  </w:pPr>
                </w:p>
              </w:tc>
              <w:tc>
                <w:tcPr>
                  <w:tcW w:w="2669" w:type="dxa"/>
                  <w:gridSpan w:val="2"/>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r>
                    <w:rPr>
                      <w:rFonts w:hint="eastAsia"/>
                      <w:color w:val="auto"/>
                      <w:sz w:val="18"/>
                      <w:szCs w:val="18"/>
                      <w:u w:val="none"/>
                      <w:lang w:val="en-US" w:eastAsia="zh-CN"/>
                    </w:rPr>
                    <w:t>生活垃圾</w:t>
                  </w:r>
                </w:p>
              </w:tc>
              <w:tc>
                <w:tcPr>
                  <w:tcW w:w="1286"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color w:val="auto"/>
                      <w:sz w:val="18"/>
                      <w:szCs w:val="18"/>
                      <w:u w:val="none"/>
                      <w:lang w:val="en-US" w:eastAsia="zh-CN"/>
                    </w:rPr>
                  </w:pPr>
                  <w:r>
                    <w:rPr>
                      <w:rFonts w:hint="eastAsia"/>
                      <w:color w:val="auto"/>
                      <w:sz w:val="18"/>
                      <w:szCs w:val="18"/>
                      <w:u w:val="none"/>
                      <w:lang w:val="en-US" w:eastAsia="zh-CN"/>
                    </w:rPr>
                    <w:t>生活垃圾</w:t>
                  </w:r>
                </w:p>
              </w:tc>
              <w:tc>
                <w:tcPr>
                  <w:tcW w:w="1069"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lang w:val="en-US" w:eastAsia="zh-CN"/>
                    </w:rPr>
                  </w:pPr>
                  <w:r>
                    <w:rPr>
                      <w:rFonts w:hint="eastAsia"/>
                      <w:color w:val="auto"/>
                      <w:sz w:val="18"/>
                      <w:szCs w:val="18"/>
                      <w:u w:val="none"/>
                      <w:lang w:val="en-US" w:eastAsia="zh-CN"/>
                    </w:rPr>
                    <w:t>156</w:t>
                  </w:r>
                </w:p>
              </w:tc>
              <w:tc>
                <w:tcPr>
                  <w:tcW w:w="2305" w:type="dxa"/>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 w:val="18"/>
                      <w:szCs w:val="18"/>
                      <w:u w:val="none"/>
                      <w:lang w:val="en-US" w:eastAsia="zh-CN"/>
                    </w:rPr>
                  </w:pPr>
                  <w:r>
                    <w:rPr>
                      <w:rFonts w:hint="eastAsia" w:ascii="宋体" w:hAnsi="宋体" w:eastAsia="宋体" w:cs="宋体"/>
                      <w:color w:val="auto"/>
                      <w:kern w:val="0"/>
                      <w:sz w:val="20"/>
                      <w:szCs w:val="20"/>
                      <w:lang w:val="en-US" w:eastAsia="zh-CN" w:bidi="ar"/>
                    </w:rPr>
                    <w:t>交由环卫部门清运处理</w:t>
                  </w:r>
                </w:p>
              </w:tc>
            </w:tr>
          </w:tbl>
          <w:p>
            <w:pPr>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3、</w:t>
            </w:r>
            <w:r>
              <w:rPr>
                <w:rFonts w:hint="eastAsia" w:ascii="Times New Roman" w:hAnsi="Times New Roman" w:eastAsia="宋体" w:cs="Times New Roman"/>
                <w:color w:val="auto"/>
                <w:sz w:val="24"/>
              </w:rPr>
              <w:t>湖南鲁丽木业绿色新材料科技产业园木材加工项目</w:t>
            </w:r>
            <w:r>
              <w:rPr>
                <w:rFonts w:hint="eastAsia" w:ascii="Times New Roman" w:hAnsi="Times New Roman" w:eastAsia="宋体" w:cs="Times New Roman"/>
                <w:color w:val="auto"/>
                <w:sz w:val="24"/>
                <w:lang w:val="en-US" w:eastAsia="zh-CN"/>
              </w:rPr>
              <w:t>污染物排放情况如下：</w:t>
            </w:r>
          </w:p>
          <w:p>
            <w:pPr>
              <w:keepNext w:val="0"/>
              <w:keepLines w:val="0"/>
              <w:suppressLineNumbers w:val="0"/>
              <w:spacing w:before="0" w:beforeAutospacing="0" w:after="0" w:afterAutospacing="0"/>
              <w:ind w:left="0" w:right="0"/>
              <w:jc w:val="center"/>
              <w:rPr>
                <w:rFonts w:hint="eastAsia"/>
                <w:b/>
                <w:bCs/>
                <w:color w:val="auto"/>
                <w:szCs w:val="21"/>
                <w:u w:val="none"/>
              </w:rPr>
            </w:pPr>
            <w:r>
              <w:rPr>
                <w:rFonts w:hint="eastAsia"/>
                <w:b/>
                <w:bCs/>
                <w:color w:val="auto"/>
                <w:szCs w:val="21"/>
                <w:u w:val="none"/>
              </w:rPr>
              <w:t>表2</w:t>
            </w:r>
            <w:r>
              <w:rPr>
                <w:rFonts w:hint="default"/>
                <w:b/>
                <w:bCs/>
                <w:color w:val="auto"/>
                <w:szCs w:val="21"/>
                <w:u w:val="none"/>
              </w:rPr>
              <w:t>-</w:t>
            </w:r>
            <w:r>
              <w:rPr>
                <w:rFonts w:hint="eastAsia"/>
                <w:b/>
                <w:bCs/>
                <w:color w:val="auto"/>
                <w:szCs w:val="21"/>
                <w:u w:val="none"/>
                <w:lang w:val="en-US" w:eastAsia="zh-CN"/>
              </w:rPr>
              <w:t>9鲁丽木业木材加工项目污染物排放情况一览表</w:t>
            </w:r>
          </w:p>
          <w:tbl>
            <w:tblPr>
              <w:tblStyle w:val="29"/>
              <w:tblW w:w="0" w:type="auto"/>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46"/>
              <w:gridCol w:w="2355"/>
              <w:gridCol w:w="1410"/>
              <w:gridCol w:w="31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46" w:type="dxa"/>
                  <w:tcBorders>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olor w:val="auto"/>
                      <w:sz w:val="18"/>
                      <w:szCs w:val="18"/>
                      <w:u w:val="none"/>
                      <w:lang w:val="en-US" w:eastAsia="zh-CN"/>
                    </w:rPr>
                  </w:pPr>
                  <w:r>
                    <w:rPr>
                      <w:rFonts w:hint="eastAsia" w:ascii="Times New Roman" w:hAnsi="Times New Roman" w:eastAsia="宋体"/>
                      <w:color w:val="auto"/>
                      <w:sz w:val="18"/>
                      <w:szCs w:val="18"/>
                      <w:u w:val="none"/>
                      <w:lang w:val="en-US" w:eastAsia="zh-CN"/>
                    </w:rPr>
                    <w:t>类别</w:t>
                  </w:r>
                </w:p>
              </w:tc>
              <w:tc>
                <w:tcPr>
                  <w:tcW w:w="2355" w:type="dxa"/>
                  <w:tcBorders>
                    <w:left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Times New Roman" w:hAnsi="Times New Roman" w:eastAsia="宋体"/>
                      <w:color w:val="auto"/>
                      <w:sz w:val="18"/>
                      <w:szCs w:val="18"/>
                      <w:u w:val="none"/>
                      <w:lang w:eastAsia="zh-CN"/>
                    </w:rPr>
                  </w:pPr>
                  <w:r>
                    <w:rPr>
                      <w:rFonts w:hint="eastAsia" w:ascii="Times New Roman" w:hAnsi="Times New Roman" w:eastAsia="宋体"/>
                      <w:color w:val="auto"/>
                      <w:sz w:val="18"/>
                      <w:szCs w:val="18"/>
                      <w:u w:val="none"/>
                      <w:lang w:val="en-US" w:eastAsia="zh-CN"/>
                    </w:rPr>
                    <w:t>污染物</w:t>
                  </w:r>
                </w:p>
              </w:tc>
              <w:tc>
                <w:tcPr>
                  <w:tcW w:w="1410" w:type="dxa"/>
                  <w:tcBorders>
                    <w:left w:val="single" w:color="000000"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olor w:val="auto"/>
                      <w:sz w:val="18"/>
                      <w:szCs w:val="18"/>
                      <w:u w:val="none"/>
                      <w:lang w:val="en-US" w:eastAsia="zh-CN"/>
                    </w:rPr>
                  </w:pPr>
                  <w:r>
                    <w:rPr>
                      <w:rFonts w:hint="eastAsia" w:ascii="Times New Roman" w:hAnsi="Times New Roman" w:eastAsia="宋体"/>
                      <w:color w:val="auto"/>
                      <w:sz w:val="18"/>
                      <w:szCs w:val="18"/>
                      <w:u w:val="none"/>
                      <w:lang w:val="en-US" w:eastAsia="zh-CN"/>
                    </w:rPr>
                    <w:t>排放量</w:t>
                  </w:r>
                  <w:r>
                    <w:rPr>
                      <w:rFonts w:hint="eastAsia"/>
                      <w:color w:val="auto"/>
                      <w:sz w:val="18"/>
                      <w:szCs w:val="18"/>
                      <w:u w:val="none"/>
                      <w:lang w:val="en-US" w:eastAsia="zh-CN"/>
                    </w:rPr>
                    <w:t>/t/a</w:t>
                  </w:r>
                </w:p>
              </w:tc>
              <w:tc>
                <w:tcPr>
                  <w:tcW w:w="3133" w:type="dxa"/>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olor w:val="auto"/>
                      <w:sz w:val="18"/>
                      <w:szCs w:val="18"/>
                      <w:u w:val="none"/>
                      <w:lang w:val="en-US" w:eastAsia="zh-CN"/>
                    </w:rPr>
                  </w:pPr>
                  <w:r>
                    <w:rPr>
                      <w:rFonts w:hint="eastAsia" w:ascii="Times New Roman" w:hAnsi="Times New Roman" w:eastAsia="宋体"/>
                      <w:color w:val="auto"/>
                      <w:sz w:val="18"/>
                      <w:szCs w:val="18"/>
                      <w:u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46" w:type="dxa"/>
                  <w:vMerge w:val="restart"/>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olor w:val="auto"/>
                      <w:sz w:val="18"/>
                      <w:szCs w:val="18"/>
                      <w:u w:val="none"/>
                      <w:lang w:val="en-US"/>
                    </w:rPr>
                  </w:pPr>
                  <w:r>
                    <w:rPr>
                      <w:rFonts w:hint="eastAsia" w:ascii="Times New Roman" w:hAnsi="Times New Roman" w:eastAsia="宋体"/>
                      <w:color w:val="auto"/>
                      <w:sz w:val="18"/>
                      <w:szCs w:val="18"/>
                      <w:u w:val="none"/>
                      <w:lang w:val="en-US" w:eastAsia="zh-CN"/>
                    </w:rPr>
                    <w:t>废气</w:t>
                  </w:r>
                </w:p>
              </w:tc>
              <w:tc>
                <w:tcPr>
                  <w:tcW w:w="235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olor w:val="auto"/>
                      <w:sz w:val="18"/>
                      <w:szCs w:val="18"/>
                      <w:u w:val="none"/>
                      <w:lang w:val="en-US" w:eastAsia="zh-CN"/>
                    </w:rPr>
                  </w:pPr>
                  <w:r>
                    <w:rPr>
                      <w:rFonts w:hint="eastAsia" w:ascii="Times New Roman" w:hAnsi="Times New Roman" w:eastAsia="宋体"/>
                      <w:color w:val="auto"/>
                      <w:sz w:val="18"/>
                      <w:szCs w:val="18"/>
                      <w:u w:val="none"/>
                      <w:lang w:val="en-US" w:eastAsia="zh-CN"/>
                    </w:rPr>
                    <w:t>颗粒物</w:t>
                  </w:r>
                </w:p>
              </w:tc>
              <w:tc>
                <w:tcPr>
                  <w:tcW w:w="1410" w:type="dxa"/>
                  <w:tcBorders>
                    <w:left w:val="single" w:color="000000" w:sz="4" w:space="0"/>
                  </w:tcBorders>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default" w:ascii="Times New Roman" w:hAnsi="Times New Roman" w:eastAsia="宋体" w:cs="Times New Roman"/>
                      <w:snapToGrid w:val="0"/>
                      <w:color w:val="auto"/>
                      <w:kern w:val="21"/>
                      <w:sz w:val="21"/>
                      <w:szCs w:val="21"/>
                      <w:lang w:val="en-US" w:eastAsia="zh-CN" w:bidi="ar-SA"/>
                    </w:rPr>
                  </w:pPr>
                  <w:r>
                    <w:rPr>
                      <w:rFonts w:hint="eastAsia" w:ascii="Times New Roman"/>
                      <w:snapToGrid w:val="0"/>
                      <w:color w:val="auto"/>
                      <w:kern w:val="21"/>
                      <w:szCs w:val="21"/>
                      <w:lang w:val="en-US" w:eastAsia="zh-CN"/>
                    </w:rPr>
                    <w:t>7.046</w:t>
                  </w:r>
                </w:p>
              </w:tc>
              <w:tc>
                <w:tcPr>
                  <w:tcW w:w="3133"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olor w:val="auto"/>
                      <w:sz w:val="18"/>
                      <w:szCs w:val="18"/>
                      <w:u w:val="none"/>
                      <w:lang w:val="en-US" w:eastAsia="zh-CN"/>
                    </w:rPr>
                  </w:pPr>
                  <w:r>
                    <w:rPr>
                      <w:rFonts w:hint="eastAsia" w:ascii="Times New Roman" w:hAnsi="Times New Roman" w:eastAsia="宋体"/>
                      <w:color w:val="auto"/>
                      <w:sz w:val="18"/>
                      <w:szCs w:val="18"/>
                      <w:u w:val="none"/>
                      <w:lang w:val="en-US" w:eastAsia="zh-CN"/>
                    </w:rPr>
                    <w:t>生产废气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46"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olor w:val="auto"/>
                      <w:sz w:val="18"/>
                      <w:szCs w:val="18"/>
                      <w:u w:val="none"/>
                      <w:lang w:val="en-US"/>
                    </w:rPr>
                  </w:pPr>
                </w:p>
              </w:tc>
              <w:tc>
                <w:tcPr>
                  <w:tcW w:w="235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olor w:val="auto"/>
                      <w:sz w:val="18"/>
                      <w:szCs w:val="18"/>
                      <w:u w:val="none"/>
                      <w:lang w:val="en-US" w:eastAsia="zh-CN"/>
                    </w:rPr>
                  </w:pPr>
                  <w:r>
                    <w:rPr>
                      <w:rFonts w:hint="eastAsia" w:ascii="Times New Roman" w:hAnsi="Times New Roman" w:eastAsia="宋体"/>
                      <w:color w:val="auto"/>
                      <w:sz w:val="18"/>
                      <w:szCs w:val="18"/>
                      <w:u w:val="none"/>
                      <w:lang w:val="en-US" w:eastAsia="zh-CN"/>
                    </w:rPr>
                    <w:t>VOCs</w:t>
                  </w:r>
                </w:p>
              </w:tc>
              <w:tc>
                <w:tcPr>
                  <w:tcW w:w="1410" w:type="dxa"/>
                  <w:tcBorders>
                    <w:left w:val="single" w:color="000000" w:sz="4" w:space="0"/>
                  </w:tcBorders>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default" w:ascii="Times New Roman" w:hAnsi="Times New Roman" w:eastAsia="宋体" w:cs="Times New Roman"/>
                      <w:snapToGrid w:val="0"/>
                      <w:color w:val="auto"/>
                      <w:kern w:val="21"/>
                      <w:sz w:val="21"/>
                      <w:szCs w:val="21"/>
                      <w:lang w:val="en-US" w:eastAsia="zh-CN" w:bidi="ar-SA"/>
                    </w:rPr>
                  </w:pPr>
                  <w:r>
                    <w:rPr>
                      <w:rFonts w:hint="eastAsia" w:ascii="Times New Roman"/>
                      <w:snapToGrid w:val="0"/>
                      <w:color w:val="auto"/>
                      <w:kern w:val="21"/>
                      <w:szCs w:val="21"/>
                      <w:lang w:val="en-US" w:eastAsia="zh-CN"/>
                    </w:rPr>
                    <w:t>0.296</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6" w:type="dxa"/>
                  <w:vMerge w:val="restart"/>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olor w:val="auto"/>
                      <w:sz w:val="18"/>
                      <w:szCs w:val="18"/>
                      <w:u w:val="none"/>
                      <w:lang w:val="en-US" w:eastAsia="zh-CN"/>
                    </w:rPr>
                  </w:pPr>
                  <w:r>
                    <w:rPr>
                      <w:rFonts w:hint="eastAsia" w:ascii="Times New Roman" w:hAnsi="Times New Roman" w:eastAsia="宋体"/>
                      <w:color w:val="auto"/>
                      <w:sz w:val="18"/>
                      <w:szCs w:val="18"/>
                      <w:u w:val="none"/>
                      <w:lang w:val="en-US" w:eastAsia="zh-CN"/>
                    </w:rPr>
                    <w:t>废水</w:t>
                  </w:r>
                </w:p>
              </w:tc>
              <w:tc>
                <w:tcPr>
                  <w:tcW w:w="235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53" w:leftChars="-25" w:right="-53" w:rightChars="-25"/>
                    <w:jc w:val="center"/>
                    <w:rPr>
                      <w:rFonts w:hint="default" w:ascii="Times New Roman" w:hAnsi="Times New Roman" w:eastAsia="宋体"/>
                      <w:color w:val="auto"/>
                      <w:sz w:val="18"/>
                      <w:szCs w:val="18"/>
                      <w:u w:val="none"/>
                      <w:lang w:val="en-US" w:eastAsia="zh-CN"/>
                    </w:rPr>
                  </w:pPr>
                  <w:r>
                    <w:rPr>
                      <w:rFonts w:hint="eastAsia"/>
                      <w:color w:val="auto"/>
                      <w:kern w:val="0"/>
                      <w:sz w:val="18"/>
                      <w:szCs w:val="18"/>
                    </w:rPr>
                    <w:t>COD</w:t>
                  </w:r>
                </w:p>
              </w:tc>
              <w:tc>
                <w:tcPr>
                  <w:tcW w:w="1410" w:type="dxa"/>
                  <w:tcBorders>
                    <w:lef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0.576</w:t>
                  </w:r>
                </w:p>
              </w:tc>
              <w:tc>
                <w:tcPr>
                  <w:tcW w:w="3133"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olor w:val="auto"/>
                      <w:sz w:val="18"/>
                      <w:szCs w:val="18"/>
                      <w:u w:val="none"/>
                      <w:lang w:val="en-US" w:eastAsia="zh-CN"/>
                    </w:rPr>
                  </w:pPr>
                  <w:r>
                    <w:rPr>
                      <w:rFonts w:hint="eastAsia"/>
                      <w:color w:val="auto"/>
                      <w:sz w:val="18"/>
                      <w:szCs w:val="18"/>
                      <w:u w:val="none"/>
                      <w:lang w:val="en-US" w:eastAsia="zh-CN"/>
                    </w:rPr>
                    <w:t>原环评批复为</w:t>
                  </w:r>
                  <w:r>
                    <w:rPr>
                      <w:rFonts w:hint="eastAsia" w:ascii="Times New Roman" w:hAnsi="Times New Roman" w:eastAsia="宋体"/>
                      <w:color w:val="auto"/>
                      <w:sz w:val="18"/>
                      <w:szCs w:val="18"/>
                      <w:u w:val="none"/>
                      <w:lang w:val="en-US" w:eastAsia="zh-CN"/>
                    </w:rPr>
                    <w:t>经隔油隔渣池、化粪池预处理后近期纳入新田县污水处理厂集中处理，远期纳入新田县南部新城工业园污水处理厂集中处理</w:t>
                  </w:r>
                  <w:r>
                    <w:rPr>
                      <w:rFonts w:hint="eastAsia"/>
                      <w:color w:val="auto"/>
                      <w:sz w:val="18"/>
                      <w:szCs w:val="18"/>
                      <w:u w:val="none"/>
                      <w:lang w:val="en-US" w:eastAsia="zh-CN"/>
                    </w:rPr>
                    <w:t>，本项目建成后由本项目进行处理。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46"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olor w:val="auto"/>
                      <w:sz w:val="18"/>
                      <w:szCs w:val="18"/>
                      <w:u w:val="none"/>
                      <w:lang w:val="en-US" w:eastAsia="zh-CN"/>
                    </w:rPr>
                  </w:pPr>
                </w:p>
              </w:tc>
              <w:tc>
                <w:tcPr>
                  <w:tcW w:w="235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53" w:leftChars="-25" w:right="-53" w:rightChars="-25"/>
                    <w:jc w:val="center"/>
                    <w:rPr>
                      <w:rFonts w:hint="default" w:ascii="Times New Roman" w:hAnsi="Times New Roman" w:eastAsia="宋体"/>
                      <w:color w:val="auto"/>
                      <w:sz w:val="18"/>
                      <w:szCs w:val="18"/>
                      <w:u w:val="none"/>
                      <w:lang w:val="en-US" w:eastAsia="zh-CN"/>
                    </w:rPr>
                  </w:pPr>
                  <w:r>
                    <w:rPr>
                      <w:rFonts w:hint="eastAsia"/>
                      <w:color w:val="auto"/>
                      <w:kern w:val="0"/>
                      <w:sz w:val="18"/>
                      <w:szCs w:val="18"/>
                    </w:rPr>
                    <w:t>BOD</w:t>
                  </w:r>
                  <w:r>
                    <w:rPr>
                      <w:rFonts w:hint="eastAsia"/>
                      <w:color w:val="auto"/>
                      <w:kern w:val="0"/>
                      <w:sz w:val="18"/>
                      <w:szCs w:val="18"/>
                      <w:vertAlign w:val="subscript"/>
                    </w:rPr>
                    <w:t>5</w:t>
                  </w:r>
                </w:p>
              </w:tc>
              <w:tc>
                <w:tcPr>
                  <w:tcW w:w="1410" w:type="dxa"/>
                  <w:tcBorders>
                    <w:lef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olor w:val="auto"/>
                      <w:sz w:val="18"/>
                      <w:szCs w:val="18"/>
                      <w:u w:val="none"/>
                      <w:lang w:val="en-US" w:eastAsia="zh-CN"/>
                    </w:rPr>
                  </w:pPr>
                  <w:r>
                    <w:rPr>
                      <w:rFonts w:hint="default" w:ascii="Times New Roman" w:hAnsi="Times New Roman" w:eastAsia="宋体" w:cs="Times New Roman"/>
                      <w:i w:val="0"/>
                      <w:iCs w:val="0"/>
                      <w:color w:val="auto"/>
                      <w:kern w:val="0"/>
                      <w:sz w:val="18"/>
                      <w:szCs w:val="18"/>
                      <w:u w:val="none"/>
                      <w:lang w:val="en-US" w:eastAsia="zh-CN" w:bidi="ar"/>
                    </w:rPr>
                    <w:t>0.384</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46"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olor w:val="auto"/>
                      <w:sz w:val="18"/>
                      <w:szCs w:val="18"/>
                      <w:u w:val="none"/>
                      <w:lang w:val="en-US" w:eastAsia="zh-CN"/>
                    </w:rPr>
                  </w:pPr>
                </w:p>
              </w:tc>
              <w:tc>
                <w:tcPr>
                  <w:tcW w:w="235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53" w:leftChars="-25" w:right="-53" w:rightChars="-25"/>
                    <w:jc w:val="center"/>
                    <w:rPr>
                      <w:rFonts w:hint="default" w:ascii="Times New Roman" w:hAnsi="Times New Roman" w:eastAsia="宋体"/>
                      <w:color w:val="auto"/>
                      <w:sz w:val="18"/>
                      <w:szCs w:val="18"/>
                      <w:u w:val="none"/>
                      <w:lang w:val="en-US" w:eastAsia="zh-CN"/>
                    </w:rPr>
                  </w:pPr>
                  <w:r>
                    <w:rPr>
                      <w:rFonts w:hint="eastAsia"/>
                      <w:color w:val="auto"/>
                      <w:sz w:val="18"/>
                      <w:szCs w:val="18"/>
                    </w:rPr>
                    <w:t>SS</w:t>
                  </w:r>
                </w:p>
              </w:tc>
              <w:tc>
                <w:tcPr>
                  <w:tcW w:w="1410" w:type="dxa"/>
                  <w:tcBorders>
                    <w:lef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olor w:val="auto"/>
                      <w:sz w:val="18"/>
                      <w:szCs w:val="18"/>
                      <w:u w:val="none"/>
                      <w:lang w:val="en-US" w:eastAsia="zh-CN"/>
                    </w:rPr>
                  </w:pPr>
                  <w:r>
                    <w:rPr>
                      <w:rFonts w:hint="default" w:ascii="Times New Roman" w:hAnsi="Times New Roman" w:eastAsia="宋体" w:cs="Times New Roman"/>
                      <w:i w:val="0"/>
                      <w:iCs w:val="0"/>
                      <w:color w:val="auto"/>
                      <w:kern w:val="0"/>
                      <w:sz w:val="18"/>
                      <w:szCs w:val="18"/>
                      <w:u w:val="none"/>
                      <w:lang w:val="en-US" w:eastAsia="zh-CN" w:bidi="ar"/>
                    </w:rPr>
                    <w:t>0.15</w:t>
                  </w:r>
                  <w:r>
                    <w:rPr>
                      <w:rFonts w:hint="eastAsia" w:cs="Times New Roman"/>
                      <w:i w:val="0"/>
                      <w:iCs w:val="0"/>
                      <w:color w:val="auto"/>
                      <w:kern w:val="0"/>
                      <w:sz w:val="18"/>
                      <w:szCs w:val="18"/>
                      <w:u w:val="none"/>
                      <w:lang w:val="en-US" w:eastAsia="zh-CN" w:bidi="ar"/>
                    </w:rPr>
                    <w:t>4</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46"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olor w:val="auto"/>
                      <w:sz w:val="18"/>
                      <w:szCs w:val="18"/>
                      <w:u w:val="none"/>
                      <w:lang w:val="en-US" w:eastAsia="zh-CN"/>
                    </w:rPr>
                  </w:pPr>
                </w:p>
              </w:tc>
              <w:tc>
                <w:tcPr>
                  <w:tcW w:w="235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53" w:leftChars="-25" w:right="-53" w:rightChars="-25"/>
                    <w:jc w:val="center"/>
                    <w:rPr>
                      <w:rFonts w:hint="default" w:ascii="Times New Roman" w:hAnsi="Times New Roman" w:eastAsia="宋体"/>
                      <w:color w:val="auto"/>
                      <w:sz w:val="18"/>
                      <w:szCs w:val="18"/>
                      <w:u w:val="none"/>
                      <w:lang w:val="en-US" w:eastAsia="zh-CN"/>
                    </w:rPr>
                  </w:pPr>
                  <w:r>
                    <w:rPr>
                      <w:rFonts w:hint="eastAsia"/>
                      <w:color w:val="auto"/>
                      <w:sz w:val="18"/>
                      <w:szCs w:val="18"/>
                    </w:rPr>
                    <w:t>NH</w:t>
                  </w:r>
                  <w:r>
                    <w:rPr>
                      <w:rFonts w:hint="eastAsia"/>
                      <w:color w:val="auto"/>
                      <w:sz w:val="18"/>
                      <w:szCs w:val="18"/>
                      <w:vertAlign w:val="subscript"/>
                    </w:rPr>
                    <w:t>3</w:t>
                  </w:r>
                  <w:r>
                    <w:rPr>
                      <w:rFonts w:hint="eastAsia"/>
                      <w:color w:val="auto"/>
                      <w:sz w:val="18"/>
                      <w:szCs w:val="18"/>
                    </w:rPr>
                    <w:t>-N</w:t>
                  </w:r>
                </w:p>
              </w:tc>
              <w:tc>
                <w:tcPr>
                  <w:tcW w:w="1410" w:type="dxa"/>
                  <w:tcBorders>
                    <w:lef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olor w:val="auto"/>
                      <w:sz w:val="18"/>
                      <w:szCs w:val="18"/>
                      <w:u w:val="none"/>
                      <w:lang w:val="en-US" w:eastAsia="zh-CN"/>
                    </w:rPr>
                  </w:pPr>
                  <w:r>
                    <w:rPr>
                      <w:rFonts w:hint="default" w:ascii="Times New Roman" w:hAnsi="Times New Roman" w:eastAsia="宋体" w:cs="Times New Roman"/>
                      <w:i w:val="0"/>
                      <w:iCs w:val="0"/>
                      <w:color w:val="auto"/>
                      <w:kern w:val="0"/>
                      <w:sz w:val="18"/>
                      <w:szCs w:val="18"/>
                      <w:u w:val="none"/>
                      <w:lang w:val="en-US" w:eastAsia="zh-CN" w:bidi="ar"/>
                    </w:rPr>
                    <w:t>0.096</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46" w:type="dxa"/>
                  <w:vMerge w:val="continue"/>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olor w:val="auto"/>
                      <w:sz w:val="18"/>
                      <w:szCs w:val="18"/>
                      <w:u w:val="none"/>
                      <w:lang w:val="en-US" w:eastAsia="zh-CN"/>
                    </w:rPr>
                  </w:pPr>
                </w:p>
              </w:tc>
              <w:tc>
                <w:tcPr>
                  <w:tcW w:w="2355" w:type="dxa"/>
                  <w:tcBorders>
                    <w:left w:val="single" w:color="000000" w:sz="4" w:space="0"/>
                    <w:right w:val="single" w:color="000000" w:sz="4" w:space="0"/>
                  </w:tcBorders>
                  <w:noWrap w:val="0"/>
                  <w:vAlign w:val="center"/>
                </w:tcPr>
                <w:p>
                  <w:pPr>
                    <w:keepNext w:val="0"/>
                    <w:keepLines w:val="0"/>
                    <w:suppressLineNumbers w:val="0"/>
                    <w:spacing w:before="0" w:beforeAutospacing="0" w:after="0" w:afterAutospacing="0"/>
                    <w:ind w:left="-53" w:leftChars="-25" w:right="-53" w:rightChars="-25"/>
                    <w:jc w:val="center"/>
                    <w:rPr>
                      <w:rFonts w:hint="default" w:ascii="Times New Roman" w:hAnsi="Times New Roman" w:eastAsia="宋体"/>
                      <w:color w:val="auto"/>
                      <w:sz w:val="18"/>
                      <w:szCs w:val="18"/>
                      <w:u w:val="none"/>
                      <w:lang w:val="en-US" w:eastAsia="zh-CN"/>
                    </w:rPr>
                  </w:pPr>
                  <w:r>
                    <w:rPr>
                      <w:rFonts w:hint="eastAsia"/>
                      <w:color w:val="auto"/>
                      <w:sz w:val="18"/>
                      <w:szCs w:val="18"/>
                      <w:lang w:val="en-US" w:eastAsia="zh-CN"/>
                    </w:rPr>
                    <w:t>动植物油</w:t>
                  </w:r>
                </w:p>
              </w:tc>
              <w:tc>
                <w:tcPr>
                  <w:tcW w:w="1410" w:type="dxa"/>
                  <w:tcBorders>
                    <w:lef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olor w:val="auto"/>
                      <w:sz w:val="18"/>
                      <w:szCs w:val="18"/>
                      <w:u w:val="none"/>
                      <w:lang w:val="en-US" w:eastAsia="zh-CN"/>
                    </w:rPr>
                  </w:pPr>
                  <w:r>
                    <w:rPr>
                      <w:rFonts w:hint="default" w:ascii="Times New Roman" w:hAnsi="Times New Roman" w:eastAsia="宋体" w:cs="Times New Roman"/>
                      <w:i w:val="0"/>
                      <w:iCs w:val="0"/>
                      <w:color w:val="auto"/>
                      <w:kern w:val="0"/>
                      <w:sz w:val="18"/>
                      <w:szCs w:val="18"/>
                      <w:u w:val="none"/>
                      <w:lang w:val="en-US" w:eastAsia="zh-CN" w:bidi="ar"/>
                    </w:rPr>
                    <w:t>0.07</w:t>
                  </w:r>
                  <w:r>
                    <w:rPr>
                      <w:rFonts w:hint="eastAsia" w:cs="Times New Roman"/>
                      <w:i w:val="0"/>
                      <w:iCs w:val="0"/>
                      <w:color w:val="auto"/>
                      <w:kern w:val="0"/>
                      <w:sz w:val="18"/>
                      <w:szCs w:val="18"/>
                      <w:u w:val="none"/>
                      <w:lang w:val="en-US" w:eastAsia="zh-CN" w:bidi="ar"/>
                    </w:rPr>
                    <w:t>7</w:t>
                  </w:r>
                </w:p>
              </w:tc>
              <w:tc>
                <w:tcPr>
                  <w:tcW w:w="3133" w:type="dxa"/>
                  <w:vMerge w:val="continue"/>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olor w:val="auto"/>
                      <w:sz w:val="18"/>
                      <w:szCs w:val="18"/>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46" w:type="dxa"/>
                  <w:vMerge w:val="restart"/>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olor w:val="auto"/>
                      <w:sz w:val="18"/>
                      <w:szCs w:val="18"/>
                      <w:u w:val="none"/>
                      <w:lang w:val="en-US" w:eastAsia="zh-CN"/>
                    </w:rPr>
                  </w:pPr>
                  <w:r>
                    <w:rPr>
                      <w:rFonts w:hint="eastAsia" w:ascii="Times New Roman" w:hAnsi="Times New Roman" w:eastAsia="宋体"/>
                      <w:color w:val="auto"/>
                      <w:sz w:val="18"/>
                      <w:szCs w:val="18"/>
                      <w:u w:val="none"/>
                      <w:lang w:val="en-US" w:eastAsia="zh-CN"/>
                    </w:rPr>
                    <w:t>固体废物</w:t>
                  </w:r>
                </w:p>
              </w:tc>
              <w:tc>
                <w:tcPr>
                  <w:tcW w:w="2355" w:type="dxa"/>
                  <w:tcBorders>
                    <w:right w:val="single" w:color="000000"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Times New Roman" w:hAnsi="Times New Roman" w:eastAsia="宋体"/>
                      <w:color w:val="auto"/>
                      <w:sz w:val="18"/>
                      <w:szCs w:val="18"/>
                      <w:u w:val="none"/>
                      <w:lang w:val="en-US" w:eastAsia="zh-CN"/>
                    </w:rPr>
                  </w:pPr>
                  <w:r>
                    <w:rPr>
                      <w:rFonts w:hint="eastAsia" w:ascii="Times New Roman" w:hAnsi="Times New Roman" w:eastAsia="宋体"/>
                      <w:color w:val="auto"/>
                      <w:sz w:val="18"/>
                      <w:szCs w:val="18"/>
                      <w:u w:val="none"/>
                      <w:lang w:val="en-US" w:eastAsia="zh-CN"/>
                    </w:rPr>
                    <w:t>一般工业固废（产生量）</w:t>
                  </w:r>
                </w:p>
              </w:tc>
              <w:tc>
                <w:tcPr>
                  <w:tcW w:w="1410" w:type="dxa"/>
                  <w:tcBorders>
                    <w:left w:val="single" w:color="000000" w:sz="4" w:space="0"/>
                  </w:tcBorders>
                  <w:noWrap w:val="0"/>
                  <w:vAlign w:val="center"/>
                </w:tcPr>
                <w:p>
                  <w:pPr>
                    <w:keepNext w:val="0"/>
                    <w:keepLines w:val="0"/>
                    <w:suppressLineNumbers w:val="0"/>
                    <w:adjustRightInd w:val="0"/>
                    <w:spacing w:before="0" w:beforeAutospacing="0" w:after="0" w:afterAutospacing="0"/>
                    <w:ind w:left="0" w:right="0"/>
                    <w:jc w:val="center"/>
                    <w:rPr>
                      <w:rFonts w:hint="default" w:ascii="Times New Roman" w:hAnsi="Times New Roman" w:eastAsia="宋体"/>
                      <w:color w:val="auto"/>
                      <w:sz w:val="18"/>
                      <w:szCs w:val="18"/>
                      <w:u w:val="none"/>
                      <w:lang w:val="en-US" w:eastAsia="zh-CN"/>
                    </w:rPr>
                  </w:pPr>
                  <w:r>
                    <w:rPr>
                      <w:rFonts w:hint="eastAsia" w:ascii="Times New Roman" w:hAnsi="Times New Roman" w:eastAsia="宋体" w:cs="Times New Roman"/>
                      <w:i w:val="0"/>
                      <w:iCs w:val="0"/>
                      <w:color w:val="auto"/>
                      <w:kern w:val="0"/>
                      <w:sz w:val="18"/>
                      <w:szCs w:val="18"/>
                      <w:u w:val="none"/>
                      <w:lang w:val="en-US" w:eastAsia="zh-CN" w:bidi="ar"/>
                    </w:rPr>
                    <w:t>156099.294</w:t>
                  </w:r>
                </w:p>
              </w:tc>
              <w:tc>
                <w:tcPr>
                  <w:tcW w:w="3133"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olor w:val="auto"/>
                      <w:sz w:val="18"/>
                      <w:szCs w:val="18"/>
                      <w:u w:val="none"/>
                      <w:lang w:val="en-US" w:eastAsia="zh-CN"/>
                    </w:rPr>
                  </w:pPr>
                  <w:r>
                    <w:rPr>
                      <w:rFonts w:hint="eastAsia" w:ascii="Times New Roman" w:hAnsi="Times New Roman" w:eastAsia="宋体"/>
                      <w:color w:val="auto"/>
                      <w:sz w:val="18"/>
                      <w:szCs w:val="18"/>
                      <w:u w:val="none"/>
                      <w:lang w:val="en-US" w:eastAsia="zh-CN"/>
                    </w:rPr>
                    <w:t>综合利用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46"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olor w:val="auto"/>
                      <w:sz w:val="18"/>
                      <w:szCs w:val="18"/>
                      <w:u w:val="none"/>
                    </w:rPr>
                  </w:pPr>
                </w:p>
              </w:tc>
              <w:tc>
                <w:tcPr>
                  <w:tcW w:w="2355"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olor w:val="auto"/>
                      <w:sz w:val="18"/>
                      <w:szCs w:val="18"/>
                      <w:u w:val="none"/>
                      <w:lang w:val="en-US" w:eastAsia="zh-CN"/>
                    </w:rPr>
                  </w:pPr>
                  <w:r>
                    <w:rPr>
                      <w:rFonts w:hint="eastAsia" w:ascii="Times New Roman" w:hAnsi="Times New Roman" w:eastAsia="宋体"/>
                      <w:color w:val="auto"/>
                      <w:sz w:val="18"/>
                      <w:szCs w:val="18"/>
                      <w:u w:val="none"/>
                      <w:lang w:val="en-US" w:eastAsia="zh-CN"/>
                    </w:rPr>
                    <w:t>危险废物（产生量）</w:t>
                  </w:r>
                </w:p>
              </w:tc>
              <w:tc>
                <w:tcPr>
                  <w:tcW w:w="14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olor w:val="auto"/>
                      <w:sz w:val="18"/>
                      <w:szCs w:val="18"/>
                      <w:u w:val="none"/>
                      <w:lang w:val="en-US" w:eastAsia="zh-CN"/>
                    </w:rPr>
                  </w:pPr>
                  <w:r>
                    <w:rPr>
                      <w:rFonts w:hint="eastAsia"/>
                      <w:color w:val="auto"/>
                      <w:sz w:val="18"/>
                      <w:szCs w:val="18"/>
                      <w:u w:val="none"/>
                      <w:lang w:val="en-US" w:eastAsia="zh-CN"/>
                    </w:rPr>
                    <w:t>30.02</w:t>
                  </w:r>
                </w:p>
              </w:tc>
              <w:tc>
                <w:tcPr>
                  <w:tcW w:w="3133" w:type="dxa"/>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olor w:val="auto"/>
                      <w:sz w:val="18"/>
                      <w:szCs w:val="18"/>
                      <w:u w:val="none"/>
                      <w:lang w:val="en-US" w:eastAsia="zh-CN"/>
                    </w:rPr>
                  </w:pPr>
                  <w:r>
                    <w:rPr>
                      <w:rFonts w:hint="eastAsia" w:ascii="Times New Roman" w:hAnsi="Times New Roman" w:eastAsia="宋体" w:cs="宋体"/>
                      <w:color w:val="auto"/>
                      <w:kern w:val="0"/>
                      <w:sz w:val="20"/>
                      <w:szCs w:val="20"/>
                      <w:lang w:val="en-US" w:eastAsia="zh-CN" w:bidi="ar"/>
                    </w:rPr>
                    <w:t>委托具备危废处理资质单位处置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46" w:type="dxa"/>
                  <w:vMerge w:val="continue"/>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宋体"/>
                      <w:color w:val="auto"/>
                      <w:sz w:val="18"/>
                      <w:szCs w:val="18"/>
                      <w:u w:val="none"/>
                    </w:rPr>
                  </w:pPr>
                </w:p>
              </w:tc>
              <w:tc>
                <w:tcPr>
                  <w:tcW w:w="2355" w:type="dxa"/>
                  <w:tcBorders>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olor w:val="auto"/>
                      <w:sz w:val="18"/>
                      <w:szCs w:val="18"/>
                      <w:u w:val="none"/>
                      <w:lang w:val="en-US" w:eastAsia="zh-CN"/>
                    </w:rPr>
                  </w:pPr>
                  <w:r>
                    <w:rPr>
                      <w:rFonts w:hint="eastAsia" w:ascii="Times New Roman" w:hAnsi="Times New Roman" w:eastAsia="宋体"/>
                      <w:color w:val="auto"/>
                      <w:sz w:val="18"/>
                      <w:szCs w:val="18"/>
                      <w:u w:val="none"/>
                      <w:lang w:val="en-US" w:eastAsia="zh-CN"/>
                    </w:rPr>
                    <w:t>生活垃圾</w:t>
                  </w:r>
                </w:p>
              </w:tc>
              <w:tc>
                <w:tcPr>
                  <w:tcW w:w="1410" w:type="dxa"/>
                  <w:tcBorders>
                    <w:lef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olor w:val="auto"/>
                      <w:sz w:val="18"/>
                      <w:szCs w:val="18"/>
                      <w:u w:val="none"/>
                      <w:lang w:val="en-US" w:eastAsia="zh-CN"/>
                    </w:rPr>
                  </w:pPr>
                  <w:r>
                    <w:rPr>
                      <w:rFonts w:hint="eastAsia" w:ascii="Times New Roman" w:hAnsi="Times New Roman" w:eastAsia="宋体"/>
                      <w:color w:val="auto"/>
                      <w:sz w:val="18"/>
                      <w:szCs w:val="18"/>
                      <w:u w:val="none"/>
                      <w:lang w:val="en-US" w:eastAsia="zh-CN"/>
                    </w:rPr>
                    <w:t>23.25</w:t>
                  </w:r>
                </w:p>
              </w:tc>
              <w:tc>
                <w:tcPr>
                  <w:tcW w:w="3133" w:type="dxa"/>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olor w:val="auto"/>
                      <w:sz w:val="18"/>
                      <w:szCs w:val="18"/>
                      <w:u w:val="none"/>
                      <w:lang w:val="en-US" w:eastAsia="zh-CN"/>
                    </w:rPr>
                  </w:pPr>
                  <w:r>
                    <w:rPr>
                      <w:rFonts w:hint="eastAsia" w:ascii="Times New Roman" w:hAnsi="Times New Roman" w:eastAsia="宋体" w:cs="宋体"/>
                      <w:color w:val="auto"/>
                      <w:kern w:val="0"/>
                      <w:sz w:val="20"/>
                      <w:szCs w:val="20"/>
                      <w:lang w:val="en-US" w:eastAsia="zh-CN" w:bidi="ar"/>
                    </w:rPr>
                    <w:t>交由环卫部门清运处理</w:t>
                  </w:r>
                </w:p>
              </w:tc>
            </w:tr>
          </w:tbl>
          <w:p>
            <w:pPr>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上述项目目前尚未投产，处于建设阶段，</w:t>
            </w:r>
            <w:r>
              <w:rPr>
                <w:rFonts w:hint="eastAsia" w:cs="Times New Roman"/>
                <w:color w:val="auto"/>
                <w:sz w:val="24"/>
                <w:lang w:val="en-US" w:eastAsia="zh-CN"/>
              </w:rPr>
              <w:t>未投运，</w:t>
            </w:r>
            <w:r>
              <w:rPr>
                <w:rFonts w:hint="eastAsia" w:ascii="Times New Roman" w:hAnsi="Times New Roman" w:eastAsia="宋体" w:cs="Times New Roman"/>
                <w:color w:val="auto"/>
                <w:sz w:val="24"/>
                <w:lang w:val="en-US" w:eastAsia="zh-CN"/>
              </w:rPr>
              <w:t>暂未出现相关环境问题。</w:t>
            </w:r>
          </w:p>
          <w:p>
            <w:pPr>
              <w:keepNext w:val="0"/>
              <w:keepLines w:val="0"/>
              <w:suppressLineNumbers w:val="0"/>
              <w:adjustRightInd w:val="0"/>
              <w:snapToGrid w:val="0"/>
              <w:spacing w:before="0" w:beforeAutospacing="0" w:after="0" w:afterAutospacing="0" w:line="360" w:lineRule="auto"/>
              <w:ind w:left="0" w:right="0"/>
              <w:rPr>
                <w:rFonts w:hint="default"/>
                <w:bCs/>
                <w:color w:val="auto"/>
                <w:sz w:val="24"/>
              </w:rPr>
            </w:pPr>
          </w:p>
        </w:tc>
      </w:tr>
    </w:tbl>
    <w:p>
      <w:pPr>
        <w:pStyle w:val="25"/>
        <w:jc w:val="center"/>
        <w:rPr>
          <w:rFonts w:ascii="Times New Roman" w:hAnsi="Times New Roman" w:eastAsia="黑体"/>
          <w:snapToGrid w:val="0"/>
          <w:color w:val="auto"/>
          <w:sz w:val="36"/>
          <w:szCs w:val="36"/>
        </w:rPr>
        <w:sectPr>
          <w:pgSz w:w="11906" w:h="16838"/>
          <w:pgMar w:top="1440" w:right="1417" w:bottom="1440" w:left="1417" w:header="851" w:footer="850" w:gutter="0"/>
          <w:pgBorders>
            <w:top w:val="none" w:sz="0" w:space="0"/>
            <w:left w:val="none" w:sz="0" w:space="0"/>
            <w:bottom w:val="none" w:sz="0" w:space="0"/>
            <w:right w:val="none" w:sz="0" w:space="0"/>
          </w:pgBorders>
          <w:cols w:space="720" w:num="1"/>
          <w:docGrid w:type="lines" w:linePitch="312" w:charSpace="0"/>
        </w:sectPr>
      </w:pPr>
    </w:p>
    <w:p>
      <w:pPr>
        <w:pStyle w:val="25"/>
        <w:spacing w:before="0" w:beforeAutospacing="0" w:after="0" w:afterAutospacing="0"/>
        <w:jc w:val="center"/>
        <w:outlineLvl w:val="0"/>
        <w:rPr>
          <w:rFonts w:ascii="Times New Roman" w:hAnsi="Times New Roman" w:eastAsia="黑体"/>
          <w:snapToGrid w:val="0"/>
          <w:color w:val="auto"/>
          <w:sz w:val="30"/>
          <w:szCs w:val="30"/>
        </w:rPr>
      </w:pPr>
      <w:bookmarkStart w:id="5" w:name="_Toc19360"/>
      <w:r>
        <w:rPr>
          <w:rFonts w:hint="eastAsia" w:ascii="Times New Roman" w:hAnsi="Times New Roman" w:eastAsia="黑体"/>
          <w:snapToGrid w:val="0"/>
          <w:color w:val="auto"/>
          <w:sz w:val="30"/>
          <w:szCs w:val="30"/>
        </w:rPr>
        <w:t>三、区域环境质量现状、环境保护目标及评价标准</w:t>
      </w:r>
      <w:bookmarkEnd w:id="5"/>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83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80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cs="宋体"/>
                <w:color w:val="auto"/>
                <w:kern w:val="0"/>
                <w:sz w:val="24"/>
              </w:rPr>
            </w:pPr>
            <w:r>
              <w:rPr>
                <w:rFonts w:hint="eastAsia" w:cs="宋体"/>
                <w:color w:val="auto"/>
                <w:kern w:val="0"/>
                <w:sz w:val="24"/>
              </w:rPr>
              <w:t>区域</w:t>
            </w:r>
          </w:p>
          <w:p>
            <w:pPr>
              <w:keepNext w:val="0"/>
              <w:keepLines w:val="0"/>
              <w:suppressLineNumbers w:val="0"/>
              <w:adjustRightInd w:val="0"/>
              <w:snapToGrid w:val="0"/>
              <w:spacing w:before="0" w:beforeAutospacing="0" w:after="0" w:afterAutospacing="0"/>
              <w:ind w:left="0" w:right="0"/>
              <w:jc w:val="center"/>
              <w:rPr>
                <w:rFonts w:hint="eastAsia" w:cs="宋体"/>
                <w:color w:val="auto"/>
                <w:kern w:val="0"/>
                <w:sz w:val="24"/>
              </w:rPr>
            </w:pPr>
            <w:r>
              <w:rPr>
                <w:rFonts w:hint="eastAsia" w:cs="宋体"/>
                <w:color w:val="auto"/>
                <w:kern w:val="0"/>
                <w:sz w:val="24"/>
              </w:rPr>
              <w:t>环境</w:t>
            </w:r>
          </w:p>
          <w:p>
            <w:pPr>
              <w:keepNext w:val="0"/>
              <w:keepLines w:val="0"/>
              <w:suppressLineNumbers w:val="0"/>
              <w:adjustRightInd w:val="0"/>
              <w:snapToGrid w:val="0"/>
              <w:spacing w:before="0" w:beforeAutospacing="0" w:after="0" w:afterAutospacing="0"/>
              <w:ind w:left="0" w:right="0"/>
              <w:jc w:val="center"/>
              <w:rPr>
                <w:rFonts w:hint="eastAsia" w:cs="宋体"/>
                <w:color w:val="auto"/>
                <w:kern w:val="0"/>
                <w:sz w:val="24"/>
              </w:rPr>
            </w:pPr>
            <w:r>
              <w:rPr>
                <w:rFonts w:hint="eastAsia" w:cs="宋体"/>
                <w:color w:val="auto"/>
                <w:kern w:val="0"/>
                <w:sz w:val="24"/>
              </w:rPr>
              <w:t>质量</w:t>
            </w: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r>
              <w:rPr>
                <w:rFonts w:hint="eastAsia" w:cs="宋体"/>
                <w:color w:val="auto"/>
                <w:kern w:val="0"/>
                <w:sz w:val="24"/>
              </w:rPr>
              <w:t>现状</w:t>
            </w:r>
          </w:p>
        </w:tc>
        <w:tc>
          <w:tcPr>
            <w:tcW w:w="8264" w:type="dxa"/>
            <w:noWrap w:val="0"/>
            <w:vAlign w:val="center"/>
          </w:tcPr>
          <w:p>
            <w:pPr>
              <w:keepNext w:val="0"/>
              <w:keepLines w:val="0"/>
              <w:suppressLineNumbers w:val="0"/>
              <w:spacing w:before="0" w:beforeAutospacing="0" w:after="0" w:afterAutospacing="0" w:line="360" w:lineRule="auto"/>
              <w:ind w:left="0" w:right="0" w:firstLine="482" w:firstLineChars="200"/>
              <w:rPr>
                <w:rFonts w:hint="default"/>
                <w:color w:val="auto"/>
                <w:sz w:val="24"/>
              </w:rPr>
            </w:pPr>
            <w:r>
              <w:rPr>
                <w:rFonts w:hint="default"/>
                <w:b/>
                <w:bCs/>
                <w:color w:val="auto"/>
                <w:sz w:val="24"/>
              </w:rPr>
              <w:t>1</w:t>
            </w:r>
            <w:r>
              <w:rPr>
                <w:rFonts w:hint="eastAsia"/>
                <w:b/>
                <w:bCs/>
                <w:color w:val="auto"/>
                <w:sz w:val="24"/>
              </w:rPr>
              <w:t>、</w:t>
            </w:r>
            <w:r>
              <w:rPr>
                <w:rFonts w:hint="default"/>
                <w:b/>
                <w:bCs/>
                <w:color w:val="auto"/>
                <w:sz w:val="24"/>
              </w:rPr>
              <w:t>大气环境质量现状</w:t>
            </w:r>
          </w:p>
          <w:p>
            <w:pPr>
              <w:keepNext w:val="0"/>
              <w:keepLines w:val="0"/>
              <w:suppressLineNumbers w:val="0"/>
              <w:spacing w:before="0" w:beforeAutospacing="0" w:after="0" w:afterAutospacing="0" w:line="360" w:lineRule="auto"/>
              <w:ind w:left="0" w:right="0" w:firstLine="480" w:firstLineChars="200"/>
              <w:rPr>
                <w:rFonts w:hint="default"/>
                <w:color w:val="auto"/>
                <w:sz w:val="24"/>
              </w:rPr>
            </w:pPr>
            <w:r>
              <w:rPr>
                <w:rFonts w:hint="eastAsia"/>
                <w:color w:val="auto"/>
                <w:sz w:val="24"/>
              </w:rPr>
              <w:t>（1）</w:t>
            </w:r>
            <w:r>
              <w:rPr>
                <w:rFonts w:hint="default"/>
                <w:color w:val="auto"/>
                <w:sz w:val="24"/>
              </w:rPr>
              <w:t>达标区判定</w:t>
            </w:r>
          </w:p>
          <w:p>
            <w:pPr>
              <w:keepNext w:val="0"/>
              <w:keepLines w:val="0"/>
              <w:suppressLineNumbers w:val="0"/>
              <w:spacing w:before="0" w:beforeAutospacing="0" w:after="0" w:afterAutospacing="0" w:line="360" w:lineRule="auto"/>
              <w:ind w:left="0" w:right="0" w:firstLine="480" w:firstLineChars="200"/>
              <w:rPr>
                <w:rFonts w:hint="eastAsia"/>
                <w:color w:val="auto"/>
                <w:sz w:val="24"/>
              </w:rPr>
            </w:pPr>
            <w:r>
              <w:rPr>
                <w:rFonts w:hint="eastAsia"/>
                <w:color w:val="auto"/>
                <w:sz w:val="24"/>
              </w:rPr>
              <w:t>根据《环境影响评价技术导则-大气环境》（HJ2.2-2018），项目所在区域达标判定，优先采用国家或地方生态环境主管部门公开发布的评价基准年环境质量公告或环境质量报告中的数据或结论，本次环评根据永州市生态环境局发布消息，2022年，永州市市11个县区达到国家环境空气质量二级标准，实现了全域达标，成功创建国家环境空气质量达标城市。因此，2022年永州市新田县的常规监测因子均达到《环境空气质量标准》（GB3095-2012）二级标准。永州市新田县为环境空气质量达标区域。</w:t>
            </w:r>
          </w:p>
          <w:p>
            <w:pPr>
              <w:pStyle w:val="69"/>
              <w:keepNext w:val="0"/>
              <w:keepLines w:val="0"/>
              <w:suppressLineNumbers w:val="0"/>
              <w:spacing w:before="0" w:beforeAutospacing="0" w:after="0" w:afterAutospacing="0"/>
              <w:ind w:left="0" w:right="0"/>
              <w:jc w:val="center"/>
              <w:rPr>
                <w:rFonts w:hint="eastAsia" w:eastAsia="宋体"/>
                <w:b/>
                <w:bCs/>
                <w:color w:val="auto"/>
                <w:sz w:val="21"/>
                <w:lang w:eastAsia="zh-CN"/>
              </w:rPr>
            </w:pPr>
            <w:r>
              <w:rPr>
                <w:rFonts w:hint="eastAsia"/>
                <w:b/>
                <w:bCs/>
                <w:color w:val="auto"/>
                <w:sz w:val="21"/>
              </w:rPr>
              <w:t>表</w:t>
            </w:r>
            <w:r>
              <w:rPr>
                <w:rFonts w:hint="default"/>
                <w:b/>
                <w:bCs/>
                <w:color w:val="auto"/>
                <w:sz w:val="21"/>
              </w:rPr>
              <w:t>3-1</w:t>
            </w:r>
            <w:r>
              <w:rPr>
                <w:rFonts w:hint="eastAsia"/>
                <w:b/>
                <w:bCs/>
                <w:color w:val="auto"/>
                <w:sz w:val="21"/>
                <w:lang w:val="en-US" w:eastAsia="zh-CN"/>
              </w:rPr>
              <w:t xml:space="preserve"> </w:t>
            </w:r>
            <w:r>
              <w:rPr>
                <w:rFonts w:hint="eastAsia"/>
                <w:b/>
                <w:bCs/>
                <w:color w:val="auto"/>
                <w:sz w:val="21"/>
              </w:rPr>
              <w:t>202</w:t>
            </w:r>
            <w:r>
              <w:rPr>
                <w:rFonts w:hint="eastAsia"/>
                <w:b/>
                <w:bCs/>
                <w:color w:val="auto"/>
                <w:sz w:val="21"/>
                <w:lang w:val="en-US" w:eastAsia="zh-CN"/>
              </w:rPr>
              <w:t>2</w:t>
            </w:r>
            <w:r>
              <w:rPr>
                <w:rFonts w:hint="eastAsia"/>
                <w:b/>
                <w:bCs/>
                <w:color w:val="auto"/>
                <w:sz w:val="21"/>
              </w:rPr>
              <w:t>年度</w:t>
            </w:r>
            <w:r>
              <w:rPr>
                <w:rFonts w:hint="eastAsia"/>
                <w:b/>
                <w:bCs/>
                <w:color w:val="auto"/>
                <w:sz w:val="21"/>
                <w:lang w:val="en-US" w:eastAsia="zh-CN"/>
              </w:rPr>
              <w:t>年新田</w:t>
            </w:r>
            <w:r>
              <w:rPr>
                <w:rFonts w:hint="eastAsia"/>
                <w:b/>
                <w:bCs/>
                <w:color w:val="auto"/>
                <w:sz w:val="21"/>
              </w:rPr>
              <w:t>县环境空气质量状况统计表</w:t>
            </w:r>
            <w:r>
              <w:rPr>
                <w:rFonts w:hint="eastAsia"/>
                <w:b/>
                <w:bCs/>
                <w:color w:val="auto"/>
                <w:sz w:val="21"/>
                <w:lang w:eastAsia="zh-CN"/>
              </w:rPr>
              <w:t>（</w:t>
            </w:r>
            <w:r>
              <w:rPr>
                <w:rFonts w:hint="eastAsia"/>
                <w:b/>
                <w:bCs/>
                <w:color w:val="auto"/>
                <w:sz w:val="21"/>
                <w:lang w:val="en-US" w:eastAsia="zh-CN"/>
              </w:rPr>
              <w:t>单位：</w:t>
            </w:r>
            <w:r>
              <w:rPr>
                <w:rFonts w:hint="default" w:ascii="Times New Roman" w:hAnsi="Times New Roman" w:eastAsia="宋体" w:cs="Times New Roman"/>
                <w:b/>
                <w:bCs w:val="0"/>
                <w:color w:val="auto"/>
                <w:sz w:val="21"/>
                <w:szCs w:val="21"/>
              </w:rPr>
              <w:t>μg/m</w:t>
            </w:r>
            <w:r>
              <w:rPr>
                <w:rFonts w:hint="eastAsia" w:cs="Times New Roman"/>
                <w:b/>
                <w:bCs w:val="0"/>
                <w:color w:val="auto"/>
                <w:sz w:val="21"/>
                <w:szCs w:val="21"/>
                <w:vertAlign w:val="superscript"/>
                <w:lang w:val="en-US" w:eastAsia="zh-CN"/>
              </w:rPr>
              <w:t>3</w:t>
            </w:r>
            <w:r>
              <w:rPr>
                <w:rFonts w:hint="eastAsia"/>
                <w:b/>
                <w:bCs/>
                <w:color w:val="auto"/>
                <w:sz w:val="21"/>
                <w:lang w:eastAsia="zh-CN"/>
              </w:rPr>
              <w:t>）</w:t>
            </w:r>
          </w:p>
          <w:tbl>
            <w:tblPr>
              <w:tblStyle w:val="29"/>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901"/>
              <w:gridCol w:w="2700"/>
              <w:gridCol w:w="1047"/>
              <w:gridCol w:w="1341"/>
              <w:gridCol w:w="866"/>
              <w:gridCol w:w="116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01" w:type="dxa"/>
                  <w:tcBorders>
                    <w:top w:val="single" w:color="000000" w:sz="12" w:space="0"/>
                    <w:left w:val="single" w:color="000000" w:sz="12"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rPr>
                  </w:pPr>
                  <w:r>
                    <w:rPr>
                      <w:rFonts w:hint="default" w:ascii="Times New Roman" w:hAnsi="Times New Roman" w:eastAsia="宋体"/>
                      <w:bCs/>
                      <w:color w:val="auto"/>
                      <w:sz w:val="18"/>
                      <w:szCs w:val="18"/>
                    </w:rPr>
                    <w:t>评价因子</w:t>
                  </w:r>
                </w:p>
              </w:tc>
              <w:tc>
                <w:tcPr>
                  <w:tcW w:w="2700" w:type="dxa"/>
                  <w:tcBorders>
                    <w:top w:val="single" w:color="000000" w:sz="12"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cs="Times New Roman"/>
                      <w:bCs/>
                      <w:color w:val="auto"/>
                      <w:kern w:val="2"/>
                      <w:sz w:val="18"/>
                      <w:szCs w:val="18"/>
                      <w:lang w:val="en-US" w:eastAsia="zh-CN"/>
                    </w:rPr>
                  </w:pPr>
                  <w:r>
                    <w:rPr>
                      <w:rFonts w:hint="default" w:ascii="Times New Roman" w:hAnsi="Times New Roman" w:eastAsia="宋体" w:cs="Times New Roman"/>
                      <w:bCs/>
                      <w:color w:val="auto"/>
                      <w:kern w:val="2"/>
                      <w:sz w:val="18"/>
                      <w:szCs w:val="18"/>
                      <w:lang w:val="en-US" w:eastAsia="zh-CN"/>
                    </w:rPr>
                    <w:t>项目</w:t>
                  </w:r>
                </w:p>
              </w:tc>
              <w:tc>
                <w:tcPr>
                  <w:tcW w:w="1047" w:type="dxa"/>
                  <w:tcBorders>
                    <w:top w:val="single" w:color="000000" w:sz="12"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cs="Times New Roman"/>
                      <w:bCs/>
                      <w:color w:val="auto"/>
                      <w:kern w:val="2"/>
                      <w:sz w:val="18"/>
                      <w:szCs w:val="18"/>
                      <w:lang w:val="en-US" w:eastAsia="zh-CN"/>
                    </w:rPr>
                  </w:pPr>
                  <w:r>
                    <w:rPr>
                      <w:rFonts w:hint="default" w:ascii="Times New Roman" w:hAnsi="Times New Roman" w:eastAsia="宋体" w:cs="Times New Roman"/>
                      <w:bCs/>
                      <w:color w:val="auto"/>
                      <w:kern w:val="2"/>
                      <w:sz w:val="18"/>
                      <w:szCs w:val="18"/>
                      <w:lang w:val="en-US" w:eastAsia="zh-CN"/>
                    </w:rPr>
                    <w:t>现状浓度</w:t>
                  </w:r>
                </w:p>
              </w:tc>
              <w:tc>
                <w:tcPr>
                  <w:tcW w:w="1341" w:type="dxa"/>
                  <w:tcBorders>
                    <w:top w:val="single" w:color="000000" w:sz="12"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rPr>
                  </w:pPr>
                  <w:r>
                    <w:rPr>
                      <w:rFonts w:hint="default" w:ascii="Times New Roman" w:hAnsi="Times New Roman" w:eastAsia="宋体"/>
                      <w:bCs/>
                      <w:color w:val="auto"/>
                      <w:sz w:val="18"/>
                      <w:szCs w:val="18"/>
                    </w:rPr>
                    <w:t>标准值</w:t>
                  </w:r>
                </w:p>
              </w:tc>
              <w:tc>
                <w:tcPr>
                  <w:tcW w:w="866" w:type="dxa"/>
                  <w:tcBorders>
                    <w:top w:val="single" w:color="000000" w:sz="12"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cs="Times New Roman"/>
                      <w:bCs/>
                      <w:color w:val="auto"/>
                      <w:kern w:val="2"/>
                      <w:sz w:val="18"/>
                      <w:szCs w:val="18"/>
                      <w:lang w:val="en-US" w:eastAsia="zh-CN"/>
                    </w:rPr>
                  </w:pPr>
                  <w:r>
                    <w:rPr>
                      <w:rFonts w:hint="default" w:ascii="Times New Roman" w:hAnsi="Times New Roman" w:eastAsia="宋体" w:cs="Times New Roman"/>
                      <w:bCs/>
                      <w:color w:val="auto"/>
                      <w:kern w:val="2"/>
                      <w:sz w:val="18"/>
                      <w:szCs w:val="18"/>
                      <w:lang w:val="en-US" w:eastAsia="zh-CN"/>
                    </w:rPr>
                    <w:t>占标率</w:t>
                  </w:r>
                  <w:r>
                    <w:rPr>
                      <w:rFonts w:hint="eastAsia" w:ascii="Times New Roman" w:hAnsi="Times New Roman" w:eastAsia="宋体" w:cs="Times New Roman"/>
                      <w:bCs/>
                      <w:color w:val="auto"/>
                      <w:kern w:val="2"/>
                      <w:sz w:val="18"/>
                      <w:szCs w:val="18"/>
                      <w:lang w:val="en-US" w:eastAsia="zh-CN"/>
                    </w:rPr>
                    <w:t>/%</w:t>
                  </w:r>
                </w:p>
              </w:tc>
              <w:tc>
                <w:tcPr>
                  <w:tcW w:w="1163" w:type="dxa"/>
                  <w:tcBorders>
                    <w:top w:val="single" w:color="000000" w:sz="12" w:space="0"/>
                    <w:left w:val="single" w:color="000000" w:sz="4" w:space="0"/>
                    <w:bottom w:val="single" w:color="000000" w:sz="4" w:space="0"/>
                    <w:right w:val="single" w:color="000000" w:sz="12"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rPr>
                  </w:pPr>
                  <w:r>
                    <w:rPr>
                      <w:rFonts w:hint="default" w:ascii="Times New Roman" w:hAnsi="Times New Roman" w:eastAsia="宋体"/>
                      <w:bCs/>
                      <w:color w:val="auto"/>
                      <w:sz w:val="18"/>
                      <w:szCs w:val="18"/>
                    </w:rPr>
                    <w:t>达标情况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01" w:type="dxa"/>
                  <w:tcBorders>
                    <w:top w:val="single" w:color="000000" w:sz="4" w:space="0"/>
                    <w:left w:val="single" w:color="000000" w:sz="12"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left="0" w:leftChars="0" w:right="0"/>
                    <w:rPr>
                      <w:rFonts w:hint="default" w:ascii="Times New Roman" w:hAnsi="Times New Roman" w:eastAsia="宋体" w:cs="Times New Roman"/>
                      <w:bCs/>
                      <w:color w:val="auto"/>
                      <w:kern w:val="2"/>
                      <w:sz w:val="18"/>
                      <w:szCs w:val="18"/>
                      <w:lang w:val="en-US" w:eastAsia="zh-CN" w:bidi="ar-SA"/>
                    </w:rPr>
                  </w:pPr>
                  <w:r>
                    <w:rPr>
                      <w:rFonts w:hint="default" w:ascii="Times New Roman" w:hAnsi="Times New Roman" w:eastAsia="宋体"/>
                      <w:bCs/>
                      <w:color w:val="auto"/>
                      <w:sz w:val="18"/>
                      <w:szCs w:val="18"/>
                    </w:rPr>
                    <w:t>SO</w:t>
                  </w:r>
                  <w:r>
                    <w:rPr>
                      <w:rFonts w:hint="default" w:ascii="Times New Roman" w:hAnsi="Times New Roman" w:eastAsia="宋体"/>
                      <w:bCs/>
                      <w:color w:val="auto"/>
                      <w:sz w:val="18"/>
                      <w:szCs w:val="18"/>
                      <w:vertAlign w:val="subscript"/>
                    </w:rPr>
                    <w:t>2</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rPr>
                  </w:pPr>
                  <w:r>
                    <w:rPr>
                      <w:rFonts w:hint="eastAsia" w:ascii="Times New Roman" w:hAnsi="Times New Roman" w:eastAsia="宋体"/>
                      <w:bCs/>
                      <w:color w:val="auto"/>
                      <w:sz w:val="18"/>
                      <w:szCs w:val="18"/>
                    </w:rPr>
                    <w:t>年平均质量浓度</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eastAsia" w:ascii="Times New Roman" w:hAnsi="Times New Roman" w:eastAsia="宋体"/>
                      <w:bCs/>
                      <w:color w:val="auto"/>
                      <w:kern w:val="2"/>
                      <w:sz w:val="18"/>
                      <w:szCs w:val="18"/>
                      <w:lang w:val="en-US" w:eastAsia="zh-CN"/>
                    </w:rPr>
                  </w:pPr>
                  <w:r>
                    <w:rPr>
                      <w:rFonts w:hint="eastAsia" w:ascii="Times New Roman" w:hAnsi="Times New Roman" w:eastAsia="宋体"/>
                      <w:bCs/>
                      <w:color w:val="auto"/>
                      <w:kern w:val="2"/>
                      <w:sz w:val="18"/>
                      <w:szCs w:val="18"/>
                      <w:lang w:val="en-US" w:eastAsia="zh-CN"/>
                    </w:rPr>
                    <w:t>6</w:t>
                  </w: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lang w:val="en-US" w:eastAsia="zh-CN"/>
                    </w:rPr>
                  </w:pPr>
                  <w:r>
                    <w:rPr>
                      <w:rFonts w:hint="eastAsia" w:ascii="Times New Roman" w:hAnsi="Times New Roman" w:eastAsia="宋体"/>
                      <w:bCs/>
                      <w:color w:val="auto"/>
                      <w:kern w:val="2"/>
                      <w:sz w:val="18"/>
                      <w:szCs w:val="18"/>
                      <w:lang w:val="en-US" w:eastAsia="zh-CN"/>
                    </w:rPr>
                    <w:t>60</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cs="Times New Roman"/>
                      <w:bCs/>
                      <w:color w:val="auto"/>
                      <w:kern w:val="2"/>
                      <w:sz w:val="18"/>
                      <w:szCs w:val="18"/>
                      <w:lang w:val="en-US" w:eastAsia="zh-CN"/>
                    </w:rPr>
                  </w:pPr>
                  <w:r>
                    <w:rPr>
                      <w:rFonts w:hint="eastAsia" w:ascii="Times New Roman" w:hAnsi="Times New Roman" w:eastAsia="宋体" w:cs="Times New Roman"/>
                      <w:bCs/>
                      <w:color w:val="auto"/>
                      <w:kern w:val="2"/>
                      <w:sz w:val="18"/>
                      <w:szCs w:val="18"/>
                      <w:lang w:val="en-US" w:eastAsia="zh-CN"/>
                    </w:rPr>
                    <w:t xml:space="preserve">10.00 </w:t>
                  </w:r>
                </w:p>
              </w:tc>
              <w:tc>
                <w:tcPr>
                  <w:tcW w:w="1163" w:type="dxa"/>
                  <w:tcBorders>
                    <w:top w:val="single" w:color="000000" w:sz="4" w:space="0"/>
                    <w:left w:val="single" w:color="000000" w:sz="4" w:space="0"/>
                    <w:bottom w:val="single" w:color="000000" w:sz="4" w:space="0"/>
                    <w:right w:val="single" w:color="000000" w:sz="12"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rPr>
                  </w:pPr>
                  <w:r>
                    <w:rPr>
                      <w:rFonts w:hint="default" w:ascii="Times New Roman" w:hAnsi="Times New Roman" w:eastAsia="宋体"/>
                      <w:bCs/>
                      <w:color w:val="auto"/>
                      <w:kern w:val="2"/>
                      <w:sz w:val="18"/>
                      <w:szCs w:val="18"/>
                    </w:rPr>
                    <w:t>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01" w:type="dxa"/>
                  <w:tcBorders>
                    <w:top w:val="single" w:color="000000" w:sz="4" w:space="0"/>
                    <w:left w:val="single" w:color="000000" w:sz="12"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left="0" w:leftChars="0" w:right="0"/>
                    <w:rPr>
                      <w:rFonts w:hint="default" w:ascii="Times New Roman" w:hAnsi="Times New Roman" w:eastAsia="宋体" w:cs="Times New Roman"/>
                      <w:bCs/>
                      <w:color w:val="auto"/>
                      <w:kern w:val="2"/>
                      <w:sz w:val="18"/>
                      <w:szCs w:val="18"/>
                      <w:lang w:val="en-US" w:eastAsia="zh-CN" w:bidi="ar-SA"/>
                    </w:rPr>
                  </w:pPr>
                  <w:r>
                    <w:rPr>
                      <w:rFonts w:hint="default" w:ascii="Times New Roman" w:hAnsi="Times New Roman" w:eastAsia="宋体"/>
                      <w:bCs/>
                      <w:color w:val="auto"/>
                      <w:sz w:val="18"/>
                      <w:szCs w:val="18"/>
                    </w:rPr>
                    <w:t>NO</w:t>
                  </w:r>
                  <w:r>
                    <w:rPr>
                      <w:rFonts w:hint="default" w:ascii="Times New Roman" w:hAnsi="Times New Roman" w:eastAsia="宋体"/>
                      <w:bCs/>
                      <w:color w:val="auto"/>
                      <w:sz w:val="18"/>
                      <w:szCs w:val="18"/>
                      <w:vertAlign w:val="subscript"/>
                    </w:rPr>
                    <w:t>2</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rPr>
                  </w:pPr>
                  <w:r>
                    <w:rPr>
                      <w:rFonts w:hint="eastAsia" w:ascii="Times New Roman" w:hAnsi="Times New Roman" w:eastAsia="宋体"/>
                      <w:bCs/>
                      <w:color w:val="auto"/>
                      <w:sz w:val="18"/>
                      <w:szCs w:val="18"/>
                    </w:rPr>
                    <w:t>年平均质量浓度</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lang w:val="en-US" w:eastAsia="zh-CN"/>
                    </w:rPr>
                  </w:pPr>
                  <w:r>
                    <w:rPr>
                      <w:rFonts w:hint="eastAsia" w:ascii="Times New Roman" w:hAnsi="Times New Roman" w:eastAsia="宋体"/>
                      <w:bCs/>
                      <w:color w:val="auto"/>
                      <w:kern w:val="2"/>
                      <w:sz w:val="18"/>
                      <w:szCs w:val="18"/>
                      <w:lang w:val="en-US" w:eastAsia="zh-CN"/>
                    </w:rPr>
                    <w:t>8</w:t>
                  </w: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lang w:val="en-US" w:eastAsia="zh-CN"/>
                    </w:rPr>
                  </w:pPr>
                  <w:r>
                    <w:rPr>
                      <w:rFonts w:hint="eastAsia" w:ascii="Times New Roman" w:hAnsi="Times New Roman" w:eastAsia="宋体"/>
                      <w:bCs/>
                      <w:color w:val="auto"/>
                      <w:kern w:val="2"/>
                      <w:sz w:val="18"/>
                      <w:szCs w:val="18"/>
                      <w:lang w:val="en-US" w:eastAsia="zh-CN"/>
                    </w:rPr>
                    <w:t>40</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cs="Times New Roman"/>
                      <w:bCs/>
                      <w:color w:val="auto"/>
                      <w:kern w:val="2"/>
                      <w:sz w:val="18"/>
                      <w:szCs w:val="18"/>
                      <w:lang w:val="en-US" w:eastAsia="zh-CN"/>
                    </w:rPr>
                  </w:pPr>
                  <w:r>
                    <w:rPr>
                      <w:rFonts w:hint="eastAsia" w:ascii="Times New Roman" w:hAnsi="Times New Roman" w:eastAsia="宋体" w:cs="Times New Roman"/>
                      <w:bCs/>
                      <w:color w:val="auto"/>
                      <w:kern w:val="2"/>
                      <w:sz w:val="18"/>
                      <w:szCs w:val="18"/>
                      <w:lang w:val="en-US" w:eastAsia="zh-CN"/>
                    </w:rPr>
                    <w:t xml:space="preserve">20.00 </w:t>
                  </w:r>
                </w:p>
              </w:tc>
              <w:tc>
                <w:tcPr>
                  <w:tcW w:w="1163" w:type="dxa"/>
                  <w:tcBorders>
                    <w:top w:val="single" w:color="000000" w:sz="4" w:space="0"/>
                    <w:left w:val="single" w:color="000000" w:sz="4" w:space="0"/>
                    <w:bottom w:val="single" w:color="000000" w:sz="4" w:space="0"/>
                    <w:right w:val="single" w:color="000000" w:sz="12"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rPr>
                  </w:pPr>
                  <w:r>
                    <w:rPr>
                      <w:rFonts w:hint="eastAsia" w:ascii="Times New Roman" w:hAnsi="Times New Roman" w:eastAsia="宋体"/>
                      <w:bCs/>
                      <w:color w:val="auto"/>
                      <w:kern w:val="2"/>
                      <w:sz w:val="18"/>
                      <w:szCs w:val="18"/>
                    </w:rPr>
                    <w:t>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01" w:type="dxa"/>
                  <w:tcBorders>
                    <w:top w:val="single" w:color="000000" w:sz="4" w:space="0"/>
                    <w:left w:val="single" w:color="000000" w:sz="12"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left="0" w:leftChars="0" w:right="0"/>
                    <w:rPr>
                      <w:rFonts w:hint="default" w:ascii="Times New Roman" w:hAnsi="Times New Roman" w:eastAsia="宋体" w:cs="Times New Roman"/>
                      <w:bCs/>
                      <w:color w:val="auto"/>
                      <w:kern w:val="2"/>
                      <w:sz w:val="18"/>
                      <w:szCs w:val="18"/>
                      <w:lang w:val="en-US" w:eastAsia="zh-CN" w:bidi="ar-SA"/>
                    </w:rPr>
                  </w:pPr>
                  <w:r>
                    <w:rPr>
                      <w:rFonts w:hint="default" w:ascii="Times New Roman" w:hAnsi="Times New Roman" w:eastAsia="宋体"/>
                      <w:bCs/>
                      <w:color w:val="auto"/>
                      <w:sz w:val="18"/>
                      <w:szCs w:val="18"/>
                    </w:rPr>
                    <w:t>PM</w:t>
                  </w:r>
                  <w:r>
                    <w:rPr>
                      <w:rFonts w:hint="default" w:ascii="Times New Roman" w:hAnsi="Times New Roman" w:eastAsia="宋体"/>
                      <w:bCs/>
                      <w:color w:val="auto"/>
                      <w:sz w:val="18"/>
                      <w:szCs w:val="18"/>
                      <w:vertAlign w:val="subscript"/>
                    </w:rPr>
                    <w:t>10</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rPr>
                  </w:pPr>
                  <w:r>
                    <w:rPr>
                      <w:rFonts w:hint="eastAsia" w:ascii="Times New Roman" w:hAnsi="Times New Roman" w:eastAsia="宋体"/>
                      <w:bCs/>
                      <w:color w:val="auto"/>
                      <w:sz w:val="18"/>
                      <w:szCs w:val="18"/>
                    </w:rPr>
                    <w:t>年平均质量浓度</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lang w:val="en-US" w:eastAsia="zh-CN"/>
                    </w:rPr>
                  </w:pPr>
                  <w:r>
                    <w:rPr>
                      <w:rFonts w:hint="eastAsia" w:ascii="Times New Roman" w:hAnsi="Times New Roman" w:eastAsia="宋体"/>
                      <w:bCs/>
                      <w:color w:val="auto"/>
                      <w:kern w:val="2"/>
                      <w:sz w:val="18"/>
                      <w:szCs w:val="18"/>
                      <w:lang w:val="en-US" w:eastAsia="zh-CN"/>
                    </w:rPr>
                    <w:t>37</w:t>
                  </w: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lang w:val="en-US" w:eastAsia="zh-CN"/>
                    </w:rPr>
                  </w:pPr>
                  <w:r>
                    <w:rPr>
                      <w:rFonts w:hint="eastAsia" w:ascii="Times New Roman" w:hAnsi="Times New Roman" w:eastAsia="宋体"/>
                      <w:bCs/>
                      <w:color w:val="auto"/>
                      <w:kern w:val="2"/>
                      <w:sz w:val="18"/>
                      <w:szCs w:val="18"/>
                      <w:lang w:val="en-US" w:eastAsia="zh-CN"/>
                    </w:rPr>
                    <w:t>70</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cs="Times New Roman"/>
                      <w:bCs/>
                      <w:color w:val="auto"/>
                      <w:kern w:val="2"/>
                      <w:sz w:val="18"/>
                      <w:szCs w:val="18"/>
                      <w:lang w:val="en-US" w:eastAsia="zh-CN"/>
                    </w:rPr>
                  </w:pPr>
                  <w:r>
                    <w:rPr>
                      <w:rFonts w:hint="eastAsia" w:ascii="Times New Roman" w:hAnsi="Times New Roman" w:eastAsia="宋体" w:cs="Times New Roman"/>
                      <w:bCs/>
                      <w:color w:val="auto"/>
                      <w:kern w:val="2"/>
                      <w:sz w:val="18"/>
                      <w:szCs w:val="18"/>
                      <w:lang w:val="en-US" w:eastAsia="zh-CN"/>
                    </w:rPr>
                    <w:t xml:space="preserve">52.86 </w:t>
                  </w:r>
                </w:p>
              </w:tc>
              <w:tc>
                <w:tcPr>
                  <w:tcW w:w="1163" w:type="dxa"/>
                  <w:tcBorders>
                    <w:top w:val="single" w:color="000000" w:sz="4" w:space="0"/>
                    <w:left w:val="single" w:color="000000" w:sz="4" w:space="0"/>
                    <w:bottom w:val="single" w:color="000000" w:sz="4" w:space="0"/>
                    <w:right w:val="single" w:color="000000" w:sz="12"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rPr>
                  </w:pPr>
                  <w:r>
                    <w:rPr>
                      <w:rFonts w:hint="default" w:ascii="Times New Roman" w:hAnsi="Times New Roman" w:eastAsia="宋体"/>
                      <w:bCs/>
                      <w:color w:val="auto"/>
                      <w:kern w:val="2"/>
                      <w:sz w:val="18"/>
                      <w:szCs w:val="18"/>
                    </w:rPr>
                    <w:t>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01" w:type="dxa"/>
                  <w:tcBorders>
                    <w:top w:val="single" w:color="000000" w:sz="4" w:space="0"/>
                    <w:left w:val="single" w:color="000000" w:sz="12"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left="0" w:leftChars="0" w:right="0"/>
                    <w:rPr>
                      <w:rFonts w:hint="default" w:ascii="Times New Roman" w:hAnsi="Times New Roman" w:eastAsia="宋体" w:cs="Times New Roman"/>
                      <w:bCs/>
                      <w:color w:val="auto"/>
                      <w:kern w:val="2"/>
                      <w:sz w:val="18"/>
                      <w:szCs w:val="18"/>
                      <w:lang w:val="en-US" w:eastAsia="zh-CN" w:bidi="ar-SA"/>
                    </w:rPr>
                  </w:pPr>
                  <w:r>
                    <w:rPr>
                      <w:rFonts w:hint="default" w:ascii="Times New Roman" w:hAnsi="Times New Roman" w:eastAsia="宋体"/>
                      <w:bCs/>
                      <w:color w:val="auto"/>
                      <w:sz w:val="18"/>
                      <w:szCs w:val="18"/>
                    </w:rPr>
                    <w:t>PM</w:t>
                  </w:r>
                  <w:r>
                    <w:rPr>
                      <w:rFonts w:hint="default" w:ascii="Times New Roman" w:hAnsi="Times New Roman" w:eastAsia="宋体"/>
                      <w:bCs/>
                      <w:color w:val="auto"/>
                      <w:sz w:val="18"/>
                      <w:szCs w:val="18"/>
                      <w:vertAlign w:val="subscript"/>
                    </w:rPr>
                    <w:t>2.5</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rPr>
                  </w:pPr>
                  <w:r>
                    <w:rPr>
                      <w:rFonts w:hint="eastAsia" w:ascii="Times New Roman" w:hAnsi="Times New Roman" w:eastAsia="宋体"/>
                      <w:bCs/>
                      <w:color w:val="auto"/>
                      <w:sz w:val="18"/>
                      <w:szCs w:val="18"/>
                    </w:rPr>
                    <w:t>年平均质量浓度</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lang w:val="en-US" w:eastAsia="zh-CN"/>
                    </w:rPr>
                  </w:pPr>
                  <w:r>
                    <w:rPr>
                      <w:rFonts w:hint="eastAsia" w:ascii="Times New Roman" w:hAnsi="Times New Roman" w:eastAsia="宋体"/>
                      <w:bCs/>
                      <w:color w:val="auto"/>
                      <w:kern w:val="2"/>
                      <w:sz w:val="18"/>
                      <w:szCs w:val="18"/>
                      <w:lang w:val="en-US" w:eastAsia="zh-CN"/>
                    </w:rPr>
                    <w:t>26</w:t>
                  </w: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lang w:val="en-US" w:eastAsia="zh-CN"/>
                    </w:rPr>
                  </w:pPr>
                  <w:r>
                    <w:rPr>
                      <w:rFonts w:hint="eastAsia" w:ascii="Times New Roman" w:hAnsi="Times New Roman" w:eastAsia="宋体"/>
                      <w:bCs/>
                      <w:color w:val="auto"/>
                      <w:kern w:val="2"/>
                      <w:sz w:val="18"/>
                      <w:szCs w:val="18"/>
                      <w:lang w:val="en-US" w:eastAsia="zh-CN"/>
                    </w:rPr>
                    <w:t>35</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cs="Times New Roman"/>
                      <w:bCs/>
                      <w:color w:val="auto"/>
                      <w:kern w:val="2"/>
                      <w:sz w:val="18"/>
                      <w:szCs w:val="18"/>
                      <w:lang w:val="en-US" w:eastAsia="zh-CN"/>
                    </w:rPr>
                  </w:pPr>
                  <w:r>
                    <w:rPr>
                      <w:rFonts w:hint="eastAsia" w:ascii="Times New Roman" w:hAnsi="Times New Roman" w:eastAsia="宋体" w:cs="Times New Roman"/>
                      <w:bCs/>
                      <w:color w:val="auto"/>
                      <w:kern w:val="2"/>
                      <w:sz w:val="18"/>
                      <w:szCs w:val="18"/>
                      <w:lang w:val="en-US" w:eastAsia="zh-CN"/>
                    </w:rPr>
                    <w:t xml:space="preserve">74.29 </w:t>
                  </w:r>
                </w:p>
              </w:tc>
              <w:tc>
                <w:tcPr>
                  <w:tcW w:w="1163" w:type="dxa"/>
                  <w:tcBorders>
                    <w:top w:val="single" w:color="000000" w:sz="4" w:space="0"/>
                    <w:left w:val="single" w:color="000000" w:sz="4" w:space="0"/>
                    <w:bottom w:val="single" w:color="000000" w:sz="4" w:space="0"/>
                    <w:right w:val="single" w:color="000000" w:sz="12"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rPr>
                  </w:pPr>
                  <w:r>
                    <w:rPr>
                      <w:rFonts w:hint="default" w:ascii="Times New Roman" w:hAnsi="Times New Roman" w:eastAsia="宋体"/>
                      <w:bCs/>
                      <w:color w:val="auto"/>
                      <w:kern w:val="2"/>
                      <w:sz w:val="18"/>
                      <w:szCs w:val="18"/>
                    </w:rPr>
                    <w:t>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01" w:type="dxa"/>
                  <w:tcBorders>
                    <w:top w:val="single" w:color="000000" w:sz="4" w:space="0"/>
                    <w:left w:val="single" w:color="000000" w:sz="12"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rPr>
                  </w:pPr>
                  <w:r>
                    <w:rPr>
                      <w:rFonts w:hint="default" w:ascii="Times New Roman" w:hAnsi="Times New Roman" w:eastAsia="宋体"/>
                      <w:bCs/>
                      <w:color w:val="auto"/>
                      <w:sz w:val="18"/>
                      <w:szCs w:val="18"/>
                    </w:rPr>
                    <w:t>CO</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rPr>
                  </w:pPr>
                  <w:r>
                    <w:rPr>
                      <w:rFonts w:hint="eastAsia" w:ascii="Times New Roman" w:hAnsi="Times New Roman" w:eastAsia="宋体"/>
                      <w:bCs/>
                      <w:color w:val="auto"/>
                      <w:sz w:val="18"/>
                      <w:szCs w:val="18"/>
                    </w:rPr>
                    <w:t>第95百分位数日平均浓度</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lang w:val="en-US" w:eastAsia="zh-CN"/>
                    </w:rPr>
                  </w:pPr>
                  <w:r>
                    <w:rPr>
                      <w:rFonts w:hint="eastAsia" w:ascii="Times New Roman" w:hAnsi="Times New Roman" w:eastAsia="宋体"/>
                      <w:bCs/>
                      <w:color w:val="auto"/>
                      <w:kern w:val="2"/>
                      <w:sz w:val="18"/>
                      <w:szCs w:val="18"/>
                      <w:lang w:val="en-US" w:eastAsia="zh-CN"/>
                    </w:rPr>
                    <w:t>900</w:t>
                  </w: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lang w:val="en-US" w:eastAsia="zh-CN"/>
                    </w:rPr>
                  </w:pPr>
                  <w:r>
                    <w:rPr>
                      <w:rFonts w:hint="eastAsia" w:ascii="Times New Roman" w:hAnsi="Times New Roman" w:eastAsia="宋体"/>
                      <w:bCs/>
                      <w:color w:val="auto"/>
                      <w:kern w:val="2"/>
                      <w:sz w:val="18"/>
                      <w:szCs w:val="18"/>
                      <w:lang w:val="en-US" w:eastAsia="zh-CN"/>
                    </w:rPr>
                    <w:t>4000</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cs="Times New Roman"/>
                      <w:bCs/>
                      <w:color w:val="auto"/>
                      <w:kern w:val="2"/>
                      <w:sz w:val="18"/>
                      <w:szCs w:val="18"/>
                      <w:lang w:val="en-US" w:eastAsia="zh-CN"/>
                    </w:rPr>
                  </w:pPr>
                  <w:r>
                    <w:rPr>
                      <w:rFonts w:hint="eastAsia" w:ascii="Times New Roman" w:hAnsi="Times New Roman" w:eastAsia="宋体" w:cs="Times New Roman"/>
                      <w:bCs/>
                      <w:color w:val="auto"/>
                      <w:kern w:val="2"/>
                      <w:sz w:val="18"/>
                      <w:szCs w:val="18"/>
                      <w:lang w:val="en-US" w:eastAsia="zh-CN"/>
                    </w:rPr>
                    <w:t xml:space="preserve">22.50 </w:t>
                  </w:r>
                </w:p>
              </w:tc>
              <w:tc>
                <w:tcPr>
                  <w:tcW w:w="1163" w:type="dxa"/>
                  <w:tcBorders>
                    <w:top w:val="single" w:color="000000" w:sz="4" w:space="0"/>
                    <w:left w:val="single" w:color="000000" w:sz="4" w:space="0"/>
                    <w:bottom w:val="single" w:color="000000" w:sz="4" w:space="0"/>
                    <w:right w:val="single" w:color="000000" w:sz="12"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rPr>
                  </w:pPr>
                  <w:r>
                    <w:rPr>
                      <w:rFonts w:hint="default" w:ascii="Times New Roman" w:hAnsi="Times New Roman" w:eastAsia="宋体"/>
                      <w:bCs/>
                      <w:color w:val="auto"/>
                      <w:kern w:val="2"/>
                      <w:sz w:val="18"/>
                      <w:szCs w:val="18"/>
                    </w:rPr>
                    <w:t>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01" w:type="dxa"/>
                  <w:tcBorders>
                    <w:top w:val="single" w:color="000000" w:sz="4" w:space="0"/>
                    <w:left w:val="single" w:color="000000" w:sz="12"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rPr>
                  </w:pPr>
                  <w:r>
                    <w:rPr>
                      <w:rFonts w:hint="default" w:ascii="Times New Roman" w:hAnsi="Times New Roman" w:eastAsia="宋体"/>
                      <w:bCs/>
                      <w:color w:val="auto"/>
                      <w:sz w:val="18"/>
                      <w:szCs w:val="18"/>
                    </w:rPr>
                    <w:t>O</w:t>
                  </w:r>
                  <w:r>
                    <w:rPr>
                      <w:rFonts w:hint="default" w:ascii="Times New Roman" w:hAnsi="Times New Roman" w:eastAsia="宋体"/>
                      <w:bCs/>
                      <w:color w:val="auto"/>
                      <w:sz w:val="18"/>
                      <w:szCs w:val="18"/>
                      <w:vertAlign w:val="subscript"/>
                    </w:rPr>
                    <w:t>3</w:t>
                  </w:r>
                </w:p>
              </w:tc>
              <w:tc>
                <w:tcPr>
                  <w:tcW w:w="2700" w:type="dxa"/>
                  <w:tcBorders>
                    <w:top w:val="single" w:color="000000" w:sz="4"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rPr>
                  </w:pPr>
                  <w:r>
                    <w:rPr>
                      <w:rFonts w:hint="eastAsia" w:ascii="Times New Roman" w:hAnsi="Times New Roman" w:eastAsia="宋体"/>
                      <w:bCs/>
                      <w:color w:val="auto"/>
                      <w:sz w:val="18"/>
                      <w:szCs w:val="18"/>
                    </w:rPr>
                    <w:t>第90百分位数日最大8h平均浓度</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lang w:val="en-US" w:eastAsia="zh-CN"/>
                    </w:rPr>
                  </w:pPr>
                  <w:r>
                    <w:rPr>
                      <w:rFonts w:hint="eastAsia" w:ascii="Times New Roman" w:hAnsi="Times New Roman" w:eastAsia="宋体"/>
                      <w:bCs/>
                      <w:color w:val="auto"/>
                      <w:kern w:val="2"/>
                      <w:sz w:val="18"/>
                      <w:szCs w:val="18"/>
                      <w:lang w:val="en-US" w:eastAsia="zh-CN"/>
                    </w:rPr>
                    <w:t>148</w:t>
                  </w: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lang w:val="en-US" w:eastAsia="zh-CN"/>
                    </w:rPr>
                  </w:pPr>
                  <w:r>
                    <w:rPr>
                      <w:rFonts w:hint="eastAsia" w:ascii="Times New Roman" w:hAnsi="Times New Roman" w:eastAsia="宋体"/>
                      <w:bCs/>
                      <w:color w:val="auto"/>
                      <w:kern w:val="2"/>
                      <w:sz w:val="18"/>
                      <w:szCs w:val="18"/>
                      <w:lang w:val="en-US" w:eastAsia="zh-CN"/>
                    </w:rPr>
                    <w:t>160</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cs="Times New Roman"/>
                      <w:bCs/>
                      <w:color w:val="auto"/>
                      <w:kern w:val="2"/>
                      <w:sz w:val="18"/>
                      <w:szCs w:val="18"/>
                      <w:lang w:val="en-US" w:eastAsia="zh-CN"/>
                    </w:rPr>
                  </w:pPr>
                  <w:r>
                    <w:rPr>
                      <w:rFonts w:hint="eastAsia" w:ascii="Times New Roman" w:hAnsi="Times New Roman" w:eastAsia="宋体" w:cs="Times New Roman"/>
                      <w:bCs/>
                      <w:color w:val="auto"/>
                      <w:kern w:val="2"/>
                      <w:sz w:val="18"/>
                      <w:szCs w:val="18"/>
                      <w:lang w:val="en-US" w:eastAsia="zh-CN"/>
                    </w:rPr>
                    <w:t xml:space="preserve">92.50 </w:t>
                  </w:r>
                </w:p>
              </w:tc>
              <w:tc>
                <w:tcPr>
                  <w:tcW w:w="1163" w:type="dxa"/>
                  <w:tcBorders>
                    <w:top w:val="single" w:color="000000" w:sz="4" w:space="0"/>
                    <w:left w:val="single" w:color="000000" w:sz="4" w:space="0"/>
                    <w:bottom w:val="single" w:color="000000" w:sz="4" w:space="0"/>
                    <w:right w:val="single" w:color="000000" w:sz="12" w:space="0"/>
                  </w:tcBorders>
                  <w:noWrap w:val="0"/>
                  <w:vAlign w:val="center"/>
                </w:tcPr>
                <w:p>
                  <w:pPr>
                    <w:pStyle w:val="82"/>
                    <w:keepNext w:val="0"/>
                    <w:keepLines w:val="0"/>
                    <w:widowControl w:val="0"/>
                    <w:suppressLineNumbers w:val="0"/>
                    <w:spacing w:before="0" w:beforeLines="0" w:beforeAutospacing="0" w:after="0" w:afterLines="0" w:afterAutospacing="0"/>
                    <w:ind w:right="0"/>
                    <w:rPr>
                      <w:rFonts w:hint="default" w:ascii="Times New Roman" w:hAnsi="Times New Roman" w:eastAsia="宋体"/>
                      <w:bCs/>
                      <w:color w:val="auto"/>
                      <w:kern w:val="2"/>
                      <w:sz w:val="18"/>
                      <w:szCs w:val="18"/>
                    </w:rPr>
                  </w:pPr>
                  <w:r>
                    <w:rPr>
                      <w:rFonts w:hint="default" w:ascii="Times New Roman" w:hAnsi="Times New Roman" w:eastAsia="宋体"/>
                      <w:bCs/>
                      <w:color w:val="auto"/>
                      <w:kern w:val="2"/>
                      <w:sz w:val="18"/>
                      <w:szCs w:val="18"/>
                    </w:rPr>
                    <w:t>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8018" w:type="dxa"/>
                  <w:gridSpan w:val="6"/>
                  <w:tcBorders>
                    <w:top w:val="single" w:color="000000" w:sz="4" w:space="0"/>
                    <w:left w:val="single" w:color="000000" w:sz="12" w:space="0"/>
                    <w:bottom w:val="single" w:color="000000" w:sz="12" w:space="0"/>
                    <w:right w:val="single" w:color="000000" w:sz="12" w:space="0"/>
                  </w:tcBorders>
                  <w:noWrap w:val="0"/>
                  <w:vAlign w:val="center"/>
                </w:tcPr>
                <w:p>
                  <w:pPr>
                    <w:pStyle w:val="82"/>
                    <w:keepNext w:val="0"/>
                    <w:keepLines w:val="0"/>
                    <w:widowControl w:val="0"/>
                    <w:suppressLineNumbers w:val="0"/>
                    <w:spacing w:before="0" w:beforeLines="0" w:beforeAutospacing="0" w:after="0" w:afterLines="0" w:afterAutospacing="0"/>
                    <w:ind w:left="360" w:right="0" w:hanging="360" w:hangingChars="200"/>
                    <w:jc w:val="both"/>
                    <w:rPr>
                      <w:rFonts w:hint="default" w:ascii="Times New Roman" w:hAnsi="Times New Roman" w:eastAsia="宋体"/>
                      <w:bCs/>
                      <w:color w:val="auto"/>
                      <w:sz w:val="18"/>
                      <w:szCs w:val="18"/>
                    </w:rPr>
                  </w:pPr>
                  <w:r>
                    <w:rPr>
                      <w:rFonts w:hint="default" w:ascii="Times New Roman" w:hAnsi="Times New Roman" w:eastAsia="宋体"/>
                      <w:bCs/>
                      <w:color w:val="auto"/>
                      <w:sz w:val="18"/>
                      <w:szCs w:val="18"/>
                    </w:rPr>
                    <w:t>备注</w:t>
                  </w:r>
                  <w:r>
                    <w:rPr>
                      <w:rFonts w:hint="eastAsia" w:ascii="Times New Roman" w:hAnsi="Times New Roman" w:eastAsia="宋体"/>
                      <w:bCs/>
                      <w:color w:val="auto"/>
                      <w:sz w:val="18"/>
                      <w:szCs w:val="18"/>
                    </w:rPr>
                    <w:t>：①标准值为《环境空气质量标准》（GB3095-2012）二级标准。</w:t>
                  </w:r>
                </w:p>
              </w:tc>
            </w:tr>
          </w:tbl>
          <w:p>
            <w:pPr>
              <w:keepNext w:val="0"/>
              <w:keepLines w:val="0"/>
              <w:suppressLineNumbers w:val="0"/>
              <w:spacing w:before="0" w:beforeAutospacing="0" w:after="0" w:afterAutospacing="0" w:line="360" w:lineRule="auto"/>
              <w:ind w:left="0" w:right="0" w:firstLine="480" w:firstLineChars="200"/>
              <w:rPr>
                <w:rFonts w:hint="eastAsia"/>
                <w:color w:val="auto"/>
                <w:sz w:val="24"/>
              </w:rPr>
            </w:pPr>
            <w:r>
              <w:rPr>
                <w:rFonts w:hint="eastAsia"/>
                <w:color w:val="auto"/>
                <w:sz w:val="24"/>
              </w:rPr>
              <w:t>上表可知，2022年新田县SO</w:t>
            </w:r>
            <w:r>
              <w:rPr>
                <w:rFonts w:hint="eastAsia"/>
                <w:color w:val="auto"/>
                <w:sz w:val="24"/>
                <w:vertAlign w:val="subscript"/>
              </w:rPr>
              <w:t>2</w:t>
            </w:r>
            <w:r>
              <w:rPr>
                <w:rFonts w:hint="eastAsia"/>
                <w:color w:val="auto"/>
                <w:sz w:val="24"/>
              </w:rPr>
              <w:t>、NO</w:t>
            </w:r>
            <w:r>
              <w:rPr>
                <w:rFonts w:hint="eastAsia"/>
                <w:color w:val="auto"/>
                <w:sz w:val="24"/>
                <w:vertAlign w:val="subscript"/>
              </w:rPr>
              <w:t>2</w:t>
            </w:r>
            <w:r>
              <w:rPr>
                <w:rFonts w:hint="eastAsia"/>
                <w:color w:val="auto"/>
                <w:sz w:val="24"/>
              </w:rPr>
              <w:t>、CO、O</w:t>
            </w:r>
            <w:r>
              <w:rPr>
                <w:rFonts w:hint="eastAsia"/>
                <w:color w:val="auto"/>
                <w:sz w:val="24"/>
                <w:vertAlign w:val="subscript"/>
              </w:rPr>
              <w:t>3</w:t>
            </w:r>
            <w:r>
              <w:rPr>
                <w:rFonts w:hint="eastAsia"/>
                <w:color w:val="auto"/>
                <w:sz w:val="24"/>
              </w:rPr>
              <w:t>、PM</w:t>
            </w:r>
            <w:r>
              <w:rPr>
                <w:rFonts w:hint="eastAsia"/>
                <w:color w:val="auto"/>
                <w:sz w:val="24"/>
                <w:vertAlign w:val="subscript"/>
              </w:rPr>
              <w:t>2.5</w:t>
            </w:r>
            <w:r>
              <w:rPr>
                <w:rFonts w:hint="eastAsia"/>
                <w:color w:val="auto"/>
                <w:sz w:val="24"/>
              </w:rPr>
              <w:t>、PM</w:t>
            </w:r>
            <w:r>
              <w:rPr>
                <w:rFonts w:hint="eastAsia"/>
                <w:color w:val="auto"/>
                <w:sz w:val="24"/>
                <w:vertAlign w:val="subscript"/>
              </w:rPr>
              <w:t>10</w:t>
            </w:r>
            <w:r>
              <w:rPr>
                <w:rFonts w:hint="eastAsia"/>
                <w:color w:val="auto"/>
                <w:sz w:val="24"/>
              </w:rPr>
              <w:t>质量浓度满足《环境空气质量标准》（GB3095-2012）及其2018年修改单二级标准要求，故环境空气为达标区。</w:t>
            </w:r>
          </w:p>
          <w:p>
            <w:pPr>
              <w:pStyle w:val="78"/>
              <w:keepNext w:val="0"/>
              <w:keepLines w:val="0"/>
              <w:numPr>
                <w:ilvl w:val="0"/>
                <w:numId w:val="2"/>
              </w:numPr>
              <w:suppressLineNumbers w:val="0"/>
              <w:spacing w:before="0" w:beforeAutospacing="0" w:after="0" w:afterAutospacing="0" w:line="360" w:lineRule="auto"/>
              <w:ind w:left="0" w:right="0"/>
              <w:jc w:val="left"/>
              <w:rPr>
                <w:rFonts w:hint="eastAsia" w:hAnsi="Times New Roman" w:cs="Times New Roman"/>
                <w:bCs/>
                <w:color w:val="auto"/>
                <w:sz w:val="24"/>
                <w:u w:val="none"/>
              </w:rPr>
            </w:pPr>
            <w:r>
              <w:rPr>
                <w:rFonts w:hint="eastAsia" w:hAnsi="Times New Roman" w:cs="Times New Roman"/>
                <w:bCs/>
                <w:color w:val="auto"/>
                <w:sz w:val="24"/>
                <w:u w:val="none"/>
              </w:rPr>
              <w:t>其他污染物环境质量现状</w:t>
            </w:r>
          </w:p>
          <w:p>
            <w:pPr>
              <w:pStyle w:val="25"/>
              <w:keepNext w:val="0"/>
              <w:keepLines w:val="0"/>
              <w:widowControl w:val="0"/>
              <w:suppressLineNumbers w:val="0"/>
              <w:spacing w:before="0" w:beforeAutospacing="0" w:after="0" w:afterAutospacing="0" w:line="360" w:lineRule="auto"/>
              <w:ind w:left="0" w:right="0" w:firstLine="480" w:firstLineChars="200"/>
              <w:jc w:val="left"/>
              <w:rPr>
                <w:rFonts w:hint="default" w:hAnsi="Times New Roman" w:cs="Times New Roman"/>
                <w:bCs/>
                <w:color w:val="auto"/>
                <w:sz w:val="24"/>
                <w:szCs w:val="24"/>
                <w:lang w:val="en-US"/>
              </w:rPr>
            </w:pPr>
            <w:r>
              <w:rPr>
                <w:rFonts w:hint="eastAsia" w:ascii="Times New Roman" w:hAnsi="Times New Roman" w:eastAsia="宋体" w:cs="Times New Roman"/>
                <w:bCs/>
                <w:color w:val="auto"/>
                <w:kern w:val="2"/>
                <w:sz w:val="24"/>
                <w:szCs w:val="24"/>
                <w:lang w:val="en-US" w:eastAsia="zh-CN" w:bidi="ar"/>
              </w:rPr>
              <w:t>本次环评引用《湖南鲁丽木业有限公司</w:t>
            </w:r>
            <w:r>
              <w:rPr>
                <w:rFonts w:hint="default" w:ascii="Times New Roman" w:hAnsi="Times New Roman" w:eastAsia="宋体" w:cs="Times New Roman"/>
                <w:bCs/>
                <w:color w:val="auto"/>
                <w:kern w:val="2"/>
                <w:sz w:val="24"/>
                <w:szCs w:val="24"/>
                <w:lang w:val="en-US" w:eastAsia="zh-CN" w:bidi="ar"/>
              </w:rPr>
              <w:t xml:space="preserve">60MW </w:t>
            </w:r>
            <w:r>
              <w:rPr>
                <w:rFonts w:hint="eastAsia" w:ascii="Times New Roman" w:hAnsi="Times New Roman" w:eastAsia="宋体" w:cs="Times New Roman"/>
                <w:bCs/>
                <w:color w:val="auto"/>
                <w:kern w:val="2"/>
                <w:sz w:val="24"/>
                <w:szCs w:val="24"/>
                <w:lang w:val="en-US" w:eastAsia="zh-CN" w:bidi="ar"/>
              </w:rPr>
              <w:t>生物质热电联产项目环境影响报告书》中监测结果。该数据由湖南桓泓检测技术有限公司于</w:t>
            </w:r>
            <w:r>
              <w:rPr>
                <w:rFonts w:hint="default" w:ascii="Times New Roman" w:hAnsi="Times New Roman" w:eastAsia="宋体" w:cs="Times New Roman"/>
                <w:bCs/>
                <w:color w:val="auto"/>
                <w:kern w:val="2"/>
                <w:sz w:val="24"/>
                <w:szCs w:val="24"/>
                <w:lang w:val="en-US" w:eastAsia="zh-CN" w:bidi="ar"/>
              </w:rPr>
              <w:t>2022</w:t>
            </w:r>
            <w:r>
              <w:rPr>
                <w:rFonts w:hint="eastAsia" w:ascii="Times New Roman" w:hAnsi="Times New Roman" w:eastAsia="宋体" w:cs="Times New Roman"/>
                <w:bCs/>
                <w:color w:val="auto"/>
                <w:kern w:val="2"/>
                <w:sz w:val="24"/>
                <w:szCs w:val="24"/>
                <w:lang w:val="en-US" w:eastAsia="zh-CN" w:bidi="ar"/>
              </w:rPr>
              <w:t>年</w:t>
            </w:r>
            <w:r>
              <w:rPr>
                <w:rFonts w:hint="default" w:ascii="Times New Roman" w:hAnsi="Times New Roman" w:eastAsia="宋体" w:cs="Times New Roman"/>
                <w:bCs/>
                <w:color w:val="auto"/>
                <w:kern w:val="2"/>
                <w:sz w:val="24"/>
                <w:szCs w:val="24"/>
                <w:lang w:val="en-US" w:eastAsia="zh-CN" w:bidi="ar"/>
              </w:rPr>
              <w:t>4</w:t>
            </w:r>
            <w:r>
              <w:rPr>
                <w:rFonts w:hint="eastAsia" w:ascii="Times New Roman" w:hAnsi="Times New Roman" w:eastAsia="宋体" w:cs="Times New Roman"/>
                <w:bCs/>
                <w:color w:val="auto"/>
                <w:kern w:val="2"/>
                <w:sz w:val="24"/>
                <w:szCs w:val="24"/>
                <w:lang w:val="en-US" w:eastAsia="zh-CN" w:bidi="ar"/>
              </w:rPr>
              <w:t>月</w:t>
            </w:r>
            <w:r>
              <w:rPr>
                <w:rFonts w:hint="default" w:ascii="Times New Roman" w:hAnsi="Times New Roman" w:eastAsia="宋体" w:cs="Times New Roman"/>
                <w:bCs/>
                <w:color w:val="auto"/>
                <w:kern w:val="2"/>
                <w:sz w:val="24"/>
                <w:szCs w:val="24"/>
                <w:lang w:val="en-US" w:eastAsia="zh-CN" w:bidi="ar"/>
              </w:rPr>
              <w:t>22</w:t>
            </w:r>
            <w:r>
              <w:rPr>
                <w:rFonts w:hint="eastAsia" w:ascii="Times New Roman" w:hAnsi="Times New Roman" w:eastAsia="宋体" w:cs="Times New Roman"/>
                <w:bCs/>
                <w:color w:val="auto"/>
                <w:kern w:val="2"/>
                <w:sz w:val="24"/>
                <w:szCs w:val="24"/>
                <w:lang w:val="en-US" w:eastAsia="zh-CN" w:bidi="ar"/>
              </w:rPr>
              <w:t>日</w:t>
            </w:r>
            <w:r>
              <w:rPr>
                <w:rFonts w:hint="default" w:ascii="Times New Roman" w:hAnsi="Times New Roman" w:eastAsia="宋体" w:cs="Times New Roman"/>
                <w:bCs/>
                <w:color w:val="auto"/>
                <w:kern w:val="2"/>
                <w:sz w:val="24"/>
                <w:szCs w:val="24"/>
                <w:lang w:val="en-US" w:eastAsia="zh-CN" w:bidi="ar"/>
              </w:rPr>
              <w:t>~4</w:t>
            </w:r>
            <w:r>
              <w:rPr>
                <w:rFonts w:hint="eastAsia" w:ascii="Times New Roman" w:hAnsi="Times New Roman" w:eastAsia="宋体" w:cs="Times New Roman"/>
                <w:bCs/>
                <w:color w:val="auto"/>
                <w:kern w:val="2"/>
                <w:sz w:val="24"/>
                <w:szCs w:val="24"/>
                <w:lang w:val="en-US" w:eastAsia="zh-CN" w:bidi="ar"/>
              </w:rPr>
              <w:t>月</w:t>
            </w:r>
            <w:r>
              <w:rPr>
                <w:rFonts w:hint="default" w:ascii="Times New Roman" w:hAnsi="Times New Roman" w:eastAsia="宋体" w:cs="Times New Roman"/>
                <w:bCs/>
                <w:color w:val="auto"/>
                <w:kern w:val="2"/>
                <w:sz w:val="24"/>
                <w:szCs w:val="24"/>
                <w:lang w:val="en-US" w:eastAsia="zh-CN" w:bidi="ar"/>
              </w:rPr>
              <w:t>28</w:t>
            </w:r>
            <w:r>
              <w:rPr>
                <w:rFonts w:hint="eastAsia" w:ascii="Times New Roman" w:hAnsi="Times New Roman" w:eastAsia="宋体" w:cs="Times New Roman"/>
                <w:bCs/>
                <w:color w:val="auto"/>
                <w:kern w:val="2"/>
                <w:sz w:val="24"/>
                <w:szCs w:val="24"/>
                <w:lang w:val="en-US" w:eastAsia="zh-CN" w:bidi="ar"/>
              </w:rPr>
              <w:t>日监测所得。该项目于本项目同属湖南鲁丽木业有限公司厂区内，且数据在</w:t>
            </w:r>
            <w:r>
              <w:rPr>
                <w:rFonts w:hint="default" w:ascii="Times New Roman" w:hAnsi="Times New Roman" w:eastAsia="宋体" w:cs="Times New Roman"/>
                <w:bCs/>
                <w:color w:val="auto"/>
                <w:kern w:val="2"/>
                <w:sz w:val="24"/>
                <w:szCs w:val="24"/>
                <w:lang w:val="en-US" w:eastAsia="zh-CN" w:bidi="ar"/>
              </w:rPr>
              <w:t>3</w:t>
            </w:r>
            <w:r>
              <w:rPr>
                <w:rFonts w:hint="eastAsia" w:ascii="Times New Roman" w:hAnsi="Times New Roman" w:eastAsia="宋体" w:cs="Times New Roman"/>
                <w:bCs/>
                <w:color w:val="auto"/>
                <w:kern w:val="2"/>
                <w:sz w:val="24"/>
                <w:szCs w:val="24"/>
                <w:lang w:val="en-US" w:eastAsia="zh-CN" w:bidi="ar"/>
              </w:rPr>
              <w:t>年内，因此引用该数据是有效的。数据详见下表。</w:t>
            </w:r>
          </w:p>
          <w:p>
            <w:pPr>
              <w:keepNext w:val="0"/>
              <w:keepLines w:val="0"/>
              <w:widowControl/>
              <w:suppressLineNumbers w:val="0"/>
              <w:spacing w:before="0" w:beforeAutospacing="0" w:after="0" w:afterAutospacing="0" w:line="360" w:lineRule="auto"/>
              <w:ind w:left="0" w:right="0"/>
              <w:jc w:val="center"/>
              <w:rPr>
                <w:rFonts w:hint="default"/>
                <w:b/>
                <w:bCs/>
                <w:color w:val="auto"/>
                <w:szCs w:val="21"/>
                <w:lang w:val="en-US"/>
              </w:rPr>
            </w:pPr>
            <w:r>
              <w:rPr>
                <w:rFonts w:hint="eastAsia" w:ascii="Times New Roman" w:hAnsi="Times New Roman" w:eastAsia="宋体" w:cs="宋体"/>
                <w:b/>
                <w:bCs/>
                <w:color w:val="auto"/>
                <w:kern w:val="2"/>
                <w:sz w:val="21"/>
                <w:szCs w:val="21"/>
                <w:lang w:val="en-US" w:eastAsia="zh-CN" w:bidi="ar"/>
              </w:rPr>
              <w:t>表</w:t>
            </w:r>
            <w:r>
              <w:rPr>
                <w:rFonts w:hint="default" w:ascii="Times New Roman" w:hAnsi="Times New Roman" w:eastAsia="宋体" w:cs="Times New Roman"/>
                <w:b/>
                <w:bCs/>
                <w:color w:val="auto"/>
                <w:kern w:val="2"/>
                <w:sz w:val="21"/>
                <w:szCs w:val="21"/>
                <w:lang w:val="en-US" w:eastAsia="zh-CN" w:bidi="ar"/>
              </w:rPr>
              <w:t xml:space="preserve">3-2 </w:t>
            </w:r>
            <w:r>
              <w:rPr>
                <w:rFonts w:hint="eastAsia" w:ascii="Times New Roman" w:hAnsi="Times New Roman" w:eastAsia="宋体" w:cs="宋体"/>
                <w:b/>
                <w:bCs/>
                <w:color w:val="auto"/>
                <w:kern w:val="2"/>
                <w:sz w:val="21"/>
                <w:szCs w:val="21"/>
                <w:lang w:val="en-US" w:eastAsia="zh-CN" w:bidi="ar"/>
              </w:rPr>
              <w:t>其它污染物环境质量现状表</w:t>
            </w:r>
            <w:r>
              <w:rPr>
                <w:rFonts w:hint="default" w:ascii="Times New Roman" w:hAnsi="Times New Roman" w:eastAsia="宋体" w:cs="Times New Roman"/>
                <w:b/>
                <w:bCs/>
                <w:color w:val="auto"/>
                <w:kern w:val="2"/>
                <w:sz w:val="21"/>
                <w:szCs w:val="21"/>
                <w:lang w:val="en-US" w:eastAsia="zh-CN" w:bidi="ar"/>
              </w:rPr>
              <w:t xml:space="preserve"> </w:t>
            </w:r>
            <w:r>
              <w:rPr>
                <w:rFonts w:hint="eastAsia" w:cs="Times New Roman"/>
                <w:b/>
                <w:bCs/>
                <w:color w:val="auto"/>
                <w:kern w:val="2"/>
                <w:sz w:val="21"/>
                <w:szCs w:val="21"/>
                <w:lang w:val="en-US" w:eastAsia="zh-CN" w:bidi="ar"/>
              </w:rPr>
              <w:t xml:space="preserve"> </w:t>
            </w:r>
            <w:r>
              <w:rPr>
                <w:rFonts w:hint="eastAsia"/>
                <w:b/>
                <w:bCs/>
                <w:color w:val="auto"/>
                <w:sz w:val="21"/>
                <w:lang w:eastAsia="zh-CN"/>
              </w:rPr>
              <w:t>（</w:t>
            </w:r>
            <w:r>
              <w:rPr>
                <w:rFonts w:hint="eastAsia"/>
                <w:b/>
                <w:bCs/>
                <w:color w:val="auto"/>
                <w:sz w:val="21"/>
                <w:lang w:val="en-US" w:eastAsia="zh-CN"/>
              </w:rPr>
              <w:t>单位：</w:t>
            </w:r>
            <w:r>
              <w:rPr>
                <w:rFonts w:hint="default" w:ascii="Times New Roman" w:hAnsi="Times New Roman" w:eastAsia="宋体" w:cs="Times New Roman"/>
                <w:b/>
                <w:bCs w:val="0"/>
                <w:color w:val="auto"/>
                <w:sz w:val="21"/>
                <w:szCs w:val="21"/>
              </w:rPr>
              <w:t>μg/m</w:t>
            </w:r>
            <w:r>
              <w:rPr>
                <w:rFonts w:hint="eastAsia" w:cs="Times New Roman"/>
                <w:b/>
                <w:bCs w:val="0"/>
                <w:color w:val="auto"/>
                <w:sz w:val="21"/>
                <w:szCs w:val="21"/>
                <w:vertAlign w:val="superscript"/>
                <w:lang w:val="en-US" w:eastAsia="zh-CN"/>
              </w:rPr>
              <w:t>3</w:t>
            </w:r>
            <w:r>
              <w:rPr>
                <w:rFonts w:hint="eastAsia"/>
                <w:b/>
                <w:bCs/>
                <w:color w:val="auto"/>
                <w:sz w:val="21"/>
                <w:lang w:eastAsia="zh-CN"/>
              </w:rPr>
              <w:t>）</w:t>
            </w:r>
          </w:p>
          <w:tbl>
            <w:tblPr>
              <w:tblStyle w:val="2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57" w:type="dxa"/>
                <w:bottom w:w="0" w:type="dxa"/>
                <w:right w:w="57" w:type="dxa"/>
              </w:tblCellMar>
            </w:tblPr>
            <w:tblGrid>
              <w:gridCol w:w="2070"/>
              <w:gridCol w:w="1320"/>
              <w:gridCol w:w="1648"/>
              <w:gridCol w:w="1470"/>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7" w:type="dxa"/>
                  <w:bottom w:w="0" w:type="dxa"/>
                  <w:right w:w="57" w:type="dxa"/>
                </w:tblCellMar>
              </w:tblPrEx>
              <w:trPr>
                <w:trHeight w:val="90" w:hRule="atLeast"/>
                <w:jc w:val="center"/>
              </w:trPr>
              <w:tc>
                <w:tcPr>
                  <w:tcW w:w="128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
                      <w:bCs/>
                      <w:color w:val="auto"/>
                      <w:szCs w:val="21"/>
                      <w:lang w:val="en-US"/>
                    </w:rPr>
                  </w:pPr>
                  <w:r>
                    <w:rPr>
                      <w:rFonts w:hint="eastAsia" w:ascii="Times New Roman" w:hAnsi="Times New Roman" w:eastAsia="宋体" w:cs="宋体"/>
                      <w:b/>
                      <w:bCs/>
                      <w:color w:val="auto"/>
                      <w:kern w:val="2"/>
                      <w:sz w:val="21"/>
                      <w:szCs w:val="21"/>
                      <w:lang w:val="en-US" w:eastAsia="zh-CN" w:bidi="ar"/>
                    </w:rPr>
                    <w:t>监测点</w:t>
                  </w: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
                      <w:bCs/>
                      <w:color w:val="auto"/>
                      <w:szCs w:val="21"/>
                      <w:lang w:val="en-US"/>
                    </w:rPr>
                  </w:pPr>
                  <w:r>
                    <w:rPr>
                      <w:rFonts w:hint="eastAsia" w:ascii="Times New Roman" w:hAnsi="Times New Roman" w:eastAsia="宋体" w:cs="宋体"/>
                      <w:b/>
                      <w:bCs/>
                      <w:color w:val="auto"/>
                      <w:kern w:val="2"/>
                      <w:sz w:val="21"/>
                      <w:szCs w:val="21"/>
                      <w:lang w:val="en-US" w:eastAsia="zh-CN" w:bidi="ar"/>
                    </w:rPr>
                    <w:t>监测项目</w:t>
                  </w:r>
                </w:p>
              </w:tc>
              <w:tc>
                <w:tcPr>
                  <w:tcW w:w="101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
                      <w:bCs/>
                      <w:color w:val="auto"/>
                      <w:szCs w:val="21"/>
                      <w:lang w:val="en-US"/>
                    </w:rPr>
                  </w:pPr>
                  <w:r>
                    <w:rPr>
                      <w:rFonts w:hint="eastAsia" w:ascii="Times New Roman" w:hAnsi="Times New Roman" w:eastAsia="宋体" w:cs="宋体"/>
                      <w:b/>
                      <w:bCs/>
                      <w:color w:val="auto"/>
                      <w:kern w:val="2"/>
                      <w:sz w:val="21"/>
                      <w:szCs w:val="21"/>
                      <w:lang w:val="en-US" w:eastAsia="zh-CN" w:bidi="ar"/>
                    </w:rPr>
                    <w:t>浓度范围</w:t>
                  </w:r>
                </w:p>
              </w:tc>
              <w:tc>
                <w:tcPr>
                  <w:tcW w:w="90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
                      <w:bCs/>
                      <w:color w:val="auto"/>
                      <w:szCs w:val="21"/>
                      <w:lang w:val="en-US"/>
                    </w:rPr>
                  </w:pPr>
                  <w:r>
                    <w:rPr>
                      <w:rFonts w:hint="eastAsia" w:ascii="Times New Roman" w:hAnsi="Times New Roman" w:eastAsia="宋体" w:cs="宋体"/>
                      <w:b/>
                      <w:bCs/>
                      <w:color w:val="auto"/>
                      <w:kern w:val="2"/>
                      <w:sz w:val="21"/>
                      <w:szCs w:val="21"/>
                      <w:lang w:val="en-US" w:eastAsia="zh-CN" w:bidi="ar"/>
                    </w:rPr>
                    <w:t>标准值</w:t>
                  </w:r>
                </w:p>
              </w:tc>
              <w:tc>
                <w:tcPr>
                  <w:tcW w:w="9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
                      <w:bCs/>
                      <w:color w:val="auto"/>
                      <w:szCs w:val="21"/>
                      <w:lang w:val="en-US"/>
                    </w:rPr>
                  </w:pPr>
                  <w:r>
                    <w:rPr>
                      <w:rFonts w:hint="eastAsia" w:ascii="Times New Roman" w:hAnsi="Times New Roman" w:eastAsia="宋体" w:cs="宋体"/>
                      <w:b/>
                      <w:bCs/>
                      <w:color w:val="auto"/>
                      <w:kern w:val="2"/>
                      <w:sz w:val="21"/>
                      <w:szCs w:val="24"/>
                      <w:lang w:val="en-US" w:eastAsia="zh-CN" w:bidi="ar"/>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7" w:type="dxa"/>
                  <w:bottom w:w="0" w:type="dxa"/>
                  <w:right w:w="57" w:type="dxa"/>
                </w:tblCellMar>
              </w:tblPrEx>
              <w:trPr>
                <w:trHeight w:val="23" w:hRule="atLeast"/>
                <w:jc w:val="center"/>
              </w:trPr>
              <w:tc>
                <w:tcPr>
                  <w:tcW w:w="128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G1</w:t>
                  </w:r>
                  <w:r>
                    <w:rPr>
                      <w:rFonts w:hint="eastAsia" w:ascii="Times New Roman" w:hAnsi="Times New Roman" w:eastAsia="宋体" w:cs="宋体"/>
                      <w:color w:val="auto"/>
                      <w:kern w:val="2"/>
                      <w:sz w:val="21"/>
                      <w:szCs w:val="21"/>
                      <w:lang w:val="en-US" w:eastAsia="zh-CN" w:bidi="ar"/>
                    </w:rPr>
                    <w:t>湖南鲁丽木业有限公司厂址中心位置</w:t>
                  </w: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vertAlign w:val="subscript"/>
                      <w:lang w:val="en-US"/>
                    </w:rPr>
                  </w:pPr>
                  <w:r>
                    <w:rPr>
                      <w:rFonts w:hint="eastAsia" w:ascii="Times New Roman" w:hAnsi="Times New Roman" w:eastAsia="宋体" w:cs="宋体"/>
                      <w:color w:val="auto"/>
                      <w:kern w:val="2"/>
                      <w:sz w:val="21"/>
                      <w:szCs w:val="21"/>
                      <w:lang w:val="en-US" w:eastAsia="zh-CN" w:bidi="ar"/>
                    </w:rPr>
                    <w:t>硫化氢</w:t>
                  </w:r>
                </w:p>
              </w:tc>
              <w:tc>
                <w:tcPr>
                  <w:tcW w:w="101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ND~0.002</w:t>
                  </w:r>
                </w:p>
              </w:tc>
              <w:tc>
                <w:tcPr>
                  <w:tcW w:w="90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10</w:t>
                  </w:r>
                </w:p>
              </w:tc>
              <w:tc>
                <w:tcPr>
                  <w:tcW w:w="9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4"/>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8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氨</w:t>
                  </w:r>
                </w:p>
              </w:tc>
              <w:tc>
                <w:tcPr>
                  <w:tcW w:w="101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ND~0.04</w:t>
                  </w:r>
                </w:p>
              </w:tc>
              <w:tc>
                <w:tcPr>
                  <w:tcW w:w="90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200</w:t>
                  </w:r>
                </w:p>
              </w:tc>
              <w:tc>
                <w:tcPr>
                  <w:tcW w:w="9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lang w:val="en-US"/>
                    </w:rPr>
                  </w:pPr>
                  <w:r>
                    <w:rPr>
                      <w:rFonts w:hint="eastAsia" w:ascii="Times New Roman" w:hAnsi="Times New Roman" w:eastAsia="宋体" w:cs="宋体"/>
                      <w:color w:val="auto"/>
                      <w:kern w:val="2"/>
                      <w:sz w:val="21"/>
                      <w:szCs w:val="24"/>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57" w:type="dxa"/>
                  <w:bottom w:w="0" w:type="dxa"/>
                  <w:right w:w="57" w:type="dxa"/>
                </w:tblCellMar>
              </w:tblPrEx>
              <w:trPr>
                <w:trHeight w:val="23" w:hRule="atLeast"/>
                <w:jc w:val="center"/>
              </w:trPr>
              <w:tc>
                <w:tcPr>
                  <w:tcW w:w="128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臭气浓度</w:t>
                  </w:r>
                </w:p>
              </w:tc>
              <w:tc>
                <w:tcPr>
                  <w:tcW w:w="101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&lt;10</w:t>
                  </w:r>
                </w:p>
              </w:tc>
              <w:tc>
                <w:tcPr>
                  <w:tcW w:w="90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w:t>
                  </w:r>
                </w:p>
              </w:tc>
              <w:tc>
                <w:tcPr>
                  <w:tcW w:w="9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lang w:val="en-US"/>
                    </w:rPr>
                  </w:pPr>
                  <w:r>
                    <w:rPr>
                      <w:rFonts w:hint="default" w:ascii="Times New Roman" w:hAnsi="Times New Roman" w:eastAsia="宋体" w:cs="Times New Roman"/>
                      <w:color w:val="auto"/>
                      <w:kern w:val="2"/>
                      <w:sz w:val="21"/>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8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G2</w:t>
                  </w:r>
                  <w:r>
                    <w:rPr>
                      <w:rFonts w:hint="eastAsia" w:ascii="Times New Roman" w:hAnsi="Times New Roman" w:eastAsia="宋体" w:cs="宋体"/>
                      <w:color w:val="auto"/>
                      <w:kern w:val="2"/>
                      <w:sz w:val="21"/>
                      <w:szCs w:val="21"/>
                      <w:lang w:val="en-US" w:eastAsia="zh-CN" w:bidi="ar"/>
                    </w:rPr>
                    <w:t>湖南鲁丽木业有限公司厂界东南侧</w:t>
                  </w:r>
                </w:p>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 xml:space="preserve">200m </w:t>
                  </w:r>
                  <w:r>
                    <w:rPr>
                      <w:rFonts w:hint="eastAsia" w:ascii="Times New Roman" w:hAnsi="Times New Roman" w:eastAsia="宋体" w:cs="宋体"/>
                      <w:color w:val="auto"/>
                      <w:kern w:val="2"/>
                      <w:sz w:val="21"/>
                      <w:szCs w:val="21"/>
                      <w:lang w:val="en-US" w:eastAsia="zh-CN" w:bidi="ar"/>
                    </w:rPr>
                    <w:t>处</w:t>
                  </w: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vertAlign w:val="subscript"/>
                      <w:lang w:val="en-US"/>
                    </w:rPr>
                  </w:pPr>
                  <w:r>
                    <w:rPr>
                      <w:rFonts w:hint="eastAsia" w:ascii="Times New Roman" w:hAnsi="Times New Roman" w:eastAsia="宋体" w:cs="宋体"/>
                      <w:color w:val="auto"/>
                      <w:kern w:val="2"/>
                      <w:sz w:val="21"/>
                      <w:szCs w:val="21"/>
                      <w:lang w:val="en-US" w:eastAsia="zh-CN" w:bidi="ar"/>
                    </w:rPr>
                    <w:t>硫化氢</w:t>
                  </w:r>
                </w:p>
              </w:tc>
              <w:tc>
                <w:tcPr>
                  <w:tcW w:w="101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0.002~0.004</w:t>
                  </w:r>
                </w:p>
              </w:tc>
              <w:tc>
                <w:tcPr>
                  <w:tcW w:w="90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10</w:t>
                  </w:r>
                </w:p>
              </w:tc>
              <w:tc>
                <w:tcPr>
                  <w:tcW w:w="9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4"/>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8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氨</w:t>
                  </w:r>
                </w:p>
              </w:tc>
              <w:tc>
                <w:tcPr>
                  <w:tcW w:w="101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0.002~0.005</w:t>
                  </w:r>
                </w:p>
              </w:tc>
              <w:tc>
                <w:tcPr>
                  <w:tcW w:w="90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200</w:t>
                  </w:r>
                </w:p>
              </w:tc>
              <w:tc>
                <w:tcPr>
                  <w:tcW w:w="9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lang w:val="en-US"/>
                    </w:rPr>
                  </w:pPr>
                  <w:r>
                    <w:rPr>
                      <w:rFonts w:hint="eastAsia" w:ascii="Times New Roman" w:hAnsi="Times New Roman" w:eastAsia="宋体" w:cs="宋体"/>
                      <w:color w:val="auto"/>
                      <w:kern w:val="2"/>
                      <w:sz w:val="21"/>
                      <w:szCs w:val="24"/>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8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rPr>
                  </w:pPr>
                </w:p>
              </w:tc>
              <w:tc>
                <w:tcPr>
                  <w:tcW w:w="8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eastAsia" w:ascii="Times New Roman" w:hAnsi="Times New Roman" w:eastAsia="宋体" w:cs="宋体"/>
                      <w:color w:val="auto"/>
                      <w:kern w:val="2"/>
                      <w:sz w:val="21"/>
                      <w:szCs w:val="21"/>
                      <w:lang w:val="en-US" w:eastAsia="zh-CN" w:bidi="ar"/>
                    </w:rPr>
                    <w:t>臭气浓度</w:t>
                  </w:r>
                </w:p>
              </w:tc>
              <w:tc>
                <w:tcPr>
                  <w:tcW w:w="101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&lt;10</w:t>
                  </w:r>
                </w:p>
              </w:tc>
              <w:tc>
                <w:tcPr>
                  <w:tcW w:w="90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szCs w:val="21"/>
                      <w:lang w:val="en-US"/>
                    </w:rPr>
                  </w:pPr>
                  <w:r>
                    <w:rPr>
                      <w:rFonts w:hint="default" w:ascii="Times New Roman" w:hAnsi="Times New Roman" w:eastAsia="宋体" w:cs="Times New Roman"/>
                      <w:color w:val="auto"/>
                      <w:kern w:val="2"/>
                      <w:sz w:val="21"/>
                      <w:szCs w:val="21"/>
                      <w:lang w:val="en-US" w:eastAsia="zh-CN" w:bidi="ar"/>
                    </w:rPr>
                    <w:t>/</w:t>
                  </w:r>
                </w:p>
              </w:tc>
              <w:tc>
                <w:tcPr>
                  <w:tcW w:w="9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auto"/>
                      <w:lang w:val="en-US"/>
                    </w:rPr>
                  </w:pPr>
                  <w:r>
                    <w:rPr>
                      <w:rFonts w:hint="default" w:ascii="Times New Roman" w:hAnsi="Times New Roman" w:eastAsia="宋体" w:cs="Times New Roman"/>
                      <w:color w:val="auto"/>
                      <w:kern w:val="2"/>
                      <w:sz w:val="21"/>
                      <w:szCs w:val="24"/>
                      <w:lang w:val="en-US" w:eastAsia="zh-CN" w:bidi="ar"/>
                    </w:rPr>
                    <w:t>/</w:t>
                  </w:r>
                </w:p>
              </w:tc>
            </w:tr>
          </w:tbl>
          <w:p>
            <w:pPr>
              <w:pStyle w:val="78"/>
              <w:keepNext w:val="0"/>
              <w:keepLines w:val="0"/>
              <w:suppressLineNumbers w:val="0"/>
              <w:spacing w:before="0" w:beforeAutospacing="0" w:after="0" w:afterAutospacing="0" w:line="360" w:lineRule="auto"/>
              <w:ind w:left="0" w:right="0"/>
              <w:jc w:val="left"/>
              <w:rPr>
                <w:rFonts w:hint="default" w:hAnsi="Times New Roman" w:cs="Times New Roman"/>
                <w:bCs/>
                <w:color w:val="auto"/>
                <w:sz w:val="24"/>
                <w:u w:val="none"/>
                <w:lang w:val="en-US" w:eastAsia="zh-CN"/>
              </w:rPr>
            </w:pPr>
            <w:r>
              <w:rPr>
                <w:rFonts w:hint="eastAsia" w:hAnsi="Times New Roman" w:cs="Times New Roman"/>
                <w:bCs/>
                <w:color w:val="auto"/>
                <w:sz w:val="24"/>
                <w:u w:val="none"/>
                <w:lang w:val="en-US" w:eastAsia="zh-CN"/>
              </w:rPr>
              <w:t>根据上表可知，硫化氢与氨现状质量满足《环境影响评价技术导则 大气环境》（HJ2.2-2018）表D.1 其他污染物空气质量浓度参考限值，臭气浓度无标准值，作为背景值。</w:t>
            </w:r>
          </w:p>
          <w:p>
            <w:pPr>
              <w:keepNext w:val="0"/>
              <w:keepLines w:val="0"/>
              <w:suppressLineNumbers w:val="0"/>
              <w:spacing w:before="0" w:beforeAutospacing="0" w:after="0" w:afterAutospacing="0" w:line="360" w:lineRule="auto"/>
              <w:ind w:left="0" w:right="0" w:firstLine="482" w:firstLineChars="200"/>
              <w:rPr>
                <w:rFonts w:hint="eastAsia"/>
                <w:b/>
                <w:bCs/>
                <w:color w:val="auto"/>
                <w:sz w:val="24"/>
                <w:u w:val="none"/>
              </w:rPr>
            </w:pPr>
            <w:r>
              <w:rPr>
                <w:rFonts w:hint="eastAsia"/>
                <w:b/>
                <w:bCs/>
                <w:color w:val="auto"/>
                <w:sz w:val="24"/>
                <w:u w:val="none"/>
              </w:rPr>
              <w:t>2、</w:t>
            </w:r>
            <w:r>
              <w:rPr>
                <w:rFonts w:hint="default"/>
                <w:b/>
                <w:bCs/>
                <w:color w:val="auto"/>
                <w:sz w:val="24"/>
                <w:u w:val="none"/>
              </w:rPr>
              <w:t>地表水环境质量现状</w:t>
            </w:r>
          </w:p>
          <w:p>
            <w:pPr>
              <w:pStyle w:val="25"/>
              <w:keepNext w:val="0"/>
              <w:keepLines w:val="0"/>
              <w:suppressLineNumbers w:val="0"/>
              <w:spacing w:before="0" w:beforeAutospacing="0" w:after="0" w:afterAutospacing="0" w:line="360" w:lineRule="auto"/>
              <w:ind w:left="0" w:right="0" w:firstLine="480" w:firstLineChars="200"/>
              <w:jc w:val="left"/>
              <w:rPr>
                <w:rFonts w:hint="eastAsia" w:ascii="Times New Roman" w:hAnsi="Times New Roman"/>
                <w:color w:val="auto"/>
                <w:u w:val="none"/>
              </w:rPr>
            </w:pPr>
            <w:r>
              <w:rPr>
                <w:rFonts w:hint="eastAsia" w:ascii="Times New Roman" w:hAnsi="Times New Roman"/>
                <w:color w:val="auto"/>
                <w:u w:val="none"/>
              </w:rPr>
              <w:t>周边纳污水体为新田河，项目所处位置位于新田河上游监测断面纱帽岭村和下游监测断面大历县村之间，本次地表水环境质量监测数据引用于新田县202</w:t>
            </w:r>
            <w:r>
              <w:rPr>
                <w:rFonts w:hint="eastAsia" w:ascii="Times New Roman" w:hAnsi="Times New Roman"/>
                <w:color w:val="auto"/>
                <w:u w:val="none"/>
                <w:lang w:val="en-US" w:eastAsia="zh-CN"/>
              </w:rPr>
              <w:t>3</w:t>
            </w:r>
            <w:r>
              <w:rPr>
                <w:rFonts w:hint="eastAsia" w:ascii="Times New Roman" w:hAnsi="Times New Roman"/>
                <w:color w:val="auto"/>
                <w:u w:val="none"/>
              </w:rPr>
              <w:t>年</w:t>
            </w:r>
            <w:r>
              <w:rPr>
                <w:rFonts w:hint="eastAsia" w:ascii="Times New Roman" w:hAnsi="Times New Roman"/>
                <w:color w:val="auto"/>
                <w:u w:val="none"/>
                <w:lang w:val="en-US" w:eastAsia="zh-CN"/>
              </w:rPr>
              <w:t>10</w:t>
            </w:r>
            <w:r>
              <w:rPr>
                <w:rFonts w:hint="eastAsia" w:ascii="Times New Roman" w:hAnsi="Times New Roman"/>
                <w:color w:val="auto"/>
                <w:u w:val="none"/>
              </w:rPr>
              <w:t>月环境质量简报</w:t>
            </w:r>
            <w:r>
              <w:rPr>
                <w:rFonts w:hint="eastAsia" w:ascii="Times New Roman" w:hAnsi="Times New Roman"/>
                <w:color w:val="auto"/>
                <w:sz w:val="21"/>
                <w:szCs w:val="21"/>
                <w:u w:val="none"/>
              </w:rPr>
              <w:t>（http://www.xt.gov.cn/xt/tzgg/202311/b0a53a80c8694088b1d7493f738c2084.shtml）</w:t>
            </w:r>
            <w:r>
              <w:rPr>
                <w:rFonts w:hint="eastAsia" w:ascii="Times New Roman" w:hAnsi="Times New Roman"/>
                <w:color w:val="auto"/>
                <w:u w:val="none"/>
              </w:rPr>
              <w:t>，202</w:t>
            </w:r>
            <w:r>
              <w:rPr>
                <w:rFonts w:hint="eastAsia" w:ascii="Times New Roman" w:hAnsi="Times New Roman"/>
                <w:color w:val="auto"/>
                <w:u w:val="none"/>
                <w:lang w:val="en-US" w:eastAsia="zh-CN"/>
              </w:rPr>
              <w:t>3</w:t>
            </w:r>
            <w:r>
              <w:rPr>
                <w:rFonts w:hint="eastAsia" w:ascii="Times New Roman" w:hAnsi="Times New Roman"/>
                <w:color w:val="auto"/>
                <w:u w:val="none"/>
              </w:rPr>
              <w:t>年</w:t>
            </w:r>
            <w:r>
              <w:rPr>
                <w:rFonts w:hint="eastAsia" w:ascii="Times New Roman" w:hAnsi="Times New Roman"/>
                <w:color w:val="auto"/>
                <w:u w:val="none"/>
                <w:lang w:val="en-US" w:eastAsia="zh-CN"/>
              </w:rPr>
              <w:t>10</w:t>
            </w:r>
            <w:r>
              <w:rPr>
                <w:rFonts w:hint="eastAsia" w:ascii="Times New Roman" w:hAnsi="Times New Roman"/>
                <w:color w:val="auto"/>
                <w:u w:val="none"/>
              </w:rPr>
              <w:t>月，新田河水质可以达到《地表水环境质量标准》(GB3838-2002)II类标准，新田河水质环境质量良好。即项目影响周边新田河水质相关河段水环境质量较好。</w:t>
            </w:r>
          </w:p>
          <w:p>
            <w:pPr>
              <w:keepNext w:val="0"/>
              <w:keepLines w:val="0"/>
              <w:suppressLineNumbers w:val="0"/>
              <w:spacing w:before="0" w:beforeAutospacing="0" w:after="0" w:afterAutospacing="0" w:line="360" w:lineRule="auto"/>
              <w:ind w:left="0" w:right="0" w:firstLine="482" w:firstLineChars="200"/>
              <w:rPr>
                <w:rFonts w:hint="eastAsia"/>
                <w:b/>
                <w:bCs/>
                <w:color w:val="auto"/>
                <w:sz w:val="24"/>
                <w:u w:val="none"/>
              </w:rPr>
            </w:pPr>
            <w:r>
              <w:rPr>
                <w:rFonts w:hint="eastAsia"/>
                <w:b/>
                <w:bCs/>
                <w:color w:val="auto"/>
                <w:sz w:val="24"/>
                <w:u w:val="none"/>
              </w:rPr>
              <w:t>3、声环境质量现状</w:t>
            </w:r>
          </w:p>
          <w:p>
            <w:pPr>
              <w:pStyle w:val="78"/>
              <w:keepNext w:val="0"/>
              <w:keepLines w:val="0"/>
              <w:suppressLineNumbers w:val="0"/>
              <w:spacing w:before="0" w:beforeAutospacing="0" w:after="0" w:afterAutospacing="0" w:line="360" w:lineRule="auto"/>
              <w:ind w:left="0" w:right="0"/>
              <w:jc w:val="left"/>
              <w:rPr>
                <w:rFonts w:hint="eastAsia"/>
                <w:color w:val="auto"/>
                <w:sz w:val="24"/>
              </w:rPr>
            </w:pPr>
            <w:r>
              <w:rPr>
                <w:rFonts w:hint="eastAsia"/>
                <w:color w:val="auto"/>
                <w:sz w:val="24"/>
              </w:rPr>
              <w:t>根据现场勘查，本项目50m范围内无声环境保护目标。根据《建设项目环境影响报告表编制技术指南（污染影响类）》（试行）中关于“区域环境质量现状”的相关要求，厂界外周边50米范围内</w:t>
            </w:r>
            <w:r>
              <w:rPr>
                <w:rFonts w:hint="eastAsia"/>
                <w:color w:val="auto"/>
                <w:sz w:val="24"/>
                <w:lang w:val="en-US" w:eastAsia="zh-CN"/>
              </w:rPr>
              <w:t>无</w:t>
            </w:r>
            <w:r>
              <w:rPr>
                <w:rFonts w:hint="eastAsia"/>
                <w:color w:val="auto"/>
                <w:sz w:val="24"/>
              </w:rPr>
              <w:t>声环境保护目标的建设项目，可不进行声环境质量现状评价。</w:t>
            </w:r>
          </w:p>
          <w:p>
            <w:pPr>
              <w:keepNext w:val="0"/>
              <w:keepLines w:val="0"/>
              <w:suppressLineNumbers w:val="0"/>
              <w:spacing w:before="0" w:beforeAutospacing="0" w:after="0" w:afterAutospacing="0" w:line="360" w:lineRule="auto"/>
              <w:ind w:left="0" w:right="0" w:firstLine="482" w:firstLineChars="200"/>
              <w:rPr>
                <w:rFonts w:hint="eastAsia"/>
                <w:b/>
                <w:bCs/>
                <w:color w:val="auto"/>
                <w:sz w:val="24"/>
                <w:u w:val="none"/>
              </w:rPr>
            </w:pPr>
            <w:r>
              <w:rPr>
                <w:rFonts w:hint="eastAsia"/>
                <w:b/>
                <w:bCs/>
                <w:color w:val="auto"/>
                <w:sz w:val="24"/>
                <w:u w:val="none"/>
              </w:rPr>
              <w:t>4、地下水环境质量现状</w:t>
            </w:r>
          </w:p>
          <w:p>
            <w:pPr>
              <w:pStyle w:val="78"/>
              <w:keepNext w:val="0"/>
              <w:keepLines w:val="0"/>
              <w:suppressLineNumbers w:val="0"/>
              <w:spacing w:before="0" w:beforeAutospacing="0" w:after="0" w:afterAutospacing="0" w:line="360" w:lineRule="auto"/>
              <w:ind w:left="0" w:right="0"/>
              <w:jc w:val="left"/>
              <w:rPr>
                <w:rFonts w:hint="eastAsia"/>
                <w:color w:val="auto"/>
                <w:sz w:val="24"/>
              </w:rPr>
            </w:pPr>
            <w:r>
              <w:rPr>
                <w:rFonts w:hint="eastAsia"/>
                <w:color w:val="auto"/>
                <w:sz w:val="24"/>
              </w:rPr>
              <w:t>根据《建设项目环境影响报告表编制技术指南（污染影响类）》（试行）中规定。项目建设时，对地面均进行防渗处理，可以保证项目污染物不会对地下水环境造成污染。</w:t>
            </w:r>
          </w:p>
          <w:p>
            <w:pPr>
              <w:keepNext w:val="0"/>
              <w:keepLines w:val="0"/>
              <w:suppressLineNumbers w:val="0"/>
              <w:spacing w:before="0" w:beforeAutospacing="0" w:after="0" w:afterAutospacing="0" w:line="360" w:lineRule="auto"/>
              <w:ind w:left="0" w:right="0" w:firstLine="482" w:firstLineChars="200"/>
              <w:rPr>
                <w:rFonts w:hint="eastAsia"/>
                <w:b/>
                <w:bCs/>
                <w:color w:val="auto"/>
                <w:sz w:val="24"/>
                <w:u w:val="none"/>
              </w:rPr>
            </w:pPr>
            <w:r>
              <w:rPr>
                <w:rFonts w:hint="eastAsia"/>
                <w:b/>
                <w:bCs/>
                <w:color w:val="auto"/>
                <w:sz w:val="24"/>
                <w:u w:val="none"/>
              </w:rPr>
              <w:t>5、土壤环境质量现状</w:t>
            </w:r>
          </w:p>
          <w:p>
            <w:pPr>
              <w:pStyle w:val="78"/>
              <w:keepNext w:val="0"/>
              <w:keepLines w:val="0"/>
              <w:suppressLineNumbers w:val="0"/>
              <w:spacing w:before="0" w:beforeAutospacing="0" w:after="0" w:afterAutospacing="0" w:line="360" w:lineRule="auto"/>
              <w:ind w:left="0" w:right="0"/>
              <w:jc w:val="left"/>
              <w:rPr>
                <w:rFonts w:hint="eastAsia"/>
                <w:color w:val="auto"/>
                <w:sz w:val="24"/>
              </w:rPr>
            </w:pPr>
            <w:r>
              <w:rPr>
                <w:rFonts w:hint="eastAsia"/>
                <w:color w:val="auto"/>
                <w:sz w:val="24"/>
              </w:rPr>
              <w:t>根据《建设项目环境影响报告表编制技术指南（污染影响类）（试行）》中提到的“原则上不开展环境质量现状调查。建设项目存在土壤、地下水环境污染途径的，应结合污染源、保护目标分布情况开展现状调查以留作背景值。”项目建设时，对地面均进行防渗处理，可以保证项目污染物不会对土壤环境造成污染。</w:t>
            </w:r>
          </w:p>
          <w:p>
            <w:pPr>
              <w:keepNext w:val="0"/>
              <w:keepLines w:val="0"/>
              <w:suppressLineNumbers w:val="0"/>
              <w:spacing w:before="0" w:beforeAutospacing="0" w:after="0" w:afterAutospacing="0" w:line="360" w:lineRule="auto"/>
              <w:ind w:left="0" w:right="0" w:firstLine="482" w:firstLineChars="200"/>
              <w:rPr>
                <w:rFonts w:hint="eastAsia"/>
                <w:b/>
                <w:bCs/>
                <w:color w:val="auto"/>
                <w:sz w:val="24"/>
                <w:u w:val="none"/>
              </w:rPr>
            </w:pPr>
            <w:r>
              <w:rPr>
                <w:rFonts w:hint="eastAsia"/>
                <w:b/>
                <w:bCs/>
                <w:color w:val="auto"/>
                <w:sz w:val="24"/>
                <w:u w:val="none"/>
              </w:rPr>
              <w:t>6、生态环境质量现状</w:t>
            </w:r>
          </w:p>
          <w:p>
            <w:pPr>
              <w:pStyle w:val="78"/>
              <w:keepNext w:val="0"/>
              <w:keepLines w:val="0"/>
              <w:suppressLineNumbers w:val="0"/>
              <w:spacing w:before="0" w:beforeAutospacing="0" w:after="0" w:afterAutospacing="0" w:line="360" w:lineRule="auto"/>
              <w:ind w:left="0" w:right="0"/>
              <w:jc w:val="left"/>
              <w:rPr>
                <w:rFonts w:hint="eastAsia"/>
                <w:color w:val="auto"/>
                <w:sz w:val="24"/>
              </w:rPr>
            </w:pPr>
            <w:r>
              <w:rPr>
                <w:rFonts w:hint="eastAsia"/>
                <w:color w:val="auto"/>
                <w:sz w:val="24"/>
              </w:rPr>
              <w:t>项目周边主要为山林地及农田，主要植被类型有针叶林、常绿阔叶林、落叶阔叶林。主要乔木树种有马尾松等人工林木；主要草本植物有蕨类，群落结构较为简单。区域无珍稀动植物保护区，未发现重点保护的野生、珍稀濒危动物和重点保护的古树名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80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cs="宋体"/>
                <w:color w:val="auto"/>
                <w:kern w:val="0"/>
                <w:sz w:val="24"/>
              </w:rPr>
            </w:pPr>
            <w:r>
              <w:rPr>
                <w:rFonts w:hint="eastAsia" w:cs="宋体"/>
                <w:color w:val="auto"/>
                <w:kern w:val="0"/>
                <w:sz w:val="24"/>
              </w:rPr>
              <w:t>环境</w:t>
            </w:r>
          </w:p>
          <w:p>
            <w:pPr>
              <w:keepNext w:val="0"/>
              <w:keepLines w:val="0"/>
              <w:suppressLineNumbers w:val="0"/>
              <w:adjustRightInd w:val="0"/>
              <w:snapToGrid w:val="0"/>
              <w:spacing w:before="0" w:beforeAutospacing="0" w:after="0" w:afterAutospacing="0"/>
              <w:ind w:left="0" w:right="0"/>
              <w:jc w:val="center"/>
              <w:rPr>
                <w:rFonts w:hint="eastAsia" w:cs="宋体"/>
                <w:color w:val="auto"/>
                <w:kern w:val="0"/>
                <w:sz w:val="24"/>
              </w:rPr>
            </w:pPr>
            <w:r>
              <w:rPr>
                <w:rFonts w:hint="eastAsia" w:cs="宋体"/>
                <w:color w:val="auto"/>
                <w:kern w:val="0"/>
                <w:sz w:val="24"/>
              </w:rPr>
              <w:t>保护</w:t>
            </w:r>
          </w:p>
          <w:p>
            <w:pPr>
              <w:keepNext w:val="0"/>
              <w:keepLines w:val="0"/>
              <w:suppressLineNumbers w:val="0"/>
              <w:adjustRightInd w:val="0"/>
              <w:snapToGrid w:val="0"/>
              <w:spacing w:before="0" w:beforeAutospacing="0" w:after="0" w:afterAutospacing="0"/>
              <w:ind w:left="0" w:right="0"/>
              <w:jc w:val="center"/>
              <w:rPr>
                <w:rFonts w:hint="eastAsia" w:cs="宋体"/>
                <w:color w:val="auto"/>
                <w:kern w:val="0"/>
                <w:szCs w:val="21"/>
              </w:rPr>
            </w:pPr>
            <w:r>
              <w:rPr>
                <w:rFonts w:hint="eastAsia" w:cs="宋体"/>
                <w:color w:val="auto"/>
                <w:kern w:val="0"/>
                <w:sz w:val="24"/>
              </w:rPr>
              <w:t>目标</w:t>
            </w:r>
          </w:p>
        </w:tc>
        <w:tc>
          <w:tcPr>
            <w:tcW w:w="8264" w:type="dxa"/>
            <w:noWrap w:val="0"/>
            <w:vAlign w:val="center"/>
          </w:tcPr>
          <w:p>
            <w:pPr>
              <w:pStyle w:val="78"/>
              <w:keepNext w:val="0"/>
              <w:keepLines w:val="0"/>
              <w:suppressLineNumbers w:val="0"/>
              <w:spacing w:before="0" w:beforeAutospacing="0" w:after="0" w:afterAutospacing="0" w:line="360" w:lineRule="auto"/>
              <w:ind w:left="0" w:right="0" w:firstLine="482"/>
              <w:jc w:val="left"/>
              <w:rPr>
                <w:rFonts w:hint="default" w:hAnsi="Times New Roman" w:cs="Times New Roman"/>
                <w:b/>
                <w:color w:val="auto"/>
                <w:sz w:val="24"/>
                <w:u w:val="none"/>
              </w:rPr>
            </w:pPr>
            <w:r>
              <w:rPr>
                <w:rFonts w:hint="eastAsia" w:hAnsi="Times New Roman" w:cs="Times New Roman"/>
                <w:b/>
                <w:color w:val="auto"/>
                <w:sz w:val="24"/>
                <w:u w:val="none"/>
              </w:rPr>
              <w:t>1、大气环境</w:t>
            </w:r>
          </w:p>
          <w:p>
            <w:pPr>
              <w:pStyle w:val="78"/>
              <w:keepNext w:val="0"/>
              <w:keepLines w:val="0"/>
              <w:suppressLineNumbers w:val="0"/>
              <w:spacing w:before="0" w:beforeAutospacing="0" w:after="0" w:afterAutospacing="0" w:line="360" w:lineRule="auto"/>
              <w:ind w:left="0" w:right="0"/>
              <w:jc w:val="left"/>
              <w:rPr>
                <w:rFonts w:hint="eastAsia" w:hAnsi="Times New Roman" w:cs="Times New Roman"/>
                <w:bCs/>
                <w:color w:val="auto"/>
                <w:sz w:val="24"/>
                <w:u w:val="none"/>
              </w:rPr>
            </w:pPr>
            <w:r>
              <w:rPr>
                <w:rFonts w:hint="eastAsia" w:hAnsi="Times New Roman" w:cs="Times New Roman"/>
                <w:bCs/>
                <w:color w:val="auto"/>
                <w:sz w:val="24"/>
                <w:u w:val="none"/>
              </w:rPr>
              <w:t>本项目位于</w:t>
            </w:r>
            <w:r>
              <w:rPr>
                <w:rFonts w:hint="eastAsia" w:cs="宋体"/>
                <w:color w:val="auto"/>
                <w:sz w:val="24"/>
              </w:rPr>
              <w:t>永州市新田县龙泉街道工业集中区工业南园</w:t>
            </w:r>
            <w:r>
              <w:rPr>
                <w:rFonts w:hint="eastAsia" w:hAnsi="Times New Roman" w:cs="Times New Roman"/>
                <w:bCs/>
                <w:color w:val="auto"/>
                <w:sz w:val="24"/>
                <w:u w:val="none"/>
              </w:rPr>
              <w:t>，本项目厂界外500m范围内大气环境保护目标详见</w:t>
            </w:r>
            <w:r>
              <w:rPr>
                <w:rFonts w:hint="eastAsia" w:hAnsi="Times New Roman" w:cs="Times New Roman"/>
                <w:bCs/>
                <w:color w:val="auto"/>
                <w:sz w:val="24"/>
                <w:u w:val="none"/>
                <w:lang w:val="en-US" w:eastAsia="zh-CN"/>
              </w:rPr>
              <w:t>下</w:t>
            </w:r>
            <w:r>
              <w:rPr>
                <w:rFonts w:hint="eastAsia" w:hAnsi="Times New Roman" w:cs="Times New Roman"/>
                <w:bCs/>
                <w:color w:val="auto"/>
                <w:sz w:val="24"/>
                <w:u w:val="none"/>
              </w:rPr>
              <w:t>表及附图2。</w:t>
            </w:r>
          </w:p>
          <w:p>
            <w:pPr>
              <w:keepNext w:val="0"/>
              <w:keepLines w:val="0"/>
              <w:suppressLineNumbers w:val="0"/>
              <w:snapToGrid w:val="0"/>
              <w:spacing w:before="0" w:beforeAutospacing="0" w:after="0" w:afterAutospacing="0"/>
              <w:ind w:left="0" w:right="0"/>
              <w:jc w:val="center"/>
              <w:rPr>
                <w:rFonts w:hint="eastAsia"/>
                <w:b/>
                <w:color w:val="auto"/>
                <w:szCs w:val="21"/>
                <w:u w:val="none"/>
              </w:rPr>
            </w:pPr>
            <w:r>
              <w:rPr>
                <w:rFonts w:hint="default"/>
                <w:b/>
                <w:color w:val="auto"/>
                <w:szCs w:val="21"/>
                <w:u w:val="none"/>
              </w:rPr>
              <w:t>表3-</w:t>
            </w:r>
            <w:r>
              <w:rPr>
                <w:rFonts w:hint="eastAsia"/>
                <w:b/>
                <w:color w:val="auto"/>
                <w:szCs w:val="21"/>
                <w:u w:val="none"/>
                <w:lang w:val="en-US" w:eastAsia="zh-CN"/>
              </w:rPr>
              <w:t>3</w:t>
            </w:r>
            <w:r>
              <w:rPr>
                <w:rFonts w:hint="default"/>
                <w:b/>
                <w:color w:val="auto"/>
                <w:szCs w:val="21"/>
                <w:u w:val="none"/>
              </w:rPr>
              <w:t>环境空气保护目标</w:t>
            </w:r>
            <w:r>
              <w:rPr>
                <w:rFonts w:hint="eastAsia"/>
                <w:b/>
                <w:color w:val="auto"/>
                <w:szCs w:val="21"/>
                <w:u w:val="none"/>
              </w:rPr>
              <w:t>一览表</w:t>
            </w:r>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57" w:type="dxa"/>
                <w:bottom w:w="0" w:type="dxa"/>
                <w:right w:w="57" w:type="dxa"/>
              </w:tblCellMar>
            </w:tblPr>
            <w:tblGrid>
              <w:gridCol w:w="693"/>
              <w:gridCol w:w="975"/>
              <w:gridCol w:w="990"/>
              <w:gridCol w:w="615"/>
              <w:gridCol w:w="660"/>
              <w:gridCol w:w="840"/>
              <w:gridCol w:w="645"/>
              <w:gridCol w:w="525"/>
              <w:gridCol w:w="570"/>
              <w:gridCol w:w="15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93" w:type="dxa"/>
                  <w:vMerge w:val="restart"/>
                  <w:tcBorders>
                    <w:left w:val="single" w:color="000000" w:sz="12" w:space="0"/>
                  </w:tcBorders>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rPr>
                  </w:pPr>
                  <w:r>
                    <w:rPr>
                      <w:rFonts w:hint="default"/>
                      <w:color w:val="auto"/>
                      <w:sz w:val="18"/>
                      <w:szCs w:val="18"/>
                      <w:u w:val="none"/>
                    </w:rPr>
                    <w:t>名称</w:t>
                  </w:r>
                </w:p>
              </w:tc>
              <w:tc>
                <w:tcPr>
                  <w:tcW w:w="1965" w:type="dxa"/>
                  <w:gridSpan w:val="2"/>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rPr>
                  </w:pPr>
                  <w:r>
                    <w:rPr>
                      <w:rFonts w:hint="default"/>
                      <w:color w:val="auto"/>
                      <w:sz w:val="18"/>
                      <w:szCs w:val="18"/>
                      <w:u w:val="none"/>
                    </w:rPr>
                    <w:t>坐标</w:t>
                  </w:r>
                </w:p>
              </w:tc>
              <w:tc>
                <w:tcPr>
                  <w:tcW w:w="592" w:type="dxa"/>
                  <w:vMerge w:val="restart"/>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rPr>
                  </w:pPr>
                  <w:r>
                    <w:rPr>
                      <w:rFonts w:hint="default"/>
                      <w:color w:val="auto"/>
                      <w:sz w:val="18"/>
                      <w:szCs w:val="18"/>
                      <w:u w:val="none"/>
                    </w:rPr>
                    <w:t>高程</w:t>
                  </w:r>
                </w:p>
                <w:p>
                  <w:pPr>
                    <w:pStyle w:val="6"/>
                    <w:keepNext w:val="0"/>
                    <w:keepLines w:val="0"/>
                    <w:suppressLineNumbers w:val="0"/>
                    <w:spacing w:before="0" w:beforeAutospacing="0" w:after="0" w:afterAutospacing="0"/>
                    <w:ind w:left="0" w:right="0" w:firstLine="0" w:firstLineChars="0"/>
                    <w:jc w:val="center"/>
                    <w:rPr>
                      <w:rFonts w:hint="eastAsia"/>
                      <w:color w:val="auto"/>
                      <w:sz w:val="18"/>
                      <w:szCs w:val="18"/>
                      <w:u w:val="none"/>
                    </w:rPr>
                  </w:pPr>
                  <w:r>
                    <w:rPr>
                      <w:rFonts w:hint="eastAsia"/>
                      <w:color w:val="auto"/>
                      <w:sz w:val="18"/>
                      <w:szCs w:val="18"/>
                      <w:u w:val="none"/>
                    </w:rPr>
                    <w:t>（m）</w:t>
                  </w:r>
                </w:p>
              </w:tc>
              <w:tc>
                <w:tcPr>
                  <w:tcW w:w="660" w:type="dxa"/>
                  <w:vMerge w:val="restart"/>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rPr>
                  </w:pPr>
                  <w:r>
                    <w:rPr>
                      <w:rFonts w:hint="default"/>
                      <w:color w:val="auto"/>
                      <w:sz w:val="18"/>
                      <w:szCs w:val="18"/>
                      <w:u w:val="none"/>
                    </w:rPr>
                    <w:t>相对项目方位</w:t>
                  </w:r>
                </w:p>
              </w:tc>
              <w:tc>
                <w:tcPr>
                  <w:tcW w:w="840" w:type="dxa"/>
                  <w:vMerge w:val="restart"/>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rPr>
                  </w:pPr>
                  <w:r>
                    <w:rPr>
                      <w:rFonts w:hint="default"/>
                      <w:color w:val="auto"/>
                      <w:sz w:val="18"/>
                      <w:szCs w:val="18"/>
                      <w:u w:val="none"/>
                    </w:rPr>
                    <w:t>与项目</w:t>
                  </w:r>
                  <w:r>
                    <w:rPr>
                      <w:rFonts w:hint="eastAsia"/>
                      <w:color w:val="auto"/>
                      <w:sz w:val="18"/>
                      <w:szCs w:val="18"/>
                      <w:u w:val="none"/>
                    </w:rPr>
                    <w:t>厂界最近</w:t>
                  </w:r>
                  <w:r>
                    <w:rPr>
                      <w:rFonts w:hint="default"/>
                      <w:color w:val="auto"/>
                      <w:sz w:val="18"/>
                      <w:szCs w:val="18"/>
                      <w:u w:val="none"/>
                    </w:rPr>
                    <w:t>距离</w:t>
                  </w:r>
                  <w:r>
                    <w:rPr>
                      <w:rFonts w:hint="eastAsia"/>
                      <w:color w:val="auto"/>
                      <w:sz w:val="18"/>
                      <w:szCs w:val="18"/>
                      <w:u w:val="none"/>
                    </w:rPr>
                    <w:t>（m）</w:t>
                  </w:r>
                </w:p>
              </w:tc>
              <w:tc>
                <w:tcPr>
                  <w:tcW w:w="645" w:type="dxa"/>
                  <w:vMerge w:val="restart"/>
                  <w:noWrap w:val="0"/>
                  <w:vAlign w:val="center"/>
                </w:tcPr>
                <w:p>
                  <w:pPr>
                    <w:pStyle w:val="6"/>
                    <w:keepNext w:val="0"/>
                    <w:keepLines w:val="0"/>
                    <w:suppressLineNumbers w:val="0"/>
                    <w:spacing w:before="0" w:beforeAutospacing="0" w:after="0" w:afterAutospacing="0"/>
                    <w:ind w:left="0" w:right="0" w:firstLine="0" w:firstLineChars="0"/>
                    <w:jc w:val="center"/>
                    <w:rPr>
                      <w:rFonts w:hint="default" w:eastAsia="宋体"/>
                      <w:color w:val="auto"/>
                      <w:sz w:val="18"/>
                      <w:szCs w:val="18"/>
                      <w:u w:val="none"/>
                      <w:lang w:val="en-US" w:eastAsia="zh-CN"/>
                    </w:rPr>
                  </w:pPr>
                  <w:r>
                    <w:rPr>
                      <w:rFonts w:hint="eastAsia"/>
                      <w:color w:val="auto"/>
                      <w:sz w:val="18"/>
                      <w:szCs w:val="18"/>
                      <w:u w:val="none"/>
                      <w:lang w:val="en-US" w:eastAsia="zh-CN"/>
                    </w:rPr>
                    <w:t>阻隔情况</w:t>
                  </w:r>
                </w:p>
              </w:tc>
              <w:tc>
                <w:tcPr>
                  <w:tcW w:w="525" w:type="dxa"/>
                  <w:vMerge w:val="restart"/>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rPr>
                  </w:pPr>
                  <w:r>
                    <w:rPr>
                      <w:rFonts w:hint="default"/>
                      <w:color w:val="auto"/>
                      <w:sz w:val="18"/>
                      <w:szCs w:val="18"/>
                      <w:u w:val="none"/>
                    </w:rPr>
                    <w:t>保护对象</w:t>
                  </w:r>
                </w:p>
              </w:tc>
              <w:tc>
                <w:tcPr>
                  <w:tcW w:w="570" w:type="dxa"/>
                  <w:vMerge w:val="restart"/>
                  <w:noWrap w:val="0"/>
                  <w:vAlign w:val="center"/>
                </w:tcPr>
                <w:p>
                  <w:pPr>
                    <w:pStyle w:val="6"/>
                    <w:keepNext w:val="0"/>
                    <w:keepLines w:val="0"/>
                    <w:suppressLineNumbers w:val="0"/>
                    <w:spacing w:before="0" w:beforeAutospacing="0" w:after="0" w:afterAutospacing="0"/>
                    <w:ind w:left="0" w:right="0" w:firstLine="0" w:firstLineChars="0"/>
                    <w:jc w:val="center"/>
                    <w:rPr>
                      <w:rFonts w:hint="eastAsia" w:eastAsia="宋体"/>
                      <w:color w:val="auto"/>
                      <w:sz w:val="18"/>
                      <w:szCs w:val="18"/>
                      <w:u w:val="none"/>
                      <w:lang w:val="en-US" w:eastAsia="zh-CN"/>
                    </w:rPr>
                  </w:pPr>
                  <w:r>
                    <w:rPr>
                      <w:rFonts w:hint="eastAsia"/>
                      <w:color w:val="auto"/>
                      <w:sz w:val="18"/>
                      <w:szCs w:val="18"/>
                      <w:u w:val="none"/>
                      <w:lang w:val="en-US" w:eastAsia="zh-CN"/>
                    </w:rPr>
                    <w:t>规模</w:t>
                  </w:r>
                </w:p>
              </w:tc>
              <w:tc>
                <w:tcPr>
                  <w:tcW w:w="1429" w:type="dxa"/>
                  <w:vMerge w:val="restart"/>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rPr>
                  </w:pPr>
                  <w:r>
                    <w:rPr>
                      <w:rFonts w:hint="default"/>
                      <w:color w:val="auto"/>
                      <w:sz w:val="18"/>
                      <w:szCs w:val="18"/>
                      <w:u w:val="none"/>
                    </w:rPr>
                    <w:t>环境功能区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693" w:type="dxa"/>
                  <w:vMerge w:val="continue"/>
                  <w:tcBorders>
                    <w:left w:val="single" w:color="000000" w:sz="12" w:space="0"/>
                  </w:tcBorders>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rPr>
                  </w:pPr>
                </w:p>
              </w:tc>
              <w:tc>
                <w:tcPr>
                  <w:tcW w:w="975" w:type="dxa"/>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rPr>
                  </w:pPr>
                  <w:r>
                    <w:rPr>
                      <w:rFonts w:hint="default"/>
                      <w:color w:val="auto"/>
                      <w:sz w:val="18"/>
                      <w:szCs w:val="18"/>
                      <w:u w:val="none"/>
                    </w:rPr>
                    <w:t>东经</w:t>
                  </w:r>
                </w:p>
              </w:tc>
              <w:tc>
                <w:tcPr>
                  <w:tcW w:w="990" w:type="dxa"/>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rPr>
                  </w:pPr>
                  <w:r>
                    <w:rPr>
                      <w:rFonts w:hint="default"/>
                      <w:color w:val="auto"/>
                      <w:sz w:val="18"/>
                      <w:szCs w:val="18"/>
                      <w:u w:val="none"/>
                    </w:rPr>
                    <w:t>北纬</w:t>
                  </w:r>
                </w:p>
              </w:tc>
              <w:tc>
                <w:tcPr>
                  <w:tcW w:w="592" w:type="dxa"/>
                  <w:vMerge w:val="continue"/>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rPr>
                  </w:pPr>
                </w:p>
              </w:tc>
              <w:tc>
                <w:tcPr>
                  <w:tcW w:w="660" w:type="dxa"/>
                  <w:vMerge w:val="continue"/>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rPr>
                  </w:pPr>
                </w:p>
              </w:tc>
              <w:tc>
                <w:tcPr>
                  <w:tcW w:w="840" w:type="dxa"/>
                  <w:vMerge w:val="continue"/>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rPr>
                  </w:pPr>
                </w:p>
              </w:tc>
              <w:tc>
                <w:tcPr>
                  <w:tcW w:w="645" w:type="dxa"/>
                  <w:vMerge w:val="continue"/>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rPr>
                  </w:pPr>
                </w:p>
              </w:tc>
              <w:tc>
                <w:tcPr>
                  <w:tcW w:w="525" w:type="dxa"/>
                  <w:vMerge w:val="continue"/>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rPr>
                  </w:pPr>
                </w:p>
              </w:tc>
              <w:tc>
                <w:tcPr>
                  <w:tcW w:w="570" w:type="dxa"/>
                  <w:vMerge w:val="continue"/>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rPr>
                  </w:pPr>
                </w:p>
              </w:tc>
              <w:tc>
                <w:tcPr>
                  <w:tcW w:w="1429" w:type="dxa"/>
                  <w:vMerge w:val="continue"/>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67" w:hRule="atLeast"/>
                <w:jc w:val="center"/>
              </w:trPr>
              <w:tc>
                <w:tcPr>
                  <w:tcW w:w="693" w:type="dxa"/>
                  <w:noWrap w:val="0"/>
                  <w:vAlign w:val="center"/>
                </w:tcPr>
                <w:p>
                  <w:pPr>
                    <w:pStyle w:val="6"/>
                    <w:keepNext w:val="0"/>
                    <w:keepLines w:val="0"/>
                    <w:suppressLineNumbers w:val="0"/>
                    <w:spacing w:before="0" w:beforeAutospacing="0" w:after="0" w:afterAutospacing="0"/>
                    <w:ind w:left="0" w:right="0" w:firstLine="0" w:firstLineChars="0"/>
                    <w:jc w:val="center"/>
                    <w:rPr>
                      <w:rFonts w:hint="default" w:eastAsia="宋体"/>
                      <w:color w:val="auto"/>
                      <w:sz w:val="18"/>
                      <w:szCs w:val="18"/>
                      <w:u w:val="none"/>
                      <w:lang w:val="en-US" w:eastAsia="zh-CN"/>
                    </w:rPr>
                  </w:pPr>
                  <w:r>
                    <w:rPr>
                      <w:rFonts w:hint="eastAsia"/>
                      <w:color w:val="auto"/>
                      <w:sz w:val="18"/>
                      <w:szCs w:val="18"/>
                      <w:u w:val="none"/>
                      <w:lang w:val="en-US" w:eastAsia="zh-CN"/>
                    </w:rPr>
                    <w:t>黄家洞</w:t>
                  </w:r>
                </w:p>
              </w:tc>
              <w:tc>
                <w:tcPr>
                  <w:tcW w:w="975" w:type="dxa"/>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rPr>
                  </w:pPr>
                  <w:r>
                    <w:rPr>
                      <w:rFonts w:hint="eastAsia"/>
                      <w:color w:val="auto"/>
                      <w:sz w:val="18"/>
                      <w:szCs w:val="18"/>
                      <w:u w:val="none"/>
                    </w:rPr>
                    <w:t>112.187690</w:t>
                  </w:r>
                </w:p>
              </w:tc>
              <w:tc>
                <w:tcPr>
                  <w:tcW w:w="990" w:type="dxa"/>
                  <w:noWrap w:val="0"/>
                  <w:vAlign w:val="center"/>
                </w:tcPr>
                <w:p>
                  <w:pPr>
                    <w:keepNext w:val="0"/>
                    <w:keepLines w:val="0"/>
                    <w:suppressLineNumbers w:val="0"/>
                    <w:spacing w:before="0" w:beforeAutospacing="0" w:after="0" w:afterAutospacing="0"/>
                    <w:ind w:left="0" w:right="0"/>
                    <w:jc w:val="center"/>
                    <w:rPr>
                      <w:rFonts w:hint="default"/>
                      <w:color w:val="auto"/>
                      <w:sz w:val="18"/>
                      <w:szCs w:val="18"/>
                      <w:u w:val="none"/>
                    </w:rPr>
                  </w:pPr>
                  <w:r>
                    <w:rPr>
                      <w:rFonts w:hint="eastAsia"/>
                      <w:color w:val="auto"/>
                      <w:sz w:val="18"/>
                      <w:szCs w:val="18"/>
                      <w:u w:val="none"/>
                    </w:rPr>
                    <w:t>25.876492</w:t>
                  </w:r>
                </w:p>
              </w:tc>
              <w:tc>
                <w:tcPr>
                  <w:tcW w:w="592" w:type="dxa"/>
                  <w:noWrap w:val="0"/>
                  <w:vAlign w:val="center"/>
                </w:tcPr>
                <w:p>
                  <w:pPr>
                    <w:pStyle w:val="6"/>
                    <w:keepNext w:val="0"/>
                    <w:keepLines w:val="0"/>
                    <w:suppressLineNumbers w:val="0"/>
                    <w:spacing w:before="0" w:beforeAutospacing="0" w:after="0" w:afterAutospacing="0"/>
                    <w:ind w:left="0" w:right="0" w:firstLine="0" w:firstLineChars="0"/>
                    <w:jc w:val="center"/>
                    <w:rPr>
                      <w:rFonts w:hint="default" w:eastAsia="宋体"/>
                      <w:color w:val="auto"/>
                      <w:sz w:val="18"/>
                      <w:szCs w:val="18"/>
                      <w:u w:val="none"/>
                      <w:lang w:val="en-US" w:eastAsia="zh-CN"/>
                    </w:rPr>
                  </w:pPr>
                  <w:r>
                    <w:rPr>
                      <w:rFonts w:hint="eastAsia"/>
                      <w:color w:val="auto"/>
                      <w:sz w:val="18"/>
                      <w:szCs w:val="18"/>
                      <w:u w:val="none"/>
                    </w:rPr>
                    <w:t>207.9</w:t>
                  </w:r>
                </w:p>
              </w:tc>
              <w:tc>
                <w:tcPr>
                  <w:tcW w:w="660" w:type="dxa"/>
                  <w:noWrap w:val="0"/>
                  <w:vAlign w:val="center"/>
                </w:tcPr>
                <w:p>
                  <w:pPr>
                    <w:pStyle w:val="6"/>
                    <w:keepNext w:val="0"/>
                    <w:keepLines w:val="0"/>
                    <w:suppressLineNumbers w:val="0"/>
                    <w:spacing w:before="0" w:beforeAutospacing="0" w:after="0" w:afterAutospacing="0"/>
                    <w:ind w:left="0" w:right="0" w:firstLine="0" w:firstLineChars="0"/>
                    <w:jc w:val="center"/>
                    <w:rPr>
                      <w:rFonts w:hint="eastAsia" w:eastAsia="宋体"/>
                      <w:color w:val="auto"/>
                      <w:sz w:val="18"/>
                      <w:szCs w:val="18"/>
                      <w:u w:val="none"/>
                      <w:lang w:eastAsia="zh-CN"/>
                    </w:rPr>
                  </w:pPr>
                  <w:r>
                    <w:rPr>
                      <w:rFonts w:hint="eastAsia"/>
                      <w:color w:val="auto"/>
                      <w:sz w:val="18"/>
                      <w:szCs w:val="18"/>
                      <w:u w:val="none"/>
                      <w:lang w:val="en-US" w:eastAsia="zh-CN"/>
                    </w:rPr>
                    <w:t>西南</w:t>
                  </w:r>
                </w:p>
              </w:tc>
              <w:tc>
                <w:tcPr>
                  <w:tcW w:w="840" w:type="dxa"/>
                  <w:noWrap w:val="0"/>
                  <w:vAlign w:val="center"/>
                </w:tcPr>
                <w:p>
                  <w:pPr>
                    <w:pStyle w:val="6"/>
                    <w:keepNext w:val="0"/>
                    <w:keepLines w:val="0"/>
                    <w:suppressLineNumbers w:val="0"/>
                    <w:spacing w:before="0" w:beforeAutospacing="0" w:after="0" w:afterAutospacing="0"/>
                    <w:ind w:left="0" w:right="0" w:firstLine="0" w:firstLineChars="0"/>
                    <w:jc w:val="center"/>
                    <w:rPr>
                      <w:rFonts w:hint="default" w:eastAsia="宋体"/>
                      <w:color w:val="auto"/>
                      <w:sz w:val="18"/>
                      <w:szCs w:val="18"/>
                      <w:u w:val="none"/>
                      <w:lang w:val="en-US" w:eastAsia="zh-CN"/>
                    </w:rPr>
                  </w:pPr>
                  <w:r>
                    <w:rPr>
                      <w:rFonts w:hint="eastAsia"/>
                      <w:color w:val="auto"/>
                      <w:sz w:val="18"/>
                      <w:szCs w:val="18"/>
                      <w:u w:val="none"/>
                      <w:lang w:val="en-US" w:eastAsia="zh-CN"/>
                    </w:rPr>
                    <w:t>359</w:t>
                  </w:r>
                </w:p>
              </w:tc>
              <w:tc>
                <w:tcPr>
                  <w:tcW w:w="645" w:type="dxa"/>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lang w:val="en-US" w:eastAsia="zh-CN"/>
                    </w:rPr>
                  </w:pPr>
                  <w:r>
                    <w:rPr>
                      <w:rFonts w:hint="eastAsia"/>
                      <w:color w:val="auto"/>
                      <w:sz w:val="18"/>
                      <w:szCs w:val="18"/>
                      <w:u w:val="none"/>
                      <w:lang w:val="en-US" w:eastAsia="zh-CN"/>
                    </w:rPr>
                    <w:t>无阻隔</w:t>
                  </w:r>
                </w:p>
              </w:tc>
              <w:tc>
                <w:tcPr>
                  <w:tcW w:w="525" w:type="dxa"/>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rPr>
                  </w:pPr>
                  <w:r>
                    <w:rPr>
                      <w:rFonts w:hint="default"/>
                      <w:color w:val="auto"/>
                      <w:sz w:val="18"/>
                      <w:szCs w:val="18"/>
                      <w:u w:val="none"/>
                    </w:rPr>
                    <w:t>居住区</w:t>
                  </w:r>
                </w:p>
              </w:tc>
              <w:tc>
                <w:tcPr>
                  <w:tcW w:w="570" w:type="dxa"/>
                  <w:noWrap w:val="0"/>
                  <w:vAlign w:val="center"/>
                </w:tcPr>
                <w:p>
                  <w:pPr>
                    <w:pStyle w:val="6"/>
                    <w:keepNext w:val="0"/>
                    <w:keepLines w:val="0"/>
                    <w:suppressLineNumbers w:val="0"/>
                    <w:spacing w:before="0" w:beforeAutospacing="0" w:after="0" w:afterAutospacing="0"/>
                    <w:ind w:left="0" w:right="0" w:firstLine="0" w:firstLineChars="0"/>
                    <w:jc w:val="center"/>
                    <w:rPr>
                      <w:rFonts w:hint="default" w:eastAsia="宋体"/>
                      <w:color w:val="auto"/>
                      <w:sz w:val="18"/>
                      <w:szCs w:val="18"/>
                      <w:u w:val="none"/>
                      <w:lang w:val="en-US" w:eastAsia="zh-CN"/>
                    </w:rPr>
                  </w:pPr>
                  <w:r>
                    <w:rPr>
                      <w:rFonts w:hint="eastAsia"/>
                      <w:color w:val="auto"/>
                      <w:sz w:val="18"/>
                      <w:szCs w:val="18"/>
                      <w:u w:val="none"/>
                      <w:lang w:val="en-US" w:eastAsia="zh-CN"/>
                    </w:rPr>
                    <w:t>约15户</w:t>
                  </w:r>
                </w:p>
              </w:tc>
              <w:tc>
                <w:tcPr>
                  <w:tcW w:w="1429" w:type="dxa"/>
                  <w:vMerge w:val="restart"/>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rPr>
                  </w:pPr>
                  <w:r>
                    <w:rPr>
                      <w:rFonts w:hint="default"/>
                      <w:color w:val="auto"/>
                      <w:sz w:val="18"/>
                      <w:szCs w:val="18"/>
                      <w:u w:val="none"/>
                    </w:rPr>
                    <w:t>《环境空气质量标准》</w:t>
                  </w:r>
                  <w:r>
                    <w:rPr>
                      <w:rFonts w:hint="eastAsia"/>
                      <w:color w:val="auto"/>
                      <w:sz w:val="18"/>
                      <w:szCs w:val="18"/>
                      <w:u w:val="none"/>
                    </w:rPr>
                    <w:t>（</w:t>
                  </w:r>
                  <w:r>
                    <w:rPr>
                      <w:rFonts w:hint="default"/>
                      <w:color w:val="auto"/>
                      <w:sz w:val="18"/>
                      <w:szCs w:val="18"/>
                      <w:u w:val="none"/>
                    </w:rPr>
                    <w:t>GB3095-2012</w:t>
                  </w:r>
                  <w:r>
                    <w:rPr>
                      <w:rFonts w:hint="eastAsia"/>
                      <w:color w:val="auto"/>
                      <w:sz w:val="18"/>
                      <w:szCs w:val="18"/>
                      <w:u w:val="none"/>
                    </w:rPr>
                    <w:t>）</w:t>
                  </w:r>
                  <w:r>
                    <w:rPr>
                      <w:rFonts w:hint="default"/>
                      <w:color w:val="auto"/>
                      <w:sz w:val="18"/>
                      <w:szCs w:val="18"/>
                      <w:u w:val="none"/>
                    </w:rPr>
                    <w:t>中二级标准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67" w:hRule="atLeast"/>
                <w:jc w:val="center"/>
              </w:trPr>
              <w:tc>
                <w:tcPr>
                  <w:tcW w:w="693" w:type="dxa"/>
                  <w:noWrap w:val="0"/>
                  <w:vAlign w:val="center"/>
                </w:tcPr>
                <w:p>
                  <w:pPr>
                    <w:pStyle w:val="6"/>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color w:val="auto"/>
                      <w:kern w:val="2"/>
                      <w:sz w:val="18"/>
                      <w:szCs w:val="18"/>
                      <w:u w:val="none"/>
                      <w:lang w:val="en-US" w:eastAsia="zh-CN" w:bidi="ar-SA"/>
                    </w:rPr>
                  </w:pPr>
                  <w:r>
                    <w:rPr>
                      <w:rFonts w:hint="eastAsia"/>
                      <w:color w:val="auto"/>
                      <w:sz w:val="18"/>
                      <w:szCs w:val="18"/>
                      <w:u w:val="none"/>
                      <w:lang w:val="en-US" w:eastAsia="zh-CN"/>
                    </w:rPr>
                    <w:t>山下坝</w:t>
                  </w:r>
                </w:p>
              </w:tc>
              <w:tc>
                <w:tcPr>
                  <w:tcW w:w="975"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kern w:val="2"/>
                      <w:sz w:val="18"/>
                      <w:szCs w:val="18"/>
                      <w:u w:val="none"/>
                      <w:lang w:val="en-US" w:eastAsia="zh-CN" w:bidi="ar-SA"/>
                    </w:rPr>
                  </w:pPr>
                  <w:r>
                    <w:rPr>
                      <w:rFonts w:hint="eastAsia" w:ascii="Times New Roman" w:hAnsi="Times New Roman" w:eastAsia="宋体" w:cs="Times New Roman"/>
                      <w:color w:val="auto"/>
                      <w:kern w:val="2"/>
                      <w:sz w:val="18"/>
                      <w:szCs w:val="18"/>
                      <w:u w:val="none"/>
                      <w:lang w:val="en-US" w:eastAsia="zh-CN" w:bidi="ar-SA"/>
                    </w:rPr>
                    <w:t>112.186810</w:t>
                  </w:r>
                </w:p>
              </w:tc>
              <w:tc>
                <w:tcPr>
                  <w:tcW w:w="990"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kern w:val="2"/>
                      <w:sz w:val="18"/>
                      <w:szCs w:val="18"/>
                      <w:u w:val="none"/>
                      <w:lang w:val="en-US" w:eastAsia="zh-CN" w:bidi="ar-SA"/>
                    </w:rPr>
                  </w:pPr>
                  <w:r>
                    <w:rPr>
                      <w:rFonts w:hint="eastAsia" w:ascii="Times New Roman" w:hAnsi="Times New Roman" w:eastAsia="宋体" w:cs="Times New Roman"/>
                      <w:color w:val="auto"/>
                      <w:kern w:val="2"/>
                      <w:sz w:val="18"/>
                      <w:szCs w:val="18"/>
                      <w:u w:val="none"/>
                      <w:lang w:val="en-US" w:eastAsia="zh-CN" w:bidi="ar-SA"/>
                    </w:rPr>
                    <w:t>25.881406</w:t>
                  </w:r>
                </w:p>
              </w:tc>
              <w:tc>
                <w:tcPr>
                  <w:tcW w:w="592" w:type="dxa"/>
                  <w:noWrap w:val="0"/>
                  <w:vAlign w:val="center"/>
                </w:tcPr>
                <w:p>
                  <w:pPr>
                    <w:pStyle w:val="6"/>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color w:val="auto"/>
                      <w:kern w:val="2"/>
                      <w:sz w:val="18"/>
                      <w:szCs w:val="18"/>
                      <w:u w:val="none"/>
                      <w:lang w:val="en-US" w:eastAsia="zh-CN" w:bidi="ar-SA"/>
                    </w:rPr>
                  </w:pPr>
                  <w:r>
                    <w:rPr>
                      <w:rFonts w:hint="eastAsia" w:ascii="Times New Roman" w:hAnsi="Times New Roman" w:eastAsia="宋体" w:cs="Times New Roman"/>
                      <w:color w:val="auto"/>
                      <w:kern w:val="2"/>
                      <w:sz w:val="18"/>
                      <w:szCs w:val="18"/>
                      <w:u w:val="none"/>
                      <w:lang w:val="en-US" w:eastAsia="zh-CN" w:bidi="ar-SA"/>
                    </w:rPr>
                    <w:t>206.7</w:t>
                  </w:r>
                </w:p>
              </w:tc>
              <w:tc>
                <w:tcPr>
                  <w:tcW w:w="660" w:type="dxa"/>
                  <w:noWrap w:val="0"/>
                  <w:vAlign w:val="center"/>
                </w:tcPr>
                <w:p>
                  <w:pPr>
                    <w:pStyle w:val="6"/>
                    <w:keepNext w:val="0"/>
                    <w:keepLines w:val="0"/>
                    <w:suppressLineNumbers w:val="0"/>
                    <w:spacing w:before="0" w:beforeAutospacing="0" w:after="0" w:afterAutospacing="0"/>
                    <w:ind w:left="0" w:right="0" w:firstLine="0" w:firstLineChars="0"/>
                    <w:jc w:val="center"/>
                    <w:rPr>
                      <w:rFonts w:hint="default" w:ascii="Times New Roman" w:hAnsi="Times New Roman" w:eastAsia="宋体" w:cs="Times New Roman"/>
                      <w:color w:val="auto"/>
                      <w:kern w:val="2"/>
                      <w:sz w:val="18"/>
                      <w:szCs w:val="18"/>
                      <w:u w:val="none"/>
                      <w:lang w:val="en-US" w:eastAsia="zh-CN" w:bidi="ar-SA"/>
                    </w:rPr>
                  </w:pPr>
                  <w:r>
                    <w:rPr>
                      <w:rFonts w:hint="eastAsia"/>
                      <w:color w:val="auto"/>
                      <w:sz w:val="18"/>
                      <w:szCs w:val="18"/>
                      <w:u w:val="none"/>
                      <w:lang w:val="en-US" w:eastAsia="zh-CN"/>
                    </w:rPr>
                    <w:t>西</w:t>
                  </w:r>
                </w:p>
              </w:tc>
              <w:tc>
                <w:tcPr>
                  <w:tcW w:w="840" w:type="dxa"/>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lang w:val="en-US" w:eastAsia="zh-CN"/>
                    </w:rPr>
                  </w:pPr>
                  <w:r>
                    <w:rPr>
                      <w:rFonts w:hint="eastAsia"/>
                      <w:color w:val="auto"/>
                      <w:sz w:val="18"/>
                      <w:szCs w:val="18"/>
                      <w:u w:val="none"/>
                      <w:lang w:val="en-US" w:eastAsia="zh-CN"/>
                    </w:rPr>
                    <w:t>120</w:t>
                  </w:r>
                </w:p>
              </w:tc>
              <w:tc>
                <w:tcPr>
                  <w:tcW w:w="645" w:type="dxa"/>
                  <w:noWrap w:val="0"/>
                  <w:vAlign w:val="center"/>
                </w:tcPr>
                <w:p>
                  <w:pPr>
                    <w:pStyle w:val="6"/>
                    <w:keepNext w:val="0"/>
                    <w:keepLines w:val="0"/>
                    <w:suppressLineNumbers w:val="0"/>
                    <w:spacing w:before="0" w:beforeAutospacing="0" w:after="0" w:afterAutospacing="0"/>
                    <w:ind w:left="0" w:right="0" w:firstLine="0" w:firstLineChars="0"/>
                    <w:jc w:val="center"/>
                    <w:rPr>
                      <w:rFonts w:hint="eastAsia"/>
                      <w:color w:val="auto"/>
                      <w:sz w:val="18"/>
                      <w:szCs w:val="18"/>
                      <w:u w:val="none"/>
                      <w:lang w:val="en-US" w:eastAsia="zh-CN"/>
                    </w:rPr>
                  </w:pPr>
                  <w:r>
                    <w:rPr>
                      <w:rFonts w:hint="eastAsia"/>
                      <w:color w:val="auto"/>
                      <w:sz w:val="18"/>
                      <w:szCs w:val="18"/>
                      <w:u w:val="none"/>
                      <w:lang w:val="en-US" w:eastAsia="zh-CN"/>
                    </w:rPr>
                    <w:t>无阻隔</w:t>
                  </w:r>
                </w:p>
              </w:tc>
              <w:tc>
                <w:tcPr>
                  <w:tcW w:w="525" w:type="dxa"/>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rPr>
                  </w:pPr>
                  <w:r>
                    <w:rPr>
                      <w:rFonts w:hint="default"/>
                      <w:color w:val="auto"/>
                      <w:sz w:val="18"/>
                      <w:szCs w:val="18"/>
                      <w:u w:val="none"/>
                    </w:rPr>
                    <w:t>居住区</w:t>
                  </w:r>
                </w:p>
              </w:tc>
              <w:tc>
                <w:tcPr>
                  <w:tcW w:w="570" w:type="dxa"/>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lang w:val="en-US" w:eastAsia="zh-CN"/>
                    </w:rPr>
                  </w:pPr>
                  <w:r>
                    <w:rPr>
                      <w:rFonts w:hint="eastAsia"/>
                      <w:color w:val="auto"/>
                      <w:sz w:val="18"/>
                      <w:szCs w:val="18"/>
                      <w:u w:val="none"/>
                      <w:lang w:val="en-US" w:eastAsia="zh-CN"/>
                    </w:rPr>
                    <w:t>约55户</w:t>
                  </w:r>
                </w:p>
              </w:tc>
              <w:tc>
                <w:tcPr>
                  <w:tcW w:w="1429" w:type="dxa"/>
                  <w:vMerge w:val="continue"/>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67" w:hRule="atLeast"/>
                <w:jc w:val="center"/>
              </w:trPr>
              <w:tc>
                <w:tcPr>
                  <w:tcW w:w="693" w:type="dxa"/>
                  <w:noWrap w:val="0"/>
                  <w:vAlign w:val="center"/>
                </w:tcPr>
                <w:p>
                  <w:pPr>
                    <w:pStyle w:val="6"/>
                    <w:keepNext w:val="0"/>
                    <w:keepLines w:val="0"/>
                    <w:suppressLineNumbers w:val="0"/>
                    <w:spacing w:before="0" w:beforeAutospacing="0" w:after="0" w:afterAutospacing="0"/>
                    <w:ind w:left="0" w:right="0" w:firstLine="0" w:firstLineChars="0"/>
                    <w:jc w:val="center"/>
                    <w:rPr>
                      <w:rFonts w:hint="default" w:ascii="Times New Roman" w:hAnsi="Times New Roman" w:eastAsia="宋体" w:cs="Times New Roman"/>
                      <w:color w:val="auto"/>
                      <w:kern w:val="2"/>
                      <w:sz w:val="18"/>
                      <w:szCs w:val="18"/>
                      <w:u w:val="none"/>
                      <w:lang w:val="en-US" w:eastAsia="zh-CN" w:bidi="ar-SA"/>
                    </w:rPr>
                  </w:pPr>
                  <w:r>
                    <w:rPr>
                      <w:rFonts w:hint="eastAsia"/>
                      <w:color w:val="auto"/>
                      <w:sz w:val="18"/>
                      <w:szCs w:val="18"/>
                      <w:u w:val="none"/>
                      <w:lang w:val="en-US" w:eastAsia="zh-CN"/>
                    </w:rPr>
                    <w:t>马步岭</w:t>
                  </w:r>
                </w:p>
              </w:tc>
              <w:tc>
                <w:tcPr>
                  <w:tcW w:w="975"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kern w:val="2"/>
                      <w:sz w:val="18"/>
                      <w:szCs w:val="18"/>
                      <w:u w:val="none"/>
                      <w:lang w:val="en-US" w:eastAsia="zh-CN" w:bidi="ar-SA"/>
                    </w:rPr>
                  </w:pPr>
                  <w:r>
                    <w:rPr>
                      <w:rFonts w:hint="eastAsia" w:ascii="Times New Roman" w:hAnsi="Times New Roman" w:eastAsia="宋体" w:cs="Times New Roman"/>
                      <w:color w:val="auto"/>
                      <w:kern w:val="2"/>
                      <w:sz w:val="18"/>
                      <w:szCs w:val="18"/>
                      <w:u w:val="none"/>
                      <w:lang w:val="en-US" w:eastAsia="zh-CN" w:bidi="ar-SA"/>
                    </w:rPr>
                    <w:t>112.184547</w:t>
                  </w:r>
                </w:p>
              </w:tc>
              <w:tc>
                <w:tcPr>
                  <w:tcW w:w="990"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kern w:val="2"/>
                      <w:sz w:val="18"/>
                      <w:szCs w:val="18"/>
                      <w:u w:val="none"/>
                      <w:lang w:val="en-US" w:eastAsia="zh-CN" w:bidi="ar-SA"/>
                    </w:rPr>
                  </w:pPr>
                  <w:r>
                    <w:rPr>
                      <w:rFonts w:hint="eastAsia" w:ascii="Times New Roman" w:hAnsi="Times New Roman" w:eastAsia="宋体" w:cs="Times New Roman"/>
                      <w:color w:val="auto"/>
                      <w:kern w:val="2"/>
                      <w:sz w:val="18"/>
                      <w:szCs w:val="18"/>
                      <w:u w:val="none"/>
                      <w:lang w:val="en-US" w:eastAsia="zh-CN" w:bidi="ar-SA"/>
                    </w:rPr>
                    <w:t>25.877436</w:t>
                  </w:r>
                </w:p>
              </w:tc>
              <w:tc>
                <w:tcPr>
                  <w:tcW w:w="592" w:type="dxa"/>
                  <w:noWrap w:val="0"/>
                  <w:vAlign w:val="center"/>
                </w:tcPr>
                <w:p>
                  <w:pPr>
                    <w:pStyle w:val="6"/>
                    <w:keepNext w:val="0"/>
                    <w:keepLines w:val="0"/>
                    <w:suppressLineNumbers w:val="0"/>
                    <w:spacing w:before="0" w:beforeAutospacing="0" w:after="0" w:afterAutospacing="0"/>
                    <w:ind w:left="0" w:right="0" w:firstLine="0" w:firstLineChars="0"/>
                    <w:jc w:val="center"/>
                    <w:rPr>
                      <w:rFonts w:hint="default" w:ascii="Times New Roman" w:hAnsi="Times New Roman" w:eastAsia="宋体" w:cs="Times New Roman"/>
                      <w:color w:val="auto"/>
                      <w:kern w:val="2"/>
                      <w:sz w:val="18"/>
                      <w:szCs w:val="18"/>
                      <w:u w:val="none"/>
                      <w:lang w:val="en-US" w:eastAsia="zh-CN" w:bidi="ar-SA"/>
                    </w:rPr>
                  </w:pPr>
                  <w:r>
                    <w:rPr>
                      <w:rFonts w:hint="eastAsia" w:ascii="Times New Roman" w:hAnsi="Times New Roman" w:eastAsia="宋体" w:cs="Times New Roman"/>
                      <w:color w:val="auto"/>
                      <w:kern w:val="2"/>
                      <w:sz w:val="18"/>
                      <w:szCs w:val="18"/>
                      <w:u w:val="none"/>
                      <w:lang w:val="en-US" w:eastAsia="zh-CN" w:bidi="ar-SA"/>
                    </w:rPr>
                    <w:t>209.</w:t>
                  </w:r>
                  <w:r>
                    <w:rPr>
                      <w:rFonts w:hint="eastAsia" w:cs="Times New Roman"/>
                      <w:color w:val="auto"/>
                      <w:kern w:val="2"/>
                      <w:sz w:val="18"/>
                      <w:szCs w:val="18"/>
                      <w:u w:val="none"/>
                      <w:lang w:val="en-US" w:eastAsia="zh-CN" w:bidi="ar-SA"/>
                    </w:rPr>
                    <w:t>2</w:t>
                  </w:r>
                </w:p>
              </w:tc>
              <w:tc>
                <w:tcPr>
                  <w:tcW w:w="660" w:type="dxa"/>
                  <w:noWrap w:val="0"/>
                  <w:vAlign w:val="center"/>
                </w:tcPr>
                <w:p>
                  <w:pPr>
                    <w:pStyle w:val="6"/>
                    <w:keepNext w:val="0"/>
                    <w:keepLines w:val="0"/>
                    <w:suppressLineNumbers w:val="0"/>
                    <w:spacing w:before="0" w:beforeAutospacing="0" w:after="0" w:afterAutospacing="0"/>
                    <w:ind w:left="0" w:right="0" w:firstLine="0" w:firstLineChars="0"/>
                    <w:jc w:val="center"/>
                    <w:rPr>
                      <w:rFonts w:hint="eastAsia" w:ascii="Times New Roman" w:hAnsi="Times New Roman" w:eastAsia="宋体" w:cs="Times New Roman"/>
                      <w:color w:val="auto"/>
                      <w:kern w:val="2"/>
                      <w:sz w:val="18"/>
                      <w:szCs w:val="18"/>
                      <w:u w:val="none"/>
                      <w:lang w:val="en-US" w:eastAsia="zh-CN" w:bidi="ar-SA"/>
                    </w:rPr>
                  </w:pPr>
                  <w:r>
                    <w:rPr>
                      <w:rFonts w:hint="eastAsia"/>
                      <w:color w:val="auto"/>
                      <w:sz w:val="18"/>
                      <w:szCs w:val="18"/>
                      <w:u w:val="none"/>
                      <w:lang w:val="en-US" w:eastAsia="zh-CN"/>
                    </w:rPr>
                    <w:t>西南</w:t>
                  </w:r>
                </w:p>
              </w:tc>
              <w:tc>
                <w:tcPr>
                  <w:tcW w:w="840" w:type="dxa"/>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lang w:val="en-US" w:eastAsia="zh-CN"/>
                    </w:rPr>
                  </w:pPr>
                  <w:r>
                    <w:rPr>
                      <w:rFonts w:hint="eastAsia"/>
                      <w:color w:val="auto"/>
                      <w:sz w:val="18"/>
                      <w:szCs w:val="18"/>
                      <w:u w:val="none"/>
                      <w:lang w:val="en-US" w:eastAsia="zh-CN"/>
                    </w:rPr>
                    <w:t>490</w:t>
                  </w:r>
                </w:p>
              </w:tc>
              <w:tc>
                <w:tcPr>
                  <w:tcW w:w="645" w:type="dxa"/>
                  <w:noWrap w:val="0"/>
                  <w:vAlign w:val="center"/>
                </w:tcPr>
                <w:p>
                  <w:pPr>
                    <w:pStyle w:val="6"/>
                    <w:keepNext w:val="0"/>
                    <w:keepLines w:val="0"/>
                    <w:suppressLineNumbers w:val="0"/>
                    <w:spacing w:before="0" w:beforeAutospacing="0" w:after="0" w:afterAutospacing="0"/>
                    <w:ind w:left="0" w:right="0" w:firstLine="0" w:firstLineChars="0"/>
                    <w:jc w:val="center"/>
                    <w:rPr>
                      <w:rFonts w:hint="eastAsia"/>
                      <w:color w:val="auto"/>
                      <w:sz w:val="18"/>
                      <w:szCs w:val="18"/>
                      <w:u w:val="none"/>
                      <w:lang w:val="en-US" w:eastAsia="zh-CN"/>
                    </w:rPr>
                  </w:pPr>
                  <w:r>
                    <w:rPr>
                      <w:rFonts w:hint="eastAsia"/>
                      <w:color w:val="auto"/>
                      <w:sz w:val="18"/>
                      <w:szCs w:val="18"/>
                      <w:u w:val="none"/>
                      <w:lang w:val="en-US" w:eastAsia="zh-CN"/>
                    </w:rPr>
                    <w:t>无阻隔</w:t>
                  </w:r>
                </w:p>
              </w:tc>
              <w:tc>
                <w:tcPr>
                  <w:tcW w:w="525" w:type="dxa"/>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rPr>
                  </w:pPr>
                  <w:r>
                    <w:rPr>
                      <w:rFonts w:hint="default"/>
                      <w:color w:val="auto"/>
                      <w:sz w:val="18"/>
                      <w:szCs w:val="18"/>
                      <w:u w:val="none"/>
                    </w:rPr>
                    <w:t>居住区</w:t>
                  </w:r>
                </w:p>
              </w:tc>
              <w:tc>
                <w:tcPr>
                  <w:tcW w:w="570" w:type="dxa"/>
                  <w:noWrap w:val="0"/>
                  <w:vAlign w:val="center"/>
                </w:tcPr>
                <w:p>
                  <w:pPr>
                    <w:pStyle w:val="6"/>
                    <w:keepNext w:val="0"/>
                    <w:keepLines w:val="0"/>
                    <w:suppressLineNumbers w:val="0"/>
                    <w:spacing w:before="0" w:beforeAutospacing="0" w:after="0" w:afterAutospacing="0"/>
                    <w:ind w:left="0" w:right="0" w:firstLine="0" w:firstLineChars="0"/>
                    <w:jc w:val="center"/>
                    <w:rPr>
                      <w:rFonts w:hint="eastAsia"/>
                      <w:color w:val="auto"/>
                      <w:sz w:val="18"/>
                      <w:szCs w:val="18"/>
                      <w:u w:val="none"/>
                      <w:lang w:val="en-US" w:eastAsia="zh-CN"/>
                    </w:rPr>
                  </w:pPr>
                  <w:r>
                    <w:rPr>
                      <w:rFonts w:hint="eastAsia"/>
                      <w:color w:val="auto"/>
                      <w:sz w:val="18"/>
                      <w:szCs w:val="18"/>
                      <w:u w:val="none"/>
                      <w:lang w:val="en-US" w:eastAsia="zh-CN"/>
                    </w:rPr>
                    <w:t>约45户</w:t>
                  </w:r>
                </w:p>
              </w:tc>
              <w:tc>
                <w:tcPr>
                  <w:tcW w:w="1429" w:type="dxa"/>
                  <w:vMerge w:val="continue"/>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u w:val="none"/>
                    </w:rPr>
                  </w:pPr>
                </w:p>
              </w:tc>
            </w:tr>
          </w:tbl>
          <w:p>
            <w:pPr>
              <w:pStyle w:val="78"/>
              <w:keepNext w:val="0"/>
              <w:keepLines w:val="0"/>
              <w:suppressLineNumbers w:val="0"/>
              <w:spacing w:before="0" w:beforeAutospacing="0" w:after="0" w:afterAutospacing="0" w:line="360" w:lineRule="auto"/>
              <w:ind w:left="0" w:right="0" w:firstLine="482"/>
              <w:jc w:val="left"/>
              <w:rPr>
                <w:rFonts w:hint="default" w:hAnsi="Times New Roman" w:cs="Times New Roman"/>
                <w:b/>
                <w:strike w:val="0"/>
                <w:dstrike w:val="0"/>
                <w:color w:val="auto"/>
                <w:sz w:val="24"/>
                <w:u w:val="none"/>
              </w:rPr>
            </w:pPr>
            <w:r>
              <w:rPr>
                <w:rFonts w:hint="eastAsia" w:hAnsi="Times New Roman" w:cs="Times New Roman"/>
                <w:b/>
                <w:strike w:val="0"/>
                <w:dstrike w:val="0"/>
                <w:color w:val="auto"/>
                <w:sz w:val="24"/>
                <w:u w:val="none"/>
              </w:rPr>
              <w:t>2、声环境</w:t>
            </w:r>
          </w:p>
          <w:p>
            <w:pPr>
              <w:pStyle w:val="78"/>
              <w:keepNext w:val="0"/>
              <w:keepLines w:val="0"/>
              <w:suppressLineNumbers w:val="0"/>
              <w:spacing w:before="0" w:beforeAutospacing="0" w:after="0" w:afterAutospacing="0" w:line="360" w:lineRule="auto"/>
              <w:ind w:left="0" w:right="0"/>
              <w:jc w:val="left"/>
              <w:rPr>
                <w:rFonts w:hint="eastAsia" w:hAnsi="Times New Roman" w:cs="Times New Roman"/>
                <w:bCs/>
                <w:strike w:val="0"/>
                <w:dstrike w:val="0"/>
                <w:color w:val="auto"/>
                <w:sz w:val="24"/>
                <w:u w:val="none"/>
              </w:rPr>
            </w:pPr>
            <w:r>
              <w:rPr>
                <w:rFonts w:hint="eastAsia" w:hAnsi="Times New Roman" w:cs="Times New Roman"/>
                <w:bCs/>
                <w:strike w:val="0"/>
                <w:dstrike w:val="0"/>
                <w:color w:val="auto"/>
                <w:sz w:val="24"/>
                <w:u w:val="none"/>
              </w:rPr>
              <w:t>本项目位于</w:t>
            </w:r>
            <w:r>
              <w:rPr>
                <w:rFonts w:hint="eastAsia" w:cs="宋体"/>
                <w:color w:val="auto"/>
                <w:sz w:val="24"/>
                <w:u w:val="none"/>
              </w:rPr>
              <w:t>永州市新田县龙泉街道工业集中区工业南园</w:t>
            </w:r>
            <w:r>
              <w:rPr>
                <w:rFonts w:hint="eastAsia" w:hAnsi="Times New Roman" w:cs="Times New Roman"/>
                <w:bCs/>
                <w:strike w:val="0"/>
                <w:dstrike w:val="0"/>
                <w:color w:val="auto"/>
                <w:sz w:val="24"/>
                <w:u w:val="none"/>
              </w:rPr>
              <w:t>，项目周边主要为</w:t>
            </w:r>
            <w:r>
              <w:rPr>
                <w:rFonts w:hint="eastAsia" w:hAnsi="Times New Roman" w:cs="Times New Roman"/>
                <w:bCs/>
                <w:strike w:val="0"/>
                <w:dstrike w:val="0"/>
                <w:color w:val="auto"/>
                <w:sz w:val="24"/>
                <w:u w:val="none"/>
                <w:lang w:val="en-US" w:eastAsia="zh-CN"/>
              </w:rPr>
              <w:t>农田和拟建的</w:t>
            </w:r>
            <w:r>
              <w:rPr>
                <w:rFonts w:hint="eastAsia" w:hAnsi="Times New Roman" w:cs="Times New Roman"/>
                <w:bCs/>
                <w:strike w:val="0"/>
                <w:dstrike w:val="0"/>
                <w:color w:val="auto"/>
                <w:sz w:val="24"/>
                <w:u w:val="none"/>
              </w:rPr>
              <w:t>工业企业，项目周边</w:t>
            </w:r>
            <w:r>
              <w:rPr>
                <w:rFonts w:hint="eastAsia" w:hAnsi="Times New Roman" w:cs="Times New Roman"/>
                <w:bCs/>
                <w:strike w:val="0"/>
                <w:dstrike w:val="0"/>
                <w:color w:val="auto"/>
                <w:sz w:val="24"/>
                <w:u w:val="none"/>
                <w:lang w:val="en-US" w:eastAsia="zh-CN"/>
              </w:rPr>
              <w:t>5</w:t>
            </w:r>
            <w:r>
              <w:rPr>
                <w:rFonts w:hint="eastAsia" w:hAnsi="Times New Roman" w:cs="Times New Roman"/>
                <w:bCs/>
                <w:strike w:val="0"/>
                <w:dstrike w:val="0"/>
                <w:color w:val="auto"/>
                <w:sz w:val="24"/>
                <w:u w:val="none"/>
              </w:rPr>
              <w:t>0m范围内无声环境敏感目标。</w:t>
            </w:r>
          </w:p>
          <w:p>
            <w:pPr>
              <w:pStyle w:val="78"/>
              <w:keepNext w:val="0"/>
              <w:keepLines w:val="0"/>
              <w:suppressLineNumbers w:val="0"/>
              <w:spacing w:before="0" w:beforeAutospacing="0" w:after="0" w:afterAutospacing="0" w:line="360" w:lineRule="auto"/>
              <w:ind w:left="0" w:right="0" w:firstLine="482"/>
              <w:jc w:val="left"/>
              <w:rPr>
                <w:rFonts w:hint="eastAsia" w:hAnsi="Times New Roman" w:cs="Times New Roman"/>
                <w:b/>
                <w:color w:val="auto"/>
                <w:sz w:val="24"/>
              </w:rPr>
            </w:pPr>
            <w:r>
              <w:rPr>
                <w:rFonts w:hint="eastAsia" w:hAnsi="Times New Roman" w:cs="Times New Roman"/>
                <w:b/>
                <w:color w:val="auto"/>
                <w:sz w:val="24"/>
              </w:rPr>
              <w:t>3、地下水环境</w:t>
            </w:r>
          </w:p>
          <w:p>
            <w:pPr>
              <w:pStyle w:val="78"/>
              <w:keepNext w:val="0"/>
              <w:keepLines w:val="0"/>
              <w:suppressLineNumbers w:val="0"/>
              <w:spacing w:before="0" w:beforeAutospacing="0" w:after="0" w:afterAutospacing="0" w:line="360" w:lineRule="auto"/>
              <w:ind w:left="0" w:right="0"/>
              <w:jc w:val="left"/>
              <w:rPr>
                <w:rFonts w:hint="eastAsia" w:hAnsi="Times New Roman" w:cs="Times New Roman"/>
                <w:bCs/>
                <w:color w:val="auto"/>
                <w:sz w:val="24"/>
              </w:rPr>
            </w:pPr>
            <w:r>
              <w:rPr>
                <w:rFonts w:hint="eastAsia" w:hAnsi="Times New Roman" w:cs="Times New Roman"/>
                <w:bCs/>
                <w:color w:val="auto"/>
                <w:sz w:val="24"/>
              </w:rPr>
              <w:t>本项目厂界外500m范围内无地下水集中式饮用水水源和热水、矿泉水、温泉等特殊地下水资源。</w:t>
            </w:r>
          </w:p>
          <w:p>
            <w:pPr>
              <w:pStyle w:val="78"/>
              <w:keepNext w:val="0"/>
              <w:keepLines w:val="0"/>
              <w:suppressLineNumbers w:val="0"/>
              <w:spacing w:before="0" w:beforeAutospacing="0" w:after="0" w:afterAutospacing="0" w:line="360" w:lineRule="auto"/>
              <w:ind w:left="0" w:right="0" w:firstLine="482"/>
              <w:jc w:val="left"/>
              <w:rPr>
                <w:rFonts w:hint="eastAsia" w:hAnsi="Times New Roman" w:cs="Times New Roman"/>
                <w:b/>
                <w:color w:val="auto"/>
                <w:sz w:val="24"/>
              </w:rPr>
            </w:pPr>
            <w:r>
              <w:rPr>
                <w:rFonts w:hint="eastAsia" w:hAnsi="Times New Roman" w:cs="Times New Roman"/>
                <w:b/>
                <w:color w:val="auto"/>
                <w:sz w:val="24"/>
              </w:rPr>
              <w:t>4、地表水环境</w:t>
            </w:r>
          </w:p>
          <w:p>
            <w:pPr>
              <w:pStyle w:val="78"/>
              <w:keepNext w:val="0"/>
              <w:keepLines w:val="0"/>
              <w:suppressLineNumbers w:val="0"/>
              <w:spacing w:before="0" w:beforeAutospacing="0" w:after="0" w:afterAutospacing="0" w:line="360" w:lineRule="auto"/>
              <w:ind w:left="0" w:right="0"/>
              <w:jc w:val="left"/>
              <w:rPr>
                <w:rFonts w:hint="eastAsia" w:hAnsi="Times New Roman" w:cs="Times New Roman"/>
                <w:bCs/>
                <w:color w:val="auto"/>
                <w:sz w:val="24"/>
              </w:rPr>
            </w:pPr>
            <w:r>
              <w:rPr>
                <w:rFonts w:hint="eastAsia" w:hAnsi="Times New Roman" w:cs="Times New Roman"/>
                <w:bCs/>
                <w:color w:val="auto"/>
                <w:sz w:val="24"/>
              </w:rPr>
              <w:t>本项目地表水主要为</w:t>
            </w:r>
            <w:r>
              <w:rPr>
                <w:rFonts w:hint="eastAsia" w:hAnsi="Times New Roman" w:cs="Times New Roman"/>
                <w:bCs/>
                <w:color w:val="auto"/>
                <w:sz w:val="24"/>
                <w:lang w:val="en-US" w:eastAsia="zh-CN"/>
              </w:rPr>
              <w:t>东面1.4km</w:t>
            </w:r>
            <w:r>
              <w:rPr>
                <w:rFonts w:hint="eastAsia" w:hAnsi="Times New Roman" w:cs="Times New Roman"/>
                <w:bCs/>
                <w:color w:val="auto"/>
                <w:sz w:val="24"/>
              </w:rPr>
              <w:t>处的</w:t>
            </w:r>
            <w:r>
              <w:rPr>
                <w:rFonts w:hint="eastAsia" w:hAnsi="Times New Roman" w:cs="Times New Roman"/>
                <w:bCs/>
                <w:color w:val="auto"/>
                <w:sz w:val="24"/>
                <w:lang w:val="en-US" w:eastAsia="zh-CN"/>
              </w:rPr>
              <w:t>新田河</w:t>
            </w:r>
            <w:r>
              <w:rPr>
                <w:rFonts w:hint="eastAsia" w:hAnsi="Times New Roman" w:cs="Times New Roman"/>
                <w:bCs/>
                <w:color w:val="auto"/>
                <w:sz w:val="24"/>
              </w:rPr>
              <w:t>，所在区域内的地表水功能均为农业用水区，具体见下表：</w:t>
            </w:r>
          </w:p>
          <w:p>
            <w:pPr>
              <w:keepNext w:val="0"/>
              <w:keepLines w:val="0"/>
              <w:suppressLineNumbers w:val="0"/>
              <w:snapToGrid w:val="0"/>
              <w:spacing w:before="0" w:beforeAutospacing="0" w:after="0" w:afterAutospacing="0"/>
              <w:ind w:left="0" w:right="0"/>
              <w:jc w:val="center"/>
              <w:rPr>
                <w:rFonts w:hint="default"/>
                <w:b/>
                <w:color w:val="auto"/>
                <w:szCs w:val="21"/>
              </w:rPr>
            </w:pPr>
            <w:r>
              <w:rPr>
                <w:rFonts w:hint="default"/>
                <w:b/>
                <w:color w:val="auto"/>
                <w:szCs w:val="21"/>
              </w:rPr>
              <w:t>表3-</w:t>
            </w:r>
            <w:r>
              <w:rPr>
                <w:rFonts w:hint="eastAsia"/>
                <w:b/>
                <w:color w:val="auto"/>
                <w:szCs w:val="21"/>
                <w:lang w:val="en-US" w:eastAsia="zh-CN"/>
              </w:rPr>
              <w:t xml:space="preserve">4 </w:t>
            </w:r>
            <w:r>
              <w:rPr>
                <w:rFonts w:hint="default"/>
                <w:b/>
                <w:color w:val="auto"/>
                <w:szCs w:val="21"/>
              </w:rPr>
              <w:t>地表水环境保护目标一览表</w:t>
            </w:r>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869"/>
              <w:gridCol w:w="1258"/>
              <w:gridCol w:w="2578"/>
              <w:gridCol w:w="22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 w:hRule="atLeast"/>
                <w:jc w:val="center"/>
              </w:trPr>
              <w:tc>
                <w:tcPr>
                  <w:tcW w:w="1869" w:type="dxa"/>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rPr>
                    <w:t>名称</w:t>
                  </w:r>
                </w:p>
              </w:tc>
              <w:tc>
                <w:tcPr>
                  <w:tcW w:w="1258" w:type="dxa"/>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rPr>
                  </w:pPr>
                  <w:r>
                    <w:rPr>
                      <w:rFonts w:hint="default"/>
                      <w:color w:val="auto"/>
                      <w:sz w:val="18"/>
                      <w:szCs w:val="18"/>
                    </w:rPr>
                    <w:t>保护对象</w:t>
                  </w:r>
                </w:p>
              </w:tc>
              <w:tc>
                <w:tcPr>
                  <w:tcW w:w="2578" w:type="dxa"/>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rPr>
                  </w:pPr>
                  <w:r>
                    <w:rPr>
                      <w:rFonts w:hint="default"/>
                      <w:color w:val="auto"/>
                      <w:sz w:val="18"/>
                      <w:szCs w:val="18"/>
                    </w:rPr>
                    <w:t>与项目位置关系</w:t>
                  </w:r>
                </w:p>
              </w:tc>
              <w:tc>
                <w:tcPr>
                  <w:tcW w:w="2267" w:type="dxa"/>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rPr>
                  </w:pPr>
                  <w:r>
                    <w:rPr>
                      <w:rFonts w:hint="default"/>
                      <w:color w:val="auto"/>
                      <w:sz w:val="18"/>
                      <w:szCs w:val="18"/>
                    </w:rPr>
                    <w:t>保护要求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869" w:type="dxa"/>
                  <w:noWrap w:val="0"/>
                  <w:vAlign w:val="center"/>
                </w:tcPr>
                <w:p>
                  <w:pPr>
                    <w:pStyle w:val="6"/>
                    <w:keepNext w:val="0"/>
                    <w:keepLines w:val="0"/>
                    <w:suppressLineNumbers w:val="0"/>
                    <w:spacing w:before="0" w:beforeAutospacing="0" w:after="0" w:afterAutospacing="0"/>
                    <w:ind w:left="0" w:right="0" w:firstLine="0" w:firstLineChars="0"/>
                    <w:jc w:val="center"/>
                    <w:rPr>
                      <w:rFonts w:hint="default" w:eastAsia="宋体"/>
                      <w:color w:val="auto"/>
                      <w:sz w:val="18"/>
                      <w:szCs w:val="18"/>
                      <w:lang w:val="en-US" w:eastAsia="zh-CN"/>
                    </w:rPr>
                  </w:pPr>
                  <w:r>
                    <w:rPr>
                      <w:rFonts w:hint="eastAsia"/>
                      <w:color w:val="auto"/>
                      <w:sz w:val="18"/>
                      <w:szCs w:val="18"/>
                      <w:lang w:val="en-US" w:eastAsia="zh-CN"/>
                    </w:rPr>
                    <w:t>新田河</w:t>
                  </w:r>
                </w:p>
              </w:tc>
              <w:tc>
                <w:tcPr>
                  <w:tcW w:w="1258" w:type="dxa"/>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rPr>
                  </w:pPr>
                  <w:r>
                    <w:rPr>
                      <w:rFonts w:hint="default"/>
                      <w:color w:val="auto"/>
                      <w:sz w:val="18"/>
                      <w:szCs w:val="18"/>
                    </w:rPr>
                    <w:t>农业用水区</w:t>
                  </w:r>
                </w:p>
              </w:tc>
              <w:tc>
                <w:tcPr>
                  <w:tcW w:w="2578" w:type="dxa"/>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rPr>
                  </w:pPr>
                  <w:r>
                    <w:rPr>
                      <w:rFonts w:hint="eastAsia"/>
                      <w:color w:val="auto"/>
                      <w:sz w:val="18"/>
                      <w:szCs w:val="18"/>
                      <w:lang w:val="en-US" w:eastAsia="zh-CN"/>
                    </w:rPr>
                    <w:t>东1.4</w:t>
                  </w:r>
                  <w:r>
                    <w:rPr>
                      <w:rFonts w:hint="eastAsia"/>
                      <w:color w:val="auto"/>
                      <w:sz w:val="18"/>
                      <w:szCs w:val="18"/>
                    </w:rPr>
                    <w:t>km</w:t>
                  </w:r>
                </w:p>
              </w:tc>
              <w:tc>
                <w:tcPr>
                  <w:tcW w:w="2267" w:type="dxa"/>
                  <w:noWrap w:val="0"/>
                  <w:vAlign w:val="center"/>
                </w:tcPr>
                <w:p>
                  <w:pPr>
                    <w:pStyle w:val="6"/>
                    <w:keepNext w:val="0"/>
                    <w:keepLines w:val="0"/>
                    <w:suppressLineNumbers w:val="0"/>
                    <w:spacing w:before="0" w:beforeAutospacing="0" w:after="0" w:afterAutospacing="0"/>
                    <w:ind w:left="0" w:right="0" w:firstLine="0" w:firstLineChars="0"/>
                    <w:jc w:val="center"/>
                    <w:rPr>
                      <w:rFonts w:hint="default"/>
                      <w:color w:val="auto"/>
                      <w:sz w:val="18"/>
                      <w:szCs w:val="18"/>
                    </w:rPr>
                  </w:pPr>
                  <w:r>
                    <w:rPr>
                      <w:rFonts w:hint="default"/>
                      <w:color w:val="auto"/>
                      <w:sz w:val="18"/>
                      <w:szCs w:val="18"/>
                    </w:rPr>
                    <w:t>（GB3838-2002）</w:t>
                  </w:r>
                  <w:r>
                    <w:rPr>
                      <w:rFonts w:hint="default"/>
                      <w:color w:val="auto"/>
                      <w:sz w:val="18"/>
                      <w:szCs w:val="18"/>
                    </w:rPr>
                    <w:fldChar w:fldCharType="begin"/>
                  </w:r>
                  <w:r>
                    <w:rPr>
                      <w:rFonts w:hint="default"/>
                      <w:color w:val="auto"/>
                      <w:sz w:val="18"/>
                      <w:szCs w:val="18"/>
                    </w:rPr>
                    <w:instrText xml:space="preserve"> = 3 \* ROMAN \* MERGEFORMAT </w:instrText>
                  </w:r>
                  <w:r>
                    <w:rPr>
                      <w:rFonts w:hint="default"/>
                      <w:color w:val="auto"/>
                      <w:sz w:val="18"/>
                      <w:szCs w:val="18"/>
                    </w:rPr>
                    <w:fldChar w:fldCharType="separate"/>
                  </w:r>
                  <w:r>
                    <w:rPr>
                      <w:rFonts w:hint="default"/>
                      <w:color w:val="auto"/>
                      <w:sz w:val="18"/>
                      <w:szCs w:val="18"/>
                    </w:rPr>
                    <w:t>III</w:t>
                  </w:r>
                  <w:r>
                    <w:rPr>
                      <w:rFonts w:hint="default"/>
                      <w:color w:val="auto"/>
                      <w:sz w:val="18"/>
                      <w:szCs w:val="18"/>
                    </w:rPr>
                    <w:fldChar w:fldCharType="end"/>
                  </w:r>
                  <w:r>
                    <w:rPr>
                      <w:rFonts w:hint="default"/>
                      <w:color w:val="auto"/>
                      <w:sz w:val="18"/>
                      <w:szCs w:val="18"/>
                    </w:rPr>
                    <w:t>类</w:t>
                  </w:r>
                </w:p>
              </w:tc>
            </w:tr>
          </w:tbl>
          <w:p>
            <w:pPr>
              <w:pStyle w:val="78"/>
              <w:keepNext w:val="0"/>
              <w:keepLines w:val="0"/>
              <w:suppressLineNumbers w:val="0"/>
              <w:spacing w:before="0" w:beforeAutospacing="0" w:after="0" w:afterAutospacing="0" w:line="360" w:lineRule="auto"/>
              <w:ind w:left="0" w:right="0" w:firstLine="482"/>
              <w:jc w:val="left"/>
              <w:rPr>
                <w:rFonts w:hint="eastAsia" w:hAnsi="Times New Roman" w:cs="Times New Roman"/>
                <w:b/>
                <w:color w:val="auto"/>
                <w:sz w:val="24"/>
              </w:rPr>
            </w:pPr>
            <w:r>
              <w:rPr>
                <w:rFonts w:hint="eastAsia" w:hAnsi="Times New Roman" w:cs="Times New Roman"/>
                <w:b/>
                <w:color w:val="auto"/>
                <w:sz w:val="24"/>
              </w:rPr>
              <w:t>5、生态环境</w:t>
            </w:r>
          </w:p>
          <w:p>
            <w:pPr>
              <w:pStyle w:val="78"/>
              <w:keepNext w:val="0"/>
              <w:keepLines w:val="0"/>
              <w:suppressLineNumbers w:val="0"/>
              <w:spacing w:before="0" w:beforeAutospacing="0" w:after="0" w:afterAutospacing="0" w:line="360" w:lineRule="auto"/>
              <w:ind w:left="0" w:right="0"/>
              <w:jc w:val="left"/>
              <w:rPr>
                <w:rFonts w:hint="eastAsia" w:hAnsi="Times New Roman" w:cs="Times New Roman"/>
                <w:bCs/>
                <w:color w:val="auto"/>
                <w:sz w:val="24"/>
              </w:rPr>
            </w:pPr>
            <w:r>
              <w:rPr>
                <w:rFonts w:hint="eastAsia" w:hAnsi="Times New Roman" w:cs="Times New Roman"/>
                <w:bCs/>
                <w:color w:val="auto"/>
                <w:sz w:val="24"/>
              </w:rPr>
              <w:t>本项目位于</w:t>
            </w:r>
            <w:r>
              <w:rPr>
                <w:rFonts w:hint="eastAsia" w:cs="宋体"/>
                <w:color w:val="auto"/>
                <w:sz w:val="24"/>
              </w:rPr>
              <w:t>永州市新田县龙泉街道工业集中区工业南园</w:t>
            </w:r>
            <w:r>
              <w:rPr>
                <w:rFonts w:hint="eastAsia" w:hAnsi="Times New Roman" w:cs="Times New Roman"/>
                <w:bCs/>
                <w:color w:val="auto"/>
                <w:sz w:val="24"/>
              </w:rPr>
              <w:t>，</w:t>
            </w:r>
            <w:r>
              <w:rPr>
                <w:rFonts w:hint="eastAsia" w:hAnsi="Times New Roman" w:cs="Times New Roman"/>
                <w:bCs/>
                <w:color w:val="auto"/>
                <w:sz w:val="24"/>
                <w:lang w:val="en-US" w:eastAsia="zh-CN"/>
              </w:rPr>
              <w:t>项目周边主要为农田生态系统和农村居住用地</w:t>
            </w:r>
            <w:r>
              <w:rPr>
                <w:rFonts w:hint="eastAsia" w:hAnsi="Times New Roman" w:cs="Times New Roman"/>
                <w:bCs/>
                <w:color w:val="auto"/>
                <w:sz w:val="24"/>
              </w:rPr>
              <w:t>，</w:t>
            </w:r>
            <w:r>
              <w:rPr>
                <w:rStyle w:val="40"/>
                <w:rFonts w:hint="eastAsia" w:hAnsi="Times New Roman" w:cs="Times New Roman"/>
                <w:color w:val="auto"/>
                <w:kern w:val="0"/>
                <w:sz w:val="24"/>
              </w:rPr>
              <w:t>无</w:t>
            </w:r>
            <w:r>
              <w:rPr>
                <w:rFonts w:hint="eastAsia" w:hAnsi="Times New Roman" w:cs="Times New Roman"/>
                <w:bCs/>
                <w:color w:val="auto"/>
                <w:sz w:val="24"/>
              </w:rPr>
              <w:t>生态环境保护目标。</w:t>
            </w:r>
          </w:p>
          <w:p>
            <w:pPr>
              <w:pStyle w:val="78"/>
              <w:keepNext w:val="0"/>
              <w:keepLines w:val="0"/>
              <w:suppressLineNumbers w:val="0"/>
              <w:spacing w:before="0" w:beforeAutospacing="0" w:after="0" w:afterAutospacing="0" w:line="360" w:lineRule="auto"/>
              <w:ind w:left="0" w:right="0"/>
              <w:jc w:val="left"/>
              <w:rPr>
                <w:rFonts w:hint="eastAsia" w:hAnsi="Times New Roman" w:cs="Times New Roman"/>
                <w:bCs/>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807" w:type="dxa"/>
            <w:noWrap w:val="0"/>
            <w:tcMar>
              <w:left w:w="28" w:type="dxa"/>
              <w:right w:w="28" w:type="dxa"/>
            </w:tcMar>
            <w:vAlign w:val="center"/>
          </w:tcPr>
          <w:p>
            <w:pPr>
              <w:keepNext w:val="0"/>
              <w:keepLines w:val="0"/>
              <w:suppressLineNumbers w:val="0"/>
              <w:adjustRightInd w:val="0"/>
              <w:snapToGrid w:val="0"/>
              <w:spacing w:before="0" w:beforeAutospacing="0" w:after="0" w:afterAutospacing="0"/>
              <w:ind w:left="0" w:right="0"/>
              <w:jc w:val="center"/>
              <w:rPr>
                <w:rFonts w:hint="eastAsia" w:cs="宋体"/>
                <w:color w:val="auto"/>
                <w:kern w:val="0"/>
                <w:sz w:val="24"/>
              </w:rPr>
            </w:pPr>
            <w:r>
              <w:rPr>
                <w:rFonts w:hint="eastAsia" w:cs="宋体"/>
                <w:color w:val="auto"/>
                <w:kern w:val="0"/>
                <w:sz w:val="24"/>
              </w:rPr>
              <w:t>污染</w:t>
            </w:r>
          </w:p>
          <w:p>
            <w:pPr>
              <w:keepNext w:val="0"/>
              <w:keepLines w:val="0"/>
              <w:suppressLineNumbers w:val="0"/>
              <w:adjustRightInd w:val="0"/>
              <w:snapToGrid w:val="0"/>
              <w:spacing w:before="0" w:beforeAutospacing="0" w:after="0" w:afterAutospacing="0"/>
              <w:ind w:left="0" w:right="0"/>
              <w:jc w:val="center"/>
              <w:rPr>
                <w:rFonts w:hint="eastAsia" w:cs="宋体"/>
                <w:color w:val="auto"/>
                <w:kern w:val="0"/>
                <w:sz w:val="24"/>
              </w:rPr>
            </w:pPr>
            <w:r>
              <w:rPr>
                <w:rFonts w:hint="eastAsia" w:cs="宋体"/>
                <w:color w:val="auto"/>
                <w:kern w:val="0"/>
                <w:sz w:val="24"/>
              </w:rPr>
              <w:t>物排</w:t>
            </w:r>
          </w:p>
          <w:p>
            <w:pPr>
              <w:keepNext w:val="0"/>
              <w:keepLines w:val="0"/>
              <w:suppressLineNumbers w:val="0"/>
              <w:adjustRightInd w:val="0"/>
              <w:snapToGrid w:val="0"/>
              <w:spacing w:before="0" w:beforeAutospacing="0" w:after="0" w:afterAutospacing="0"/>
              <w:ind w:left="0" w:right="0"/>
              <w:jc w:val="center"/>
              <w:rPr>
                <w:rFonts w:hint="eastAsia" w:cs="宋体"/>
                <w:color w:val="auto"/>
                <w:kern w:val="0"/>
                <w:sz w:val="24"/>
              </w:rPr>
            </w:pPr>
            <w:r>
              <w:rPr>
                <w:rFonts w:hint="eastAsia" w:cs="宋体"/>
                <w:color w:val="auto"/>
                <w:kern w:val="0"/>
                <w:sz w:val="24"/>
              </w:rPr>
              <w:t>放控</w:t>
            </w:r>
          </w:p>
          <w:p>
            <w:pPr>
              <w:keepNext w:val="0"/>
              <w:keepLines w:val="0"/>
              <w:suppressLineNumbers w:val="0"/>
              <w:adjustRightInd w:val="0"/>
              <w:snapToGrid w:val="0"/>
              <w:spacing w:before="0" w:beforeAutospacing="0" w:after="0" w:afterAutospacing="0"/>
              <w:ind w:left="0" w:right="0"/>
              <w:jc w:val="center"/>
              <w:rPr>
                <w:rFonts w:hint="eastAsia" w:cs="宋体"/>
                <w:color w:val="auto"/>
                <w:kern w:val="0"/>
                <w:sz w:val="24"/>
              </w:rPr>
            </w:pPr>
            <w:r>
              <w:rPr>
                <w:rFonts w:hint="eastAsia" w:cs="宋体"/>
                <w:color w:val="auto"/>
                <w:kern w:val="0"/>
                <w:sz w:val="24"/>
              </w:rPr>
              <w:t>制标</w:t>
            </w: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r>
              <w:rPr>
                <w:rFonts w:hint="eastAsia" w:cs="宋体"/>
                <w:color w:val="auto"/>
                <w:kern w:val="0"/>
                <w:sz w:val="24"/>
              </w:rPr>
              <w:t>准</w:t>
            </w:r>
          </w:p>
        </w:tc>
        <w:tc>
          <w:tcPr>
            <w:tcW w:w="8264" w:type="dxa"/>
            <w:noWrap w:val="0"/>
            <w:vAlign w:val="center"/>
          </w:tcPr>
          <w:p>
            <w:pPr>
              <w:pStyle w:val="13"/>
              <w:keepNext w:val="0"/>
              <w:keepLines w:val="0"/>
              <w:suppressLineNumbers w:val="0"/>
              <w:spacing w:before="0" w:beforeAutospacing="0" w:after="0" w:afterAutospacing="0" w:line="360" w:lineRule="auto"/>
              <w:ind w:left="0" w:right="0"/>
              <w:rPr>
                <w:rFonts w:hint="default" w:ascii="Times New Roman" w:hAnsi="Times New Roman"/>
                <w:color w:val="auto"/>
                <w:kern w:val="2"/>
                <w:sz w:val="24"/>
                <w:szCs w:val="24"/>
              </w:rPr>
            </w:pPr>
            <w:r>
              <w:rPr>
                <w:rFonts w:hint="default" w:ascii="Times New Roman" w:hAnsi="Times New Roman"/>
                <w:bCs/>
                <w:color w:val="auto"/>
                <w:kern w:val="2"/>
                <w:sz w:val="24"/>
                <w:szCs w:val="24"/>
              </w:rPr>
              <w:t>1、废气：</w:t>
            </w:r>
          </w:p>
          <w:p>
            <w:pPr>
              <w:keepNext w:val="0"/>
              <w:keepLines w:val="0"/>
              <w:suppressLineNumbers w:val="0"/>
              <w:spacing w:before="0" w:beforeAutospacing="0" w:after="0" w:afterAutospacing="0" w:line="360" w:lineRule="auto"/>
              <w:ind w:left="0" w:right="0" w:firstLine="480" w:firstLineChars="200"/>
              <w:rPr>
                <w:rFonts w:hint="default"/>
                <w:color w:val="auto"/>
                <w:sz w:val="24"/>
              </w:rPr>
            </w:pPr>
            <w:r>
              <w:rPr>
                <w:rFonts w:hint="default"/>
                <w:color w:val="auto"/>
                <w:sz w:val="24"/>
              </w:rPr>
              <w:t>本项目施工期扬尘执行《大气污染物综合排放标准》（GB16297-1996）表2无组织监控浓度限值。营运期大气污染物恶臭气体</w:t>
            </w:r>
            <w:r>
              <w:rPr>
                <w:rFonts w:hint="default"/>
                <w:bCs/>
                <w:color w:val="auto"/>
                <w:sz w:val="24"/>
              </w:rPr>
              <w:t>无组织</w:t>
            </w:r>
            <w:r>
              <w:rPr>
                <w:rFonts w:hint="default"/>
                <w:color w:val="auto"/>
                <w:sz w:val="24"/>
              </w:rPr>
              <w:t>排放执行《城镇污水处理厂污染物排放标准》（GB18918-2002）及修改单中大气污染物排放标准表4中的二级标准。见表3-</w:t>
            </w:r>
            <w:r>
              <w:rPr>
                <w:rFonts w:hint="eastAsia"/>
                <w:color w:val="auto"/>
                <w:sz w:val="24"/>
                <w:lang w:val="en-US" w:eastAsia="zh-CN"/>
              </w:rPr>
              <w:t>5</w:t>
            </w:r>
            <w:r>
              <w:rPr>
                <w:rFonts w:hint="default"/>
                <w:color w:val="auto"/>
                <w:sz w:val="24"/>
              </w:rPr>
              <w:t>、3-</w:t>
            </w:r>
            <w:r>
              <w:rPr>
                <w:rFonts w:hint="eastAsia"/>
                <w:color w:val="auto"/>
                <w:sz w:val="24"/>
                <w:lang w:val="en-US" w:eastAsia="zh-CN"/>
              </w:rPr>
              <w:t>6</w:t>
            </w:r>
            <w:r>
              <w:rPr>
                <w:rFonts w:hint="default"/>
                <w:color w:val="auto"/>
                <w:sz w:val="24"/>
              </w:rPr>
              <w:t>。</w:t>
            </w:r>
          </w:p>
          <w:p>
            <w:pPr>
              <w:pStyle w:val="12"/>
              <w:keepNext w:val="0"/>
              <w:keepLines w:val="0"/>
              <w:suppressLineNumbers w:val="0"/>
              <w:spacing w:before="0" w:beforeAutospacing="0" w:after="0" w:afterAutospacing="0"/>
              <w:ind w:left="0" w:leftChars="0" w:right="0"/>
              <w:jc w:val="center"/>
              <w:rPr>
                <w:rFonts w:hint="default"/>
                <w:b/>
                <w:color w:val="auto"/>
                <w:sz w:val="21"/>
                <w:szCs w:val="21"/>
              </w:rPr>
            </w:pPr>
            <w:r>
              <w:rPr>
                <w:rFonts w:hint="default"/>
                <w:b/>
                <w:color w:val="auto"/>
                <w:sz w:val="21"/>
                <w:szCs w:val="21"/>
              </w:rPr>
              <w:t>表3-</w:t>
            </w:r>
            <w:r>
              <w:rPr>
                <w:rFonts w:hint="eastAsia"/>
                <w:b/>
                <w:color w:val="auto"/>
                <w:sz w:val="21"/>
                <w:szCs w:val="21"/>
                <w:lang w:val="en-US" w:eastAsia="zh-CN"/>
              </w:rPr>
              <w:t xml:space="preserve">5 </w:t>
            </w:r>
            <w:r>
              <w:rPr>
                <w:rFonts w:hint="eastAsia"/>
                <w:b/>
                <w:color w:val="auto"/>
                <w:sz w:val="21"/>
                <w:szCs w:val="21"/>
              </w:rPr>
              <w:t>《大气污染物综合排放标准》（GB16297-1996）</w:t>
            </w:r>
            <w:r>
              <w:rPr>
                <w:rFonts w:hint="default"/>
                <w:b/>
                <w:color w:val="auto"/>
                <w:sz w:val="21"/>
                <w:szCs w:val="21"/>
              </w:rPr>
              <w:t>单位mg/m</w:t>
            </w:r>
            <w:r>
              <w:rPr>
                <w:rFonts w:hint="default"/>
                <w:b/>
                <w:color w:val="auto"/>
                <w:sz w:val="21"/>
                <w:szCs w:val="21"/>
                <w:vertAlign w:val="superscript"/>
              </w:rPr>
              <w:t>3</w:t>
            </w:r>
          </w:p>
          <w:tbl>
            <w:tblPr>
              <w:tblStyle w:val="29"/>
              <w:tblW w:w="805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3441"/>
              <w:gridCol w:w="46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21" w:hRule="atLeast"/>
                <w:jc w:val="center"/>
              </w:trPr>
              <w:tc>
                <w:tcPr>
                  <w:tcW w:w="3441" w:type="dxa"/>
                  <w:noWrap w:val="0"/>
                  <w:vAlign w:val="center"/>
                </w:tcPr>
                <w:p>
                  <w:pPr>
                    <w:pStyle w:val="12"/>
                    <w:keepNext w:val="0"/>
                    <w:keepLines w:val="0"/>
                    <w:suppressLineNumbers w:val="0"/>
                    <w:snapToGrid w:val="0"/>
                    <w:spacing w:before="0" w:beforeAutospacing="0" w:after="0" w:afterAutospacing="0"/>
                    <w:ind w:left="0" w:leftChars="0" w:right="0" w:firstLine="422"/>
                    <w:jc w:val="center"/>
                    <w:rPr>
                      <w:rFonts w:hint="default"/>
                      <w:b/>
                      <w:color w:val="auto"/>
                      <w:sz w:val="21"/>
                      <w:szCs w:val="21"/>
                    </w:rPr>
                  </w:pPr>
                  <w:r>
                    <w:rPr>
                      <w:rFonts w:hint="default"/>
                      <w:b/>
                      <w:color w:val="auto"/>
                      <w:sz w:val="21"/>
                      <w:szCs w:val="21"/>
                    </w:rPr>
                    <w:t>污染物名称</w:t>
                  </w:r>
                </w:p>
              </w:tc>
              <w:tc>
                <w:tcPr>
                  <w:tcW w:w="4618" w:type="dxa"/>
                  <w:noWrap w:val="0"/>
                  <w:vAlign w:val="center"/>
                </w:tcPr>
                <w:p>
                  <w:pPr>
                    <w:pStyle w:val="12"/>
                    <w:keepNext w:val="0"/>
                    <w:keepLines w:val="0"/>
                    <w:suppressLineNumbers w:val="0"/>
                    <w:snapToGrid w:val="0"/>
                    <w:spacing w:before="0" w:beforeAutospacing="0" w:after="0" w:afterAutospacing="0"/>
                    <w:ind w:left="0" w:leftChars="0" w:right="0" w:firstLine="422"/>
                    <w:jc w:val="center"/>
                    <w:rPr>
                      <w:rFonts w:hint="default"/>
                      <w:b/>
                      <w:color w:val="auto"/>
                      <w:sz w:val="21"/>
                      <w:szCs w:val="21"/>
                    </w:rPr>
                  </w:pPr>
                  <w:r>
                    <w:rPr>
                      <w:rFonts w:hint="default"/>
                      <w:b/>
                      <w:color w:val="auto"/>
                      <w:sz w:val="21"/>
                      <w:szCs w:val="21"/>
                    </w:rPr>
                    <w:t>无组织排放监控</w:t>
                  </w:r>
                  <w:r>
                    <w:rPr>
                      <w:rFonts w:hint="eastAsia"/>
                      <w:b/>
                      <w:color w:val="auto"/>
                      <w:sz w:val="21"/>
                      <w:szCs w:val="21"/>
                    </w:rPr>
                    <w:t>浓</w:t>
                  </w:r>
                  <w:r>
                    <w:rPr>
                      <w:rFonts w:hint="default"/>
                      <w:b/>
                      <w:color w:val="auto"/>
                      <w:sz w:val="21"/>
                      <w:szCs w:val="21"/>
                    </w:rPr>
                    <w:t>度限值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441" w:type="dxa"/>
                  <w:noWrap w:val="0"/>
                  <w:vAlign w:val="center"/>
                </w:tcPr>
                <w:p>
                  <w:pPr>
                    <w:pStyle w:val="12"/>
                    <w:keepNext w:val="0"/>
                    <w:keepLines w:val="0"/>
                    <w:suppressLineNumbers w:val="0"/>
                    <w:snapToGrid w:val="0"/>
                    <w:spacing w:before="0" w:beforeAutospacing="0" w:after="0" w:afterAutospacing="0"/>
                    <w:ind w:left="0" w:leftChars="0" w:right="0" w:firstLine="420"/>
                    <w:jc w:val="center"/>
                    <w:rPr>
                      <w:rFonts w:hint="default"/>
                      <w:color w:val="auto"/>
                      <w:sz w:val="21"/>
                      <w:szCs w:val="21"/>
                    </w:rPr>
                  </w:pPr>
                  <w:r>
                    <w:rPr>
                      <w:rFonts w:hint="default"/>
                      <w:color w:val="auto"/>
                      <w:sz w:val="21"/>
                      <w:szCs w:val="21"/>
                    </w:rPr>
                    <w:t>颗粒物</w:t>
                  </w:r>
                </w:p>
              </w:tc>
              <w:tc>
                <w:tcPr>
                  <w:tcW w:w="4618" w:type="dxa"/>
                  <w:noWrap w:val="0"/>
                  <w:vAlign w:val="center"/>
                </w:tcPr>
                <w:p>
                  <w:pPr>
                    <w:pStyle w:val="12"/>
                    <w:keepNext w:val="0"/>
                    <w:keepLines w:val="0"/>
                    <w:suppressLineNumbers w:val="0"/>
                    <w:snapToGrid w:val="0"/>
                    <w:spacing w:before="0" w:beforeAutospacing="0" w:after="0" w:afterAutospacing="0"/>
                    <w:ind w:left="0" w:leftChars="0" w:right="0"/>
                    <w:jc w:val="center"/>
                    <w:rPr>
                      <w:rFonts w:hint="default"/>
                      <w:color w:val="auto"/>
                      <w:sz w:val="21"/>
                      <w:szCs w:val="21"/>
                    </w:rPr>
                  </w:pPr>
                  <w:r>
                    <w:rPr>
                      <w:rFonts w:hint="default"/>
                      <w:color w:val="auto"/>
                      <w:sz w:val="21"/>
                      <w:szCs w:val="21"/>
                    </w:rPr>
                    <w:t>1.0</w:t>
                  </w:r>
                </w:p>
              </w:tc>
            </w:tr>
          </w:tbl>
          <w:p>
            <w:pPr>
              <w:keepNext w:val="0"/>
              <w:keepLines w:val="0"/>
              <w:suppressLineNumbers w:val="0"/>
              <w:snapToGrid w:val="0"/>
              <w:spacing w:before="0" w:beforeAutospacing="0" w:after="0" w:afterAutospacing="0"/>
              <w:ind w:left="0" w:right="0"/>
              <w:jc w:val="center"/>
              <w:rPr>
                <w:rFonts w:hint="default"/>
                <w:b/>
                <w:color w:val="auto"/>
                <w:szCs w:val="21"/>
                <w:vertAlign w:val="superscript"/>
              </w:rPr>
            </w:pPr>
            <w:r>
              <w:rPr>
                <w:rFonts w:hint="default"/>
                <w:b/>
                <w:bCs/>
                <w:color w:val="auto"/>
                <w:szCs w:val="21"/>
              </w:rPr>
              <w:t>表3-</w:t>
            </w:r>
            <w:r>
              <w:rPr>
                <w:rFonts w:hint="eastAsia"/>
                <w:b/>
                <w:bCs/>
                <w:color w:val="auto"/>
                <w:szCs w:val="21"/>
                <w:lang w:val="en-US" w:eastAsia="zh-CN"/>
              </w:rPr>
              <w:t xml:space="preserve">6 </w:t>
            </w:r>
            <w:r>
              <w:rPr>
                <w:rFonts w:hint="default"/>
                <w:b/>
                <w:bCs/>
                <w:color w:val="auto"/>
                <w:szCs w:val="21"/>
              </w:rPr>
              <w:t>《城镇污水处理厂污染排放物标准》GB18918-2002</w:t>
            </w:r>
            <w:r>
              <w:rPr>
                <w:rFonts w:hint="default"/>
                <w:b/>
                <w:color w:val="auto"/>
                <w:szCs w:val="21"/>
              </w:rPr>
              <w:t>单位mg/m</w:t>
            </w:r>
            <w:r>
              <w:rPr>
                <w:rFonts w:hint="default"/>
                <w:b/>
                <w:color w:val="auto"/>
                <w:szCs w:val="21"/>
                <w:vertAlign w:val="superscript"/>
              </w:rPr>
              <w:t>3</w:t>
            </w:r>
          </w:p>
          <w:tbl>
            <w:tblPr>
              <w:tblStyle w:val="29"/>
              <w:tblW w:w="807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3240"/>
              <w:gridCol w:w="48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91" w:hRule="atLeast"/>
                <w:jc w:val="center"/>
              </w:trPr>
              <w:tc>
                <w:tcPr>
                  <w:tcW w:w="3240" w:type="dxa"/>
                  <w:noWrap w:val="0"/>
                  <w:vAlign w:val="center"/>
                </w:tcPr>
                <w:p>
                  <w:pPr>
                    <w:keepNext w:val="0"/>
                    <w:keepLines w:val="0"/>
                    <w:suppressLineNumbers w:val="0"/>
                    <w:snapToGrid w:val="0"/>
                    <w:spacing w:before="0" w:beforeAutospacing="0" w:after="0" w:afterAutospacing="0"/>
                    <w:ind w:left="0" w:right="0"/>
                    <w:jc w:val="center"/>
                    <w:rPr>
                      <w:rFonts w:hint="default"/>
                      <w:b/>
                      <w:bCs/>
                      <w:color w:val="auto"/>
                      <w:szCs w:val="21"/>
                    </w:rPr>
                  </w:pPr>
                  <w:r>
                    <w:rPr>
                      <w:rFonts w:hint="default"/>
                      <w:b/>
                      <w:bCs/>
                      <w:color w:val="auto"/>
                      <w:szCs w:val="21"/>
                    </w:rPr>
                    <w:t>污染物</w:t>
                  </w:r>
                </w:p>
              </w:tc>
              <w:tc>
                <w:tcPr>
                  <w:tcW w:w="4839" w:type="dxa"/>
                  <w:noWrap w:val="0"/>
                  <w:vAlign w:val="center"/>
                </w:tcPr>
                <w:p>
                  <w:pPr>
                    <w:keepNext w:val="0"/>
                    <w:keepLines w:val="0"/>
                    <w:suppressLineNumbers w:val="0"/>
                    <w:snapToGrid w:val="0"/>
                    <w:spacing w:before="0" w:beforeAutospacing="0" w:after="0" w:afterAutospacing="0"/>
                    <w:ind w:left="0" w:right="0"/>
                    <w:jc w:val="center"/>
                    <w:rPr>
                      <w:rFonts w:hint="default"/>
                      <w:b/>
                      <w:bCs/>
                      <w:color w:val="auto"/>
                      <w:szCs w:val="21"/>
                    </w:rPr>
                  </w:pPr>
                  <w:r>
                    <w:rPr>
                      <w:rFonts w:hint="default"/>
                      <w:b/>
                      <w:bCs/>
                      <w:color w:val="auto"/>
                      <w:szCs w:val="21"/>
                    </w:rPr>
                    <w:t>厂界废气排放最高允许浓度限值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91" w:hRule="atLeast"/>
                <w:jc w:val="center"/>
              </w:trPr>
              <w:tc>
                <w:tcPr>
                  <w:tcW w:w="3240" w:type="dxa"/>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氨</w:t>
                  </w:r>
                </w:p>
              </w:tc>
              <w:tc>
                <w:tcPr>
                  <w:tcW w:w="4839" w:type="dxa"/>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91" w:hRule="atLeast"/>
                <w:jc w:val="center"/>
              </w:trPr>
              <w:tc>
                <w:tcPr>
                  <w:tcW w:w="3240" w:type="dxa"/>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硫化氢</w:t>
                  </w:r>
                </w:p>
              </w:tc>
              <w:tc>
                <w:tcPr>
                  <w:tcW w:w="4839" w:type="dxa"/>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0.06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0" w:hRule="atLeast"/>
                <w:jc w:val="center"/>
              </w:trPr>
              <w:tc>
                <w:tcPr>
                  <w:tcW w:w="3240" w:type="dxa"/>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臭气浓度</w:t>
                  </w:r>
                </w:p>
              </w:tc>
              <w:tc>
                <w:tcPr>
                  <w:tcW w:w="4839" w:type="dxa"/>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20（无量纲）</w:t>
                  </w:r>
                </w:p>
              </w:tc>
            </w:tr>
          </w:tbl>
          <w:p>
            <w:pPr>
              <w:pStyle w:val="13"/>
              <w:keepNext w:val="0"/>
              <w:keepLines w:val="0"/>
              <w:suppressLineNumbers w:val="0"/>
              <w:spacing w:before="0" w:beforeAutospacing="0" w:after="0" w:afterAutospacing="0" w:line="360" w:lineRule="auto"/>
              <w:ind w:left="0" w:right="0"/>
              <w:rPr>
                <w:rFonts w:hint="default" w:ascii="Times New Roman" w:hAnsi="Times New Roman"/>
                <w:color w:val="auto"/>
                <w:kern w:val="2"/>
                <w:sz w:val="24"/>
                <w:szCs w:val="24"/>
              </w:rPr>
            </w:pPr>
            <w:r>
              <w:rPr>
                <w:rFonts w:hint="default" w:ascii="Times New Roman" w:hAnsi="Times New Roman"/>
                <w:bCs/>
                <w:color w:val="auto"/>
                <w:kern w:val="2"/>
                <w:sz w:val="24"/>
                <w:szCs w:val="24"/>
              </w:rPr>
              <w:t>2、废水：</w:t>
            </w:r>
            <w:r>
              <w:rPr>
                <w:rFonts w:hint="default" w:ascii="Times New Roman" w:hAnsi="Times New Roman"/>
                <w:color w:val="auto"/>
                <w:kern w:val="2"/>
                <w:sz w:val="24"/>
                <w:szCs w:val="24"/>
              </w:rPr>
              <w:t>污水处理厂尾水</w:t>
            </w:r>
            <w:r>
              <w:rPr>
                <w:rFonts w:hint="eastAsia" w:ascii="Times New Roman" w:hAnsi="Times New Roman"/>
                <w:color w:val="auto"/>
                <w:kern w:val="2"/>
                <w:sz w:val="24"/>
                <w:szCs w:val="24"/>
                <w:lang w:val="en-US" w:eastAsia="zh-CN"/>
              </w:rPr>
              <w:t>回用</w:t>
            </w:r>
            <w:r>
              <w:rPr>
                <w:rFonts w:hint="default" w:ascii="Times New Roman" w:hAnsi="Times New Roman"/>
                <w:color w:val="auto"/>
                <w:kern w:val="2"/>
                <w:sz w:val="24"/>
                <w:szCs w:val="24"/>
              </w:rPr>
              <w:t>执行《城镇污水处理厂污染物排放标准》（GB18918-2002）表1中一级标准的A标准。</w:t>
            </w:r>
          </w:p>
          <w:p>
            <w:pPr>
              <w:keepNext w:val="0"/>
              <w:keepLines w:val="0"/>
              <w:suppressLineNumbers w:val="0"/>
              <w:snapToGrid w:val="0"/>
              <w:spacing w:before="0" w:beforeAutospacing="0" w:after="0" w:afterAutospacing="0"/>
              <w:ind w:left="0" w:right="0"/>
              <w:jc w:val="center"/>
              <w:rPr>
                <w:rFonts w:hint="default"/>
                <w:b/>
                <w:color w:val="auto"/>
                <w:szCs w:val="21"/>
                <w:vertAlign w:val="superscript"/>
              </w:rPr>
            </w:pPr>
            <w:r>
              <w:rPr>
                <w:rFonts w:hint="default"/>
                <w:b/>
                <w:bCs/>
                <w:color w:val="auto"/>
                <w:szCs w:val="21"/>
              </w:rPr>
              <w:t>表3-</w:t>
            </w:r>
            <w:r>
              <w:rPr>
                <w:rFonts w:hint="eastAsia"/>
                <w:b/>
                <w:bCs/>
                <w:color w:val="auto"/>
                <w:szCs w:val="21"/>
                <w:lang w:val="en-US" w:eastAsia="zh-CN"/>
              </w:rPr>
              <w:t xml:space="preserve">7 </w:t>
            </w:r>
            <w:r>
              <w:rPr>
                <w:rFonts w:hint="default"/>
                <w:b/>
                <w:bCs/>
                <w:color w:val="auto"/>
                <w:szCs w:val="21"/>
              </w:rPr>
              <w:t>《城镇污水处理厂污染排放物标准》</w:t>
            </w:r>
            <w:r>
              <w:rPr>
                <w:rFonts w:hint="eastAsia"/>
                <w:b/>
                <w:bCs/>
                <w:color w:val="auto"/>
                <w:szCs w:val="21"/>
              </w:rPr>
              <w:t>（</w:t>
            </w:r>
            <w:r>
              <w:rPr>
                <w:rFonts w:hint="default"/>
                <w:b/>
                <w:bCs/>
                <w:color w:val="auto"/>
                <w:szCs w:val="21"/>
              </w:rPr>
              <w:t>GB18918-2002</w:t>
            </w:r>
            <w:r>
              <w:rPr>
                <w:rFonts w:hint="eastAsia"/>
                <w:b/>
                <w:bCs/>
                <w:color w:val="auto"/>
                <w:szCs w:val="21"/>
              </w:rPr>
              <w:t>）</w:t>
            </w:r>
            <w:r>
              <w:rPr>
                <w:rFonts w:hint="default"/>
                <w:b/>
                <w:color w:val="auto"/>
                <w:szCs w:val="21"/>
              </w:rPr>
              <w:t>单位mg/m</w:t>
            </w:r>
            <w:r>
              <w:rPr>
                <w:rFonts w:hint="default"/>
                <w:b/>
                <w:color w:val="auto"/>
                <w:szCs w:val="21"/>
                <w:vertAlign w:val="superscript"/>
              </w:rPr>
              <w:t>3</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2451"/>
              <w:gridCol w:w="1226"/>
              <w:gridCol w:w="678"/>
              <w:gridCol w:w="2177"/>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2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序号</w:t>
                  </w:r>
                </w:p>
              </w:tc>
              <w:tc>
                <w:tcPr>
                  <w:tcW w:w="15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污染物项目</w:t>
                  </w:r>
                </w:p>
              </w:tc>
              <w:tc>
                <w:tcPr>
                  <w:tcW w:w="758" w:type="pct"/>
                  <w:tcBorders>
                    <w:top w:val="single" w:color="auto" w:sz="4" w:space="0"/>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标准</w:t>
                  </w:r>
                  <w:r>
                    <w:rPr>
                      <w:rFonts w:hint="eastAsia"/>
                      <w:color w:val="auto"/>
                      <w:szCs w:val="21"/>
                    </w:rPr>
                    <w:t>值</w:t>
                  </w:r>
                </w:p>
              </w:tc>
              <w:tc>
                <w:tcPr>
                  <w:tcW w:w="419" w:type="pct"/>
                  <w:tcBorders>
                    <w:top w:val="single" w:color="auto" w:sz="4" w:space="0"/>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序号</w:t>
                  </w:r>
                </w:p>
              </w:tc>
              <w:tc>
                <w:tcPr>
                  <w:tcW w:w="1345" w:type="pct"/>
                  <w:tcBorders>
                    <w:top w:val="single" w:color="auto" w:sz="4" w:space="0"/>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污染物项目</w:t>
                  </w:r>
                </w:p>
              </w:tc>
              <w:tc>
                <w:tcPr>
                  <w:tcW w:w="536" w:type="pct"/>
                  <w:tcBorders>
                    <w:top w:val="single" w:color="auto" w:sz="4" w:space="0"/>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标准</w:t>
                  </w:r>
                  <w:r>
                    <w:rPr>
                      <w:rFonts w:hint="eastAsia"/>
                      <w:color w:val="auto"/>
                      <w:szCs w:val="21"/>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2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1</w:t>
                  </w:r>
                </w:p>
              </w:tc>
              <w:tc>
                <w:tcPr>
                  <w:tcW w:w="15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COD</w:t>
                  </w:r>
                </w:p>
              </w:tc>
              <w:tc>
                <w:tcPr>
                  <w:tcW w:w="7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50</w:t>
                  </w:r>
                </w:p>
              </w:tc>
              <w:tc>
                <w:tcPr>
                  <w:tcW w:w="4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eastAsia="宋体"/>
                      <w:color w:val="auto"/>
                      <w:szCs w:val="21"/>
                      <w:lang w:eastAsia="zh-CN"/>
                    </w:rPr>
                  </w:pPr>
                  <w:r>
                    <w:rPr>
                      <w:rFonts w:hint="eastAsia"/>
                      <w:color w:val="auto"/>
                      <w:szCs w:val="21"/>
                      <w:lang w:val="en-US" w:eastAsia="zh-CN"/>
                    </w:rPr>
                    <w:t>5</w:t>
                  </w:r>
                </w:p>
              </w:tc>
              <w:tc>
                <w:tcPr>
                  <w:tcW w:w="13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TN</w:t>
                  </w:r>
                </w:p>
              </w:tc>
              <w:tc>
                <w:tcPr>
                  <w:tcW w:w="53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2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eastAsia"/>
                      <w:color w:val="auto"/>
                      <w:szCs w:val="21"/>
                    </w:rPr>
                    <w:t>2</w:t>
                  </w:r>
                </w:p>
              </w:tc>
              <w:tc>
                <w:tcPr>
                  <w:tcW w:w="15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BOD</w:t>
                  </w:r>
                  <w:r>
                    <w:rPr>
                      <w:rFonts w:hint="default"/>
                      <w:color w:val="auto"/>
                      <w:szCs w:val="21"/>
                      <w:vertAlign w:val="subscript"/>
                    </w:rPr>
                    <w:t>5</w:t>
                  </w:r>
                </w:p>
              </w:tc>
              <w:tc>
                <w:tcPr>
                  <w:tcW w:w="7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10</w:t>
                  </w:r>
                </w:p>
              </w:tc>
              <w:tc>
                <w:tcPr>
                  <w:tcW w:w="4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eastAsia="宋体"/>
                      <w:color w:val="auto"/>
                      <w:szCs w:val="21"/>
                      <w:lang w:eastAsia="zh-CN"/>
                    </w:rPr>
                  </w:pPr>
                  <w:r>
                    <w:rPr>
                      <w:rFonts w:hint="eastAsia"/>
                      <w:color w:val="auto"/>
                      <w:szCs w:val="21"/>
                      <w:lang w:val="en-US" w:eastAsia="zh-CN"/>
                    </w:rPr>
                    <w:t>6</w:t>
                  </w:r>
                </w:p>
              </w:tc>
              <w:tc>
                <w:tcPr>
                  <w:tcW w:w="13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NH3-N</w:t>
                  </w:r>
                </w:p>
              </w:tc>
              <w:tc>
                <w:tcPr>
                  <w:tcW w:w="53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42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3</w:t>
                  </w:r>
                </w:p>
              </w:tc>
              <w:tc>
                <w:tcPr>
                  <w:tcW w:w="15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SS</w:t>
                  </w:r>
                </w:p>
              </w:tc>
              <w:tc>
                <w:tcPr>
                  <w:tcW w:w="7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10</w:t>
                  </w:r>
                </w:p>
              </w:tc>
              <w:tc>
                <w:tcPr>
                  <w:tcW w:w="4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eastAsia="宋体"/>
                      <w:color w:val="auto"/>
                      <w:szCs w:val="21"/>
                      <w:lang w:eastAsia="zh-CN"/>
                    </w:rPr>
                  </w:pPr>
                  <w:r>
                    <w:rPr>
                      <w:rFonts w:hint="eastAsia"/>
                      <w:color w:val="auto"/>
                      <w:szCs w:val="21"/>
                      <w:lang w:val="en-US" w:eastAsia="zh-CN"/>
                    </w:rPr>
                    <w:t>7</w:t>
                  </w:r>
                </w:p>
              </w:tc>
              <w:tc>
                <w:tcPr>
                  <w:tcW w:w="13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eastAsia"/>
                      <w:color w:val="auto"/>
                      <w:szCs w:val="21"/>
                    </w:rPr>
                    <w:t>TP</w:t>
                  </w:r>
                </w:p>
              </w:tc>
              <w:tc>
                <w:tcPr>
                  <w:tcW w:w="53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2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4</w:t>
                  </w:r>
                </w:p>
              </w:tc>
              <w:tc>
                <w:tcPr>
                  <w:tcW w:w="15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动植物油</w:t>
                  </w:r>
                </w:p>
              </w:tc>
              <w:tc>
                <w:tcPr>
                  <w:tcW w:w="7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1</w:t>
                  </w:r>
                </w:p>
              </w:tc>
              <w:tc>
                <w:tcPr>
                  <w:tcW w:w="4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eastAsia="宋体"/>
                      <w:color w:val="auto"/>
                      <w:szCs w:val="21"/>
                      <w:lang w:eastAsia="zh-CN"/>
                    </w:rPr>
                  </w:pPr>
                  <w:r>
                    <w:rPr>
                      <w:rFonts w:hint="eastAsia"/>
                      <w:color w:val="auto"/>
                      <w:szCs w:val="21"/>
                      <w:lang w:val="en-US" w:eastAsia="zh-CN"/>
                    </w:rPr>
                    <w:t>8</w:t>
                  </w:r>
                </w:p>
              </w:tc>
              <w:tc>
                <w:tcPr>
                  <w:tcW w:w="13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color w:val="auto"/>
                      <w:szCs w:val="21"/>
                    </w:rPr>
                  </w:pPr>
                  <w:r>
                    <w:rPr>
                      <w:rFonts w:hint="default"/>
                      <w:color w:val="auto"/>
                      <w:szCs w:val="21"/>
                    </w:rPr>
                    <w:t>石油类</w:t>
                  </w:r>
                </w:p>
              </w:tc>
              <w:tc>
                <w:tcPr>
                  <w:tcW w:w="53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eastAsia="宋体"/>
                      <w:color w:val="auto"/>
                      <w:szCs w:val="21"/>
                      <w:lang w:eastAsia="zh-CN"/>
                    </w:rPr>
                  </w:pPr>
                  <w:r>
                    <w:rPr>
                      <w:rFonts w:hint="eastAsia"/>
                      <w:color w:val="auto"/>
                      <w:szCs w:val="21"/>
                      <w:lang w:val="en-US" w:eastAsia="zh-CN"/>
                    </w:rPr>
                    <w:t>1</w:t>
                  </w:r>
                </w:p>
              </w:tc>
            </w:tr>
          </w:tbl>
          <w:p>
            <w:pPr>
              <w:keepNext w:val="0"/>
              <w:keepLines w:val="0"/>
              <w:suppressLineNumbers w:val="0"/>
              <w:spacing w:before="0" w:beforeAutospacing="0" w:after="0" w:afterAutospacing="0" w:line="360" w:lineRule="auto"/>
              <w:ind w:left="0" w:right="0" w:firstLine="480" w:firstLineChars="200"/>
              <w:rPr>
                <w:rFonts w:hint="default"/>
                <w:color w:val="auto"/>
                <w:kern w:val="0"/>
                <w:sz w:val="24"/>
              </w:rPr>
            </w:pPr>
            <w:r>
              <w:rPr>
                <w:rFonts w:hint="default"/>
                <w:bCs/>
                <w:color w:val="auto"/>
                <w:sz w:val="24"/>
              </w:rPr>
              <w:t>3、噪声：</w:t>
            </w:r>
            <w:r>
              <w:rPr>
                <w:rFonts w:hint="default"/>
                <w:color w:val="auto"/>
                <w:kern w:val="0"/>
                <w:sz w:val="24"/>
              </w:rPr>
              <w:t>项目施工期执行《建筑施工场界环境噪声排放标准》（GB12523-2011），运营期噪声执行《工业企业厂界环境噪声排放标准》</w:t>
            </w:r>
            <w:r>
              <w:rPr>
                <w:rFonts w:hint="default"/>
                <w:color w:val="auto"/>
                <w:spacing w:val="-20"/>
                <w:kern w:val="0"/>
                <w:sz w:val="24"/>
              </w:rPr>
              <w:t>（GB12348-2008）</w:t>
            </w:r>
            <w:r>
              <w:rPr>
                <w:rFonts w:hint="default"/>
                <w:color w:val="auto"/>
                <w:kern w:val="0"/>
                <w:sz w:val="24"/>
              </w:rPr>
              <w:t>中的</w:t>
            </w:r>
            <w:r>
              <w:rPr>
                <w:rFonts w:hint="eastAsia"/>
                <w:color w:val="auto"/>
                <w:kern w:val="0"/>
                <w:sz w:val="24"/>
                <w:lang w:val="en-US" w:eastAsia="zh-CN"/>
              </w:rPr>
              <w:t>3</w:t>
            </w:r>
            <w:r>
              <w:rPr>
                <w:rFonts w:hint="default"/>
                <w:color w:val="auto"/>
                <w:kern w:val="0"/>
                <w:sz w:val="24"/>
              </w:rPr>
              <w:t>类标准，标准限值见表3-8、表3-9。</w:t>
            </w:r>
          </w:p>
          <w:p>
            <w:pPr>
              <w:keepNext w:val="0"/>
              <w:keepLines w:val="0"/>
              <w:widowControl/>
              <w:suppressLineNumbers w:val="0"/>
              <w:snapToGrid w:val="0"/>
              <w:spacing w:before="0" w:beforeAutospacing="0" w:after="0" w:afterAutospacing="0"/>
              <w:ind w:left="0" w:right="0"/>
              <w:jc w:val="center"/>
              <w:rPr>
                <w:rFonts w:hint="default"/>
                <w:b/>
                <w:bCs/>
                <w:color w:val="auto"/>
                <w:kern w:val="0"/>
                <w:szCs w:val="21"/>
              </w:rPr>
            </w:pPr>
            <w:r>
              <w:rPr>
                <w:rFonts w:hint="default"/>
                <w:b/>
                <w:bCs/>
                <w:color w:val="auto"/>
                <w:kern w:val="0"/>
                <w:szCs w:val="21"/>
              </w:rPr>
              <w:t>表3-</w:t>
            </w:r>
            <w:r>
              <w:rPr>
                <w:rFonts w:hint="eastAsia"/>
                <w:b/>
                <w:bCs/>
                <w:color w:val="auto"/>
                <w:kern w:val="0"/>
                <w:szCs w:val="21"/>
                <w:lang w:val="en-US" w:eastAsia="zh-CN"/>
              </w:rPr>
              <w:t>8</w:t>
            </w:r>
            <w:r>
              <w:rPr>
                <w:rFonts w:hint="default"/>
                <w:b/>
                <w:bCs/>
                <w:color w:val="auto"/>
                <w:kern w:val="0"/>
                <w:szCs w:val="21"/>
              </w:rPr>
              <w:t>《工业企业厂界环境噪声排放标准》（GB12348-2008）单位：dB（A）</w:t>
            </w:r>
          </w:p>
          <w:tbl>
            <w:tblPr>
              <w:tblStyle w:val="29"/>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039"/>
              <w:gridCol w:w="40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500" w:type="pct"/>
                  <w:noWrap w:val="0"/>
                  <w:vAlign w:val="center"/>
                </w:tcPr>
                <w:p>
                  <w:pPr>
                    <w:pStyle w:val="44"/>
                    <w:keepNext w:val="0"/>
                    <w:keepLines w:val="0"/>
                    <w:suppressLineNumbers w:val="0"/>
                    <w:spacing w:before="0" w:beforeAutospacing="0" w:after="0" w:afterAutospacing="0"/>
                    <w:ind w:left="0" w:right="0"/>
                    <w:jc w:val="center"/>
                    <w:rPr>
                      <w:rFonts w:hint="default" w:ascii="Times New Roman" w:cs="Times New Roman"/>
                      <w:color w:val="auto"/>
                      <w:kern w:val="2"/>
                      <w:sz w:val="21"/>
                      <w:szCs w:val="21"/>
                    </w:rPr>
                  </w:pPr>
                  <w:r>
                    <w:rPr>
                      <w:rFonts w:hint="default" w:ascii="Times New Roman" w:cs="Times New Roman"/>
                      <w:color w:val="auto"/>
                      <w:kern w:val="2"/>
                      <w:sz w:val="21"/>
                      <w:szCs w:val="21"/>
                    </w:rPr>
                    <w:t>昼间</w:t>
                  </w:r>
                </w:p>
              </w:tc>
              <w:tc>
                <w:tcPr>
                  <w:tcW w:w="2500" w:type="pct"/>
                  <w:noWrap w:val="0"/>
                  <w:vAlign w:val="center"/>
                </w:tcPr>
                <w:p>
                  <w:pPr>
                    <w:pStyle w:val="44"/>
                    <w:keepNext w:val="0"/>
                    <w:keepLines w:val="0"/>
                    <w:suppressLineNumbers w:val="0"/>
                    <w:spacing w:before="0" w:beforeAutospacing="0" w:after="0" w:afterAutospacing="0"/>
                    <w:ind w:left="0" w:right="0"/>
                    <w:jc w:val="center"/>
                    <w:rPr>
                      <w:rFonts w:hint="default" w:ascii="Times New Roman" w:cs="Times New Roman"/>
                      <w:color w:val="auto"/>
                      <w:kern w:val="2"/>
                      <w:sz w:val="21"/>
                      <w:szCs w:val="21"/>
                    </w:rPr>
                  </w:pPr>
                  <w:r>
                    <w:rPr>
                      <w:rFonts w:hint="default" w:ascii="Times New Roman" w:cs="Times New Roman"/>
                      <w:color w:val="auto"/>
                      <w:kern w:val="2"/>
                      <w:sz w:val="21"/>
                      <w:szCs w:val="21"/>
                    </w:rPr>
                    <w:t>夜间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500" w:type="pct"/>
                  <w:noWrap w:val="0"/>
                  <w:vAlign w:val="center"/>
                </w:tcPr>
                <w:p>
                  <w:pPr>
                    <w:pStyle w:val="44"/>
                    <w:keepNext w:val="0"/>
                    <w:keepLines w:val="0"/>
                    <w:suppressLineNumbers w:val="0"/>
                    <w:spacing w:before="0" w:beforeAutospacing="0" w:after="0" w:afterAutospacing="0"/>
                    <w:ind w:left="0" w:right="0"/>
                    <w:jc w:val="center"/>
                    <w:rPr>
                      <w:rFonts w:hint="eastAsia" w:ascii="Times New Roman" w:eastAsia="宋体" w:cs="Times New Roman"/>
                      <w:color w:val="auto"/>
                      <w:kern w:val="2"/>
                      <w:sz w:val="21"/>
                      <w:szCs w:val="21"/>
                      <w:lang w:eastAsia="zh-CN"/>
                    </w:rPr>
                  </w:pPr>
                  <w:r>
                    <w:rPr>
                      <w:rFonts w:hint="default" w:ascii="Times New Roman" w:cs="Times New Roman"/>
                      <w:color w:val="auto"/>
                      <w:kern w:val="2"/>
                      <w:sz w:val="21"/>
                      <w:szCs w:val="21"/>
                    </w:rPr>
                    <w:t>6</w:t>
                  </w:r>
                  <w:r>
                    <w:rPr>
                      <w:rFonts w:hint="eastAsia" w:ascii="Times New Roman" w:cs="Times New Roman"/>
                      <w:color w:val="auto"/>
                      <w:kern w:val="2"/>
                      <w:sz w:val="21"/>
                      <w:szCs w:val="21"/>
                      <w:lang w:val="en-US" w:eastAsia="zh-CN"/>
                    </w:rPr>
                    <w:t>5</w:t>
                  </w:r>
                </w:p>
              </w:tc>
              <w:tc>
                <w:tcPr>
                  <w:tcW w:w="2500" w:type="pct"/>
                  <w:noWrap w:val="0"/>
                  <w:vAlign w:val="center"/>
                </w:tcPr>
                <w:p>
                  <w:pPr>
                    <w:pStyle w:val="44"/>
                    <w:keepNext w:val="0"/>
                    <w:keepLines w:val="0"/>
                    <w:suppressLineNumbers w:val="0"/>
                    <w:spacing w:before="0" w:beforeAutospacing="0" w:after="0" w:afterAutospacing="0"/>
                    <w:ind w:left="0" w:right="0"/>
                    <w:jc w:val="center"/>
                    <w:rPr>
                      <w:rFonts w:hint="eastAsia" w:ascii="Times New Roman" w:eastAsia="宋体" w:cs="Times New Roman"/>
                      <w:color w:val="auto"/>
                      <w:kern w:val="2"/>
                      <w:sz w:val="21"/>
                      <w:szCs w:val="21"/>
                      <w:lang w:eastAsia="zh-CN"/>
                    </w:rPr>
                  </w:pPr>
                  <w:r>
                    <w:rPr>
                      <w:rFonts w:hint="default" w:ascii="Times New Roman" w:cs="Times New Roman"/>
                      <w:color w:val="auto"/>
                      <w:kern w:val="2"/>
                      <w:sz w:val="21"/>
                      <w:szCs w:val="21"/>
                    </w:rPr>
                    <w:t>5</w:t>
                  </w:r>
                  <w:r>
                    <w:rPr>
                      <w:rFonts w:hint="eastAsia" w:ascii="Times New Roman" w:cs="Times New Roman"/>
                      <w:color w:val="auto"/>
                      <w:kern w:val="2"/>
                      <w:sz w:val="21"/>
                      <w:szCs w:val="21"/>
                      <w:lang w:val="en-US" w:eastAsia="zh-CN"/>
                    </w:rPr>
                    <w:t>5</w:t>
                  </w:r>
                </w:p>
              </w:tc>
            </w:tr>
          </w:tbl>
          <w:p>
            <w:pPr>
              <w:keepNext w:val="0"/>
              <w:keepLines w:val="0"/>
              <w:widowControl/>
              <w:suppressLineNumbers w:val="0"/>
              <w:snapToGrid w:val="0"/>
              <w:spacing w:before="0" w:beforeAutospacing="0" w:after="0" w:afterAutospacing="0"/>
              <w:ind w:left="0" w:right="0"/>
              <w:jc w:val="center"/>
              <w:rPr>
                <w:rFonts w:hint="default"/>
                <w:b/>
                <w:bCs/>
                <w:color w:val="auto"/>
                <w:kern w:val="0"/>
                <w:szCs w:val="21"/>
              </w:rPr>
            </w:pPr>
            <w:r>
              <w:rPr>
                <w:rFonts w:hint="default"/>
                <w:b/>
                <w:bCs/>
                <w:color w:val="auto"/>
                <w:kern w:val="0"/>
                <w:szCs w:val="21"/>
              </w:rPr>
              <w:t>表3-</w:t>
            </w:r>
            <w:r>
              <w:rPr>
                <w:rFonts w:hint="eastAsia"/>
                <w:b/>
                <w:bCs/>
                <w:color w:val="auto"/>
                <w:kern w:val="0"/>
                <w:szCs w:val="21"/>
                <w:lang w:val="en-US" w:eastAsia="zh-CN"/>
              </w:rPr>
              <w:t>9</w:t>
            </w:r>
            <w:r>
              <w:rPr>
                <w:rFonts w:hint="default"/>
                <w:b/>
                <w:bCs/>
                <w:color w:val="auto"/>
                <w:kern w:val="0"/>
                <w:szCs w:val="21"/>
              </w:rPr>
              <w:t>《建筑施工场界环境噪声排放标准》（GB12523-2011）单位：dB（A）</w:t>
            </w:r>
          </w:p>
          <w:tbl>
            <w:tblPr>
              <w:tblStyle w:val="29"/>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039"/>
              <w:gridCol w:w="40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500" w:type="pct"/>
                  <w:noWrap w:val="0"/>
                  <w:vAlign w:val="center"/>
                </w:tcPr>
                <w:p>
                  <w:pPr>
                    <w:pStyle w:val="44"/>
                    <w:keepNext w:val="0"/>
                    <w:keepLines w:val="0"/>
                    <w:suppressLineNumbers w:val="0"/>
                    <w:spacing w:before="0" w:beforeAutospacing="0" w:after="0" w:afterAutospacing="0"/>
                    <w:ind w:left="0" w:right="0"/>
                    <w:jc w:val="center"/>
                    <w:rPr>
                      <w:rFonts w:hint="default" w:ascii="Times New Roman" w:cs="Times New Roman"/>
                      <w:color w:val="auto"/>
                      <w:kern w:val="2"/>
                      <w:sz w:val="21"/>
                      <w:szCs w:val="21"/>
                    </w:rPr>
                  </w:pPr>
                  <w:r>
                    <w:rPr>
                      <w:rFonts w:hint="default" w:ascii="Times New Roman" w:cs="Times New Roman"/>
                      <w:color w:val="auto"/>
                      <w:kern w:val="2"/>
                      <w:sz w:val="21"/>
                      <w:szCs w:val="21"/>
                    </w:rPr>
                    <w:t>昼间</w:t>
                  </w:r>
                </w:p>
              </w:tc>
              <w:tc>
                <w:tcPr>
                  <w:tcW w:w="2500" w:type="pct"/>
                  <w:noWrap w:val="0"/>
                  <w:vAlign w:val="center"/>
                </w:tcPr>
                <w:p>
                  <w:pPr>
                    <w:pStyle w:val="44"/>
                    <w:keepNext w:val="0"/>
                    <w:keepLines w:val="0"/>
                    <w:suppressLineNumbers w:val="0"/>
                    <w:spacing w:before="0" w:beforeAutospacing="0" w:after="0" w:afterAutospacing="0"/>
                    <w:ind w:left="0" w:right="0"/>
                    <w:jc w:val="center"/>
                    <w:rPr>
                      <w:rFonts w:hint="default" w:ascii="Times New Roman" w:cs="Times New Roman"/>
                      <w:color w:val="auto"/>
                      <w:kern w:val="2"/>
                      <w:sz w:val="21"/>
                      <w:szCs w:val="21"/>
                    </w:rPr>
                  </w:pPr>
                  <w:r>
                    <w:rPr>
                      <w:rFonts w:hint="default" w:ascii="Times New Roman" w:cs="Times New Roman"/>
                      <w:color w:val="auto"/>
                      <w:kern w:val="2"/>
                      <w:sz w:val="21"/>
                      <w:szCs w:val="21"/>
                    </w:rPr>
                    <w:t>夜间</w:t>
                  </w:r>
                  <w:r>
                    <w:rPr>
                      <w:rFonts w:hint="default" w:ascii="Times New Roman" w:cs="Times New Roman"/>
                      <w:color w:val="auto"/>
                      <w:kern w:val="2"/>
                      <w:sz w:val="21"/>
                      <w:szCs w:val="21"/>
                    </w:rPr>
                    <w:cr/>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500" w:type="pct"/>
                  <w:noWrap w:val="0"/>
                  <w:vAlign w:val="center"/>
                </w:tcPr>
                <w:p>
                  <w:pPr>
                    <w:pStyle w:val="44"/>
                    <w:keepNext w:val="0"/>
                    <w:keepLines w:val="0"/>
                    <w:suppressLineNumbers w:val="0"/>
                    <w:spacing w:before="0" w:beforeAutospacing="0" w:after="0" w:afterAutospacing="0"/>
                    <w:ind w:left="0" w:right="0"/>
                    <w:jc w:val="center"/>
                    <w:rPr>
                      <w:rFonts w:hint="default" w:ascii="Times New Roman" w:cs="Times New Roman"/>
                      <w:color w:val="auto"/>
                      <w:kern w:val="2"/>
                      <w:sz w:val="21"/>
                      <w:szCs w:val="21"/>
                    </w:rPr>
                  </w:pPr>
                  <w:r>
                    <w:rPr>
                      <w:rFonts w:hint="default" w:ascii="Times New Roman" w:cs="Times New Roman"/>
                      <w:color w:val="auto"/>
                      <w:kern w:val="2"/>
                      <w:sz w:val="21"/>
                      <w:szCs w:val="21"/>
                    </w:rPr>
                    <w:t>70</w:t>
                  </w:r>
                </w:p>
              </w:tc>
              <w:tc>
                <w:tcPr>
                  <w:tcW w:w="2500" w:type="pct"/>
                  <w:noWrap w:val="0"/>
                  <w:vAlign w:val="center"/>
                </w:tcPr>
                <w:p>
                  <w:pPr>
                    <w:pStyle w:val="44"/>
                    <w:keepNext w:val="0"/>
                    <w:keepLines w:val="0"/>
                    <w:suppressLineNumbers w:val="0"/>
                    <w:spacing w:before="0" w:beforeAutospacing="0" w:after="0" w:afterAutospacing="0"/>
                    <w:ind w:left="0" w:right="0"/>
                    <w:jc w:val="center"/>
                    <w:rPr>
                      <w:rFonts w:hint="default" w:ascii="Times New Roman" w:cs="Times New Roman"/>
                      <w:color w:val="auto"/>
                      <w:kern w:val="2"/>
                      <w:sz w:val="21"/>
                      <w:szCs w:val="21"/>
                    </w:rPr>
                  </w:pPr>
                  <w:r>
                    <w:rPr>
                      <w:rFonts w:hint="default" w:ascii="Times New Roman" w:cs="Times New Roman"/>
                      <w:color w:val="auto"/>
                      <w:kern w:val="2"/>
                      <w:sz w:val="21"/>
                      <w:szCs w:val="21"/>
                    </w:rPr>
                    <w:t>55</w:t>
                  </w:r>
                </w:p>
              </w:tc>
            </w:tr>
          </w:tbl>
          <w:p>
            <w:pPr>
              <w:keepNext w:val="0"/>
              <w:keepLines w:val="0"/>
              <w:suppressLineNumbers w:val="0"/>
              <w:spacing w:before="0" w:beforeAutospacing="0" w:after="0" w:afterAutospacing="0" w:line="360" w:lineRule="auto"/>
              <w:ind w:left="0" w:right="0" w:firstLine="480" w:firstLineChars="200"/>
              <w:rPr>
                <w:rFonts w:hint="default" w:cs="宋体"/>
                <w:color w:val="auto"/>
                <w:kern w:val="0"/>
                <w:szCs w:val="21"/>
              </w:rPr>
            </w:pPr>
            <w:r>
              <w:rPr>
                <w:rFonts w:hint="default"/>
                <w:bCs/>
                <w:color w:val="auto"/>
                <w:sz w:val="24"/>
              </w:rPr>
              <w:t>4、固体废物：</w:t>
            </w:r>
            <w:r>
              <w:rPr>
                <w:rFonts w:hint="eastAsia"/>
                <w:color w:val="auto"/>
                <w:sz w:val="24"/>
              </w:rPr>
              <w:t>污泥处置执行《城镇污水处理厂污染物排放标准》（GB18918-2002）中污泥处置相关要求</w:t>
            </w:r>
            <w:r>
              <w:rPr>
                <w:rFonts w:hint="default"/>
                <w:color w:val="auto"/>
                <w:sz w:val="24"/>
              </w:rPr>
              <w:t>。</w:t>
            </w:r>
            <w:r>
              <w:rPr>
                <w:rFonts w:hint="default"/>
                <w:color w:val="auto"/>
                <w:kern w:val="0"/>
                <w:sz w:val="24"/>
              </w:rPr>
              <w:t>生活垃圾执行《生活垃圾填埋场污染控制标准》（GB16889-2008）；危险废物执行《危险废物贮存污染控制标准》（GB18597-20</w:t>
            </w:r>
            <w:r>
              <w:rPr>
                <w:rFonts w:hint="eastAsia"/>
                <w:color w:val="auto"/>
                <w:kern w:val="0"/>
                <w:sz w:val="24"/>
                <w:lang w:val="en-US" w:eastAsia="zh-CN"/>
              </w:rPr>
              <w:t>23</w:t>
            </w:r>
            <w:r>
              <w:rPr>
                <w:rFonts w:hint="default"/>
                <w:color w:val="auto"/>
                <w:kern w:val="0"/>
                <w:sz w:val="24"/>
              </w:rPr>
              <w:t>）；一般工业固体废物执行《一般工业固体废物贮存和填埋污染控制标准》（GB18599-2020）</w:t>
            </w:r>
            <w:r>
              <w:rPr>
                <w:rFonts w:hint="default"/>
                <w:color w:val="auto"/>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80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cs="宋体"/>
                <w:color w:val="auto"/>
                <w:kern w:val="0"/>
                <w:szCs w:val="21"/>
              </w:rPr>
            </w:pPr>
            <w:r>
              <w:rPr>
                <w:rFonts w:hint="eastAsia" w:cs="宋体"/>
                <w:color w:val="auto"/>
                <w:kern w:val="0"/>
                <w:szCs w:val="21"/>
              </w:rPr>
              <w:t>总量</w:t>
            </w:r>
          </w:p>
          <w:p>
            <w:pPr>
              <w:keepNext w:val="0"/>
              <w:keepLines w:val="0"/>
              <w:suppressLineNumbers w:val="0"/>
              <w:adjustRightInd w:val="0"/>
              <w:snapToGrid w:val="0"/>
              <w:spacing w:before="0" w:beforeAutospacing="0" w:after="0" w:afterAutospacing="0"/>
              <w:ind w:left="0" w:right="0"/>
              <w:jc w:val="center"/>
              <w:rPr>
                <w:rFonts w:hint="eastAsia" w:cs="宋体"/>
                <w:color w:val="auto"/>
                <w:kern w:val="0"/>
                <w:szCs w:val="21"/>
              </w:rPr>
            </w:pPr>
            <w:r>
              <w:rPr>
                <w:rFonts w:hint="eastAsia" w:cs="宋体"/>
                <w:color w:val="auto"/>
                <w:kern w:val="0"/>
                <w:szCs w:val="21"/>
              </w:rPr>
              <w:t>控制</w:t>
            </w: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r>
              <w:rPr>
                <w:rFonts w:hint="eastAsia" w:cs="宋体"/>
                <w:color w:val="auto"/>
                <w:kern w:val="0"/>
                <w:szCs w:val="21"/>
              </w:rPr>
              <w:t>指标</w:t>
            </w:r>
          </w:p>
        </w:tc>
        <w:tc>
          <w:tcPr>
            <w:tcW w:w="8264" w:type="dxa"/>
            <w:noWrap w:val="0"/>
            <w:vAlign w:val="center"/>
          </w:tcPr>
          <w:p>
            <w:pPr>
              <w:keepNext w:val="0"/>
              <w:keepLines w:val="0"/>
              <w:suppressLineNumbers w:val="0"/>
              <w:spacing w:before="0" w:beforeAutospacing="0" w:after="0" w:afterAutospacing="0" w:line="360" w:lineRule="auto"/>
              <w:ind w:left="0" w:right="0" w:firstLine="480" w:firstLineChars="200"/>
              <w:rPr>
                <w:rFonts w:hint="default"/>
                <w:color w:val="auto"/>
                <w:sz w:val="24"/>
                <w:lang w:val="en-US" w:eastAsia="zh-CN"/>
              </w:rPr>
            </w:pPr>
            <w:r>
              <w:rPr>
                <w:rFonts w:hint="eastAsia"/>
                <w:color w:val="auto"/>
                <w:sz w:val="24"/>
                <w:lang w:val="en-US" w:eastAsia="zh-CN"/>
              </w:rPr>
              <w:t>本项目近期内污水不外排，全部回用，故暂不申请总量控制指标。</w:t>
            </w: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p>
            <w:pPr>
              <w:keepNext w:val="0"/>
              <w:keepLines w:val="0"/>
              <w:suppressLineNumbers w:val="0"/>
              <w:adjustRightInd w:val="0"/>
              <w:snapToGrid w:val="0"/>
              <w:spacing w:before="0" w:beforeAutospacing="0" w:after="0" w:afterAutospacing="0"/>
              <w:ind w:left="0" w:right="0"/>
              <w:jc w:val="center"/>
              <w:rPr>
                <w:rFonts w:hint="default" w:cs="宋体"/>
                <w:color w:val="auto"/>
                <w:kern w:val="0"/>
                <w:szCs w:val="21"/>
              </w:rPr>
            </w:pPr>
          </w:p>
        </w:tc>
      </w:tr>
    </w:tbl>
    <w:p>
      <w:pPr>
        <w:pStyle w:val="25"/>
        <w:spacing w:before="0" w:beforeAutospacing="0" w:after="0" w:afterAutospacing="0"/>
        <w:jc w:val="center"/>
        <w:outlineLvl w:val="0"/>
        <w:rPr>
          <w:rFonts w:ascii="Times New Roman" w:hAnsi="Times New Roman" w:eastAsia="黑体"/>
          <w:snapToGrid w:val="0"/>
          <w:color w:val="auto"/>
          <w:sz w:val="30"/>
          <w:szCs w:val="30"/>
        </w:rPr>
      </w:pPr>
      <w:r>
        <w:rPr>
          <w:rFonts w:ascii="Times New Roman" w:hAnsi="Times New Roman" w:eastAsia="黑体"/>
          <w:snapToGrid w:val="0"/>
          <w:color w:val="auto"/>
          <w:sz w:val="36"/>
          <w:szCs w:val="36"/>
        </w:rPr>
        <w:br w:type="page"/>
      </w:r>
      <w:bookmarkStart w:id="6" w:name="_Toc16613"/>
      <w:r>
        <w:rPr>
          <w:rFonts w:hint="eastAsia" w:ascii="Times New Roman" w:hAnsi="Times New Roman" w:eastAsia="黑体"/>
          <w:snapToGrid w:val="0"/>
          <w:color w:val="auto"/>
          <w:sz w:val="30"/>
          <w:szCs w:val="30"/>
        </w:rPr>
        <w:t>四、主要环境影响和保护措施</w:t>
      </w:r>
      <w:bookmarkEnd w:id="6"/>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61"/>
        <w:gridCol w:w="87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760" w:type="dxa"/>
            <w:noWrap w:val="0"/>
            <w:tcMar>
              <w:left w:w="28" w:type="dxa"/>
              <w:right w:w="28" w:type="dxa"/>
            </w:tcMar>
            <w:vAlign w:val="center"/>
          </w:tcPr>
          <w:p>
            <w:pPr>
              <w:pStyle w:val="25"/>
              <w:keepNext w:val="0"/>
              <w:keepLines w:val="0"/>
              <w:suppressLineNumbers w:val="0"/>
              <w:adjustRightInd w:val="0"/>
              <w:snapToGrid w:val="0"/>
              <w:spacing w:before="0" w:beforeAutospacing="0" w:after="0" w:afterAutospacing="0"/>
              <w:ind w:left="0" w:right="0"/>
              <w:jc w:val="center"/>
              <w:rPr>
                <w:rFonts w:hint="eastAsia" w:ascii="Times New Roman" w:hAnsi="Times New Roman" w:cs="宋体"/>
                <w:color w:val="auto"/>
                <w:kern w:val="2"/>
                <w:sz w:val="21"/>
                <w:szCs w:val="21"/>
              </w:rPr>
            </w:pPr>
            <w:r>
              <w:rPr>
                <w:rFonts w:hint="eastAsia" w:ascii="Times New Roman" w:hAnsi="Times New Roman" w:cs="宋体"/>
                <w:color w:val="auto"/>
                <w:kern w:val="2"/>
                <w:sz w:val="21"/>
                <w:szCs w:val="21"/>
              </w:rPr>
              <w:t>施工</w:t>
            </w:r>
          </w:p>
          <w:p>
            <w:pPr>
              <w:pStyle w:val="25"/>
              <w:keepNext w:val="0"/>
              <w:keepLines w:val="0"/>
              <w:suppressLineNumbers w:val="0"/>
              <w:adjustRightInd w:val="0"/>
              <w:snapToGrid w:val="0"/>
              <w:spacing w:before="0" w:beforeAutospacing="0" w:after="0" w:afterAutospacing="0"/>
              <w:ind w:left="0" w:right="0"/>
              <w:jc w:val="center"/>
              <w:rPr>
                <w:rFonts w:hint="eastAsia" w:ascii="Times New Roman" w:hAnsi="Times New Roman" w:cs="宋体"/>
                <w:color w:val="auto"/>
                <w:kern w:val="2"/>
                <w:sz w:val="21"/>
                <w:szCs w:val="21"/>
              </w:rPr>
            </w:pPr>
            <w:r>
              <w:rPr>
                <w:rFonts w:hint="eastAsia" w:ascii="Times New Roman" w:hAnsi="Times New Roman" w:cs="宋体"/>
                <w:color w:val="auto"/>
                <w:kern w:val="2"/>
                <w:sz w:val="21"/>
                <w:szCs w:val="21"/>
              </w:rPr>
              <w:t>期环</w:t>
            </w:r>
          </w:p>
          <w:p>
            <w:pPr>
              <w:pStyle w:val="25"/>
              <w:keepNext w:val="0"/>
              <w:keepLines w:val="0"/>
              <w:suppressLineNumbers w:val="0"/>
              <w:adjustRightInd w:val="0"/>
              <w:snapToGrid w:val="0"/>
              <w:spacing w:before="0" w:beforeAutospacing="0" w:after="0" w:afterAutospacing="0"/>
              <w:ind w:left="0" w:right="0"/>
              <w:jc w:val="center"/>
              <w:rPr>
                <w:rFonts w:hint="eastAsia" w:ascii="Times New Roman" w:hAnsi="Times New Roman" w:cs="宋体"/>
                <w:color w:val="auto"/>
                <w:kern w:val="2"/>
                <w:sz w:val="21"/>
                <w:szCs w:val="21"/>
              </w:rPr>
            </w:pPr>
            <w:r>
              <w:rPr>
                <w:rFonts w:hint="eastAsia" w:ascii="Times New Roman" w:hAnsi="Times New Roman" w:cs="宋体"/>
                <w:color w:val="auto"/>
                <w:kern w:val="2"/>
                <w:sz w:val="21"/>
                <w:szCs w:val="21"/>
              </w:rPr>
              <w:t>境保</w:t>
            </w:r>
          </w:p>
          <w:p>
            <w:pPr>
              <w:pStyle w:val="25"/>
              <w:keepNext w:val="0"/>
              <w:keepLines w:val="0"/>
              <w:suppressLineNumbers w:val="0"/>
              <w:adjustRightInd w:val="0"/>
              <w:snapToGrid w:val="0"/>
              <w:spacing w:before="0" w:beforeAutospacing="0" w:after="0" w:afterAutospacing="0"/>
              <w:ind w:left="0" w:right="0"/>
              <w:jc w:val="center"/>
              <w:rPr>
                <w:rFonts w:hint="eastAsia" w:ascii="Times New Roman" w:hAnsi="Times New Roman" w:cs="宋体"/>
                <w:color w:val="auto"/>
                <w:kern w:val="2"/>
                <w:sz w:val="21"/>
                <w:szCs w:val="21"/>
              </w:rPr>
            </w:pPr>
            <w:r>
              <w:rPr>
                <w:rFonts w:hint="eastAsia" w:ascii="Times New Roman" w:hAnsi="Times New Roman" w:cs="宋体"/>
                <w:color w:val="auto"/>
                <w:kern w:val="2"/>
                <w:sz w:val="21"/>
                <w:szCs w:val="21"/>
              </w:rPr>
              <w:t>护措</w:t>
            </w:r>
          </w:p>
          <w:p>
            <w:pPr>
              <w:pStyle w:val="25"/>
              <w:keepNext w:val="0"/>
              <w:keepLines w:val="0"/>
              <w:suppressLineNumbers w:val="0"/>
              <w:adjustRightInd w:val="0"/>
              <w:snapToGrid w:val="0"/>
              <w:spacing w:before="0" w:beforeAutospacing="0" w:after="0" w:afterAutospacing="0"/>
              <w:ind w:left="0" w:right="0"/>
              <w:jc w:val="center"/>
              <w:rPr>
                <w:rFonts w:hint="eastAsia" w:ascii="Times New Roman" w:hAnsi="Times New Roman" w:cs="宋体"/>
                <w:bCs/>
                <w:color w:val="auto"/>
                <w:kern w:val="2"/>
                <w:sz w:val="21"/>
                <w:szCs w:val="21"/>
              </w:rPr>
            </w:pPr>
            <w:r>
              <w:rPr>
                <w:rFonts w:hint="eastAsia" w:ascii="Times New Roman" w:hAnsi="Times New Roman" w:cs="宋体"/>
                <w:color w:val="auto"/>
                <w:kern w:val="2"/>
                <w:sz w:val="21"/>
                <w:szCs w:val="21"/>
              </w:rPr>
              <w:t>施</w:t>
            </w:r>
          </w:p>
        </w:tc>
        <w:tc>
          <w:tcPr>
            <w:tcW w:w="8311" w:type="dxa"/>
            <w:noWrap w:val="0"/>
            <w:vAlign w:val="center"/>
          </w:tcPr>
          <w:p>
            <w:pPr>
              <w:keepNext w:val="0"/>
              <w:keepLines w:val="0"/>
              <w:suppressLineNumbers w:val="0"/>
              <w:spacing w:before="0" w:beforeAutospacing="0" w:after="0" w:afterAutospacing="0" w:line="360" w:lineRule="auto"/>
              <w:ind w:left="0" w:right="0" w:firstLine="480" w:firstLineChars="200"/>
              <w:rPr>
                <w:rFonts w:hint="eastAsia"/>
                <w:color w:val="auto"/>
                <w:sz w:val="24"/>
              </w:rPr>
            </w:pPr>
            <w:r>
              <w:rPr>
                <w:rFonts w:hint="eastAsia"/>
                <w:color w:val="auto"/>
                <w:sz w:val="24"/>
              </w:rPr>
              <w:t>本项目为新建项目，施工期主要是</w:t>
            </w:r>
            <w:r>
              <w:rPr>
                <w:rFonts w:hint="eastAsia"/>
                <w:color w:val="auto"/>
                <w:sz w:val="24"/>
                <w:lang w:val="en-US" w:eastAsia="zh-CN"/>
              </w:rPr>
              <w:t>污水处理单元主体建设</w:t>
            </w:r>
            <w:r>
              <w:rPr>
                <w:rFonts w:hint="eastAsia"/>
                <w:color w:val="auto"/>
                <w:sz w:val="24"/>
              </w:rPr>
              <w:t>、设备安装调试、地面硬化等，将产生：废气、废水、噪声、固体废弃物。</w:t>
            </w:r>
          </w:p>
          <w:p>
            <w:pPr>
              <w:keepNext w:val="0"/>
              <w:keepLines w:val="0"/>
              <w:suppressLineNumbers w:val="0"/>
              <w:spacing w:before="0" w:beforeAutospacing="0" w:after="0" w:afterAutospacing="0" w:line="360" w:lineRule="auto"/>
              <w:ind w:left="0" w:right="0" w:firstLine="482" w:firstLineChars="200"/>
              <w:rPr>
                <w:rFonts w:hint="eastAsia"/>
                <w:b/>
                <w:bCs/>
                <w:color w:val="auto"/>
                <w:sz w:val="24"/>
              </w:rPr>
            </w:pPr>
            <w:r>
              <w:rPr>
                <w:rFonts w:hint="eastAsia"/>
                <w:b/>
                <w:bCs/>
                <w:color w:val="auto"/>
                <w:sz w:val="24"/>
              </w:rPr>
              <w:t>1、施工期废气环境保护措施</w:t>
            </w:r>
          </w:p>
          <w:p>
            <w:pPr>
              <w:keepNext w:val="0"/>
              <w:keepLines w:val="0"/>
              <w:suppressLineNumbers w:val="0"/>
              <w:spacing w:before="0" w:beforeAutospacing="0" w:after="0" w:afterAutospacing="0" w:line="360" w:lineRule="auto"/>
              <w:ind w:left="0" w:right="0" w:firstLine="482" w:firstLineChars="200"/>
              <w:rPr>
                <w:rFonts w:hint="eastAsia"/>
                <w:color w:val="auto"/>
                <w:sz w:val="24"/>
              </w:rPr>
            </w:pPr>
            <w:r>
              <w:rPr>
                <w:rFonts w:hint="eastAsia"/>
                <w:b/>
                <w:bCs/>
                <w:color w:val="auto"/>
                <w:sz w:val="24"/>
              </w:rPr>
              <w:t>（1）施工期施工扬尘环境保护措施</w:t>
            </w:r>
          </w:p>
          <w:p>
            <w:pPr>
              <w:keepNext w:val="0"/>
              <w:keepLines w:val="0"/>
              <w:suppressLineNumbers w:val="0"/>
              <w:spacing w:before="0" w:beforeAutospacing="0" w:after="0" w:afterAutospacing="0" w:line="360" w:lineRule="auto"/>
              <w:ind w:left="0" w:right="0" w:firstLine="480" w:firstLineChars="200"/>
              <w:rPr>
                <w:rFonts w:hint="eastAsia"/>
                <w:color w:val="auto"/>
                <w:sz w:val="24"/>
              </w:rPr>
            </w:pPr>
            <w:r>
              <w:rPr>
                <w:rFonts w:hint="eastAsia"/>
                <w:color w:val="auto"/>
                <w:sz w:val="24"/>
              </w:rPr>
              <w:t>项目施工扬尘主要来源于场地临时堆放的土石方、裸露的表层浮土、易起尘的沙石建材，以及建筑材料运输和施工垃圾清理等过程。</w:t>
            </w:r>
          </w:p>
          <w:p>
            <w:pPr>
              <w:keepNext w:val="0"/>
              <w:keepLines w:val="0"/>
              <w:suppressLineNumbers w:val="0"/>
              <w:spacing w:before="0" w:beforeAutospacing="0" w:after="0" w:afterAutospacing="0" w:line="360" w:lineRule="auto"/>
              <w:ind w:left="0" w:right="0" w:firstLine="480" w:firstLineChars="200"/>
              <w:rPr>
                <w:rFonts w:hint="eastAsia"/>
                <w:color w:val="auto"/>
                <w:sz w:val="24"/>
              </w:rPr>
            </w:pPr>
            <w:r>
              <w:rPr>
                <w:rFonts w:hint="eastAsia"/>
                <w:color w:val="auto"/>
                <w:sz w:val="24"/>
              </w:rPr>
              <w:t>在气候干燥有风的情况下，风力作用会产生扬尘，这类扬尘的特点是其起尘量与风速等气象条件有关，也与尘粒本身的沉降速度有关，主要影响范围在堆场扬尘点下风向近距离处，一般是在工地围栏外100m范围内。由于距离不同，其污染程度会随距离的增大呈现递减的现象：在扬尘点下风向0～50m范围内为重污染带，在50～100m为较重污染带，100～200m为轻污染带，在200m以外范围内施工扬尘对周边大气影响甚微。根据同类规模项目类比，在一般气象条件下，施工扬尘的主要影响范围为其150m内，被影响的地域TSP浓度平均值为0.49mg/m</w:t>
            </w:r>
            <w:r>
              <w:rPr>
                <w:rFonts w:hint="eastAsia"/>
                <w:color w:val="auto"/>
                <w:sz w:val="24"/>
                <w:vertAlign w:val="superscript"/>
              </w:rPr>
              <w:t>3</w:t>
            </w:r>
            <w:r>
              <w:rPr>
                <w:rFonts w:hint="eastAsia"/>
                <w:color w:val="auto"/>
                <w:sz w:val="24"/>
              </w:rPr>
              <w:t>左右。</w:t>
            </w:r>
          </w:p>
          <w:p>
            <w:pPr>
              <w:keepNext w:val="0"/>
              <w:keepLines w:val="0"/>
              <w:suppressLineNumbers w:val="0"/>
              <w:spacing w:before="0" w:beforeAutospacing="0" w:after="0" w:afterAutospacing="0" w:line="360" w:lineRule="auto"/>
              <w:ind w:left="0" w:right="0" w:firstLine="480" w:firstLineChars="200"/>
              <w:rPr>
                <w:rFonts w:hint="eastAsia"/>
                <w:color w:val="auto"/>
                <w:sz w:val="24"/>
              </w:rPr>
            </w:pPr>
            <w:r>
              <w:rPr>
                <w:rFonts w:hint="eastAsia"/>
                <w:color w:val="auto"/>
                <w:sz w:val="24"/>
              </w:rPr>
              <w:t>为尽可能降低项目建设施工期扬尘影响，建设方应当采取有效措施来尽量减少扬尘的产生，环评建议采取以下措施：</w:t>
            </w:r>
          </w:p>
          <w:p>
            <w:pPr>
              <w:keepNext w:val="0"/>
              <w:keepLines w:val="0"/>
              <w:suppressLineNumbers w:val="0"/>
              <w:spacing w:before="0" w:beforeAutospacing="0" w:after="0" w:afterAutospacing="0" w:line="360" w:lineRule="auto"/>
              <w:ind w:left="0" w:right="0" w:firstLine="480" w:firstLineChars="200"/>
              <w:rPr>
                <w:rFonts w:hint="eastAsia"/>
                <w:color w:val="auto"/>
                <w:sz w:val="24"/>
              </w:rPr>
            </w:pPr>
            <w:r>
              <w:rPr>
                <w:rFonts w:hint="eastAsia"/>
                <w:color w:val="auto"/>
                <w:sz w:val="24"/>
              </w:rPr>
              <w:t>①对于建设施工阶段的车辆和机械扬尘，建议采取洒水湿法抑尘。利用洒水车对施工现场和进出道路洒水，同时在施工场地出口设置浅水池，以利于减少扬尘的产生量。在场地边界设置围挡，在围挡上方设置洒水喷头进行雾化喷淋降尘。</w:t>
            </w:r>
          </w:p>
          <w:p>
            <w:pPr>
              <w:keepNext w:val="0"/>
              <w:keepLines w:val="0"/>
              <w:suppressLineNumbers w:val="0"/>
              <w:spacing w:before="0" w:beforeAutospacing="0" w:after="0" w:afterAutospacing="0" w:line="360" w:lineRule="auto"/>
              <w:ind w:left="0" w:right="0" w:firstLine="480" w:firstLineChars="200"/>
              <w:rPr>
                <w:rFonts w:hint="eastAsia"/>
                <w:color w:val="auto"/>
                <w:sz w:val="24"/>
              </w:rPr>
            </w:pPr>
            <w:r>
              <w:rPr>
                <w:rFonts w:hint="eastAsia"/>
                <w:color w:val="auto"/>
                <w:sz w:val="24"/>
              </w:rPr>
              <w:t>②利用道路清扫车对道路和施工区域进行清扫，洒水，保持路面湿度，减少施工粉尘和运输车辆产生的二次扬尘。当空气污染指数为80~100时，应每隔4小时保洁一次，清扫每4小时一次，洒水和清扫次数为交替进行。</w:t>
            </w:r>
          </w:p>
          <w:p>
            <w:pPr>
              <w:keepNext w:val="0"/>
              <w:keepLines w:val="0"/>
              <w:suppressLineNumbers w:val="0"/>
              <w:spacing w:before="0" w:beforeAutospacing="0" w:after="0" w:afterAutospacing="0" w:line="360" w:lineRule="auto"/>
              <w:ind w:left="0" w:right="0" w:firstLine="480" w:firstLineChars="200"/>
              <w:rPr>
                <w:rFonts w:hint="eastAsia"/>
                <w:color w:val="auto"/>
                <w:sz w:val="24"/>
              </w:rPr>
            </w:pPr>
            <w:r>
              <w:rPr>
                <w:rFonts w:hint="eastAsia"/>
                <w:color w:val="auto"/>
                <w:sz w:val="24"/>
              </w:rPr>
              <w:t>③防止施工现场泥浆对周围环境影响，对出工地车辆进行全面清洗，严禁带泥上路，减缓施工粉尘对周边环境的影响。</w:t>
            </w:r>
          </w:p>
          <w:p>
            <w:pPr>
              <w:keepNext w:val="0"/>
              <w:keepLines w:val="0"/>
              <w:suppressLineNumbers w:val="0"/>
              <w:spacing w:before="0" w:beforeAutospacing="0" w:after="0" w:afterAutospacing="0" w:line="360" w:lineRule="auto"/>
              <w:ind w:left="0" w:right="0" w:firstLine="480" w:firstLineChars="200"/>
              <w:rPr>
                <w:rFonts w:hint="eastAsia"/>
                <w:color w:val="auto"/>
                <w:sz w:val="24"/>
              </w:rPr>
            </w:pPr>
            <w:r>
              <w:rPr>
                <w:rFonts w:hint="eastAsia"/>
                <w:color w:val="auto"/>
                <w:sz w:val="24"/>
              </w:rPr>
              <w:t>④对于装运含尘物料的运输车辆应加盖篷布，严格控制和规范车辆运输量和方式，容易产生粉尘的物料不能够装得高过车辆两边和尾部的挡板，严格控制物料的洒落，以避免因为道路颠簸和大风天气起尘而对沿途的大气环境造成影响。</w:t>
            </w:r>
          </w:p>
          <w:p>
            <w:pPr>
              <w:keepNext w:val="0"/>
              <w:keepLines w:val="0"/>
              <w:suppressLineNumbers w:val="0"/>
              <w:spacing w:before="0" w:beforeAutospacing="0" w:after="0" w:afterAutospacing="0" w:line="360" w:lineRule="auto"/>
              <w:ind w:left="0" w:right="0" w:firstLine="480" w:firstLineChars="200"/>
              <w:rPr>
                <w:rFonts w:hint="eastAsia"/>
                <w:color w:val="auto"/>
                <w:sz w:val="24"/>
              </w:rPr>
            </w:pPr>
            <w:r>
              <w:rPr>
                <w:rFonts w:hint="eastAsia"/>
                <w:color w:val="auto"/>
                <w:sz w:val="24"/>
              </w:rPr>
              <w:t>⑤在大风天气以及台风影响期因注意堆料的保护，加盖篷布密封保存，避免造成大范围的大气污染。</w:t>
            </w:r>
          </w:p>
          <w:p>
            <w:pPr>
              <w:keepNext w:val="0"/>
              <w:keepLines w:val="0"/>
              <w:suppressLineNumbers w:val="0"/>
              <w:spacing w:before="0" w:beforeAutospacing="0" w:after="0" w:afterAutospacing="0" w:line="360" w:lineRule="auto"/>
              <w:ind w:left="0" w:right="0" w:firstLine="480" w:firstLineChars="200"/>
              <w:rPr>
                <w:rFonts w:hint="eastAsia"/>
                <w:color w:val="auto"/>
                <w:sz w:val="24"/>
              </w:rPr>
            </w:pPr>
            <w:r>
              <w:rPr>
                <w:rFonts w:hint="eastAsia"/>
                <w:color w:val="auto"/>
                <w:sz w:val="24"/>
              </w:rPr>
              <w:t>⑥原材料及土方运输过程中必须选择沿线敏感点少的路段，应尽量避开人口相对较稠密的地区，并且限制施工区内运输车辆的速度，将卡车在施工场地的车速减少到10km/h，其他周边区域较少至30km/h。石灰等容易飞散的物料，注意运输时必须压实，填装高度禁止超过车斗防护栏，避免洒落引起二次扬尘。砂和石灰等易洒落散装物料在装卸、使用、运输、转运和临时存放等全部过程中，必需采取防风遮盖措施，以减少扬尘。</w:t>
            </w:r>
          </w:p>
          <w:p>
            <w:pPr>
              <w:keepNext w:val="0"/>
              <w:keepLines w:val="0"/>
              <w:suppressLineNumbers w:val="0"/>
              <w:spacing w:before="0" w:beforeAutospacing="0" w:after="0" w:afterAutospacing="0" w:line="360" w:lineRule="auto"/>
              <w:ind w:left="0" w:right="0" w:firstLine="480" w:firstLineChars="200"/>
              <w:rPr>
                <w:rFonts w:hint="eastAsia"/>
                <w:color w:val="auto"/>
                <w:sz w:val="24"/>
              </w:rPr>
            </w:pPr>
            <w:r>
              <w:rPr>
                <w:rFonts w:hint="eastAsia"/>
                <w:color w:val="auto"/>
                <w:sz w:val="24"/>
              </w:rPr>
              <w:t>⑦大风天气避免露天施工作业。加强施工人员的劳动保护工作，配发相应的防护装备。在施工期间，如遇四级以上的大风不得进行土方作业，对因故暂停施工的建设工程，应对施工区域裸土进行覆盖、临边洞口需有安全防护。</w:t>
            </w:r>
          </w:p>
          <w:p>
            <w:pPr>
              <w:keepNext w:val="0"/>
              <w:keepLines w:val="0"/>
              <w:suppressLineNumbers w:val="0"/>
              <w:spacing w:before="0" w:beforeAutospacing="0" w:after="0" w:afterAutospacing="0" w:line="360" w:lineRule="auto"/>
              <w:ind w:left="0" w:right="0" w:firstLine="480" w:firstLineChars="200"/>
              <w:rPr>
                <w:rFonts w:hint="eastAsia"/>
                <w:color w:val="auto"/>
                <w:sz w:val="24"/>
              </w:rPr>
            </w:pPr>
            <w:r>
              <w:rPr>
                <w:rFonts w:hint="eastAsia"/>
                <w:color w:val="auto"/>
                <w:sz w:val="24"/>
              </w:rPr>
              <w:t>⑧超过2天的渣土堆、裸地以及施工场地内堆放的水泥、灰土、砂石等粉状粒状建筑材料应使用防尘布覆盖或喷涂凝固剂等方式防尘，覆盖面积为大于渣土、裸地边缘2m长为宜，所有的粉料建材必须覆盖或使用料仓密闭存放。</w:t>
            </w:r>
          </w:p>
          <w:p>
            <w:pPr>
              <w:keepNext w:val="0"/>
              <w:keepLines w:val="0"/>
              <w:suppressLineNumbers w:val="0"/>
              <w:spacing w:before="0" w:beforeAutospacing="0" w:after="0" w:afterAutospacing="0" w:line="360" w:lineRule="auto"/>
              <w:ind w:left="0" w:right="0" w:firstLine="480" w:firstLineChars="200"/>
              <w:rPr>
                <w:rFonts w:hint="eastAsia"/>
                <w:color w:val="auto"/>
                <w:sz w:val="24"/>
              </w:rPr>
            </w:pPr>
            <w:r>
              <w:rPr>
                <w:rFonts w:hint="eastAsia"/>
                <w:color w:val="auto"/>
                <w:sz w:val="24"/>
              </w:rPr>
              <w:t>⑨建筑工程施工现场应当专门设置集中堆放建筑垃圾、工程渣土的场地，并在48小时内完成清运，不能按时完成清运的建筑垃圾，应采取围档、遮盖等防尘措施，不能按时完成清运的土方，应采取固化、覆盖或绿化等扬尘控制措施；生活垃圾按照环卫部门要求统一清运至指定的收集地点。</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default"/>
                <w:color w:val="auto"/>
                <w:sz w:val="24"/>
              </w:rPr>
              <w:t>上述措施主要是围挡和洒水，围挡起直接阻挡扬尘飞扬的作用；洒水可降低施工扬尘的起尘量。这些防尘措施均是常用的，也是有效的。根据资料分析，洒水对控制施工扬尘很有效，特别是对施工近场（30m以内）降尘效果达60%以上，同时扬尘的影响范围也减少70%左右。严格按照上述措施治理后，拟建项目施工期扬尘污染可以减小到最低</w:t>
            </w:r>
            <w:r>
              <w:rPr>
                <w:rFonts w:hint="eastAsia"/>
                <w:color w:val="auto"/>
                <w:sz w:val="24"/>
              </w:rPr>
              <w:t>，对周边居民影响较小</w:t>
            </w:r>
            <w:r>
              <w:rPr>
                <w:rFonts w:hint="default"/>
                <w:color w:val="auto"/>
                <w:sz w:val="24"/>
              </w:rPr>
              <w:t>，措施可行。</w:t>
            </w:r>
            <w:r>
              <w:rPr>
                <w:rFonts w:hint="eastAsia"/>
                <w:color w:val="auto"/>
                <w:sz w:val="24"/>
              </w:rPr>
              <w:t>此外，该类污染具有局部性和暂时性，伴着施工期的结束也会随之消失，整体影响较小。</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依据《永州市水污染和大气污染治理实施方案（2016－2020年）》明确建设单位和施工单位建筑工地扬尘污染防治责任，强化施工期环境监理，所有建设工地现场实现标准化目标管理，确保实现“六不开工”和“七个100％”，即未领取施工许可证不开工、围档不合要求不开工、地面硬化不达标不开工、冲洗排放设备不到位不开工、保洁人员不到位不开工、不签订《市容环境卫生责任书》不开工；建筑工地必须做到施工现场100％标准化围档、工地砂土不用时100％覆盖、工地路面100％硬化、拆除工程100％洒水压尘、出工地车辆100％冲净车轮车身、施工现场长期裸土100％覆盖或绿化、现场监管100％到位。</w:t>
            </w:r>
          </w:p>
          <w:p>
            <w:pPr>
              <w:pStyle w:val="6"/>
              <w:keepNext w:val="0"/>
              <w:keepLines w:val="0"/>
              <w:suppressLineNumbers w:val="0"/>
              <w:spacing w:before="0" w:beforeAutospacing="0" w:after="0" w:afterAutospacing="0" w:line="360" w:lineRule="auto"/>
              <w:ind w:left="0" w:right="0" w:firstLine="482"/>
              <w:rPr>
                <w:rFonts w:hint="eastAsia"/>
                <w:b/>
                <w:bCs/>
                <w:color w:val="auto"/>
                <w:sz w:val="24"/>
              </w:rPr>
            </w:pPr>
            <w:r>
              <w:rPr>
                <w:rFonts w:hint="eastAsia"/>
                <w:b/>
                <w:bCs/>
                <w:color w:val="auto"/>
                <w:sz w:val="24"/>
              </w:rPr>
              <w:t>（2）施工期施工机械尾气环境保护措施</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施工机械设备尾气主要含有CO、NO</w:t>
            </w:r>
            <w:r>
              <w:rPr>
                <w:rFonts w:hint="eastAsia"/>
                <w:color w:val="auto"/>
                <w:sz w:val="24"/>
                <w:vertAlign w:val="subscript"/>
              </w:rPr>
              <w:t>X</w:t>
            </w:r>
            <w:r>
              <w:rPr>
                <w:rFonts w:hint="eastAsia"/>
                <w:color w:val="auto"/>
                <w:sz w:val="24"/>
              </w:rPr>
              <w:t>、HC（碳氢化合物）等。一般大型车辆尾气污染物排放量为：CO：5.25g/辆·km，THC：20.8g/辆·km，NOx：10.44g/辆·km。</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施工机械设备在运行时会产生一定量的燃油废气，其主要污染物为SO</w:t>
            </w:r>
            <w:r>
              <w:rPr>
                <w:rFonts w:hint="eastAsia"/>
                <w:color w:val="auto"/>
                <w:sz w:val="24"/>
                <w:vertAlign w:val="subscript"/>
              </w:rPr>
              <w:t>2</w:t>
            </w:r>
            <w:r>
              <w:rPr>
                <w:rFonts w:hint="eastAsia"/>
                <w:color w:val="auto"/>
                <w:sz w:val="24"/>
              </w:rPr>
              <w:t>、NO</w:t>
            </w:r>
            <w:r>
              <w:rPr>
                <w:rFonts w:hint="eastAsia"/>
                <w:color w:val="auto"/>
                <w:sz w:val="24"/>
                <w:vertAlign w:val="subscript"/>
              </w:rPr>
              <w:t>2</w:t>
            </w:r>
            <w:r>
              <w:rPr>
                <w:rFonts w:hint="eastAsia"/>
                <w:color w:val="auto"/>
                <w:sz w:val="24"/>
              </w:rPr>
              <w:t>、CO等物质，但由于施工工序不同，设备安放位置不一，所以该类污染源较为分散，且污染物排放量较少，在自然扩散基础上，对周边大气环境影响较小。此外，随着施工期的结束，该类污染也将随之消失。施工单位须使用污染物排放符合国家标准的施工机械设备和运输车辆，并加强操作管理和日常养护，保证施工机械设备和运输车辆处于良好的工作状态，严禁使用不合格设备和报废车辆。</w:t>
            </w:r>
          </w:p>
          <w:p>
            <w:pPr>
              <w:pStyle w:val="6"/>
              <w:keepNext w:val="0"/>
              <w:keepLines w:val="0"/>
              <w:suppressLineNumbers w:val="0"/>
              <w:spacing w:before="0" w:beforeAutospacing="0" w:after="0" w:afterAutospacing="0" w:line="360" w:lineRule="auto"/>
              <w:ind w:left="0" w:right="0" w:firstLine="480"/>
              <w:rPr>
                <w:rFonts w:hint="eastAsia"/>
                <w:b/>
                <w:bCs/>
                <w:color w:val="auto"/>
                <w:sz w:val="24"/>
              </w:rPr>
            </w:pPr>
            <w:r>
              <w:rPr>
                <w:rFonts w:hint="eastAsia"/>
                <w:color w:val="auto"/>
                <w:sz w:val="24"/>
              </w:rPr>
              <w:t>综上所述，项目施工期产生的所有废气通过合理的防治措施和科学的管理后，均能得到有效的控制，对周边环境大气质量以及敏感点产生的影响较小。</w:t>
            </w:r>
          </w:p>
          <w:p>
            <w:pPr>
              <w:pStyle w:val="6"/>
              <w:keepNext w:val="0"/>
              <w:keepLines w:val="0"/>
              <w:suppressLineNumbers w:val="0"/>
              <w:spacing w:before="0" w:beforeAutospacing="0" w:after="0" w:afterAutospacing="0" w:line="360" w:lineRule="auto"/>
              <w:ind w:left="0" w:right="0" w:firstLine="482"/>
              <w:rPr>
                <w:rFonts w:hint="eastAsia"/>
                <w:b/>
                <w:bCs/>
                <w:color w:val="auto"/>
                <w:sz w:val="24"/>
              </w:rPr>
            </w:pPr>
            <w:r>
              <w:rPr>
                <w:rFonts w:hint="eastAsia"/>
                <w:b/>
                <w:bCs/>
                <w:color w:val="auto"/>
                <w:sz w:val="24"/>
              </w:rPr>
              <w:t>2、施工期废水环境保护措施</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施工废水包括结构阶段混凝土养护水、砂石料冲洗废水，以及雨水冲刷施工场地内裸露表土产生的含泥沙废水，主要污染因子为SS。施工期产生的各类施工废水应收集至沉淀池内进行沉淀，之后回用于施工及洒水抑尘使用，不外排。</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此外，项目应尽量避免在雨季进行施工，须在施工场内开挖临时导流排水沟，需保证下雨时施工场地内的泥浆雨水得到处理；如有工程需要，可在排水口处设置格栅，截留较大的块状物。施工单位应及时做好裸露地表的硬化、绿化工作。</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施工期生活污水经临时化粪池预处理后</w:t>
            </w:r>
            <w:r>
              <w:rPr>
                <w:rFonts w:hint="eastAsia"/>
                <w:color w:val="auto"/>
                <w:sz w:val="24"/>
                <w:lang w:val="en-US" w:eastAsia="zh-CN"/>
              </w:rPr>
              <w:t>排入市政污水管网</w:t>
            </w:r>
            <w:r>
              <w:rPr>
                <w:rFonts w:hint="eastAsia"/>
                <w:color w:val="auto"/>
                <w:sz w:val="24"/>
              </w:rPr>
              <w:t>，对周边水环境影响小。</w:t>
            </w:r>
          </w:p>
          <w:p>
            <w:pPr>
              <w:pStyle w:val="6"/>
              <w:keepNext w:val="0"/>
              <w:keepLines w:val="0"/>
              <w:suppressLineNumbers w:val="0"/>
              <w:spacing w:before="0" w:beforeAutospacing="0" w:after="0" w:afterAutospacing="0" w:line="360" w:lineRule="auto"/>
              <w:ind w:left="0" w:right="0" w:firstLine="480"/>
              <w:rPr>
                <w:rFonts w:hint="default"/>
                <w:color w:val="auto"/>
                <w:sz w:val="24"/>
              </w:rPr>
            </w:pPr>
            <w:r>
              <w:rPr>
                <w:rFonts w:hint="eastAsia"/>
                <w:color w:val="auto"/>
                <w:sz w:val="24"/>
              </w:rPr>
              <w:t>采取如上防治措施后，项目施工期产生的施工废水、车辆冲洗废和施工生活污水均能得到有序的处理，不会对周边水环境造成太大的影响。</w:t>
            </w:r>
          </w:p>
          <w:p>
            <w:pPr>
              <w:pStyle w:val="6"/>
              <w:keepNext w:val="0"/>
              <w:keepLines w:val="0"/>
              <w:suppressLineNumbers w:val="0"/>
              <w:spacing w:before="0" w:beforeAutospacing="0" w:after="0" w:afterAutospacing="0" w:line="360" w:lineRule="auto"/>
              <w:ind w:left="0" w:right="0" w:firstLine="482"/>
              <w:rPr>
                <w:rFonts w:hint="eastAsia"/>
                <w:b/>
                <w:bCs/>
                <w:color w:val="auto"/>
                <w:sz w:val="24"/>
              </w:rPr>
            </w:pPr>
            <w:r>
              <w:rPr>
                <w:rFonts w:hint="eastAsia"/>
                <w:b/>
                <w:bCs/>
                <w:color w:val="auto"/>
                <w:sz w:val="24"/>
              </w:rPr>
              <w:t>3、施工期噪声环境保护措施</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default"/>
                <w:color w:val="auto"/>
                <w:sz w:val="24"/>
              </w:rPr>
              <w:t>施工场地噪声主要是施工机场设备噪声、运输车辆噪声、物料装卸碰撞噪声。由于施工阶段一般为露天作业，无隔声与减震措施，故噪声传播范围较远，影响面较大。由于施工场地高噪声施工机械较多，各施工阶段均有较多的机械设备于现场运行，单体设备声源声级一般为90dB(A)左右。</w:t>
            </w:r>
            <w:r>
              <w:rPr>
                <w:rFonts w:hint="default"/>
                <w:color w:val="auto"/>
                <w:kern w:val="0"/>
                <w:sz w:val="24"/>
              </w:rPr>
              <w:t>施工期噪声影响具有一定的暂时性和间歇性，随着施工期的结束，相应的噪声问题也会随之消失。</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本环评要求建设单位采取以下防治措施降低施工噪声对周边环境的影响：</w:t>
            </w:r>
          </w:p>
          <w:p>
            <w:pPr>
              <w:keepNext w:val="0"/>
              <w:keepLines w:val="0"/>
              <w:suppressLineNumbers w:val="0"/>
              <w:adjustRightInd w:val="0"/>
              <w:spacing w:before="0" w:beforeAutospacing="0" w:after="0" w:afterAutospacing="0" w:line="360" w:lineRule="auto"/>
              <w:ind w:left="0" w:right="0" w:firstLine="480" w:firstLineChars="200"/>
              <w:rPr>
                <w:rFonts w:hint="default"/>
                <w:color w:val="auto"/>
                <w:kern w:val="0"/>
                <w:sz w:val="24"/>
              </w:rPr>
            </w:pPr>
            <w:r>
              <w:rPr>
                <w:rFonts w:hint="default"/>
                <w:color w:val="auto"/>
                <w:kern w:val="0"/>
                <w:sz w:val="24"/>
              </w:rPr>
              <w:t>（1）严格遵守</w:t>
            </w:r>
            <w:r>
              <w:rPr>
                <w:rFonts w:hint="default"/>
                <w:color w:val="auto"/>
                <w:kern w:val="0"/>
                <w:sz w:val="24"/>
                <w:lang w:val="zh-CN"/>
              </w:rPr>
              <w:t>工程所在地环境保护行政主管部门</w:t>
            </w:r>
            <w:r>
              <w:rPr>
                <w:rFonts w:hint="default"/>
                <w:color w:val="auto"/>
                <w:kern w:val="0"/>
                <w:sz w:val="24"/>
              </w:rPr>
              <w:t>对建筑施工的有关规定和《建筑施工场界环境噪声排放标准》</w:t>
            </w:r>
            <w:r>
              <w:rPr>
                <w:rFonts w:hint="eastAsia"/>
                <w:color w:val="auto"/>
                <w:kern w:val="0"/>
                <w:sz w:val="24"/>
                <w:lang w:eastAsia="zh-CN"/>
              </w:rPr>
              <w:t>（</w:t>
            </w:r>
            <w:r>
              <w:rPr>
                <w:rFonts w:hint="default"/>
                <w:color w:val="auto"/>
                <w:kern w:val="0"/>
                <w:sz w:val="24"/>
              </w:rPr>
              <w:t>GB12523-2011</w:t>
            </w:r>
            <w:r>
              <w:rPr>
                <w:rFonts w:hint="eastAsia"/>
                <w:color w:val="auto"/>
                <w:kern w:val="0"/>
                <w:sz w:val="24"/>
                <w:lang w:eastAsia="zh-CN"/>
              </w:rPr>
              <w:t>）</w:t>
            </w:r>
            <w:r>
              <w:rPr>
                <w:rFonts w:hint="default"/>
                <w:color w:val="auto"/>
                <w:kern w:val="0"/>
                <w:sz w:val="24"/>
              </w:rPr>
              <w:t>中的有关要求。合理安排施工时间和加强对一线操作人员的环境保护意识教育来控制。并且必须在</w:t>
            </w:r>
            <w:r>
              <w:rPr>
                <w:rFonts w:hint="default"/>
                <w:color w:val="auto"/>
                <w:kern w:val="0"/>
                <w:sz w:val="24"/>
                <w:lang w:val="zh-CN"/>
              </w:rPr>
              <w:t>工程所在地环境保护行政主管部门</w:t>
            </w:r>
            <w:r>
              <w:rPr>
                <w:rFonts w:hint="default"/>
                <w:color w:val="auto"/>
                <w:kern w:val="0"/>
                <w:sz w:val="24"/>
              </w:rPr>
              <w:t>登记备案，要求施工单位必须预先申请获批准后方可按申请要求施工，不得擅自更改。</w:t>
            </w:r>
          </w:p>
          <w:p>
            <w:pPr>
              <w:keepNext w:val="0"/>
              <w:keepLines w:val="0"/>
              <w:suppressLineNumbers w:val="0"/>
              <w:adjustRightInd w:val="0"/>
              <w:spacing w:before="0" w:beforeAutospacing="0" w:after="0" w:afterAutospacing="0" w:line="360" w:lineRule="auto"/>
              <w:ind w:left="0" w:right="0" w:firstLine="480" w:firstLineChars="200"/>
              <w:rPr>
                <w:rFonts w:hint="default"/>
                <w:color w:val="auto"/>
                <w:kern w:val="0"/>
                <w:sz w:val="24"/>
              </w:rPr>
            </w:pPr>
            <w:r>
              <w:rPr>
                <w:rFonts w:hint="default"/>
                <w:color w:val="auto"/>
                <w:kern w:val="0"/>
                <w:sz w:val="24"/>
              </w:rPr>
              <w:t>（2）施工过程要注意对该居民点的保护，合理布局高噪声施工设备，高噪声施工设备尽量远离居民点，在不影响居民休息的时间段进行高噪声设备的使用。</w:t>
            </w:r>
          </w:p>
          <w:p>
            <w:pPr>
              <w:keepNext w:val="0"/>
              <w:keepLines w:val="0"/>
              <w:suppressLineNumbers w:val="0"/>
              <w:adjustRightInd w:val="0"/>
              <w:spacing w:before="0" w:beforeAutospacing="0" w:after="0" w:afterAutospacing="0" w:line="360" w:lineRule="auto"/>
              <w:ind w:left="0" w:right="0" w:firstLine="480" w:firstLineChars="200"/>
              <w:rPr>
                <w:rFonts w:hint="default"/>
                <w:color w:val="auto"/>
                <w:kern w:val="0"/>
                <w:sz w:val="24"/>
              </w:rPr>
            </w:pPr>
            <w:r>
              <w:rPr>
                <w:rFonts w:hint="default"/>
                <w:color w:val="auto"/>
                <w:kern w:val="0"/>
                <w:sz w:val="24"/>
              </w:rPr>
              <w:t>（3）对产生高噪声的设备，建议在其外加盖简易棚。</w:t>
            </w:r>
          </w:p>
          <w:p>
            <w:pPr>
              <w:keepNext w:val="0"/>
              <w:keepLines w:val="0"/>
              <w:suppressLineNumbers w:val="0"/>
              <w:adjustRightInd w:val="0"/>
              <w:spacing w:before="0" w:beforeAutospacing="0" w:after="0" w:afterAutospacing="0" w:line="360" w:lineRule="auto"/>
              <w:ind w:left="0" w:right="0" w:firstLine="480" w:firstLineChars="200"/>
              <w:rPr>
                <w:rFonts w:hint="default"/>
                <w:color w:val="auto"/>
                <w:kern w:val="0"/>
                <w:sz w:val="24"/>
              </w:rPr>
            </w:pPr>
            <w:r>
              <w:rPr>
                <w:rFonts w:hint="default"/>
                <w:color w:val="auto"/>
                <w:kern w:val="0"/>
                <w:sz w:val="24"/>
              </w:rPr>
              <w:t>（4）合理设计施工总平面布置图，将高噪声设备尽量布置在项目区中间远离厂界的位置。</w:t>
            </w:r>
          </w:p>
          <w:p>
            <w:pPr>
              <w:keepNext w:val="0"/>
              <w:keepLines w:val="0"/>
              <w:suppressLineNumbers w:val="0"/>
              <w:adjustRightInd w:val="0"/>
              <w:spacing w:before="0" w:beforeAutospacing="0" w:after="0" w:afterAutospacing="0" w:line="360" w:lineRule="auto"/>
              <w:ind w:left="0" w:right="0" w:firstLine="480" w:firstLineChars="200"/>
              <w:rPr>
                <w:rFonts w:hint="default"/>
                <w:color w:val="auto"/>
                <w:kern w:val="0"/>
                <w:sz w:val="24"/>
              </w:rPr>
            </w:pPr>
            <w:r>
              <w:rPr>
                <w:rFonts w:hint="default"/>
                <w:color w:val="auto"/>
                <w:kern w:val="0"/>
                <w:sz w:val="24"/>
              </w:rPr>
              <w:t>（5）对钢管、摸板等构件装卸、搬运应该轻拿轻放，严禁抛掷，并辅以一定的减缓措施，如铺设草包等。</w:t>
            </w:r>
          </w:p>
          <w:p>
            <w:pPr>
              <w:keepNext w:val="0"/>
              <w:keepLines w:val="0"/>
              <w:suppressLineNumbers w:val="0"/>
              <w:adjustRightInd w:val="0"/>
              <w:spacing w:before="0" w:beforeAutospacing="0" w:after="0" w:afterAutospacing="0" w:line="360" w:lineRule="auto"/>
              <w:ind w:left="0" w:right="0" w:firstLine="480" w:firstLineChars="200"/>
              <w:rPr>
                <w:rFonts w:hint="default"/>
                <w:color w:val="auto"/>
                <w:kern w:val="0"/>
                <w:sz w:val="24"/>
              </w:rPr>
            </w:pPr>
            <w:r>
              <w:rPr>
                <w:rFonts w:hint="default"/>
                <w:color w:val="auto"/>
                <w:kern w:val="0"/>
                <w:sz w:val="24"/>
              </w:rPr>
              <w:t>（6）对动力机械设备定期进行维修和养护，避免因松动部件振动或减震器损坏而增大设备工作时的声级。</w:t>
            </w:r>
          </w:p>
          <w:p>
            <w:pPr>
              <w:keepNext w:val="0"/>
              <w:keepLines w:val="0"/>
              <w:suppressLineNumbers w:val="0"/>
              <w:adjustRightInd w:val="0"/>
              <w:spacing w:before="0" w:beforeAutospacing="0" w:after="0" w:afterAutospacing="0" w:line="360" w:lineRule="auto"/>
              <w:ind w:left="0" w:right="0" w:firstLine="480" w:firstLineChars="200"/>
              <w:rPr>
                <w:rFonts w:hint="default"/>
                <w:color w:val="auto"/>
                <w:kern w:val="0"/>
                <w:sz w:val="24"/>
              </w:rPr>
            </w:pPr>
            <w:r>
              <w:rPr>
                <w:rFonts w:hint="default"/>
                <w:color w:val="auto"/>
                <w:kern w:val="0"/>
                <w:sz w:val="24"/>
              </w:rPr>
              <w:t>（7）运输车辆在进入施工区附近区域后，要适当降低车速，禁止鸣笛。</w:t>
            </w:r>
          </w:p>
          <w:p>
            <w:pPr>
              <w:keepNext w:val="0"/>
              <w:keepLines w:val="0"/>
              <w:suppressLineNumbers w:val="0"/>
              <w:adjustRightInd w:val="0"/>
              <w:spacing w:before="0" w:beforeAutospacing="0" w:after="0" w:afterAutospacing="0" w:line="360" w:lineRule="auto"/>
              <w:ind w:left="0" w:right="0" w:firstLine="480" w:firstLineChars="200"/>
              <w:rPr>
                <w:rFonts w:hint="default"/>
                <w:color w:val="auto"/>
                <w:kern w:val="0"/>
                <w:sz w:val="24"/>
              </w:rPr>
            </w:pPr>
            <w:r>
              <w:rPr>
                <w:rFonts w:hint="default"/>
                <w:color w:val="auto"/>
                <w:kern w:val="0"/>
                <w:sz w:val="24"/>
              </w:rPr>
              <w:t>（8）为保证施工现场附近居民的夜间休息，噪声大的施工机械在夜间22</w:t>
            </w:r>
            <w:r>
              <w:rPr>
                <w:rFonts w:hint="eastAsia" w:ascii="宋体" w:hAnsi="宋体" w:cs="宋体"/>
                <w:color w:val="auto"/>
                <w:kern w:val="0"/>
                <w:sz w:val="24"/>
              </w:rPr>
              <w:t>∶</w:t>
            </w:r>
            <w:r>
              <w:rPr>
                <w:rFonts w:hint="default"/>
                <w:color w:val="auto"/>
                <w:kern w:val="0"/>
                <w:sz w:val="24"/>
              </w:rPr>
              <w:t>00~06</w:t>
            </w:r>
            <w:r>
              <w:rPr>
                <w:rFonts w:hint="eastAsia" w:ascii="宋体" w:hAnsi="宋体" w:cs="宋体"/>
                <w:color w:val="auto"/>
                <w:kern w:val="0"/>
                <w:sz w:val="24"/>
              </w:rPr>
              <w:t>∶</w:t>
            </w:r>
            <w:r>
              <w:rPr>
                <w:rFonts w:hint="default"/>
                <w:color w:val="auto"/>
                <w:kern w:val="0"/>
                <w:sz w:val="24"/>
              </w:rPr>
              <w:t>00时停止施工，如因工艺需要夜间连续施工，必须与周边居民协商。应设禁鸣和限速标志，车辆夜间通过时速度应小于30km/h。</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default"/>
                <w:color w:val="auto"/>
                <w:kern w:val="0"/>
                <w:sz w:val="24"/>
              </w:rPr>
              <w:t>通过采取以上噪声防治措施后，施工期产生的噪声影响将会的得到有效的控制和缓减</w:t>
            </w:r>
            <w:r>
              <w:rPr>
                <w:rFonts w:hint="eastAsia"/>
                <w:color w:val="auto"/>
                <w:kern w:val="0"/>
                <w:sz w:val="24"/>
              </w:rPr>
              <w:t>。同时，</w:t>
            </w:r>
            <w:r>
              <w:rPr>
                <w:rFonts w:hint="eastAsia"/>
                <w:color w:val="auto"/>
                <w:sz w:val="24"/>
              </w:rPr>
              <w:t>由于噪声具有阶段性、临时性和不固定性，随着工作阶段的不同，其影响也不同。由于施工期噪声是阶段性的，随着施工期的结束，噪声的影响也将结束。故业主方应抓紧开展施工，在符合工程质量要求的前提下，尽量缩短将影响周期。随着施工的结束，施工噪声也会自行结束。由于本项目设备安装施工时间不长，对周围环境影响较小。</w:t>
            </w:r>
          </w:p>
          <w:p>
            <w:pPr>
              <w:pStyle w:val="6"/>
              <w:keepNext w:val="0"/>
              <w:keepLines w:val="0"/>
              <w:suppressLineNumbers w:val="0"/>
              <w:spacing w:before="0" w:beforeAutospacing="0" w:after="0" w:afterAutospacing="0" w:line="360" w:lineRule="auto"/>
              <w:ind w:left="0" w:right="0" w:firstLine="482"/>
              <w:rPr>
                <w:rFonts w:hint="eastAsia"/>
                <w:b/>
                <w:bCs/>
                <w:color w:val="auto"/>
                <w:sz w:val="24"/>
              </w:rPr>
            </w:pPr>
            <w:r>
              <w:rPr>
                <w:rFonts w:hint="eastAsia"/>
                <w:b/>
                <w:bCs/>
                <w:color w:val="auto"/>
                <w:sz w:val="24"/>
              </w:rPr>
              <w:t>4、施工期固体废物环境保护措施</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施工期产生的固体废物主要为建筑垃圾和生活垃圾。施工建筑垃圾主要为建筑过程中产生的弃料、余泥、装修废料等。施工建筑垃圾不得随意丢弃，应分类进行综合利用和妥善处置，能够回用的尽量回用，不能回用的集中收集，及时清运并综合利用；施工人员生活垃圾产生量约为</w:t>
            </w:r>
            <w:r>
              <w:rPr>
                <w:rFonts w:hint="eastAsia"/>
                <w:color w:val="auto"/>
                <w:sz w:val="24"/>
                <w:lang w:val="en-US" w:eastAsia="zh-CN"/>
              </w:rPr>
              <w:t>10</w:t>
            </w:r>
            <w:r>
              <w:rPr>
                <w:rFonts w:hint="eastAsia"/>
                <w:color w:val="auto"/>
                <w:sz w:val="24"/>
              </w:rPr>
              <w:t>kg/d，不得随意丢弃，应集中存放，由环卫部门定期清理。</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为了防止施工期固体废物造成的污染，环评建议采取如下措施：</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（1）根据《城市建筑垃圾管理规定》（建设部令第139号）有关规定，建设单位和施工单位要重视建筑垃圾的管理，采取积极措施防止其对环境的污染。</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（2）对施工期间产生的建筑垃圾进行分类收集、分类暂存，能够回收利用的尽量回收综合利用，以节约宝贵的资源。</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（3）对建筑垃圾进行收集并固定地点集中暂存，尽量缩短暂存的时间，争取日产日清。同时要做好建筑垃圾暂存点的防护工作，及时进行覆盖，避免风吹、雨淋散失或流失。</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（4）施工人员生活垃圾收集后由环卫部门统一收集处理。</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（5）施工单位不准将各种固体废物随意丢弃和随意排放。</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（6）车辆运输散体物和废弃物时，必须密封、覆盖，不得沿途撒漏；运载土方的车辆必须在规定的时间内，按指定路段行驶。</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（7）对场地挖掘产生的土方应切实按照规划要求用于场地回填及绿地铺设，并尽快利用以减少堆存时间，以免因长期堆积而产生二次污染。</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通过以上措施处理，固体废物污染可得到有效控制，并避免二次污染的产生，措施可行。</w:t>
            </w:r>
          </w:p>
          <w:p>
            <w:pPr>
              <w:pStyle w:val="6"/>
              <w:keepNext w:val="0"/>
              <w:keepLines w:val="0"/>
              <w:suppressLineNumbers w:val="0"/>
              <w:spacing w:before="0" w:beforeAutospacing="0" w:after="0" w:afterAutospacing="0" w:line="360" w:lineRule="auto"/>
              <w:ind w:left="0" w:right="0" w:firstLine="482"/>
              <w:rPr>
                <w:rFonts w:hint="default"/>
                <w:b/>
                <w:bCs/>
                <w:color w:val="auto"/>
                <w:sz w:val="24"/>
              </w:rPr>
            </w:pPr>
            <w:r>
              <w:rPr>
                <w:rFonts w:hint="eastAsia"/>
                <w:b/>
                <w:bCs/>
                <w:color w:val="auto"/>
                <w:sz w:val="24"/>
              </w:rPr>
              <w:t>5、水土流失环境保护措施</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随着施工场地开挖、填方、平整、取土弃土等行为，均会造成土壤剥离、破坏原有硬化地面和地表植被。如果施工过程中大量的土石方随意堆放，无防洪措施，遇有暴雨冲刷，易产生雨水冲蚀流失。</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为避免水土流失对项目区及周边环境的影响，施工期需采取必要水土保持措施，具体如下：</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（1）充分利用少雨季节施工，降雨量少，可大幅度减少水土流失量；</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（2）施工开挖中裸露地面，在雨水冲蚀下，极易产生水土流失，因此，在开挖前应做好施工围堰；做好分级开挖，分级防护；</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（3）土方填筑时应边上料边碾压，不让疏松土料上堤后搁置，碾压密实的土壤在水流作用下流失量远小于疏松土；土方填筑完成后，应及时进行衬砌或草皮护坡，不让裸露面暴露久置；</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（4）施工期临时土方堆场在雨季易造成水土流失，因此临时弃土堆场应做好防护工程，由专业清运部门及时清运至指定地点；</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5）进出施工场地的运输道路必须进行硬化，且在出入口处挖设浅沟，对来往的车辆车轮进行冲洗，避免将施工场地内的泥沙带出场外。施工完毕后项目区内裸露的空地应及时进行绿化，通过植树种草，美化环境，保持水土；</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（6）合理安排施工进度，统筹规划，施工应分片分区进行，对暂时不进行施工的地块保护其原有植被，防止大片地表裸露，造成水土流失。</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通过采取以上措施，施工期的水土流失影响将大大减小，且施工场的水土流失多发生在施工前期，随着施工期的进展，水土流失现象将大大减小，其影响也将逐渐减弱。</w:t>
            </w:r>
          </w:p>
          <w:p>
            <w:pPr>
              <w:pStyle w:val="6"/>
              <w:keepNext w:val="0"/>
              <w:keepLines w:val="0"/>
              <w:suppressLineNumbers w:val="0"/>
              <w:spacing w:before="0" w:beforeAutospacing="0" w:after="0" w:afterAutospacing="0" w:line="360" w:lineRule="auto"/>
              <w:ind w:left="0" w:right="0" w:firstLine="482"/>
              <w:rPr>
                <w:rFonts w:hint="eastAsia" w:eastAsia="宋体"/>
                <w:b/>
                <w:bCs/>
                <w:color w:val="auto"/>
                <w:sz w:val="24"/>
                <w:lang w:eastAsia="zh-CN"/>
              </w:rPr>
            </w:pPr>
            <w:r>
              <w:rPr>
                <w:rFonts w:hint="eastAsia"/>
                <w:b/>
                <w:bCs/>
                <w:color w:val="auto"/>
                <w:sz w:val="24"/>
              </w:rPr>
              <w:t>6、施工期环境影响分析总结论</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施工期污染源主要是扬尘、施工废水、施工噪声、建筑垃圾、施工人员产生的生活污染源及施工引起的水土流失。在落实本次环评提出的措施的前提下，项目施工扬尘可以得到有效控制能够达标排放，施工废水均能综合利用不外排，施工生活污水能够处理达标后外排；施工场地场界噪声能够达标排放，水土流失量可以大大降低。同时环评建议建设单位需加强与周边居民的沟通，并做好施工期现场公示工作，避免在周边居民不知情的情况进行开工建设，在落实以上要求的前提下，项目施工期对外环境的影响较小。</w:t>
            </w:r>
          </w:p>
          <w:p>
            <w:pPr>
              <w:pStyle w:val="6"/>
              <w:keepNext w:val="0"/>
              <w:keepLines w:val="0"/>
              <w:suppressLineNumbers w:val="0"/>
              <w:spacing w:before="0" w:beforeAutospacing="0" w:after="0" w:afterAutospacing="0" w:line="360" w:lineRule="auto"/>
              <w:ind w:left="0" w:right="0" w:firstLine="480"/>
              <w:rPr>
                <w:rFonts w:hint="eastAsia"/>
                <w:color w:val="auto"/>
                <w:sz w:val="24"/>
              </w:rPr>
            </w:pPr>
          </w:p>
          <w:p>
            <w:pPr>
              <w:pStyle w:val="6"/>
              <w:keepNext w:val="0"/>
              <w:keepLines w:val="0"/>
              <w:suppressLineNumbers w:val="0"/>
              <w:spacing w:before="0" w:beforeAutospacing="0" w:after="0" w:afterAutospacing="0" w:line="360" w:lineRule="auto"/>
              <w:ind w:left="0" w:right="0" w:firstLine="480"/>
              <w:rPr>
                <w:rFonts w:hint="eastAsia"/>
                <w:color w:val="auto"/>
                <w:sz w:val="24"/>
              </w:rPr>
            </w:pPr>
          </w:p>
          <w:p>
            <w:pPr>
              <w:pStyle w:val="6"/>
              <w:keepNext w:val="0"/>
              <w:keepLines w:val="0"/>
              <w:suppressLineNumbers w:val="0"/>
              <w:spacing w:before="0" w:beforeAutospacing="0" w:after="0" w:afterAutospacing="0" w:line="360" w:lineRule="auto"/>
              <w:ind w:left="0" w:right="0" w:firstLine="480"/>
              <w:rPr>
                <w:rFonts w:hint="eastAsia"/>
                <w:color w:val="auto"/>
                <w:sz w:val="24"/>
              </w:rPr>
            </w:pPr>
          </w:p>
          <w:p>
            <w:pPr>
              <w:pStyle w:val="6"/>
              <w:keepNext w:val="0"/>
              <w:keepLines w:val="0"/>
              <w:suppressLineNumbers w:val="0"/>
              <w:spacing w:before="0" w:beforeAutospacing="0" w:after="0" w:afterAutospacing="0" w:line="360" w:lineRule="auto"/>
              <w:ind w:left="0" w:right="0" w:firstLine="480"/>
              <w:rPr>
                <w:rFonts w:hint="eastAsia"/>
                <w:color w:val="auto"/>
                <w:sz w:val="24"/>
              </w:rPr>
            </w:pPr>
          </w:p>
          <w:p>
            <w:pPr>
              <w:pStyle w:val="6"/>
              <w:keepNext w:val="0"/>
              <w:keepLines w:val="0"/>
              <w:suppressLineNumbers w:val="0"/>
              <w:spacing w:before="0" w:beforeAutospacing="0" w:after="0" w:afterAutospacing="0" w:line="360" w:lineRule="auto"/>
              <w:ind w:left="0" w:right="0" w:firstLine="480"/>
              <w:rPr>
                <w:rFonts w:hint="eastAsia"/>
                <w:color w:val="auto"/>
                <w:sz w:val="24"/>
              </w:rPr>
            </w:pPr>
          </w:p>
          <w:p>
            <w:pPr>
              <w:pStyle w:val="6"/>
              <w:keepNext w:val="0"/>
              <w:keepLines w:val="0"/>
              <w:suppressLineNumbers w:val="0"/>
              <w:spacing w:before="0" w:beforeAutospacing="0" w:after="0" w:afterAutospacing="0" w:line="360" w:lineRule="auto"/>
              <w:ind w:left="0" w:right="0" w:firstLine="480"/>
              <w:rPr>
                <w:rFonts w:hint="eastAsia"/>
                <w:color w:val="auto"/>
                <w:sz w:val="24"/>
              </w:rPr>
            </w:pPr>
          </w:p>
          <w:p>
            <w:pPr>
              <w:pStyle w:val="6"/>
              <w:keepNext w:val="0"/>
              <w:keepLines w:val="0"/>
              <w:suppressLineNumbers w:val="0"/>
              <w:spacing w:before="0" w:beforeAutospacing="0" w:after="0" w:afterAutospacing="0" w:line="360" w:lineRule="auto"/>
              <w:ind w:left="0" w:right="0" w:firstLine="480"/>
              <w:rPr>
                <w:rFonts w:hint="eastAsia"/>
                <w:color w:val="auto"/>
                <w:sz w:val="24"/>
              </w:rPr>
            </w:pPr>
          </w:p>
          <w:p>
            <w:pPr>
              <w:pStyle w:val="6"/>
              <w:keepNext w:val="0"/>
              <w:keepLines w:val="0"/>
              <w:suppressLineNumbers w:val="0"/>
              <w:spacing w:before="0" w:beforeAutospacing="0" w:after="0" w:afterAutospacing="0" w:line="360" w:lineRule="auto"/>
              <w:ind w:left="0" w:right="0" w:firstLine="480"/>
              <w:rPr>
                <w:rFonts w:hint="eastAsia"/>
                <w:color w:val="auto"/>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720" w:hRule="atLeast"/>
          <w:jc w:val="center"/>
        </w:trPr>
        <w:tc>
          <w:tcPr>
            <w:tcW w:w="760" w:type="dxa"/>
            <w:noWrap w:val="0"/>
            <w:tcMar>
              <w:left w:w="28" w:type="dxa"/>
              <w:right w:w="28" w:type="dxa"/>
            </w:tcMar>
            <w:vAlign w:val="center"/>
          </w:tcPr>
          <w:p>
            <w:pPr>
              <w:keepNext w:val="0"/>
              <w:keepLines w:val="0"/>
              <w:suppressLineNumbers w:val="0"/>
              <w:adjustRightInd w:val="0"/>
              <w:snapToGrid w:val="0"/>
              <w:spacing w:before="0" w:beforeAutospacing="0" w:after="0" w:afterAutospacing="0"/>
              <w:ind w:left="0" w:right="0"/>
              <w:jc w:val="center"/>
              <w:rPr>
                <w:rFonts w:hint="eastAsia" w:cs="宋体"/>
                <w:bCs/>
                <w:color w:val="auto"/>
                <w:sz w:val="24"/>
              </w:rPr>
            </w:pPr>
            <w:r>
              <w:rPr>
                <w:rFonts w:hint="eastAsia" w:cs="宋体"/>
                <w:bCs/>
                <w:color w:val="auto"/>
                <w:sz w:val="24"/>
              </w:rPr>
              <w:t>运营</w:t>
            </w:r>
          </w:p>
          <w:p>
            <w:pPr>
              <w:keepNext w:val="0"/>
              <w:keepLines w:val="0"/>
              <w:suppressLineNumbers w:val="0"/>
              <w:adjustRightInd w:val="0"/>
              <w:snapToGrid w:val="0"/>
              <w:spacing w:before="0" w:beforeAutospacing="0" w:after="0" w:afterAutospacing="0"/>
              <w:ind w:left="0" w:right="0"/>
              <w:jc w:val="center"/>
              <w:rPr>
                <w:rFonts w:hint="eastAsia" w:cs="宋体"/>
                <w:bCs/>
                <w:color w:val="auto"/>
                <w:sz w:val="24"/>
              </w:rPr>
            </w:pPr>
            <w:r>
              <w:rPr>
                <w:rFonts w:hint="eastAsia" w:cs="宋体"/>
                <w:bCs/>
                <w:color w:val="auto"/>
                <w:sz w:val="24"/>
              </w:rPr>
              <w:t>期环</w:t>
            </w:r>
          </w:p>
          <w:p>
            <w:pPr>
              <w:keepNext w:val="0"/>
              <w:keepLines w:val="0"/>
              <w:suppressLineNumbers w:val="0"/>
              <w:adjustRightInd w:val="0"/>
              <w:snapToGrid w:val="0"/>
              <w:spacing w:before="0" w:beforeAutospacing="0" w:after="0" w:afterAutospacing="0"/>
              <w:ind w:left="0" w:right="0"/>
              <w:jc w:val="center"/>
              <w:rPr>
                <w:rFonts w:hint="eastAsia" w:cs="宋体"/>
                <w:bCs/>
                <w:color w:val="auto"/>
                <w:sz w:val="24"/>
              </w:rPr>
            </w:pPr>
            <w:r>
              <w:rPr>
                <w:rFonts w:hint="eastAsia" w:cs="宋体"/>
                <w:bCs/>
                <w:color w:val="auto"/>
                <w:sz w:val="24"/>
              </w:rPr>
              <w:t>境影</w:t>
            </w:r>
          </w:p>
          <w:p>
            <w:pPr>
              <w:keepNext w:val="0"/>
              <w:keepLines w:val="0"/>
              <w:suppressLineNumbers w:val="0"/>
              <w:adjustRightInd w:val="0"/>
              <w:snapToGrid w:val="0"/>
              <w:spacing w:before="0" w:beforeAutospacing="0" w:after="0" w:afterAutospacing="0"/>
              <w:ind w:left="0" w:right="0"/>
              <w:jc w:val="center"/>
              <w:rPr>
                <w:rFonts w:hint="eastAsia" w:cs="宋体"/>
                <w:bCs/>
                <w:color w:val="auto"/>
                <w:sz w:val="24"/>
              </w:rPr>
            </w:pPr>
            <w:r>
              <w:rPr>
                <w:rFonts w:hint="eastAsia" w:cs="宋体"/>
                <w:bCs/>
                <w:color w:val="auto"/>
                <w:sz w:val="24"/>
              </w:rPr>
              <w:t>响和</w:t>
            </w:r>
          </w:p>
          <w:p>
            <w:pPr>
              <w:keepNext w:val="0"/>
              <w:keepLines w:val="0"/>
              <w:suppressLineNumbers w:val="0"/>
              <w:adjustRightInd w:val="0"/>
              <w:snapToGrid w:val="0"/>
              <w:spacing w:before="0" w:beforeAutospacing="0" w:after="0" w:afterAutospacing="0"/>
              <w:ind w:left="0" w:right="0"/>
              <w:jc w:val="center"/>
              <w:rPr>
                <w:rFonts w:hint="eastAsia" w:cs="宋体"/>
                <w:bCs/>
                <w:color w:val="auto"/>
                <w:sz w:val="24"/>
              </w:rPr>
            </w:pPr>
            <w:r>
              <w:rPr>
                <w:rFonts w:hint="eastAsia" w:cs="宋体"/>
                <w:bCs/>
                <w:color w:val="auto"/>
                <w:sz w:val="24"/>
              </w:rPr>
              <w:t>保护</w:t>
            </w:r>
          </w:p>
          <w:p>
            <w:pPr>
              <w:keepNext w:val="0"/>
              <w:keepLines w:val="0"/>
              <w:suppressLineNumbers w:val="0"/>
              <w:adjustRightInd w:val="0"/>
              <w:snapToGrid w:val="0"/>
              <w:spacing w:before="0" w:beforeAutospacing="0" w:after="0" w:afterAutospacing="0"/>
              <w:ind w:left="0" w:right="0"/>
              <w:jc w:val="center"/>
              <w:rPr>
                <w:rFonts w:hint="default" w:cs="宋体"/>
                <w:bCs/>
                <w:color w:val="auto"/>
                <w:szCs w:val="21"/>
              </w:rPr>
            </w:pPr>
            <w:r>
              <w:rPr>
                <w:rFonts w:hint="eastAsia" w:cs="宋体"/>
                <w:bCs/>
                <w:color w:val="auto"/>
                <w:sz w:val="24"/>
              </w:rPr>
              <w:t>措施</w:t>
            </w:r>
          </w:p>
        </w:tc>
        <w:tc>
          <w:tcPr>
            <w:tcW w:w="8311" w:type="dxa"/>
            <w:noWrap w:val="0"/>
            <w:vAlign w:val="center"/>
          </w:tcPr>
          <w:p>
            <w:pPr>
              <w:pStyle w:val="6"/>
              <w:keepNext w:val="0"/>
              <w:keepLines w:val="0"/>
              <w:suppressLineNumbers w:val="0"/>
              <w:spacing w:before="0" w:beforeAutospacing="0" w:after="0" w:afterAutospacing="0" w:line="360" w:lineRule="auto"/>
              <w:ind w:left="0" w:right="0" w:firstLine="482"/>
              <w:rPr>
                <w:rFonts w:hint="eastAsia"/>
                <w:b/>
                <w:bCs/>
                <w:color w:val="auto"/>
                <w:sz w:val="24"/>
              </w:rPr>
            </w:pPr>
            <w:r>
              <w:rPr>
                <w:rFonts w:hint="eastAsia"/>
                <w:b/>
                <w:bCs/>
                <w:color w:val="auto"/>
                <w:sz w:val="24"/>
              </w:rPr>
              <w:t>一、大气环境影响和保护措施</w:t>
            </w:r>
          </w:p>
          <w:p>
            <w:pPr>
              <w:keepNext w:val="0"/>
              <w:keepLines w:val="0"/>
              <w:suppressLineNumbers w:val="0"/>
              <w:spacing w:before="0" w:beforeAutospacing="0" w:after="0" w:afterAutospacing="0" w:line="360" w:lineRule="auto"/>
              <w:ind w:left="0" w:right="0" w:firstLine="482" w:firstLineChars="200"/>
              <w:rPr>
                <w:rFonts w:hint="eastAsia"/>
                <w:b/>
                <w:bCs/>
                <w:color w:val="auto"/>
                <w:sz w:val="24"/>
              </w:rPr>
            </w:pPr>
            <w:r>
              <w:rPr>
                <w:rFonts w:hint="eastAsia"/>
                <w:b/>
                <w:bCs/>
                <w:color w:val="auto"/>
                <w:sz w:val="24"/>
              </w:rPr>
              <w:t>1、废气污染源情况</w:t>
            </w:r>
          </w:p>
          <w:p>
            <w:pPr>
              <w:keepNext w:val="0"/>
              <w:keepLines w:val="0"/>
              <w:suppressLineNumbers w:val="0"/>
              <w:spacing w:before="0" w:beforeAutospacing="0" w:after="0" w:afterAutospacing="0" w:line="360" w:lineRule="auto"/>
              <w:ind w:left="0" w:right="0"/>
              <w:rPr>
                <w:rFonts w:hint="default"/>
                <w:b/>
                <w:bCs/>
                <w:color w:val="auto"/>
                <w:sz w:val="24"/>
              </w:rPr>
            </w:pPr>
            <w:r>
              <w:rPr>
                <w:rFonts w:hint="eastAsia"/>
                <w:b/>
                <w:bCs/>
                <w:color w:val="auto"/>
                <w:sz w:val="24"/>
              </w:rPr>
              <w:t>1.1</w:t>
            </w:r>
            <w:r>
              <w:rPr>
                <w:rFonts w:hint="default"/>
                <w:b/>
                <w:bCs/>
                <w:color w:val="auto"/>
                <w:sz w:val="24"/>
              </w:rPr>
              <w:t>污染源强分析</w:t>
            </w:r>
          </w:p>
          <w:p>
            <w:pPr>
              <w:pStyle w:val="44"/>
              <w:keepNext w:val="0"/>
              <w:keepLines w:val="0"/>
              <w:suppressLineNumbers w:val="0"/>
              <w:spacing w:before="0" w:beforeAutospacing="0" w:after="0" w:afterAutospacing="0" w:line="360" w:lineRule="auto"/>
              <w:ind w:left="0" w:right="0" w:firstLine="480" w:firstLineChars="200"/>
              <w:rPr>
                <w:rFonts w:hint="default" w:ascii="Times New Roman" w:cs="Times New Roman"/>
                <w:color w:val="auto"/>
              </w:rPr>
            </w:pPr>
            <w:r>
              <w:rPr>
                <w:rFonts w:hint="default" w:ascii="Times New Roman" w:cs="Times New Roman"/>
                <w:color w:val="auto"/>
              </w:rPr>
              <w:t>项目产排污环节、污染物种类、污染物产生量和浓度详见下列废气源强分析章节，废气污染源源强核算结果及相关参数详见表4-1。</w:t>
            </w:r>
          </w:p>
          <w:p>
            <w:pPr>
              <w:keepNext w:val="0"/>
              <w:keepLines w:val="0"/>
              <w:suppressLineNumbers w:val="0"/>
              <w:spacing w:before="0" w:beforeAutospacing="0" w:after="0" w:afterAutospacing="0" w:line="360" w:lineRule="auto"/>
              <w:ind w:left="0" w:right="0" w:firstLine="480" w:firstLineChars="200"/>
              <w:rPr>
                <w:rFonts w:hint="default"/>
                <w:color w:val="auto"/>
                <w:sz w:val="24"/>
              </w:rPr>
            </w:pPr>
            <w:r>
              <w:rPr>
                <w:rFonts w:hint="default"/>
                <w:color w:val="auto"/>
                <w:sz w:val="24"/>
              </w:rPr>
              <w:t>（1）恶臭</w:t>
            </w:r>
          </w:p>
          <w:p>
            <w:pPr>
              <w:keepNext w:val="0"/>
              <w:keepLines w:val="0"/>
              <w:suppressLineNumbers w:val="0"/>
              <w:spacing w:before="0" w:beforeAutospacing="0" w:after="0" w:afterAutospacing="0" w:line="360" w:lineRule="auto"/>
              <w:ind w:left="0" w:right="0" w:firstLine="480" w:firstLineChars="200"/>
              <w:rPr>
                <w:rFonts w:hint="default"/>
                <w:color w:val="auto"/>
                <w:sz w:val="24"/>
              </w:rPr>
            </w:pPr>
            <w:r>
              <w:rPr>
                <w:rFonts w:hint="default"/>
                <w:color w:val="auto"/>
                <w:sz w:val="24"/>
              </w:rPr>
              <w:t>本项目废气主要为污水处理系统运行产生的恶臭。恶臭的种类繁多，常见的有：硫醇类、硫醚类、硫化物、醛类等</w:t>
            </w:r>
            <w:r>
              <w:rPr>
                <w:rFonts w:hint="eastAsia"/>
                <w:color w:val="auto"/>
                <w:sz w:val="24"/>
                <w:lang w:eastAsia="zh-CN"/>
              </w:rPr>
              <w:t>。</w:t>
            </w:r>
            <w:r>
              <w:rPr>
                <w:rFonts w:hint="default"/>
                <w:color w:val="auto"/>
                <w:sz w:val="24"/>
              </w:rPr>
              <w:t>对于本项目而言，恶臭</w:t>
            </w:r>
            <w:r>
              <w:rPr>
                <w:rFonts w:hint="eastAsia"/>
                <w:color w:val="auto"/>
                <w:sz w:val="24"/>
                <w:lang w:val="en-US" w:eastAsia="zh-CN"/>
              </w:rPr>
              <w:t>主要</w:t>
            </w:r>
            <w:r>
              <w:rPr>
                <w:rFonts w:hint="default"/>
                <w:color w:val="auto"/>
                <w:sz w:val="24"/>
              </w:rPr>
              <w:t>污染物为NH</w:t>
            </w:r>
            <w:r>
              <w:rPr>
                <w:rFonts w:hint="default"/>
                <w:color w:val="auto"/>
                <w:sz w:val="24"/>
                <w:vertAlign w:val="subscript"/>
              </w:rPr>
              <w:t>3</w:t>
            </w:r>
            <w:r>
              <w:rPr>
                <w:rFonts w:hint="default"/>
                <w:color w:val="auto"/>
                <w:sz w:val="24"/>
              </w:rPr>
              <w:t>及H</w:t>
            </w:r>
            <w:r>
              <w:rPr>
                <w:rFonts w:hint="default"/>
                <w:color w:val="auto"/>
                <w:sz w:val="24"/>
                <w:vertAlign w:val="subscript"/>
              </w:rPr>
              <w:t>2</w:t>
            </w:r>
            <w:r>
              <w:rPr>
                <w:rFonts w:hint="default"/>
                <w:color w:val="auto"/>
                <w:sz w:val="24"/>
              </w:rPr>
              <w:t>S</w:t>
            </w:r>
            <w:r>
              <w:rPr>
                <w:rFonts w:hint="eastAsia"/>
                <w:color w:val="auto"/>
                <w:sz w:val="24"/>
                <w:lang w:val="en-US" w:eastAsia="zh-CN"/>
              </w:rPr>
              <w:t>、臭气浓度</w:t>
            </w:r>
            <w:r>
              <w:rPr>
                <w:rFonts w:hint="default"/>
                <w:color w:val="auto"/>
                <w:sz w:val="24"/>
              </w:rPr>
              <w:t>。随季节温度的变化恶臭浓度有所变化，夏季气温高，恶臭强；冬季气温低，恶臭弱。同时恶臭的散发还与水温、污水中有机物浓度、水流紊动状态和水面暴露面积等因素有关。恶臭污染源多属无组织排放，污染源强很难通过具体计算公式求得。</w:t>
            </w:r>
          </w:p>
          <w:p>
            <w:pPr>
              <w:pStyle w:val="94"/>
              <w:keepNext w:val="0"/>
              <w:keepLines w:val="0"/>
              <w:suppressLineNumbers w:val="0"/>
              <w:spacing w:before="0" w:beforeAutospacing="0" w:after="0" w:afterAutospacing="0" w:line="360" w:lineRule="auto"/>
              <w:ind w:left="0" w:right="0" w:firstLine="480" w:firstLineChars="200"/>
              <w:rPr>
                <w:rFonts w:hint="default"/>
                <w:color w:val="auto"/>
                <w:sz w:val="24"/>
                <w:szCs w:val="24"/>
              </w:rPr>
            </w:pPr>
            <w:r>
              <w:rPr>
                <w:rFonts w:hint="eastAsia"/>
                <w:color w:val="auto"/>
                <w:sz w:val="24"/>
                <w:szCs w:val="24"/>
              </w:rPr>
              <w:t>城市污水处理厂的恶臭来源主要分布在预处理单元（粗格栅、提升泵房、细格栅、曝气沉砂池）、生化单元（AAO生化池）、污泥处理单元（贮泥池、污泥脱水间、污泥好氧发酵车间）。根据《污水处理厂恶臭防治对策及环境影响评价的研究》（薛松，和慧，邓丽蕊，孙晶晶）和《城市污水处理厂恶臭气体及控制技术的研究》（张少梅，沈晋明）中的数据，并参照《恶臭污染测试与控制技术》（化学工业出版社）中“污水处理厂恶臭环境影响评价”中相关内容，确定本项目污水处理厂主要构筑物恶臭污染物单位面积污染源强系数见下表。</w:t>
            </w:r>
            <w:r>
              <w:rPr>
                <w:rFonts w:hint="default"/>
                <w:color w:val="auto"/>
                <w:sz w:val="24"/>
                <w:szCs w:val="24"/>
              </w:rPr>
              <w:t>本项目建设运营时恶臭气体NH</w:t>
            </w:r>
            <w:r>
              <w:rPr>
                <w:rFonts w:hint="default"/>
                <w:color w:val="auto"/>
                <w:sz w:val="24"/>
                <w:szCs w:val="24"/>
                <w:vertAlign w:val="subscript"/>
              </w:rPr>
              <w:t>3</w:t>
            </w:r>
            <w:r>
              <w:rPr>
                <w:rFonts w:hint="default"/>
                <w:color w:val="auto"/>
                <w:sz w:val="24"/>
                <w:szCs w:val="24"/>
              </w:rPr>
              <w:t>、H</w:t>
            </w:r>
            <w:r>
              <w:rPr>
                <w:rFonts w:hint="default"/>
                <w:color w:val="auto"/>
                <w:sz w:val="24"/>
                <w:szCs w:val="24"/>
                <w:vertAlign w:val="subscript"/>
              </w:rPr>
              <w:t>2</w:t>
            </w:r>
            <w:r>
              <w:rPr>
                <w:rFonts w:hint="default"/>
                <w:color w:val="auto"/>
                <w:sz w:val="24"/>
                <w:szCs w:val="24"/>
              </w:rPr>
              <w:t>S产生</w:t>
            </w:r>
            <w:r>
              <w:rPr>
                <w:rFonts w:hint="eastAsia"/>
                <w:color w:val="auto"/>
                <w:sz w:val="24"/>
                <w:szCs w:val="24"/>
              </w:rPr>
              <w:t>情况</w:t>
            </w:r>
            <w:r>
              <w:rPr>
                <w:rFonts w:hint="default"/>
                <w:color w:val="auto"/>
                <w:sz w:val="24"/>
                <w:szCs w:val="24"/>
              </w:rPr>
              <w:t>详情见表4-1。</w:t>
            </w:r>
          </w:p>
          <w:p>
            <w:pPr>
              <w:pStyle w:val="94"/>
              <w:keepNext w:val="0"/>
              <w:keepLines w:val="0"/>
              <w:suppressLineNumbers w:val="0"/>
              <w:spacing w:before="0" w:beforeAutospacing="0" w:after="0" w:afterAutospacing="0" w:line="360" w:lineRule="auto"/>
              <w:ind w:left="0" w:right="0" w:firstLine="422" w:firstLineChars="200"/>
              <w:jc w:val="center"/>
              <w:rPr>
                <w:rFonts w:hint="default"/>
                <w:b/>
                <w:color w:val="auto"/>
                <w:szCs w:val="21"/>
              </w:rPr>
            </w:pPr>
            <w:r>
              <w:rPr>
                <w:rFonts w:hint="default"/>
                <w:b/>
                <w:color w:val="auto"/>
                <w:szCs w:val="21"/>
              </w:rPr>
              <w:t xml:space="preserve">表4-1 </w:t>
            </w:r>
            <w:r>
              <w:rPr>
                <w:rFonts w:hint="eastAsia"/>
                <w:b/>
                <w:color w:val="auto"/>
                <w:szCs w:val="21"/>
              </w:rPr>
              <w:t xml:space="preserve"> </w:t>
            </w:r>
            <w:r>
              <w:rPr>
                <w:rFonts w:hint="default"/>
                <w:b/>
                <w:color w:val="auto"/>
                <w:szCs w:val="21"/>
              </w:rPr>
              <w:t>运营期恶臭气体产生</w:t>
            </w:r>
            <w:r>
              <w:rPr>
                <w:rFonts w:hint="eastAsia"/>
                <w:b/>
                <w:color w:val="auto"/>
                <w:szCs w:val="21"/>
              </w:rPr>
              <w:t>情况一览表</w:t>
            </w:r>
          </w:p>
          <w:tbl>
            <w:tblPr>
              <w:tblStyle w:val="2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1675"/>
              <w:gridCol w:w="1055"/>
              <w:gridCol w:w="1204"/>
              <w:gridCol w:w="897"/>
              <w:gridCol w:w="754"/>
              <w:gridCol w:w="1204"/>
              <w:gridCol w:w="901"/>
              <w:gridCol w:w="8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9" w:hRule="atLeast"/>
                <w:jc w:val="center"/>
              </w:trPr>
              <w:tc>
                <w:tcPr>
                  <w:tcW w:w="990" w:type="pct"/>
                  <w:vMerge w:val="restart"/>
                  <w:noWrap w:val="0"/>
                  <w:vAlign w:val="center"/>
                </w:tcPr>
                <w:p>
                  <w:pPr>
                    <w:keepNext w:val="0"/>
                    <w:keepLines w:val="0"/>
                    <w:suppressLineNumbers w:val="0"/>
                    <w:spacing w:before="0" w:beforeAutospacing="0" w:after="0" w:afterAutospacing="0"/>
                    <w:ind w:left="0" w:right="0"/>
                    <w:jc w:val="center"/>
                    <w:rPr>
                      <w:rFonts w:hint="default"/>
                      <w:b/>
                      <w:color w:val="auto"/>
                      <w:szCs w:val="21"/>
                    </w:rPr>
                  </w:pPr>
                  <w:r>
                    <w:rPr>
                      <w:rFonts w:hint="default"/>
                      <w:b/>
                      <w:color w:val="auto"/>
                      <w:szCs w:val="21"/>
                    </w:rPr>
                    <w:t>区域</w:t>
                  </w:r>
                </w:p>
              </w:tc>
              <w:tc>
                <w:tcPr>
                  <w:tcW w:w="625" w:type="pct"/>
                  <w:vMerge w:val="restart"/>
                  <w:noWrap w:val="0"/>
                  <w:vAlign w:val="center"/>
                </w:tcPr>
                <w:p>
                  <w:pPr>
                    <w:keepNext w:val="0"/>
                    <w:keepLines w:val="0"/>
                    <w:suppressLineNumbers w:val="0"/>
                    <w:spacing w:before="0" w:beforeAutospacing="0" w:after="0" w:afterAutospacing="0"/>
                    <w:ind w:left="0" w:right="0"/>
                    <w:jc w:val="center"/>
                    <w:rPr>
                      <w:rFonts w:hint="default"/>
                      <w:b/>
                      <w:color w:val="auto"/>
                      <w:szCs w:val="21"/>
                    </w:rPr>
                  </w:pPr>
                  <w:r>
                    <w:rPr>
                      <w:rFonts w:hint="eastAsia"/>
                      <w:b/>
                      <w:color w:val="auto"/>
                      <w:szCs w:val="21"/>
                    </w:rPr>
                    <w:t>面积（m</w:t>
                  </w:r>
                  <w:r>
                    <w:rPr>
                      <w:rFonts w:hint="default"/>
                      <w:b/>
                      <w:color w:val="auto"/>
                      <w:szCs w:val="21"/>
                      <w:vertAlign w:val="superscript"/>
                    </w:rPr>
                    <w:t>2</w:t>
                  </w:r>
                  <w:r>
                    <w:rPr>
                      <w:rFonts w:hint="eastAsia"/>
                      <w:b/>
                      <w:color w:val="auto"/>
                      <w:szCs w:val="21"/>
                    </w:rPr>
                    <w:t>）</w:t>
                  </w:r>
                </w:p>
              </w:tc>
              <w:tc>
                <w:tcPr>
                  <w:tcW w:w="1693" w:type="pct"/>
                  <w:gridSpan w:val="3"/>
                  <w:noWrap w:val="0"/>
                  <w:vAlign w:val="center"/>
                </w:tcPr>
                <w:p>
                  <w:pPr>
                    <w:keepNext w:val="0"/>
                    <w:keepLines w:val="0"/>
                    <w:suppressLineNumbers w:val="0"/>
                    <w:spacing w:before="0" w:beforeAutospacing="0" w:after="0" w:afterAutospacing="0"/>
                    <w:ind w:left="0" w:right="0"/>
                    <w:jc w:val="center"/>
                    <w:rPr>
                      <w:rFonts w:hint="default"/>
                      <w:b/>
                      <w:color w:val="auto"/>
                      <w:szCs w:val="21"/>
                    </w:rPr>
                  </w:pPr>
                  <w:r>
                    <w:rPr>
                      <w:rFonts w:hint="default"/>
                      <w:b/>
                      <w:color w:val="auto"/>
                      <w:szCs w:val="21"/>
                    </w:rPr>
                    <w:t>氨</w:t>
                  </w:r>
                </w:p>
              </w:tc>
              <w:tc>
                <w:tcPr>
                  <w:tcW w:w="1692" w:type="pct"/>
                  <w:gridSpan w:val="3"/>
                  <w:noWrap w:val="0"/>
                  <w:vAlign w:val="center"/>
                </w:tcPr>
                <w:p>
                  <w:pPr>
                    <w:keepNext w:val="0"/>
                    <w:keepLines w:val="0"/>
                    <w:suppressLineNumbers w:val="0"/>
                    <w:spacing w:before="0" w:beforeAutospacing="0" w:after="0" w:afterAutospacing="0"/>
                    <w:ind w:left="0" w:right="0"/>
                    <w:jc w:val="center"/>
                    <w:rPr>
                      <w:rFonts w:hint="default"/>
                      <w:b/>
                      <w:color w:val="auto"/>
                      <w:szCs w:val="21"/>
                    </w:rPr>
                  </w:pPr>
                  <w:r>
                    <w:rPr>
                      <w:rFonts w:hint="default"/>
                      <w:b/>
                      <w:color w:val="auto"/>
                      <w:szCs w:val="21"/>
                    </w:rPr>
                    <w:t>硫化氢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9" w:hRule="atLeast"/>
                <w:jc w:val="center"/>
              </w:trPr>
              <w:tc>
                <w:tcPr>
                  <w:tcW w:w="990" w:type="pct"/>
                  <w:vMerge w:val="continue"/>
                  <w:noWrap w:val="0"/>
                  <w:vAlign w:val="center"/>
                </w:tcPr>
                <w:p>
                  <w:pPr>
                    <w:keepNext w:val="0"/>
                    <w:keepLines w:val="0"/>
                    <w:suppressLineNumbers w:val="0"/>
                    <w:spacing w:before="0" w:beforeAutospacing="0" w:after="0" w:afterAutospacing="0"/>
                    <w:ind w:left="0" w:right="0"/>
                    <w:jc w:val="center"/>
                    <w:rPr>
                      <w:rFonts w:hint="default"/>
                      <w:b/>
                      <w:color w:val="auto"/>
                      <w:szCs w:val="21"/>
                    </w:rPr>
                  </w:pPr>
                </w:p>
              </w:tc>
              <w:tc>
                <w:tcPr>
                  <w:tcW w:w="625" w:type="pct"/>
                  <w:vMerge w:val="continue"/>
                  <w:noWrap w:val="0"/>
                  <w:vAlign w:val="center"/>
                </w:tcPr>
                <w:p>
                  <w:pPr>
                    <w:keepNext w:val="0"/>
                    <w:keepLines w:val="0"/>
                    <w:suppressLineNumbers w:val="0"/>
                    <w:spacing w:before="0" w:beforeAutospacing="0" w:after="0" w:afterAutospacing="0"/>
                    <w:ind w:left="0" w:right="0"/>
                    <w:jc w:val="center"/>
                    <w:rPr>
                      <w:rFonts w:hint="default"/>
                      <w:b/>
                      <w:color w:val="auto"/>
                      <w:szCs w:val="21"/>
                    </w:rPr>
                  </w:pPr>
                </w:p>
              </w:tc>
              <w:tc>
                <w:tcPr>
                  <w:tcW w:w="713" w:type="pct"/>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b/>
                      <w:color w:val="auto"/>
                      <w:szCs w:val="21"/>
                    </w:rPr>
                  </w:pPr>
                  <w:r>
                    <w:rPr>
                      <w:rFonts w:hint="eastAsia"/>
                      <w:b/>
                      <w:color w:val="auto"/>
                      <w:szCs w:val="21"/>
                    </w:rPr>
                    <w:t>源强（mg/s.m</w:t>
                  </w:r>
                  <w:r>
                    <w:rPr>
                      <w:rFonts w:hint="eastAsia"/>
                      <w:b/>
                      <w:color w:val="auto"/>
                      <w:szCs w:val="21"/>
                      <w:vertAlign w:val="superscript"/>
                    </w:rPr>
                    <w:t>2</w:t>
                  </w:r>
                  <w:r>
                    <w:rPr>
                      <w:rFonts w:hint="eastAsia"/>
                      <w:b/>
                      <w:color w:val="auto"/>
                      <w:szCs w:val="21"/>
                    </w:rPr>
                    <w:t>）</w:t>
                  </w:r>
                </w:p>
              </w:tc>
              <w:tc>
                <w:tcPr>
                  <w:tcW w:w="532" w:type="pct"/>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b/>
                      <w:color w:val="auto"/>
                      <w:szCs w:val="21"/>
                    </w:rPr>
                  </w:pPr>
                  <w:r>
                    <w:rPr>
                      <w:rFonts w:hint="default"/>
                      <w:b/>
                      <w:color w:val="auto"/>
                      <w:szCs w:val="21"/>
                    </w:rPr>
                    <w:t>速率/（kg/h）</w:t>
                  </w:r>
                </w:p>
              </w:tc>
              <w:tc>
                <w:tcPr>
                  <w:tcW w:w="448" w:type="pct"/>
                  <w:noWrap w:val="0"/>
                  <w:vAlign w:val="center"/>
                </w:tcPr>
                <w:p>
                  <w:pPr>
                    <w:keepNext w:val="0"/>
                    <w:keepLines w:val="0"/>
                    <w:suppressLineNumbers w:val="0"/>
                    <w:spacing w:before="0" w:beforeAutospacing="0" w:after="0" w:afterAutospacing="0"/>
                    <w:ind w:left="0" w:right="0"/>
                    <w:jc w:val="center"/>
                    <w:rPr>
                      <w:rFonts w:hint="default"/>
                      <w:b/>
                      <w:color w:val="auto"/>
                      <w:szCs w:val="21"/>
                    </w:rPr>
                  </w:pPr>
                  <w:r>
                    <w:rPr>
                      <w:rFonts w:hint="default"/>
                      <w:b/>
                      <w:color w:val="auto"/>
                      <w:szCs w:val="21"/>
                    </w:rPr>
                    <w:t>量/（t/</w:t>
                  </w:r>
                  <w:r>
                    <w:rPr>
                      <w:rFonts w:hint="eastAsia"/>
                      <w:b/>
                      <w:color w:val="auto"/>
                      <w:szCs w:val="21"/>
                    </w:rPr>
                    <w:t>a</w:t>
                  </w:r>
                  <w:r>
                    <w:rPr>
                      <w:rFonts w:hint="default"/>
                      <w:b/>
                      <w:color w:val="auto"/>
                      <w:szCs w:val="21"/>
                    </w:rPr>
                    <w:t>）</w:t>
                  </w:r>
                </w:p>
              </w:tc>
              <w:tc>
                <w:tcPr>
                  <w:tcW w:w="712" w:type="pct"/>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b/>
                      <w:color w:val="auto"/>
                      <w:szCs w:val="21"/>
                    </w:rPr>
                  </w:pPr>
                  <w:r>
                    <w:rPr>
                      <w:rFonts w:hint="eastAsia"/>
                      <w:b/>
                      <w:color w:val="auto"/>
                      <w:szCs w:val="21"/>
                    </w:rPr>
                    <w:t>源强（mg/s.m</w:t>
                  </w:r>
                  <w:r>
                    <w:rPr>
                      <w:rFonts w:hint="eastAsia"/>
                      <w:b/>
                      <w:color w:val="auto"/>
                      <w:szCs w:val="21"/>
                      <w:vertAlign w:val="superscript"/>
                    </w:rPr>
                    <w:t>2</w:t>
                  </w:r>
                  <w:r>
                    <w:rPr>
                      <w:rFonts w:hint="eastAsia"/>
                      <w:b/>
                      <w:color w:val="auto"/>
                      <w:szCs w:val="21"/>
                    </w:rPr>
                    <w:t>）</w:t>
                  </w:r>
                </w:p>
              </w:tc>
              <w:tc>
                <w:tcPr>
                  <w:tcW w:w="534" w:type="pct"/>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b/>
                      <w:color w:val="auto"/>
                      <w:szCs w:val="21"/>
                    </w:rPr>
                  </w:pPr>
                  <w:r>
                    <w:rPr>
                      <w:rFonts w:hint="default"/>
                      <w:b/>
                      <w:color w:val="auto"/>
                      <w:szCs w:val="21"/>
                    </w:rPr>
                    <w:t>速率/（kg/h）</w:t>
                  </w:r>
                </w:p>
              </w:tc>
              <w:tc>
                <w:tcPr>
                  <w:tcW w:w="446" w:type="pct"/>
                  <w:noWrap w:val="0"/>
                  <w:vAlign w:val="center"/>
                </w:tcPr>
                <w:p>
                  <w:pPr>
                    <w:keepNext w:val="0"/>
                    <w:keepLines w:val="0"/>
                    <w:suppressLineNumbers w:val="0"/>
                    <w:spacing w:before="0" w:beforeAutospacing="0" w:after="0" w:afterAutospacing="0"/>
                    <w:ind w:left="0" w:right="0"/>
                    <w:jc w:val="center"/>
                    <w:rPr>
                      <w:rFonts w:hint="default"/>
                      <w:b/>
                      <w:color w:val="auto"/>
                      <w:szCs w:val="21"/>
                    </w:rPr>
                  </w:pPr>
                  <w:r>
                    <w:rPr>
                      <w:rFonts w:hint="default"/>
                      <w:b/>
                      <w:color w:val="auto"/>
                      <w:szCs w:val="21"/>
                    </w:rPr>
                    <w:t>量/（t/a）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9" w:hRule="atLeast"/>
                <w:jc w:val="center"/>
              </w:trPr>
              <w:tc>
                <w:tcPr>
                  <w:tcW w:w="990" w:type="pct"/>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default"/>
                      <w:color w:val="auto"/>
                      <w:szCs w:val="21"/>
                    </w:rPr>
                    <w:t>预处理</w:t>
                  </w:r>
                  <w:r>
                    <w:rPr>
                      <w:rFonts w:hint="eastAsia"/>
                      <w:color w:val="auto"/>
                      <w:szCs w:val="21"/>
                    </w:rPr>
                    <w:t>单元</w:t>
                  </w:r>
                </w:p>
              </w:tc>
              <w:tc>
                <w:tcPr>
                  <w:tcW w:w="625" w:type="pct"/>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szCs w:val="21"/>
                      <w:lang w:val="en-US" w:eastAsia="zh-CN"/>
                    </w:rPr>
                    <w:t>343</w:t>
                  </w:r>
                </w:p>
              </w:tc>
              <w:tc>
                <w:tcPr>
                  <w:tcW w:w="713" w:type="pct"/>
                  <w:tcBorders>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color w:val="auto"/>
                      <w:szCs w:val="21"/>
                    </w:rPr>
                  </w:pPr>
                  <w:r>
                    <w:rPr>
                      <w:rFonts w:hint="default"/>
                      <w:color w:val="auto"/>
                      <w:szCs w:val="21"/>
                    </w:rPr>
                    <w:t>0.0</w:t>
                  </w:r>
                  <w:r>
                    <w:rPr>
                      <w:rFonts w:hint="eastAsia"/>
                      <w:color w:val="auto"/>
                      <w:szCs w:val="21"/>
                    </w:rPr>
                    <w:t>0</w:t>
                  </w:r>
                  <w:r>
                    <w:rPr>
                      <w:rFonts w:hint="default"/>
                      <w:color w:val="auto"/>
                      <w:szCs w:val="21"/>
                    </w:rPr>
                    <w:t>92</w:t>
                  </w:r>
                </w:p>
              </w:tc>
              <w:tc>
                <w:tcPr>
                  <w:tcW w:w="532" w:type="pct"/>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szCs w:val="21"/>
                    </w:rPr>
                    <w:t>0.000</w:t>
                  </w:r>
                  <w:r>
                    <w:rPr>
                      <w:rFonts w:hint="eastAsia"/>
                      <w:color w:val="auto"/>
                      <w:szCs w:val="21"/>
                      <w:lang w:val="en-US" w:eastAsia="zh-CN"/>
                    </w:rPr>
                    <w:t>22</w:t>
                  </w:r>
                </w:p>
              </w:tc>
              <w:tc>
                <w:tcPr>
                  <w:tcW w:w="448" w:type="pct"/>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eastAsia"/>
                      <w:color w:val="auto"/>
                      <w:szCs w:val="21"/>
                    </w:rPr>
                    <w:t>0.00138</w:t>
                  </w:r>
                </w:p>
              </w:tc>
              <w:tc>
                <w:tcPr>
                  <w:tcW w:w="712" w:type="pct"/>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default"/>
                      <w:color w:val="auto"/>
                      <w:szCs w:val="21"/>
                    </w:rPr>
                    <w:t>0.</w:t>
                  </w:r>
                  <w:r>
                    <w:rPr>
                      <w:rFonts w:hint="eastAsia"/>
                      <w:color w:val="auto"/>
                      <w:szCs w:val="21"/>
                    </w:rPr>
                    <w:t>00</w:t>
                  </w:r>
                  <w:r>
                    <w:rPr>
                      <w:rFonts w:hint="default"/>
                      <w:color w:val="auto"/>
                      <w:szCs w:val="21"/>
                    </w:rPr>
                    <w:t>12</w:t>
                  </w:r>
                </w:p>
              </w:tc>
              <w:tc>
                <w:tcPr>
                  <w:tcW w:w="534" w:type="pct"/>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szCs w:val="21"/>
                    </w:rPr>
                    <w:t>0.0000</w:t>
                  </w:r>
                  <w:r>
                    <w:rPr>
                      <w:rFonts w:hint="eastAsia"/>
                      <w:color w:val="auto"/>
                      <w:szCs w:val="21"/>
                      <w:lang w:val="en-US" w:eastAsia="zh-CN"/>
                    </w:rPr>
                    <w:t>46</w:t>
                  </w:r>
                </w:p>
              </w:tc>
              <w:tc>
                <w:tcPr>
                  <w:tcW w:w="446" w:type="pct"/>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szCs w:val="21"/>
                    </w:rPr>
                    <w:t>0.000</w:t>
                  </w:r>
                  <w:r>
                    <w:rPr>
                      <w:rFonts w:hint="eastAsia"/>
                      <w:color w:val="auto"/>
                      <w:szCs w:val="21"/>
                      <w:lang w:val="en-US" w:eastAsia="zh-CN"/>
                    </w:rPr>
                    <w:t>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15" w:hRule="atLeast"/>
                <w:jc w:val="center"/>
              </w:trPr>
              <w:tc>
                <w:tcPr>
                  <w:tcW w:w="990" w:type="pct"/>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default"/>
                      <w:color w:val="auto"/>
                      <w:szCs w:val="21"/>
                    </w:rPr>
                    <w:t>生化单元</w:t>
                  </w:r>
                </w:p>
              </w:tc>
              <w:tc>
                <w:tcPr>
                  <w:tcW w:w="625" w:type="pct"/>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szCs w:val="21"/>
                      <w:lang w:val="en-US" w:eastAsia="zh-CN"/>
                    </w:rPr>
                    <w:t>238.5</w:t>
                  </w:r>
                </w:p>
              </w:tc>
              <w:tc>
                <w:tcPr>
                  <w:tcW w:w="713" w:type="pct"/>
                  <w:tcBorders>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color w:val="auto"/>
                      <w:kern w:val="0"/>
                      <w:szCs w:val="21"/>
                    </w:rPr>
                  </w:pPr>
                  <w:r>
                    <w:rPr>
                      <w:rFonts w:hint="default"/>
                      <w:color w:val="auto"/>
                      <w:kern w:val="0"/>
                      <w:szCs w:val="21"/>
                    </w:rPr>
                    <w:t>0.018</w:t>
                  </w:r>
                </w:p>
              </w:tc>
              <w:tc>
                <w:tcPr>
                  <w:tcW w:w="532" w:type="pct"/>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szCs w:val="21"/>
                      <w:lang w:val="en-US" w:eastAsia="zh-CN"/>
                    </w:rPr>
                    <w:t>0.00048</w:t>
                  </w:r>
                </w:p>
              </w:tc>
              <w:tc>
                <w:tcPr>
                  <w:tcW w:w="448" w:type="pct"/>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szCs w:val="21"/>
                    </w:rPr>
                    <w:t>0.00</w:t>
                  </w:r>
                  <w:r>
                    <w:rPr>
                      <w:rFonts w:hint="eastAsia"/>
                      <w:color w:val="auto"/>
                      <w:szCs w:val="21"/>
                      <w:lang w:val="en-US" w:eastAsia="zh-CN"/>
                    </w:rPr>
                    <w:t>43</w:t>
                  </w:r>
                </w:p>
              </w:tc>
              <w:tc>
                <w:tcPr>
                  <w:tcW w:w="712" w:type="pct"/>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default"/>
                      <w:color w:val="auto"/>
                      <w:szCs w:val="21"/>
                    </w:rPr>
                    <w:t>0.0045</w:t>
                  </w:r>
                </w:p>
              </w:tc>
              <w:tc>
                <w:tcPr>
                  <w:tcW w:w="534" w:type="pct"/>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szCs w:val="21"/>
                    </w:rPr>
                    <w:t>0.000</w:t>
                  </w:r>
                  <w:r>
                    <w:rPr>
                      <w:rFonts w:hint="eastAsia"/>
                      <w:color w:val="auto"/>
                      <w:szCs w:val="21"/>
                      <w:lang w:val="en-US" w:eastAsia="zh-CN"/>
                    </w:rPr>
                    <w:t>11</w:t>
                  </w:r>
                </w:p>
              </w:tc>
              <w:tc>
                <w:tcPr>
                  <w:tcW w:w="446" w:type="pct"/>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szCs w:val="21"/>
                    </w:rPr>
                    <w:t>0.000</w:t>
                  </w:r>
                  <w:r>
                    <w:rPr>
                      <w:rFonts w:hint="eastAsia"/>
                      <w:color w:val="auto"/>
                      <w:szCs w:val="21"/>
                      <w:lang w:val="en-US" w:eastAsia="zh-CN"/>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4" w:hRule="atLeast"/>
                <w:jc w:val="center"/>
              </w:trPr>
              <w:tc>
                <w:tcPr>
                  <w:tcW w:w="990" w:type="pct"/>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default"/>
                      <w:color w:val="auto"/>
                      <w:szCs w:val="21"/>
                    </w:rPr>
                    <w:t>污泥处理</w:t>
                  </w:r>
                  <w:r>
                    <w:rPr>
                      <w:rFonts w:hint="eastAsia"/>
                      <w:color w:val="auto"/>
                      <w:szCs w:val="21"/>
                    </w:rPr>
                    <w:t>单元</w:t>
                  </w:r>
                </w:p>
              </w:tc>
              <w:tc>
                <w:tcPr>
                  <w:tcW w:w="625" w:type="pct"/>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eastAsia"/>
                      <w:color w:val="auto"/>
                      <w:szCs w:val="21"/>
                    </w:rPr>
                    <w:t>40</w:t>
                  </w:r>
                </w:p>
              </w:tc>
              <w:tc>
                <w:tcPr>
                  <w:tcW w:w="713" w:type="pct"/>
                  <w:tcBorders>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color w:val="auto"/>
                      <w:szCs w:val="21"/>
                    </w:rPr>
                  </w:pPr>
                  <w:r>
                    <w:rPr>
                      <w:rFonts w:hint="default"/>
                      <w:color w:val="auto"/>
                      <w:szCs w:val="21"/>
                    </w:rPr>
                    <w:t>0.0</w:t>
                  </w:r>
                  <w:r>
                    <w:rPr>
                      <w:rFonts w:hint="eastAsia"/>
                      <w:color w:val="auto"/>
                      <w:szCs w:val="21"/>
                    </w:rPr>
                    <w:t>0</w:t>
                  </w:r>
                  <w:r>
                    <w:rPr>
                      <w:rFonts w:hint="default"/>
                      <w:color w:val="auto"/>
                      <w:szCs w:val="21"/>
                    </w:rPr>
                    <w:t>85</w:t>
                  </w:r>
                </w:p>
              </w:tc>
              <w:tc>
                <w:tcPr>
                  <w:tcW w:w="532" w:type="pct"/>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eastAsia"/>
                      <w:color w:val="auto"/>
                      <w:szCs w:val="21"/>
                    </w:rPr>
                    <w:t>0.00003</w:t>
                  </w:r>
                </w:p>
              </w:tc>
              <w:tc>
                <w:tcPr>
                  <w:tcW w:w="448" w:type="pct"/>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eastAsia"/>
                      <w:color w:val="auto"/>
                      <w:szCs w:val="21"/>
                    </w:rPr>
                    <w:t>0.00034</w:t>
                  </w:r>
                </w:p>
              </w:tc>
              <w:tc>
                <w:tcPr>
                  <w:tcW w:w="712" w:type="pct"/>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default"/>
                      <w:color w:val="auto"/>
                      <w:szCs w:val="21"/>
                    </w:rPr>
                    <w:t>0.</w:t>
                  </w:r>
                  <w:r>
                    <w:rPr>
                      <w:rFonts w:hint="eastAsia"/>
                      <w:color w:val="auto"/>
                      <w:szCs w:val="21"/>
                    </w:rPr>
                    <w:t>00</w:t>
                  </w:r>
                  <w:r>
                    <w:rPr>
                      <w:rFonts w:hint="default"/>
                      <w:color w:val="auto"/>
                      <w:szCs w:val="21"/>
                    </w:rPr>
                    <w:t>22</w:t>
                  </w:r>
                </w:p>
              </w:tc>
              <w:tc>
                <w:tcPr>
                  <w:tcW w:w="534" w:type="pct"/>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eastAsia"/>
                      <w:color w:val="auto"/>
                      <w:szCs w:val="21"/>
                    </w:rPr>
                    <w:t>0.00001</w:t>
                  </w:r>
                </w:p>
              </w:tc>
              <w:tc>
                <w:tcPr>
                  <w:tcW w:w="446" w:type="pct"/>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eastAsia"/>
                      <w:color w:val="auto"/>
                      <w:szCs w:val="21"/>
                    </w:rPr>
                    <w:t>0.000088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04" w:hRule="atLeast"/>
                <w:jc w:val="center"/>
              </w:trPr>
              <w:tc>
                <w:tcPr>
                  <w:tcW w:w="990" w:type="pct"/>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eastAsia"/>
                      <w:color w:val="auto"/>
                      <w:szCs w:val="21"/>
                    </w:rPr>
                    <w:t>合计</w:t>
                  </w:r>
                </w:p>
              </w:tc>
              <w:tc>
                <w:tcPr>
                  <w:tcW w:w="625" w:type="pct"/>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szCs w:val="21"/>
                      <w:lang w:val="en-US" w:eastAsia="zh-CN"/>
                    </w:rPr>
                    <w:t>621.5</w:t>
                  </w:r>
                </w:p>
              </w:tc>
              <w:tc>
                <w:tcPr>
                  <w:tcW w:w="713" w:type="pct"/>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eastAsia"/>
                      <w:color w:val="auto"/>
                      <w:szCs w:val="21"/>
                    </w:rPr>
                    <w:t>/</w:t>
                  </w:r>
                </w:p>
              </w:tc>
              <w:tc>
                <w:tcPr>
                  <w:tcW w:w="532" w:type="pct"/>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eastAsia"/>
                      <w:color w:val="auto"/>
                      <w:szCs w:val="21"/>
                    </w:rPr>
                    <w:t>0.000</w:t>
                  </w:r>
                  <w:r>
                    <w:rPr>
                      <w:rFonts w:hint="eastAsia"/>
                      <w:color w:val="auto"/>
                      <w:szCs w:val="21"/>
                      <w:lang w:val="en-US" w:eastAsia="zh-CN"/>
                    </w:rPr>
                    <w:t>7</w:t>
                  </w:r>
                  <w:r>
                    <w:rPr>
                      <w:rFonts w:hint="eastAsia"/>
                      <w:color w:val="auto"/>
                      <w:szCs w:val="21"/>
                    </w:rPr>
                    <w:t>3</w:t>
                  </w:r>
                </w:p>
              </w:tc>
              <w:tc>
                <w:tcPr>
                  <w:tcW w:w="448" w:type="pct"/>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szCs w:val="21"/>
                    </w:rPr>
                    <w:t>0.00</w:t>
                  </w:r>
                  <w:r>
                    <w:rPr>
                      <w:rFonts w:hint="eastAsia"/>
                      <w:color w:val="auto"/>
                      <w:szCs w:val="21"/>
                      <w:lang w:val="en-US" w:eastAsia="zh-CN"/>
                    </w:rPr>
                    <w:t>60</w:t>
                  </w:r>
                </w:p>
              </w:tc>
              <w:tc>
                <w:tcPr>
                  <w:tcW w:w="712" w:type="pct"/>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eastAsia"/>
                      <w:color w:val="auto"/>
                      <w:szCs w:val="21"/>
                    </w:rPr>
                    <w:t>/</w:t>
                  </w:r>
                </w:p>
              </w:tc>
              <w:tc>
                <w:tcPr>
                  <w:tcW w:w="534" w:type="pct"/>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eastAsia="宋体"/>
                      <w:color w:val="auto"/>
                      <w:szCs w:val="21"/>
                      <w:lang w:val="en-US" w:eastAsia="zh-CN"/>
                    </w:rPr>
                  </w:pPr>
                  <w:r>
                    <w:rPr>
                      <w:rFonts w:hint="eastAsia"/>
                      <w:color w:val="auto"/>
                      <w:szCs w:val="21"/>
                    </w:rPr>
                    <w:t>0.0001</w:t>
                  </w:r>
                  <w:r>
                    <w:rPr>
                      <w:rFonts w:hint="eastAsia"/>
                      <w:color w:val="auto"/>
                      <w:szCs w:val="21"/>
                      <w:lang w:val="en-US" w:eastAsia="zh-CN"/>
                    </w:rPr>
                    <w:t>7</w:t>
                  </w:r>
                </w:p>
              </w:tc>
              <w:tc>
                <w:tcPr>
                  <w:tcW w:w="446" w:type="pct"/>
                  <w:noWrap w:val="0"/>
                  <w:vAlign w:val="center"/>
                </w:tcPr>
                <w:p>
                  <w:pPr>
                    <w:keepNext w:val="0"/>
                    <w:keepLines w:val="0"/>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szCs w:val="21"/>
                    </w:rPr>
                    <w:t>0.000</w:t>
                  </w:r>
                  <w:r>
                    <w:rPr>
                      <w:rFonts w:hint="eastAsia"/>
                      <w:color w:val="auto"/>
                      <w:szCs w:val="21"/>
                      <w:lang w:val="en-US" w:eastAsia="zh-CN"/>
                    </w:rPr>
                    <w:t>61</w:t>
                  </w:r>
                </w:p>
              </w:tc>
            </w:tr>
          </w:tbl>
          <w:p>
            <w:pPr>
              <w:pStyle w:val="94"/>
              <w:keepNext w:val="0"/>
              <w:keepLines w:val="0"/>
              <w:suppressLineNumbers w:val="0"/>
              <w:spacing w:before="0" w:beforeAutospacing="0" w:after="0" w:afterAutospacing="0" w:line="360" w:lineRule="auto"/>
              <w:ind w:left="0" w:right="0" w:firstLine="480" w:firstLineChars="200"/>
              <w:rPr>
                <w:rFonts w:hint="default"/>
                <w:color w:val="auto"/>
                <w:sz w:val="24"/>
                <w:szCs w:val="24"/>
                <w:u w:val="single"/>
              </w:rPr>
            </w:pPr>
            <w:r>
              <w:rPr>
                <w:rFonts w:hint="default"/>
                <w:color w:val="auto"/>
                <w:sz w:val="24"/>
                <w:szCs w:val="24"/>
                <w:u w:val="single"/>
              </w:rPr>
              <w:t>经计算，本项目运营期的恶臭气体</w:t>
            </w:r>
            <w:r>
              <w:rPr>
                <w:rFonts w:hint="eastAsia"/>
                <w:color w:val="auto"/>
                <w:sz w:val="24"/>
                <w:szCs w:val="24"/>
                <w:u w:val="single"/>
                <w:lang w:val="en-US" w:eastAsia="zh-CN"/>
              </w:rPr>
              <w:t>无组织</w:t>
            </w:r>
            <w:r>
              <w:rPr>
                <w:rFonts w:hint="default"/>
                <w:color w:val="auto"/>
                <w:sz w:val="24"/>
                <w:szCs w:val="24"/>
                <w:u w:val="single"/>
              </w:rPr>
              <w:t>排放</w:t>
            </w:r>
            <w:r>
              <w:rPr>
                <w:rFonts w:hint="eastAsia"/>
                <w:color w:val="auto"/>
                <w:sz w:val="24"/>
                <w:szCs w:val="24"/>
                <w:u w:val="single"/>
              </w:rPr>
              <w:t>情况</w:t>
            </w:r>
            <w:r>
              <w:rPr>
                <w:rFonts w:hint="default"/>
                <w:color w:val="auto"/>
                <w:sz w:val="24"/>
                <w:szCs w:val="24"/>
                <w:u w:val="single"/>
              </w:rPr>
              <w:t>见表4-2所示。</w:t>
            </w:r>
          </w:p>
          <w:p>
            <w:pPr>
              <w:pStyle w:val="94"/>
              <w:keepNext w:val="0"/>
              <w:keepLines w:val="0"/>
              <w:suppressLineNumbers w:val="0"/>
              <w:spacing w:before="0" w:beforeAutospacing="0" w:after="0" w:afterAutospacing="0" w:line="360" w:lineRule="auto"/>
              <w:ind w:left="0" w:right="0" w:firstLine="422" w:firstLineChars="200"/>
              <w:jc w:val="center"/>
              <w:rPr>
                <w:rFonts w:hint="default"/>
                <w:b/>
                <w:color w:val="auto"/>
                <w:szCs w:val="21"/>
              </w:rPr>
            </w:pPr>
            <w:r>
              <w:rPr>
                <w:rFonts w:hint="default"/>
                <w:b/>
                <w:color w:val="auto"/>
                <w:szCs w:val="21"/>
              </w:rPr>
              <w:t>表4-2  营运期恶臭气体</w:t>
            </w:r>
            <w:r>
              <w:rPr>
                <w:rFonts w:hint="eastAsia"/>
                <w:b/>
                <w:color w:val="auto"/>
                <w:szCs w:val="21"/>
                <w:lang w:val="en-US" w:eastAsia="zh-CN"/>
              </w:rPr>
              <w:t>无组织排放</w:t>
            </w:r>
            <w:r>
              <w:rPr>
                <w:rFonts w:hint="eastAsia"/>
                <w:b/>
                <w:color w:val="auto"/>
                <w:szCs w:val="21"/>
              </w:rPr>
              <w:t>情况</w:t>
            </w:r>
          </w:p>
          <w:tbl>
            <w:tblPr>
              <w:tblStyle w:val="29"/>
              <w:tblW w:w="80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1927"/>
              <w:gridCol w:w="2406"/>
              <w:gridCol w:w="1872"/>
              <w:gridCol w:w="1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93" w:hRule="atLeast"/>
                <w:jc w:val="center"/>
              </w:trPr>
              <w:tc>
                <w:tcPr>
                  <w:tcW w:w="1196" w:type="pct"/>
                  <w:noWrap w:val="0"/>
                  <w:vAlign w:val="center"/>
                </w:tcPr>
                <w:p>
                  <w:pPr>
                    <w:pStyle w:val="94"/>
                    <w:keepNext w:val="0"/>
                    <w:keepLines w:val="0"/>
                    <w:suppressLineNumbers w:val="0"/>
                    <w:spacing w:before="0" w:beforeAutospacing="0" w:after="0" w:afterAutospacing="0" w:line="240" w:lineRule="auto"/>
                    <w:ind w:left="0" w:right="0"/>
                    <w:jc w:val="center"/>
                    <w:rPr>
                      <w:rFonts w:hint="default"/>
                      <w:bCs/>
                      <w:color w:val="auto"/>
                      <w:szCs w:val="21"/>
                    </w:rPr>
                  </w:pPr>
                  <w:r>
                    <w:rPr>
                      <w:rFonts w:hint="default"/>
                      <w:bCs/>
                      <w:color w:val="auto"/>
                      <w:szCs w:val="21"/>
                    </w:rPr>
                    <w:t>污染物</w:t>
                  </w:r>
                </w:p>
              </w:tc>
              <w:tc>
                <w:tcPr>
                  <w:tcW w:w="1493" w:type="pct"/>
                  <w:noWrap w:val="0"/>
                  <w:vAlign w:val="center"/>
                </w:tcPr>
                <w:p>
                  <w:pPr>
                    <w:pStyle w:val="94"/>
                    <w:keepNext w:val="0"/>
                    <w:keepLines w:val="0"/>
                    <w:suppressLineNumbers w:val="0"/>
                    <w:spacing w:before="0" w:beforeAutospacing="0" w:after="0" w:afterAutospacing="0" w:line="240" w:lineRule="auto"/>
                    <w:ind w:left="0" w:right="0"/>
                    <w:jc w:val="center"/>
                    <w:rPr>
                      <w:rFonts w:hint="default"/>
                      <w:bCs/>
                      <w:color w:val="auto"/>
                      <w:szCs w:val="21"/>
                    </w:rPr>
                  </w:pPr>
                  <w:r>
                    <w:rPr>
                      <w:rFonts w:hint="default"/>
                      <w:bCs/>
                      <w:color w:val="auto"/>
                      <w:szCs w:val="21"/>
                    </w:rPr>
                    <w:t>排放模式</w:t>
                  </w:r>
                </w:p>
              </w:tc>
              <w:tc>
                <w:tcPr>
                  <w:tcW w:w="1162" w:type="pct"/>
                  <w:noWrap w:val="0"/>
                  <w:vAlign w:val="center"/>
                </w:tcPr>
                <w:p>
                  <w:pPr>
                    <w:pStyle w:val="94"/>
                    <w:keepNext w:val="0"/>
                    <w:keepLines w:val="0"/>
                    <w:suppressLineNumbers w:val="0"/>
                    <w:spacing w:before="0" w:beforeAutospacing="0" w:after="0" w:afterAutospacing="0" w:line="240" w:lineRule="auto"/>
                    <w:ind w:left="0" w:right="0"/>
                    <w:jc w:val="center"/>
                    <w:rPr>
                      <w:rFonts w:hint="default"/>
                      <w:bCs/>
                      <w:color w:val="auto"/>
                      <w:szCs w:val="21"/>
                    </w:rPr>
                  </w:pPr>
                  <w:r>
                    <w:rPr>
                      <w:rFonts w:hint="eastAsia"/>
                      <w:bCs/>
                      <w:color w:val="auto"/>
                      <w:szCs w:val="21"/>
                    </w:rPr>
                    <w:t>排放</w:t>
                  </w:r>
                  <w:r>
                    <w:rPr>
                      <w:rFonts w:hint="default"/>
                      <w:bCs/>
                      <w:color w:val="auto"/>
                      <w:szCs w:val="21"/>
                    </w:rPr>
                    <w:t>量（t/a）</w:t>
                  </w:r>
                </w:p>
              </w:tc>
              <w:tc>
                <w:tcPr>
                  <w:tcW w:w="1149" w:type="pct"/>
                  <w:noWrap w:val="0"/>
                  <w:vAlign w:val="center"/>
                </w:tcPr>
                <w:p>
                  <w:pPr>
                    <w:pStyle w:val="94"/>
                    <w:keepNext w:val="0"/>
                    <w:keepLines w:val="0"/>
                    <w:suppressLineNumbers w:val="0"/>
                    <w:spacing w:before="0" w:beforeAutospacing="0" w:after="0" w:afterAutospacing="0"/>
                    <w:ind w:left="0" w:right="0"/>
                    <w:jc w:val="center"/>
                    <w:rPr>
                      <w:rFonts w:hint="default"/>
                      <w:bCs/>
                      <w:color w:val="auto"/>
                      <w:szCs w:val="21"/>
                    </w:rPr>
                  </w:pPr>
                  <w:r>
                    <w:rPr>
                      <w:rFonts w:hint="eastAsia"/>
                      <w:bCs/>
                      <w:color w:val="auto"/>
                      <w:szCs w:val="21"/>
                    </w:rPr>
                    <w:t>排放速率</w:t>
                  </w:r>
                  <w:r>
                    <w:rPr>
                      <w:rFonts w:hint="default"/>
                      <w:bCs/>
                      <w:color w:val="auto"/>
                      <w:szCs w:val="21"/>
                    </w:rPr>
                    <w:t>k</w:t>
                  </w:r>
                  <w:r>
                    <w:rPr>
                      <w:rFonts w:hint="eastAsia"/>
                      <w:bCs/>
                      <w:color w:val="auto"/>
                      <w:szCs w:val="21"/>
                    </w:rPr>
                    <w:t>g</w:t>
                  </w:r>
                  <w:r>
                    <w:rPr>
                      <w:rFonts w:hint="default"/>
                      <w:bCs/>
                      <w:color w:val="auto"/>
                      <w:szCs w:val="21"/>
                    </w:rPr>
                    <w:t>/h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93" w:hRule="atLeast"/>
                <w:jc w:val="center"/>
              </w:trPr>
              <w:tc>
                <w:tcPr>
                  <w:tcW w:w="1196" w:type="pct"/>
                  <w:noWrap w:val="0"/>
                  <w:vAlign w:val="center"/>
                </w:tcPr>
                <w:p>
                  <w:pPr>
                    <w:pStyle w:val="94"/>
                    <w:keepNext w:val="0"/>
                    <w:keepLines w:val="0"/>
                    <w:suppressLineNumbers w:val="0"/>
                    <w:spacing w:before="0" w:beforeAutospacing="0" w:after="0" w:afterAutospacing="0" w:line="240" w:lineRule="auto"/>
                    <w:ind w:left="0" w:right="0"/>
                    <w:jc w:val="center"/>
                    <w:rPr>
                      <w:rFonts w:hint="default"/>
                      <w:color w:val="auto"/>
                      <w:szCs w:val="21"/>
                    </w:rPr>
                  </w:pPr>
                  <w:r>
                    <w:rPr>
                      <w:rFonts w:hint="default"/>
                      <w:color w:val="auto"/>
                      <w:szCs w:val="21"/>
                    </w:rPr>
                    <w:t>NH</w:t>
                  </w:r>
                  <w:r>
                    <w:rPr>
                      <w:rFonts w:hint="default"/>
                      <w:color w:val="auto"/>
                      <w:szCs w:val="21"/>
                      <w:vertAlign w:val="subscript"/>
                    </w:rPr>
                    <w:t>3</w:t>
                  </w:r>
                </w:p>
              </w:tc>
              <w:tc>
                <w:tcPr>
                  <w:tcW w:w="1493" w:type="pct"/>
                  <w:vMerge w:val="restart"/>
                  <w:noWrap w:val="0"/>
                  <w:vAlign w:val="center"/>
                </w:tcPr>
                <w:p>
                  <w:pPr>
                    <w:pStyle w:val="94"/>
                    <w:keepNext w:val="0"/>
                    <w:keepLines w:val="0"/>
                    <w:suppressLineNumbers w:val="0"/>
                    <w:spacing w:before="0" w:beforeAutospacing="0" w:after="0" w:afterAutospacing="0" w:line="240" w:lineRule="auto"/>
                    <w:ind w:left="0" w:right="0"/>
                    <w:jc w:val="center"/>
                    <w:rPr>
                      <w:rFonts w:hint="default"/>
                      <w:color w:val="auto"/>
                      <w:szCs w:val="21"/>
                    </w:rPr>
                  </w:pPr>
                  <w:r>
                    <w:rPr>
                      <w:rFonts w:hint="eastAsia"/>
                      <w:color w:val="auto"/>
                      <w:szCs w:val="21"/>
                    </w:rPr>
                    <w:t>无</w:t>
                  </w:r>
                  <w:r>
                    <w:rPr>
                      <w:rFonts w:hint="default"/>
                      <w:color w:val="auto"/>
                      <w:szCs w:val="21"/>
                    </w:rPr>
                    <w:t>组织</w:t>
                  </w:r>
                </w:p>
              </w:tc>
              <w:tc>
                <w:tcPr>
                  <w:tcW w:w="1162"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auto"/>
                      <w:szCs w:val="21"/>
                      <w:lang w:val="en-US" w:eastAsia="zh-CN"/>
                    </w:rPr>
                  </w:pPr>
                  <w:r>
                    <w:rPr>
                      <w:rFonts w:hint="eastAsia"/>
                      <w:color w:val="auto"/>
                      <w:szCs w:val="21"/>
                    </w:rPr>
                    <w:t>0.00</w:t>
                  </w:r>
                  <w:r>
                    <w:rPr>
                      <w:rFonts w:hint="eastAsia"/>
                      <w:color w:val="auto"/>
                      <w:szCs w:val="21"/>
                      <w:lang w:val="en-US" w:eastAsia="zh-CN"/>
                    </w:rPr>
                    <w:t>60</w:t>
                  </w:r>
                </w:p>
              </w:tc>
              <w:tc>
                <w:tcPr>
                  <w:tcW w:w="1149"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color w:val="auto"/>
                      <w:szCs w:val="21"/>
                    </w:rPr>
                  </w:pPr>
                  <w:r>
                    <w:rPr>
                      <w:rFonts w:hint="eastAsia"/>
                      <w:color w:val="auto"/>
                      <w:szCs w:val="21"/>
                    </w:rPr>
                    <w:t>0.000</w:t>
                  </w:r>
                  <w:r>
                    <w:rPr>
                      <w:rFonts w:hint="eastAsia"/>
                      <w:color w:val="auto"/>
                      <w:szCs w:val="21"/>
                      <w:lang w:val="en-US" w:eastAsia="zh-CN"/>
                    </w:rPr>
                    <w:t>7</w:t>
                  </w:r>
                  <w:r>
                    <w:rPr>
                      <w:rFonts w:hint="eastAsia"/>
                      <w:color w:val="auto"/>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93" w:hRule="atLeast"/>
                <w:jc w:val="center"/>
              </w:trPr>
              <w:tc>
                <w:tcPr>
                  <w:tcW w:w="1196" w:type="pct"/>
                  <w:noWrap w:val="0"/>
                  <w:vAlign w:val="center"/>
                </w:tcPr>
                <w:p>
                  <w:pPr>
                    <w:pStyle w:val="94"/>
                    <w:keepNext w:val="0"/>
                    <w:keepLines w:val="0"/>
                    <w:suppressLineNumbers w:val="0"/>
                    <w:spacing w:before="0" w:beforeAutospacing="0" w:after="0" w:afterAutospacing="0" w:line="240" w:lineRule="auto"/>
                    <w:ind w:left="0" w:right="0"/>
                    <w:jc w:val="center"/>
                    <w:rPr>
                      <w:rFonts w:hint="default"/>
                      <w:color w:val="auto"/>
                      <w:szCs w:val="21"/>
                    </w:rPr>
                  </w:pPr>
                  <w:r>
                    <w:rPr>
                      <w:rFonts w:hint="default"/>
                      <w:color w:val="auto"/>
                      <w:szCs w:val="21"/>
                    </w:rPr>
                    <w:t>H</w:t>
                  </w:r>
                  <w:r>
                    <w:rPr>
                      <w:rFonts w:hint="default"/>
                      <w:color w:val="auto"/>
                      <w:szCs w:val="21"/>
                      <w:vertAlign w:val="subscript"/>
                    </w:rPr>
                    <w:t>2</w:t>
                  </w:r>
                  <w:r>
                    <w:rPr>
                      <w:rFonts w:hint="default"/>
                      <w:color w:val="auto"/>
                      <w:szCs w:val="21"/>
                    </w:rPr>
                    <w:t>S</w:t>
                  </w:r>
                </w:p>
              </w:tc>
              <w:tc>
                <w:tcPr>
                  <w:tcW w:w="1493" w:type="pct"/>
                  <w:vMerge w:val="continue"/>
                  <w:noWrap w:val="0"/>
                  <w:vAlign w:val="center"/>
                </w:tcPr>
                <w:p>
                  <w:pPr>
                    <w:pStyle w:val="94"/>
                    <w:keepNext w:val="0"/>
                    <w:keepLines w:val="0"/>
                    <w:suppressLineNumbers w:val="0"/>
                    <w:spacing w:before="0" w:beforeAutospacing="0" w:after="0" w:afterAutospacing="0" w:line="240" w:lineRule="auto"/>
                    <w:ind w:left="0" w:right="0"/>
                    <w:jc w:val="center"/>
                    <w:rPr>
                      <w:rFonts w:hint="default"/>
                      <w:color w:val="auto"/>
                      <w:szCs w:val="21"/>
                    </w:rPr>
                  </w:pPr>
                </w:p>
              </w:tc>
              <w:tc>
                <w:tcPr>
                  <w:tcW w:w="1162"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auto"/>
                      <w:szCs w:val="21"/>
                      <w:lang w:val="en-US" w:eastAsia="zh-CN"/>
                    </w:rPr>
                  </w:pPr>
                  <w:r>
                    <w:rPr>
                      <w:rFonts w:hint="eastAsia"/>
                      <w:color w:val="auto"/>
                      <w:szCs w:val="21"/>
                    </w:rPr>
                    <w:t>0.000</w:t>
                  </w:r>
                  <w:r>
                    <w:rPr>
                      <w:rFonts w:hint="eastAsia"/>
                      <w:color w:val="auto"/>
                      <w:szCs w:val="21"/>
                      <w:lang w:val="en-US" w:eastAsia="zh-CN"/>
                    </w:rPr>
                    <w:t>61</w:t>
                  </w:r>
                </w:p>
              </w:tc>
              <w:tc>
                <w:tcPr>
                  <w:tcW w:w="1149" w:type="pct"/>
                  <w:noWrap w:val="0"/>
                  <w:vAlign w:val="center"/>
                </w:tcPr>
                <w:p>
                  <w:pPr>
                    <w:keepNext w:val="0"/>
                    <w:keepLines w:val="0"/>
                    <w:widowControl/>
                    <w:suppressLineNumbers w:val="0"/>
                    <w:spacing w:before="0" w:beforeAutospacing="0" w:after="0" w:afterAutospacing="0"/>
                    <w:ind w:left="0" w:right="0"/>
                    <w:jc w:val="center"/>
                    <w:textAlignment w:val="center"/>
                    <w:rPr>
                      <w:rFonts w:hint="default"/>
                      <w:color w:val="auto"/>
                      <w:szCs w:val="21"/>
                    </w:rPr>
                  </w:pPr>
                  <w:r>
                    <w:rPr>
                      <w:rFonts w:hint="eastAsia"/>
                      <w:color w:val="auto"/>
                      <w:szCs w:val="21"/>
                    </w:rPr>
                    <w:t>0.0001</w:t>
                  </w:r>
                  <w:r>
                    <w:rPr>
                      <w:rFonts w:hint="eastAsia"/>
                      <w:color w:val="auto"/>
                      <w:szCs w:val="21"/>
                      <w:lang w:val="en-US" w:eastAsia="zh-CN"/>
                    </w:rPr>
                    <w:t>7</w:t>
                  </w:r>
                </w:p>
              </w:tc>
            </w:tr>
          </w:tbl>
          <w:p>
            <w:pPr>
              <w:pStyle w:val="44"/>
              <w:keepNext w:val="0"/>
              <w:keepLines w:val="0"/>
              <w:suppressLineNumbers w:val="0"/>
              <w:adjustRightInd/>
              <w:snapToGrid/>
              <w:spacing w:before="0" w:beforeAutospacing="0" w:after="0" w:afterAutospacing="0" w:line="360" w:lineRule="auto"/>
              <w:ind w:left="0" w:right="0"/>
              <w:rPr>
                <w:rFonts w:hint="eastAsia" w:ascii="Times New Roman" w:cs="Times New Roman"/>
                <w:b/>
                <w:bCs/>
                <w:color w:val="auto"/>
                <w:u w:val="single"/>
                <w:lang w:val="en-US" w:eastAsia="zh-CN"/>
              </w:rPr>
            </w:pPr>
            <w:r>
              <w:rPr>
                <w:rFonts w:hint="eastAsia" w:ascii="Times New Roman" w:cs="Times New Roman"/>
                <w:b/>
                <w:bCs/>
                <w:color w:val="auto"/>
                <w:u w:val="single"/>
                <w:lang w:val="en-US" w:eastAsia="zh-CN"/>
              </w:rPr>
              <w:t>1.2大气环境防护距离设置情况</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szCs w:val="24"/>
                <w:u w:val="single"/>
                <w:lang w:val="en-US" w:eastAsia="zh-CN"/>
              </w:rPr>
            </w:pPr>
            <w:r>
              <w:rPr>
                <w:rFonts w:hint="default" w:ascii="Times New Roman" w:hAnsi="Times New Roman" w:cs="Times New Roman"/>
                <w:color w:val="auto"/>
                <w:sz w:val="24"/>
                <w:u w:val="single"/>
                <w:lang w:val="en-US" w:eastAsia="zh-CN"/>
              </w:rPr>
              <w:t>根据《环境影响评价技术导则-大气环境》（HJ2.2-2018）要求，本次评价采用估算模式软件 AERSCREEN 对本项目排放的大气污染物进行计算评价。估算模式是一种单源预测模式，可计算点源、面源和体源等污染源的最大地面浓度，以及建筑物下洗和熏烟等特殊条件</w:t>
            </w:r>
            <w:r>
              <w:rPr>
                <w:rFonts w:hint="default" w:ascii="Times New Roman" w:hAnsi="Times New Roman" w:cs="Times New Roman"/>
                <w:color w:val="auto"/>
                <w:sz w:val="24"/>
                <w:szCs w:val="24"/>
                <w:u w:val="single"/>
                <w:lang w:val="en-US" w:eastAsia="zh-CN"/>
              </w:rPr>
              <w:t>下的最大地面浓度，估算模式中嵌入了多种预设的气象组合条件，包括一些最不利的气象条件，此类气象条件在某个地区有可能发生，也有可能不发生。经估算模式计算出的最大地面浓度大于进一步预测模式的计算结果。</w:t>
            </w:r>
          </w:p>
          <w:p>
            <w:pPr>
              <w:keepNext w:val="0"/>
              <w:keepLines w:val="0"/>
              <w:suppressLineNumbers w:val="0"/>
              <w:spacing w:before="0" w:beforeAutospacing="0" w:after="0" w:afterAutospacing="0" w:line="360" w:lineRule="auto"/>
              <w:ind w:left="0" w:right="0" w:firstLine="480" w:firstLineChars="200"/>
              <w:rPr>
                <w:rFonts w:hint="eastAsia"/>
                <w:color w:val="auto"/>
                <w:sz w:val="24"/>
                <w:szCs w:val="24"/>
                <w:u w:val="single"/>
                <w:lang w:eastAsia="zh-CN"/>
              </w:rPr>
            </w:pPr>
            <w:r>
              <w:rPr>
                <w:rFonts w:hint="default" w:ascii="Times New Roman" w:hAnsi="Times New Roman" w:cs="Times New Roman"/>
                <w:color w:val="auto"/>
                <w:sz w:val="24"/>
                <w:szCs w:val="24"/>
                <w:u w:val="single"/>
                <w:lang w:val="en-US" w:eastAsia="zh-CN"/>
              </w:rPr>
              <w:t>根据本项目工程分析，项目排放的污染因子主要为</w:t>
            </w:r>
            <w:r>
              <w:rPr>
                <w:rFonts w:hint="default"/>
                <w:color w:val="auto"/>
                <w:sz w:val="24"/>
                <w:szCs w:val="24"/>
                <w:u w:val="single"/>
              </w:rPr>
              <w:t>NH</w:t>
            </w:r>
            <w:r>
              <w:rPr>
                <w:rFonts w:hint="default"/>
                <w:color w:val="auto"/>
                <w:sz w:val="24"/>
                <w:szCs w:val="24"/>
                <w:u w:val="single"/>
                <w:vertAlign w:val="subscript"/>
              </w:rPr>
              <w:t>3</w:t>
            </w:r>
            <w:r>
              <w:rPr>
                <w:rFonts w:hint="eastAsia"/>
                <w:color w:val="auto"/>
                <w:sz w:val="24"/>
                <w:szCs w:val="24"/>
                <w:u w:val="single"/>
                <w:vertAlign w:val="baseline"/>
                <w:lang w:val="en-US" w:eastAsia="zh-CN"/>
              </w:rPr>
              <w:t>、</w:t>
            </w:r>
            <w:r>
              <w:rPr>
                <w:rFonts w:hint="default"/>
                <w:color w:val="auto"/>
                <w:sz w:val="24"/>
                <w:szCs w:val="24"/>
                <w:u w:val="single"/>
              </w:rPr>
              <w:t>H</w:t>
            </w:r>
            <w:r>
              <w:rPr>
                <w:rFonts w:hint="default"/>
                <w:color w:val="auto"/>
                <w:sz w:val="24"/>
                <w:szCs w:val="24"/>
                <w:u w:val="single"/>
                <w:vertAlign w:val="subscript"/>
              </w:rPr>
              <w:t>2</w:t>
            </w:r>
            <w:r>
              <w:rPr>
                <w:rFonts w:hint="default"/>
                <w:color w:val="auto"/>
                <w:sz w:val="24"/>
                <w:szCs w:val="24"/>
                <w:u w:val="single"/>
              </w:rPr>
              <w:t>S</w:t>
            </w:r>
            <w:r>
              <w:rPr>
                <w:rFonts w:hint="eastAsia"/>
                <w:color w:val="auto"/>
                <w:sz w:val="24"/>
                <w:szCs w:val="24"/>
                <w:u w:val="single"/>
                <w:lang w:eastAsia="zh-CN"/>
              </w:rPr>
              <w:t>。结合环境质量现状调查结果、项目污染物排放特点、《建设项目环境影响报告表编制技术指南（污染影响类）》及《环境影响评价技术导则-大气环境》（HJ2.2-2018）要求，确定本项目的</w:t>
            </w:r>
            <w:r>
              <w:rPr>
                <w:rFonts w:hint="eastAsia"/>
                <w:color w:val="auto"/>
                <w:sz w:val="24"/>
                <w:szCs w:val="24"/>
                <w:u w:val="single"/>
                <w:lang w:val="en-US" w:eastAsia="zh-CN"/>
              </w:rPr>
              <w:t>估算</w:t>
            </w:r>
            <w:r>
              <w:rPr>
                <w:rFonts w:hint="eastAsia"/>
                <w:color w:val="auto"/>
                <w:sz w:val="24"/>
                <w:szCs w:val="24"/>
                <w:u w:val="single"/>
                <w:lang w:eastAsia="zh-CN"/>
              </w:rPr>
              <w:t>因子为</w:t>
            </w:r>
            <w:r>
              <w:rPr>
                <w:rFonts w:hint="default"/>
                <w:color w:val="auto"/>
                <w:sz w:val="24"/>
                <w:szCs w:val="24"/>
                <w:u w:val="single"/>
              </w:rPr>
              <w:t>NH</w:t>
            </w:r>
            <w:r>
              <w:rPr>
                <w:rFonts w:hint="default"/>
                <w:color w:val="auto"/>
                <w:sz w:val="24"/>
                <w:szCs w:val="24"/>
                <w:u w:val="single"/>
                <w:vertAlign w:val="subscript"/>
              </w:rPr>
              <w:t>3</w:t>
            </w:r>
            <w:r>
              <w:rPr>
                <w:rFonts w:hint="eastAsia"/>
                <w:color w:val="auto"/>
                <w:sz w:val="24"/>
                <w:szCs w:val="24"/>
                <w:u w:val="single"/>
                <w:vertAlign w:val="baseline"/>
                <w:lang w:val="en-US" w:eastAsia="zh-CN"/>
              </w:rPr>
              <w:t>、</w:t>
            </w:r>
            <w:r>
              <w:rPr>
                <w:rFonts w:hint="default"/>
                <w:color w:val="auto"/>
                <w:sz w:val="24"/>
                <w:szCs w:val="24"/>
                <w:u w:val="single"/>
              </w:rPr>
              <w:t>H</w:t>
            </w:r>
            <w:r>
              <w:rPr>
                <w:rFonts w:hint="default"/>
                <w:color w:val="auto"/>
                <w:sz w:val="24"/>
                <w:szCs w:val="24"/>
                <w:u w:val="single"/>
                <w:vertAlign w:val="subscript"/>
              </w:rPr>
              <w:t>2</w:t>
            </w:r>
            <w:r>
              <w:rPr>
                <w:rFonts w:hint="default"/>
                <w:color w:val="auto"/>
                <w:sz w:val="24"/>
                <w:szCs w:val="24"/>
                <w:u w:val="single"/>
              </w:rPr>
              <w:t>S</w:t>
            </w:r>
            <w:r>
              <w:rPr>
                <w:rFonts w:hint="eastAsia"/>
                <w:color w:val="auto"/>
                <w:sz w:val="24"/>
                <w:szCs w:val="24"/>
                <w:u w:val="single"/>
                <w:lang w:eastAsia="zh-CN"/>
              </w:rPr>
              <w:t>。</w:t>
            </w:r>
          </w:p>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cs="Times New Roman"/>
                <w:color w:val="auto"/>
                <w:sz w:val="24"/>
                <w:szCs w:val="24"/>
                <w:u w:val="single"/>
                <w:lang w:val="en-US" w:eastAsia="zh-CN"/>
              </w:rPr>
            </w:pPr>
            <w:r>
              <w:rPr>
                <w:rFonts w:hint="eastAsia" w:ascii="Times New Roman" w:hAnsi="Times New Roman" w:cs="Times New Roman"/>
                <w:color w:val="auto"/>
                <w:sz w:val="24"/>
                <w:szCs w:val="24"/>
                <w:u w:val="single"/>
                <w:lang w:val="en-US" w:eastAsia="zh-CN"/>
              </w:rPr>
              <w:t>（1）</w:t>
            </w:r>
            <w:r>
              <w:rPr>
                <w:rFonts w:hint="eastAsia" w:cs="Times New Roman"/>
                <w:color w:val="auto"/>
                <w:sz w:val="24"/>
                <w:szCs w:val="24"/>
                <w:u w:val="single"/>
                <w:lang w:val="en-US" w:eastAsia="zh-CN"/>
              </w:rPr>
              <w:t>估算</w:t>
            </w:r>
            <w:r>
              <w:rPr>
                <w:rFonts w:hint="eastAsia" w:ascii="Times New Roman" w:hAnsi="Times New Roman" w:cs="Times New Roman"/>
                <w:color w:val="auto"/>
                <w:sz w:val="24"/>
                <w:szCs w:val="24"/>
                <w:u w:val="single"/>
                <w:lang w:val="en-US" w:eastAsia="zh-CN"/>
              </w:rPr>
              <w:t>因子：NH</w:t>
            </w:r>
            <w:r>
              <w:rPr>
                <w:rFonts w:hint="eastAsia" w:ascii="Times New Roman" w:hAnsi="Times New Roman" w:cs="Times New Roman"/>
                <w:color w:val="auto"/>
                <w:sz w:val="24"/>
                <w:szCs w:val="24"/>
                <w:u w:val="single"/>
                <w:vertAlign w:val="subscript"/>
                <w:lang w:val="en-US" w:eastAsia="zh-CN"/>
              </w:rPr>
              <w:t>3</w:t>
            </w:r>
            <w:r>
              <w:rPr>
                <w:rFonts w:hint="eastAsia" w:ascii="Times New Roman" w:hAnsi="Times New Roman" w:cs="Times New Roman"/>
                <w:color w:val="auto"/>
                <w:sz w:val="24"/>
                <w:szCs w:val="24"/>
                <w:u w:val="single"/>
                <w:lang w:val="en-US" w:eastAsia="zh-CN"/>
              </w:rPr>
              <w:t>、H</w:t>
            </w:r>
            <w:r>
              <w:rPr>
                <w:rFonts w:hint="eastAsia" w:ascii="Times New Roman" w:hAnsi="Times New Roman" w:cs="Times New Roman"/>
                <w:color w:val="auto"/>
                <w:sz w:val="24"/>
                <w:szCs w:val="24"/>
                <w:u w:val="single"/>
                <w:vertAlign w:val="subscript"/>
                <w:lang w:val="en-US" w:eastAsia="zh-CN"/>
              </w:rPr>
              <w:t>2</w:t>
            </w:r>
            <w:r>
              <w:rPr>
                <w:rFonts w:hint="eastAsia" w:ascii="Times New Roman" w:hAnsi="Times New Roman" w:cs="Times New Roman"/>
                <w:color w:val="auto"/>
                <w:sz w:val="24"/>
                <w:szCs w:val="24"/>
                <w:u w:val="single"/>
                <w:lang w:val="en-US" w:eastAsia="zh-CN"/>
              </w:rPr>
              <w:t>S。</w:t>
            </w:r>
          </w:p>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cs="Times New Roman"/>
                <w:color w:val="auto"/>
                <w:sz w:val="24"/>
                <w:szCs w:val="24"/>
                <w:u w:val="single"/>
                <w:lang w:val="en-US" w:eastAsia="zh-CN"/>
              </w:rPr>
            </w:pPr>
            <w:r>
              <w:rPr>
                <w:rFonts w:hint="eastAsia" w:ascii="Times New Roman" w:hAnsi="Times New Roman" w:cs="Times New Roman"/>
                <w:color w:val="auto"/>
                <w:sz w:val="24"/>
                <w:szCs w:val="24"/>
                <w:u w:val="single"/>
                <w:lang w:val="en-US" w:eastAsia="zh-CN"/>
              </w:rPr>
              <w:t>（2）</w:t>
            </w:r>
            <w:r>
              <w:rPr>
                <w:rFonts w:hint="eastAsia" w:cs="Times New Roman"/>
                <w:color w:val="auto"/>
                <w:sz w:val="24"/>
                <w:szCs w:val="24"/>
                <w:u w:val="single"/>
                <w:lang w:val="en-US" w:eastAsia="zh-CN"/>
              </w:rPr>
              <w:t>估算</w:t>
            </w:r>
            <w:r>
              <w:rPr>
                <w:rFonts w:hint="eastAsia" w:ascii="Times New Roman" w:hAnsi="Times New Roman" w:cs="Times New Roman"/>
                <w:color w:val="auto"/>
                <w:sz w:val="24"/>
                <w:szCs w:val="24"/>
                <w:u w:val="single"/>
                <w:lang w:val="en-US" w:eastAsia="zh-CN"/>
              </w:rPr>
              <w:t>范围：厂界外2.5km矩形区域。</w:t>
            </w:r>
          </w:p>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cs="Times New Roman"/>
                <w:color w:val="auto"/>
                <w:sz w:val="24"/>
                <w:szCs w:val="24"/>
                <w:u w:val="single"/>
                <w:lang w:val="en-US" w:eastAsia="zh-CN"/>
              </w:rPr>
            </w:pPr>
            <w:r>
              <w:rPr>
                <w:rFonts w:hint="eastAsia" w:ascii="Times New Roman" w:hAnsi="Times New Roman" w:cs="Times New Roman"/>
                <w:color w:val="auto"/>
                <w:sz w:val="24"/>
                <w:szCs w:val="24"/>
                <w:u w:val="single"/>
                <w:lang w:val="en-US" w:eastAsia="zh-CN"/>
              </w:rPr>
              <w:t>（3）</w:t>
            </w:r>
            <w:r>
              <w:rPr>
                <w:rFonts w:hint="eastAsia" w:cs="Times New Roman"/>
                <w:color w:val="auto"/>
                <w:sz w:val="24"/>
                <w:szCs w:val="24"/>
                <w:u w:val="single"/>
                <w:lang w:val="en-US" w:eastAsia="zh-CN"/>
              </w:rPr>
              <w:t>估算</w:t>
            </w:r>
            <w:r>
              <w:rPr>
                <w:rFonts w:hint="eastAsia" w:ascii="Times New Roman" w:hAnsi="Times New Roman" w:cs="Times New Roman"/>
                <w:color w:val="auto"/>
                <w:sz w:val="24"/>
                <w:szCs w:val="24"/>
                <w:u w:val="single"/>
                <w:lang w:val="en-US" w:eastAsia="zh-CN"/>
              </w:rPr>
              <w:t>内容：正常工况下，下风向最大落地浓度。</w:t>
            </w:r>
          </w:p>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cs="Times New Roman"/>
                <w:color w:val="auto"/>
                <w:sz w:val="24"/>
                <w:szCs w:val="24"/>
                <w:u w:val="single"/>
                <w:lang w:val="en-US" w:eastAsia="zh-CN"/>
              </w:rPr>
            </w:pPr>
            <w:r>
              <w:rPr>
                <w:rFonts w:hint="eastAsia" w:ascii="Times New Roman" w:hAnsi="Times New Roman" w:cs="Times New Roman"/>
                <w:color w:val="auto"/>
                <w:sz w:val="24"/>
                <w:szCs w:val="24"/>
                <w:u w:val="single"/>
                <w:lang w:val="en-US" w:eastAsia="zh-CN"/>
              </w:rPr>
              <w:t>（4）</w:t>
            </w:r>
            <w:r>
              <w:rPr>
                <w:rFonts w:hint="eastAsia" w:cs="Times New Roman"/>
                <w:color w:val="auto"/>
                <w:sz w:val="24"/>
                <w:szCs w:val="24"/>
                <w:u w:val="single"/>
                <w:lang w:val="en-US" w:eastAsia="zh-CN"/>
              </w:rPr>
              <w:t>估算</w:t>
            </w:r>
            <w:r>
              <w:rPr>
                <w:rFonts w:hint="eastAsia" w:ascii="Times New Roman" w:hAnsi="Times New Roman" w:cs="Times New Roman"/>
                <w:color w:val="auto"/>
                <w:sz w:val="24"/>
                <w:szCs w:val="24"/>
                <w:u w:val="single"/>
                <w:lang w:val="en-US" w:eastAsia="zh-CN"/>
              </w:rPr>
              <w:t>模式：《环境影响评价技术导则大气环境》（HJ2.2-2018）推荐的估算模式AERSCREEN。</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sz w:val="24"/>
                <w:szCs w:val="24"/>
                <w:u w:val="single"/>
                <w:lang w:val="en-US" w:eastAsia="zh-CN"/>
              </w:rPr>
            </w:pPr>
            <w:r>
              <w:rPr>
                <w:rFonts w:hint="eastAsia" w:ascii="Times New Roman" w:hAnsi="Times New Roman" w:cs="Times New Roman"/>
                <w:color w:val="auto"/>
                <w:sz w:val="24"/>
                <w:szCs w:val="24"/>
                <w:u w:val="single"/>
                <w:lang w:val="en-US" w:eastAsia="zh-CN"/>
              </w:rPr>
              <w:t>（5）污染源参数</w:t>
            </w:r>
          </w:p>
          <w:p>
            <w:pPr>
              <w:keepNext w:val="0"/>
              <w:keepLines w:val="0"/>
              <w:suppressLineNumbers w:val="0"/>
              <w:adjustRightInd w:val="0"/>
              <w:snapToGrid w:val="0"/>
              <w:spacing w:before="240" w:beforeLines="100" w:beforeAutospacing="0" w:after="0" w:afterAutospacing="0"/>
              <w:ind w:left="0" w:right="0"/>
              <w:jc w:val="center"/>
              <w:rPr>
                <w:rFonts w:hint="default"/>
                <w:b/>
                <w:color w:val="auto"/>
                <w:szCs w:val="21"/>
                <w:u w:val="single"/>
              </w:rPr>
            </w:pPr>
            <w:r>
              <w:rPr>
                <w:rFonts w:hint="default"/>
                <w:b/>
                <w:color w:val="auto"/>
                <w:szCs w:val="21"/>
                <w:u w:val="single"/>
              </w:rPr>
              <w:t>表4-</w:t>
            </w:r>
            <w:r>
              <w:rPr>
                <w:rFonts w:hint="eastAsia"/>
                <w:b/>
                <w:color w:val="auto"/>
                <w:szCs w:val="21"/>
                <w:u w:val="single"/>
                <w:lang w:val="en-US" w:eastAsia="zh-CN"/>
              </w:rPr>
              <w:t xml:space="preserve">3 </w:t>
            </w:r>
            <w:r>
              <w:rPr>
                <w:rFonts w:hint="default"/>
                <w:b/>
                <w:color w:val="auto"/>
                <w:szCs w:val="21"/>
                <w:u w:val="single"/>
              </w:rPr>
              <w:t>主要废气污染源参数一览表（面源）</w:t>
            </w:r>
          </w:p>
          <w:tbl>
            <w:tblPr>
              <w:tblStyle w:val="29"/>
              <w:tblW w:w="4998" w:type="pct"/>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92"/>
              <w:gridCol w:w="1270"/>
              <w:gridCol w:w="1169"/>
              <w:gridCol w:w="869"/>
              <w:gridCol w:w="869"/>
              <w:gridCol w:w="869"/>
              <w:gridCol w:w="877"/>
              <w:gridCol w:w="1035"/>
              <w:gridCol w:w="87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8" w:hRule="atLeast"/>
                <w:jc w:val="center"/>
              </w:trPr>
              <w:tc>
                <w:tcPr>
                  <w:tcW w:w="420" w:type="pct"/>
                  <w:vMerge w:val="restart"/>
                  <w:noWrap w:val="0"/>
                  <w:vAlign w:val="center"/>
                </w:tcPr>
                <w:p>
                  <w:pPr>
                    <w:keepNext w:val="0"/>
                    <w:keepLines w:val="0"/>
                    <w:suppressLineNumbers w:val="0"/>
                    <w:spacing w:before="0" w:beforeAutospacing="0" w:after="0" w:afterAutospacing="0"/>
                    <w:ind w:left="0" w:right="0"/>
                    <w:jc w:val="center"/>
                    <w:rPr>
                      <w:rFonts w:hint="default"/>
                      <w:b/>
                      <w:bCs/>
                      <w:color w:val="auto"/>
                      <w:szCs w:val="21"/>
                      <w:u w:val="single"/>
                    </w:rPr>
                  </w:pPr>
                  <w:r>
                    <w:rPr>
                      <w:rFonts w:hint="default"/>
                      <w:b/>
                      <w:bCs/>
                      <w:color w:val="auto"/>
                      <w:szCs w:val="21"/>
                      <w:u w:val="single"/>
                    </w:rPr>
                    <w:t>污染源名称</w:t>
                  </w:r>
                </w:p>
              </w:tc>
              <w:tc>
                <w:tcPr>
                  <w:tcW w:w="1458" w:type="pct"/>
                  <w:gridSpan w:val="2"/>
                  <w:noWrap w:val="0"/>
                  <w:vAlign w:val="center"/>
                </w:tcPr>
                <w:p>
                  <w:pPr>
                    <w:keepNext w:val="0"/>
                    <w:keepLines w:val="0"/>
                    <w:suppressLineNumbers w:val="0"/>
                    <w:spacing w:before="0" w:beforeAutospacing="0" w:after="0" w:afterAutospacing="0"/>
                    <w:ind w:left="0" w:right="0"/>
                    <w:jc w:val="center"/>
                    <w:rPr>
                      <w:rFonts w:hint="default"/>
                      <w:b/>
                      <w:bCs/>
                      <w:color w:val="auto"/>
                      <w:szCs w:val="21"/>
                      <w:u w:val="single"/>
                    </w:rPr>
                  </w:pPr>
                  <w:r>
                    <w:rPr>
                      <w:rFonts w:hint="default"/>
                      <w:b/>
                      <w:bCs/>
                      <w:color w:val="auto"/>
                      <w:szCs w:val="21"/>
                      <w:u w:val="single"/>
                    </w:rPr>
                    <w:t>坐标</w:t>
                  </w:r>
                  <w:r>
                    <w:rPr>
                      <w:rFonts w:hint="eastAsia"/>
                      <w:b/>
                      <w:bCs/>
                      <w:color w:val="auto"/>
                      <w:szCs w:val="21"/>
                      <w:u w:val="single"/>
                      <w:lang w:eastAsia="zh-CN"/>
                    </w:rPr>
                    <w:t>（</w:t>
                  </w:r>
                  <w:r>
                    <w:rPr>
                      <w:rFonts w:hint="default"/>
                      <w:b/>
                      <w:bCs/>
                      <w:color w:val="auto"/>
                      <w:szCs w:val="21"/>
                      <w:u w:val="single"/>
                    </w:rPr>
                    <w:t>°</w:t>
                  </w:r>
                  <w:r>
                    <w:rPr>
                      <w:rFonts w:hint="eastAsia"/>
                      <w:b/>
                      <w:bCs/>
                      <w:color w:val="auto"/>
                      <w:szCs w:val="21"/>
                      <w:u w:val="single"/>
                      <w:lang w:eastAsia="zh-CN"/>
                    </w:rPr>
                    <w:t>）</w:t>
                  </w:r>
                </w:p>
              </w:tc>
              <w:tc>
                <w:tcPr>
                  <w:tcW w:w="523" w:type="pct"/>
                  <w:vMerge w:val="restart"/>
                  <w:noWrap w:val="0"/>
                  <w:vAlign w:val="center"/>
                </w:tcPr>
                <w:p>
                  <w:pPr>
                    <w:keepNext w:val="0"/>
                    <w:keepLines w:val="0"/>
                    <w:suppressLineNumbers w:val="0"/>
                    <w:spacing w:before="0" w:beforeAutospacing="0" w:after="0" w:afterAutospacing="0"/>
                    <w:ind w:left="0" w:right="0"/>
                    <w:jc w:val="center"/>
                    <w:rPr>
                      <w:rFonts w:hint="default"/>
                      <w:b/>
                      <w:bCs/>
                      <w:color w:val="auto"/>
                      <w:szCs w:val="21"/>
                      <w:u w:val="single"/>
                    </w:rPr>
                  </w:pPr>
                  <w:r>
                    <w:rPr>
                      <w:rFonts w:hint="default"/>
                      <w:b/>
                      <w:bCs/>
                      <w:color w:val="auto"/>
                      <w:szCs w:val="21"/>
                      <w:u w:val="single"/>
                    </w:rPr>
                    <w:t>海拔高度</w:t>
                  </w:r>
                  <w:r>
                    <w:rPr>
                      <w:rFonts w:hint="eastAsia"/>
                      <w:b/>
                      <w:bCs/>
                      <w:color w:val="auto"/>
                      <w:szCs w:val="21"/>
                      <w:u w:val="single"/>
                      <w:lang w:eastAsia="zh-CN"/>
                    </w:rPr>
                    <w:t>（</w:t>
                  </w:r>
                  <w:r>
                    <w:rPr>
                      <w:rFonts w:hint="default"/>
                      <w:b/>
                      <w:bCs/>
                      <w:color w:val="auto"/>
                      <w:szCs w:val="21"/>
                      <w:u w:val="single"/>
                    </w:rPr>
                    <w:t>m</w:t>
                  </w:r>
                  <w:r>
                    <w:rPr>
                      <w:rFonts w:hint="eastAsia"/>
                      <w:b/>
                      <w:bCs/>
                      <w:color w:val="auto"/>
                      <w:szCs w:val="21"/>
                      <w:u w:val="single"/>
                      <w:lang w:eastAsia="zh-CN"/>
                    </w:rPr>
                    <w:t>）</w:t>
                  </w:r>
                </w:p>
              </w:tc>
              <w:tc>
                <w:tcPr>
                  <w:tcW w:w="1574" w:type="pct"/>
                  <w:gridSpan w:val="3"/>
                  <w:noWrap w:val="0"/>
                  <w:vAlign w:val="center"/>
                </w:tcPr>
                <w:p>
                  <w:pPr>
                    <w:keepNext w:val="0"/>
                    <w:keepLines w:val="0"/>
                    <w:suppressLineNumbers w:val="0"/>
                    <w:spacing w:before="0" w:beforeAutospacing="0" w:after="0" w:afterAutospacing="0"/>
                    <w:ind w:left="0" w:right="0"/>
                    <w:jc w:val="center"/>
                    <w:rPr>
                      <w:rFonts w:hint="default"/>
                      <w:b/>
                      <w:bCs/>
                      <w:color w:val="auto"/>
                      <w:szCs w:val="21"/>
                      <w:u w:val="single"/>
                    </w:rPr>
                  </w:pPr>
                  <w:r>
                    <w:rPr>
                      <w:rFonts w:hint="default"/>
                      <w:b/>
                      <w:bCs/>
                      <w:color w:val="auto"/>
                      <w:szCs w:val="21"/>
                      <w:u w:val="single"/>
                    </w:rPr>
                    <w:t>矩形面源</w:t>
                  </w:r>
                </w:p>
              </w:tc>
              <w:tc>
                <w:tcPr>
                  <w:tcW w:w="497" w:type="pct"/>
                  <w:noWrap w:val="0"/>
                  <w:vAlign w:val="center"/>
                </w:tcPr>
                <w:p>
                  <w:pPr>
                    <w:keepNext w:val="0"/>
                    <w:keepLines w:val="0"/>
                    <w:suppressLineNumbers w:val="0"/>
                    <w:spacing w:before="0" w:beforeAutospacing="0" w:after="0" w:afterAutospacing="0"/>
                    <w:ind w:left="0" w:right="0"/>
                    <w:jc w:val="center"/>
                    <w:rPr>
                      <w:rFonts w:hint="default"/>
                      <w:b/>
                      <w:bCs/>
                      <w:color w:val="auto"/>
                      <w:szCs w:val="21"/>
                      <w:u w:val="single"/>
                    </w:rPr>
                  </w:pPr>
                  <w:r>
                    <w:rPr>
                      <w:rFonts w:hint="default"/>
                      <w:b/>
                      <w:bCs/>
                      <w:color w:val="auto"/>
                      <w:szCs w:val="21"/>
                      <w:u w:val="single"/>
                    </w:rPr>
                    <w:t>污染物排放速率</w:t>
                  </w:r>
                  <w:r>
                    <w:rPr>
                      <w:rFonts w:hint="eastAsia"/>
                      <w:b/>
                      <w:bCs/>
                      <w:color w:val="auto"/>
                      <w:szCs w:val="21"/>
                      <w:u w:val="single"/>
                      <w:lang w:eastAsia="zh-CN"/>
                    </w:rPr>
                    <w:t>（</w:t>
                  </w:r>
                  <w:r>
                    <w:rPr>
                      <w:rFonts w:hint="default"/>
                      <w:b/>
                      <w:bCs/>
                      <w:color w:val="auto"/>
                      <w:szCs w:val="21"/>
                      <w:u w:val="single"/>
                    </w:rPr>
                    <w:t>kg/h</w:t>
                  </w:r>
                  <w:r>
                    <w:rPr>
                      <w:rFonts w:hint="eastAsia"/>
                      <w:b/>
                      <w:bCs/>
                      <w:color w:val="auto"/>
                      <w:szCs w:val="21"/>
                      <w:u w:val="single"/>
                      <w:lang w:eastAsia="zh-CN"/>
                    </w:rPr>
                    <w:t>）</w:t>
                  </w:r>
                </w:p>
              </w:tc>
              <w:tc>
                <w:tcPr>
                  <w:tcW w:w="526" w:type="pct"/>
                  <w:noWrap w:val="0"/>
                  <w:vAlign w:val="center"/>
                </w:tcPr>
                <w:p>
                  <w:pPr>
                    <w:keepNext w:val="0"/>
                    <w:keepLines w:val="0"/>
                    <w:suppressLineNumbers w:val="0"/>
                    <w:spacing w:before="0" w:beforeAutospacing="0" w:after="0" w:afterAutospacing="0"/>
                    <w:ind w:left="0" w:right="0"/>
                    <w:jc w:val="center"/>
                    <w:rPr>
                      <w:rFonts w:hint="default"/>
                      <w:b/>
                      <w:bCs/>
                      <w:color w:val="auto"/>
                      <w:szCs w:val="21"/>
                      <w:u w:val="singl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1" w:hRule="atLeast"/>
                <w:jc w:val="center"/>
              </w:trPr>
              <w:tc>
                <w:tcPr>
                  <w:tcW w:w="420" w:type="pct"/>
                  <w:vMerge w:val="continue"/>
                  <w:noWrap w:val="0"/>
                  <w:vAlign w:val="center"/>
                </w:tcPr>
                <w:p>
                  <w:pPr>
                    <w:keepNext w:val="0"/>
                    <w:keepLines w:val="0"/>
                    <w:suppressLineNumbers w:val="0"/>
                    <w:spacing w:before="0" w:beforeAutospacing="0" w:after="0" w:afterAutospacing="0"/>
                    <w:ind w:left="0" w:right="0"/>
                    <w:jc w:val="center"/>
                    <w:rPr>
                      <w:rFonts w:hint="default"/>
                      <w:b/>
                      <w:bCs/>
                      <w:color w:val="auto"/>
                      <w:szCs w:val="21"/>
                      <w:u w:val="single"/>
                    </w:rPr>
                  </w:pPr>
                </w:p>
              </w:tc>
              <w:tc>
                <w:tcPr>
                  <w:tcW w:w="759" w:type="pct"/>
                  <w:noWrap w:val="0"/>
                  <w:vAlign w:val="center"/>
                </w:tcPr>
                <w:p>
                  <w:pPr>
                    <w:keepNext w:val="0"/>
                    <w:keepLines w:val="0"/>
                    <w:suppressLineNumbers w:val="0"/>
                    <w:spacing w:before="0" w:beforeAutospacing="0" w:after="0" w:afterAutospacing="0"/>
                    <w:ind w:left="0" w:right="0"/>
                    <w:jc w:val="center"/>
                    <w:rPr>
                      <w:rFonts w:hint="default"/>
                      <w:b/>
                      <w:bCs/>
                      <w:color w:val="auto"/>
                      <w:szCs w:val="21"/>
                      <w:u w:val="single"/>
                    </w:rPr>
                  </w:pPr>
                  <w:r>
                    <w:rPr>
                      <w:rFonts w:hint="default"/>
                      <w:b/>
                      <w:bCs/>
                      <w:color w:val="auto"/>
                      <w:szCs w:val="21"/>
                      <w:u w:val="single"/>
                    </w:rPr>
                    <w:t>经度</w:t>
                  </w:r>
                </w:p>
              </w:tc>
              <w:tc>
                <w:tcPr>
                  <w:tcW w:w="698" w:type="pct"/>
                  <w:noWrap w:val="0"/>
                  <w:vAlign w:val="center"/>
                </w:tcPr>
                <w:p>
                  <w:pPr>
                    <w:keepNext w:val="0"/>
                    <w:keepLines w:val="0"/>
                    <w:suppressLineNumbers w:val="0"/>
                    <w:spacing w:before="0" w:beforeAutospacing="0" w:after="0" w:afterAutospacing="0"/>
                    <w:ind w:left="0" w:right="0"/>
                    <w:jc w:val="center"/>
                    <w:rPr>
                      <w:rFonts w:hint="default"/>
                      <w:b/>
                      <w:bCs/>
                      <w:color w:val="auto"/>
                      <w:szCs w:val="21"/>
                      <w:u w:val="single"/>
                    </w:rPr>
                  </w:pPr>
                  <w:r>
                    <w:rPr>
                      <w:rFonts w:hint="default"/>
                      <w:b/>
                      <w:bCs/>
                      <w:color w:val="auto"/>
                      <w:szCs w:val="21"/>
                      <w:u w:val="single"/>
                    </w:rPr>
                    <w:t>纬度</w:t>
                  </w:r>
                </w:p>
              </w:tc>
              <w:tc>
                <w:tcPr>
                  <w:tcW w:w="523" w:type="pct"/>
                  <w:vMerge w:val="continue"/>
                  <w:noWrap w:val="0"/>
                  <w:vAlign w:val="center"/>
                </w:tcPr>
                <w:p>
                  <w:pPr>
                    <w:keepNext w:val="0"/>
                    <w:keepLines w:val="0"/>
                    <w:suppressLineNumbers w:val="0"/>
                    <w:spacing w:before="0" w:beforeAutospacing="0" w:after="0" w:afterAutospacing="0"/>
                    <w:ind w:left="0" w:right="0"/>
                    <w:jc w:val="center"/>
                    <w:rPr>
                      <w:rFonts w:hint="default"/>
                      <w:b/>
                      <w:bCs/>
                      <w:color w:val="auto"/>
                      <w:szCs w:val="21"/>
                      <w:u w:val="single"/>
                    </w:rPr>
                  </w:pPr>
                </w:p>
              </w:tc>
              <w:tc>
                <w:tcPr>
                  <w:tcW w:w="523" w:type="pct"/>
                  <w:noWrap w:val="0"/>
                  <w:vAlign w:val="center"/>
                </w:tcPr>
                <w:p>
                  <w:pPr>
                    <w:keepNext w:val="0"/>
                    <w:keepLines w:val="0"/>
                    <w:suppressLineNumbers w:val="0"/>
                    <w:spacing w:before="0" w:beforeAutospacing="0" w:after="0" w:afterAutospacing="0"/>
                    <w:ind w:left="0" w:right="0"/>
                    <w:jc w:val="center"/>
                    <w:rPr>
                      <w:rFonts w:hint="default"/>
                      <w:b/>
                      <w:bCs/>
                      <w:color w:val="auto"/>
                      <w:szCs w:val="21"/>
                      <w:u w:val="single"/>
                    </w:rPr>
                  </w:pPr>
                  <w:r>
                    <w:rPr>
                      <w:rFonts w:hint="default"/>
                      <w:b/>
                      <w:bCs/>
                      <w:color w:val="auto"/>
                      <w:szCs w:val="21"/>
                      <w:u w:val="single"/>
                    </w:rPr>
                    <w:t>长度</w:t>
                  </w:r>
                  <w:r>
                    <w:rPr>
                      <w:rFonts w:hint="eastAsia"/>
                      <w:b/>
                      <w:bCs/>
                      <w:color w:val="auto"/>
                      <w:szCs w:val="21"/>
                      <w:u w:val="single"/>
                      <w:lang w:eastAsia="zh-CN"/>
                    </w:rPr>
                    <w:t>（</w:t>
                  </w:r>
                  <w:r>
                    <w:rPr>
                      <w:rFonts w:hint="default"/>
                      <w:b/>
                      <w:bCs/>
                      <w:color w:val="auto"/>
                      <w:szCs w:val="21"/>
                      <w:u w:val="single"/>
                    </w:rPr>
                    <w:t>m</w:t>
                  </w:r>
                  <w:r>
                    <w:rPr>
                      <w:rFonts w:hint="eastAsia"/>
                      <w:b/>
                      <w:bCs/>
                      <w:color w:val="auto"/>
                      <w:szCs w:val="21"/>
                      <w:u w:val="single"/>
                      <w:lang w:eastAsia="zh-CN"/>
                    </w:rPr>
                    <w:t>）</w:t>
                  </w:r>
                </w:p>
              </w:tc>
              <w:tc>
                <w:tcPr>
                  <w:tcW w:w="523" w:type="pct"/>
                  <w:noWrap w:val="0"/>
                  <w:vAlign w:val="center"/>
                </w:tcPr>
                <w:p>
                  <w:pPr>
                    <w:keepNext w:val="0"/>
                    <w:keepLines w:val="0"/>
                    <w:suppressLineNumbers w:val="0"/>
                    <w:spacing w:before="0" w:beforeAutospacing="0" w:after="0" w:afterAutospacing="0"/>
                    <w:ind w:left="0" w:right="0"/>
                    <w:jc w:val="center"/>
                    <w:rPr>
                      <w:rFonts w:hint="default"/>
                      <w:b/>
                      <w:bCs/>
                      <w:color w:val="auto"/>
                      <w:szCs w:val="21"/>
                      <w:u w:val="single"/>
                    </w:rPr>
                  </w:pPr>
                  <w:r>
                    <w:rPr>
                      <w:rFonts w:hint="default"/>
                      <w:b/>
                      <w:bCs/>
                      <w:color w:val="auto"/>
                      <w:szCs w:val="21"/>
                      <w:u w:val="single"/>
                    </w:rPr>
                    <w:t>宽度</w:t>
                  </w:r>
                  <w:r>
                    <w:rPr>
                      <w:rFonts w:hint="eastAsia"/>
                      <w:b/>
                      <w:bCs/>
                      <w:color w:val="auto"/>
                      <w:szCs w:val="21"/>
                      <w:u w:val="single"/>
                      <w:lang w:eastAsia="zh-CN"/>
                    </w:rPr>
                    <w:t>（</w:t>
                  </w:r>
                  <w:r>
                    <w:rPr>
                      <w:rFonts w:hint="default"/>
                      <w:b/>
                      <w:bCs/>
                      <w:color w:val="auto"/>
                      <w:szCs w:val="21"/>
                      <w:u w:val="single"/>
                    </w:rPr>
                    <w:t>m</w:t>
                  </w:r>
                  <w:r>
                    <w:rPr>
                      <w:rFonts w:hint="eastAsia"/>
                      <w:b/>
                      <w:bCs/>
                      <w:color w:val="auto"/>
                      <w:szCs w:val="21"/>
                      <w:u w:val="single"/>
                      <w:lang w:eastAsia="zh-CN"/>
                    </w:rPr>
                    <w:t>）</w:t>
                  </w:r>
                </w:p>
              </w:tc>
              <w:tc>
                <w:tcPr>
                  <w:tcW w:w="526" w:type="pct"/>
                  <w:noWrap w:val="0"/>
                  <w:vAlign w:val="center"/>
                </w:tcPr>
                <w:p>
                  <w:pPr>
                    <w:keepNext w:val="0"/>
                    <w:keepLines w:val="0"/>
                    <w:suppressLineNumbers w:val="0"/>
                    <w:spacing w:before="0" w:beforeAutospacing="0" w:after="0" w:afterAutospacing="0"/>
                    <w:ind w:left="0" w:right="0"/>
                    <w:jc w:val="center"/>
                    <w:rPr>
                      <w:rFonts w:hint="default"/>
                      <w:b/>
                      <w:bCs/>
                      <w:color w:val="auto"/>
                      <w:szCs w:val="21"/>
                      <w:u w:val="single"/>
                    </w:rPr>
                  </w:pPr>
                  <w:r>
                    <w:rPr>
                      <w:rFonts w:hint="default"/>
                      <w:b/>
                      <w:bCs/>
                      <w:color w:val="auto"/>
                      <w:szCs w:val="21"/>
                      <w:u w:val="single"/>
                    </w:rPr>
                    <w:t>有效高度</w:t>
                  </w:r>
                  <w:r>
                    <w:rPr>
                      <w:rFonts w:hint="eastAsia"/>
                      <w:b/>
                      <w:bCs/>
                      <w:color w:val="auto"/>
                      <w:szCs w:val="21"/>
                      <w:u w:val="single"/>
                      <w:lang w:eastAsia="zh-CN"/>
                    </w:rPr>
                    <w:t>（</w:t>
                  </w:r>
                  <w:r>
                    <w:rPr>
                      <w:rFonts w:hint="default"/>
                      <w:b/>
                      <w:bCs/>
                      <w:color w:val="auto"/>
                      <w:szCs w:val="21"/>
                      <w:u w:val="single"/>
                    </w:rPr>
                    <w:t>m</w:t>
                  </w:r>
                  <w:r>
                    <w:rPr>
                      <w:rFonts w:hint="eastAsia"/>
                      <w:b/>
                      <w:bCs/>
                      <w:color w:val="auto"/>
                      <w:szCs w:val="21"/>
                      <w:u w:val="single"/>
                      <w:lang w:eastAsia="zh-CN"/>
                    </w:rPr>
                    <w:t>）</w:t>
                  </w:r>
                </w:p>
              </w:tc>
              <w:tc>
                <w:tcPr>
                  <w:tcW w:w="1035"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b/>
                      <w:bCs/>
                      <w:color w:val="auto"/>
                      <w:szCs w:val="21"/>
                      <w:u w:val="single"/>
                      <w:lang w:val="en-US" w:eastAsia="zh-CN"/>
                    </w:rPr>
                  </w:pPr>
                  <w:r>
                    <w:rPr>
                      <w:rFonts w:hint="eastAsia" w:ascii="Times New Roman" w:hAnsi="Times New Roman" w:eastAsia="宋体" w:cs="Times New Roman"/>
                      <w:b/>
                      <w:bCs/>
                      <w:color w:val="auto"/>
                      <w:szCs w:val="21"/>
                      <w:u w:val="single"/>
                      <w:lang w:eastAsia="zh-CN"/>
                    </w:rPr>
                    <w:t>H</w:t>
                  </w:r>
                  <w:r>
                    <w:rPr>
                      <w:rFonts w:hint="eastAsia" w:ascii="Times New Roman" w:hAnsi="Times New Roman" w:eastAsia="宋体" w:cs="Times New Roman"/>
                      <w:b/>
                      <w:bCs/>
                      <w:color w:val="auto"/>
                      <w:szCs w:val="21"/>
                      <w:u w:val="single"/>
                      <w:vertAlign w:val="subscript"/>
                      <w:lang w:eastAsia="zh-CN"/>
                    </w:rPr>
                    <w:t>2</w:t>
                  </w:r>
                  <w:r>
                    <w:rPr>
                      <w:rFonts w:hint="eastAsia" w:ascii="Times New Roman" w:hAnsi="Times New Roman" w:eastAsia="宋体" w:cs="Times New Roman"/>
                      <w:b/>
                      <w:bCs/>
                      <w:color w:val="auto"/>
                      <w:szCs w:val="21"/>
                      <w:u w:val="single"/>
                      <w:lang w:eastAsia="zh-CN"/>
                    </w:rPr>
                    <w:t>S</w:t>
                  </w:r>
                </w:p>
              </w:tc>
              <w:tc>
                <w:tcPr>
                  <w:tcW w:w="894"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b/>
                      <w:bCs/>
                      <w:color w:val="auto"/>
                      <w:szCs w:val="21"/>
                      <w:u w:val="single"/>
                      <w:lang w:val="en-US" w:eastAsia="zh-CN"/>
                    </w:rPr>
                  </w:pPr>
                  <w:r>
                    <w:rPr>
                      <w:rFonts w:hint="eastAsia" w:ascii="Times New Roman" w:hAnsi="Times New Roman" w:eastAsia="宋体" w:cs="Times New Roman"/>
                      <w:b/>
                      <w:bCs/>
                      <w:color w:val="auto"/>
                      <w:szCs w:val="21"/>
                      <w:u w:val="single"/>
                      <w:lang w:eastAsia="zh-CN"/>
                    </w:rPr>
                    <w:t>NH</w:t>
                  </w:r>
                  <w:r>
                    <w:rPr>
                      <w:rFonts w:hint="eastAsia" w:ascii="Times New Roman" w:hAnsi="Times New Roman" w:eastAsia="宋体" w:cs="Times New Roman"/>
                      <w:b/>
                      <w:bCs/>
                      <w:color w:val="auto"/>
                      <w:szCs w:val="21"/>
                      <w:u w:val="single"/>
                      <w:vertAlign w:val="subscript"/>
                      <w:lang w:eastAsia="zh-CN"/>
                    </w:rPr>
                    <w:t>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15" w:hRule="atLeast"/>
                <w:jc w:val="center"/>
              </w:trPr>
              <w:tc>
                <w:tcPr>
                  <w:tcW w:w="420" w:type="pct"/>
                  <w:noWrap w:val="0"/>
                  <w:vAlign w:val="center"/>
                </w:tcPr>
                <w:p>
                  <w:pPr>
                    <w:keepNext w:val="0"/>
                    <w:keepLines w:val="0"/>
                    <w:suppressLineNumbers w:val="0"/>
                    <w:spacing w:before="0" w:beforeAutospacing="0" w:after="0" w:afterAutospacing="0"/>
                    <w:ind w:left="0" w:right="0"/>
                    <w:jc w:val="center"/>
                    <w:rPr>
                      <w:rFonts w:hint="eastAsia"/>
                      <w:color w:val="auto"/>
                      <w:szCs w:val="21"/>
                      <w:u w:val="single"/>
                    </w:rPr>
                  </w:pPr>
                  <w:r>
                    <w:rPr>
                      <w:rFonts w:hint="eastAsia"/>
                      <w:color w:val="auto"/>
                      <w:szCs w:val="21"/>
                      <w:u w:val="single"/>
                      <w:lang w:val="en-US" w:eastAsia="zh-CN"/>
                    </w:rPr>
                    <w:t>污水处理厂</w:t>
                  </w:r>
                  <w:r>
                    <w:rPr>
                      <w:rFonts w:hint="eastAsia"/>
                      <w:color w:val="auto"/>
                      <w:szCs w:val="21"/>
                      <w:u w:val="single"/>
                    </w:rPr>
                    <w:t>（矩形面源）</w:t>
                  </w:r>
                </w:p>
              </w:tc>
              <w:tc>
                <w:tcPr>
                  <w:tcW w:w="130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kern w:val="2"/>
                      <w:sz w:val="21"/>
                      <w:szCs w:val="21"/>
                      <w:u w:val="single"/>
                      <w:lang w:val="en-US" w:eastAsia="zh-CN" w:bidi="ar-SA"/>
                    </w:rPr>
                  </w:pPr>
                  <w:r>
                    <w:rPr>
                      <w:rFonts w:hint="default" w:ascii="Times New Roman" w:hAnsi="Times New Roman" w:eastAsia="宋体" w:cs="Times New Roman"/>
                      <w:b w:val="0"/>
                      <w:color w:val="auto"/>
                      <w:sz w:val="23"/>
                      <w:szCs w:val="23"/>
                      <w:u w:val="single"/>
                    </w:rPr>
                    <w:t>112.18868</w:t>
                  </w:r>
                </w:p>
              </w:tc>
              <w:tc>
                <w:tcPr>
                  <w:tcW w:w="119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kern w:val="2"/>
                      <w:sz w:val="21"/>
                      <w:szCs w:val="21"/>
                      <w:u w:val="single"/>
                      <w:lang w:val="en-US" w:eastAsia="zh-CN" w:bidi="ar-SA"/>
                    </w:rPr>
                  </w:pPr>
                  <w:r>
                    <w:rPr>
                      <w:rFonts w:hint="default" w:ascii="Times New Roman" w:hAnsi="Times New Roman" w:eastAsia="宋体" w:cs="Times New Roman"/>
                      <w:b w:val="0"/>
                      <w:color w:val="auto"/>
                      <w:sz w:val="23"/>
                      <w:szCs w:val="23"/>
                      <w:u w:val="single"/>
                    </w:rPr>
                    <w:t>25.88102</w:t>
                  </w:r>
                </w:p>
              </w:tc>
              <w:tc>
                <w:tcPr>
                  <w:tcW w:w="88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kern w:val="2"/>
                      <w:sz w:val="21"/>
                      <w:szCs w:val="21"/>
                      <w:u w:val="single"/>
                      <w:lang w:val="en-US" w:eastAsia="zh-CN" w:bidi="ar-SA"/>
                    </w:rPr>
                  </w:pPr>
                  <w:r>
                    <w:rPr>
                      <w:rFonts w:hint="default" w:ascii="Times New Roman" w:hAnsi="Times New Roman" w:eastAsia="宋体" w:cs="Times New Roman"/>
                      <w:b w:val="0"/>
                      <w:color w:val="auto"/>
                      <w:sz w:val="23"/>
                      <w:szCs w:val="23"/>
                      <w:u w:val="single"/>
                    </w:rPr>
                    <w:t>207.00</w:t>
                  </w:r>
                </w:p>
              </w:tc>
              <w:tc>
                <w:tcPr>
                  <w:tcW w:w="88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u w:val="single"/>
                      <w:lang w:val="en-US" w:eastAsia="zh-CN"/>
                    </w:rPr>
                  </w:pPr>
                  <w:r>
                    <w:rPr>
                      <w:rFonts w:hint="default" w:ascii="Times New Roman" w:hAnsi="Times New Roman" w:eastAsia="宋体" w:cs="Times New Roman"/>
                      <w:b w:val="0"/>
                      <w:color w:val="auto"/>
                      <w:sz w:val="23"/>
                      <w:szCs w:val="23"/>
                      <w:u w:val="single"/>
                    </w:rPr>
                    <w:t>240.00</w:t>
                  </w:r>
                </w:p>
              </w:tc>
              <w:tc>
                <w:tcPr>
                  <w:tcW w:w="88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u w:val="single"/>
                      <w:lang w:val="en-US" w:eastAsia="zh-CN"/>
                    </w:rPr>
                  </w:pPr>
                  <w:r>
                    <w:rPr>
                      <w:rFonts w:hint="default" w:ascii="Times New Roman" w:hAnsi="Times New Roman" w:eastAsia="宋体" w:cs="Times New Roman"/>
                      <w:b w:val="0"/>
                      <w:color w:val="auto"/>
                      <w:sz w:val="23"/>
                      <w:szCs w:val="23"/>
                      <w:u w:val="single"/>
                    </w:rPr>
                    <w:t>100.00</w:t>
                  </w:r>
                </w:p>
              </w:tc>
              <w:tc>
                <w:tcPr>
                  <w:tcW w:w="89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u w:val="single"/>
                      <w:lang w:val="en-US" w:eastAsia="zh-CN"/>
                    </w:rPr>
                  </w:pPr>
                  <w:r>
                    <w:rPr>
                      <w:rFonts w:hint="default" w:ascii="Times New Roman" w:hAnsi="Times New Roman" w:eastAsia="宋体" w:cs="Times New Roman"/>
                      <w:b w:val="0"/>
                      <w:color w:val="auto"/>
                      <w:sz w:val="23"/>
                      <w:szCs w:val="23"/>
                      <w:u w:val="single"/>
                    </w:rPr>
                    <w:t>5.00</w:t>
                  </w:r>
                </w:p>
              </w:tc>
              <w:tc>
                <w:tcPr>
                  <w:tcW w:w="103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u w:val="single"/>
                    </w:rPr>
                  </w:pPr>
                  <w:r>
                    <w:rPr>
                      <w:rFonts w:hint="default" w:ascii="Times New Roman" w:hAnsi="Times New Roman" w:eastAsia="宋体" w:cs="Times New Roman"/>
                      <w:b w:val="0"/>
                      <w:color w:val="auto"/>
                      <w:sz w:val="23"/>
                      <w:szCs w:val="23"/>
                      <w:u w:val="single"/>
                    </w:rPr>
                    <w:t>0.0007</w:t>
                  </w:r>
                </w:p>
              </w:tc>
              <w:tc>
                <w:tcPr>
                  <w:tcW w:w="89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u w:val="single"/>
                    </w:rPr>
                  </w:pPr>
                  <w:r>
                    <w:rPr>
                      <w:rFonts w:hint="default" w:ascii="Times New Roman" w:hAnsi="Times New Roman" w:eastAsia="宋体" w:cs="Times New Roman"/>
                      <w:b w:val="0"/>
                      <w:color w:val="auto"/>
                      <w:sz w:val="23"/>
                      <w:szCs w:val="23"/>
                      <w:u w:val="single"/>
                    </w:rPr>
                    <w:t>0.0002</w:t>
                  </w:r>
                </w:p>
              </w:tc>
            </w:tr>
          </w:tbl>
          <w:p>
            <w:pPr>
              <w:keepNext w:val="0"/>
              <w:keepLines w:val="0"/>
              <w:numPr>
                <w:ilvl w:val="0"/>
                <w:numId w:val="3"/>
              </w:numPr>
              <w:suppressLineNumbers w:val="0"/>
              <w:spacing w:before="0" w:beforeAutospacing="0" w:after="0" w:afterAutospacing="0" w:line="360" w:lineRule="auto"/>
              <w:ind w:left="0" w:right="0" w:firstLine="480" w:firstLineChars="200"/>
              <w:rPr>
                <w:rFonts w:hint="eastAsia" w:ascii="Times New Roman" w:hAnsi="Times New Roman" w:eastAsia="宋体" w:cs="Times New Roman"/>
                <w:color w:val="auto"/>
                <w:sz w:val="24"/>
                <w:szCs w:val="24"/>
                <w:u w:val="single"/>
                <w:lang w:val="en-US" w:eastAsia="zh-CN"/>
              </w:rPr>
            </w:pPr>
            <w:r>
              <w:rPr>
                <w:rFonts w:hint="eastAsia" w:ascii="Times New Roman" w:hAnsi="Times New Roman" w:eastAsia="宋体" w:cs="Times New Roman"/>
                <w:color w:val="auto"/>
                <w:sz w:val="24"/>
                <w:szCs w:val="24"/>
                <w:u w:val="single"/>
                <w:lang w:val="en-US" w:eastAsia="zh-CN"/>
              </w:rPr>
              <w:t>估算模式计算参数</w:t>
            </w:r>
          </w:p>
          <w:p>
            <w:pPr>
              <w:keepNext w:val="0"/>
              <w:keepLines w:val="0"/>
              <w:suppressLineNumbers w:val="0"/>
              <w:adjustRightInd w:val="0"/>
              <w:snapToGrid w:val="0"/>
              <w:spacing w:before="240" w:beforeLines="100" w:beforeAutospacing="0" w:after="0" w:afterAutospacing="0"/>
              <w:ind w:left="0" w:right="0"/>
              <w:jc w:val="center"/>
              <w:rPr>
                <w:rFonts w:hint="default" w:ascii="Times New Roman" w:hAnsi="Times New Roman" w:eastAsia="宋体" w:cs="Times New Roman"/>
                <w:b/>
                <w:color w:val="auto"/>
                <w:szCs w:val="21"/>
                <w:u w:val="single"/>
              </w:rPr>
            </w:pPr>
          </w:p>
          <w:p>
            <w:pPr>
              <w:keepNext w:val="0"/>
              <w:keepLines w:val="0"/>
              <w:suppressLineNumbers w:val="0"/>
              <w:adjustRightInd w:val="0"/>
              <w:snapToGrid w:val="0"/>
              <w:spacing w:before="240" w:beforeLines="100" w:beforeAutospacing="0" w:after="0" w:afterAutospacing="0"/>
              <w:ind w:left="0" w:right="0"/>
              <w:jc w:val="center"/>
              <w:rPr>
                <w:rFonts w:hint="default" w:ascii="Times New Roman" w:hAnsi="Times New Roman" w:eastAsia="宋体" w:cs="Times New Roman"/>
                <w:b/>
                <w:color w:val="auto"/>
                <w:szCs w:val="21"/>
                <w:u w:val="single"/>
              </w:rPr>
            </w:pPr>
            <w:r>
              <w:rPr>
                <w:rFonts w:hint="default" w:ascii="Times New Roman" w:hAnsi="Times New Roman" w:eastAsia="宋体" w:cs="Times New Roman"/>
                <w:b/>
                <w:color w:val="auto"/>
                <w:szCs w:val="21"/>
                <w:u w:val="single"/>
              </w:rPr>
              <w:t>表4</w:t>
            </w:r>
            <w:r>
              <w:rPr>
                <w:rFonts w:hint="eastAsia" w:ascii="Times New Roman" w:hAnsi="Times New Roman" w:eastAsia="宋体" w:cs="Times New Roman"/>
                <w:b/>
                <w:color w:val="auto"/>
                <w:szCs w:val="21"/>
                <w:u w:val="single"/>
                <w:lang w:val="en-US" w:eastAsia="zh-CN"/>
              </w:rPr>
              <w:t>-4</w:t>
            </w:r>
            <w:r>
              <w:rPr>
                <w:rFonts w:hint="default" w:ascii="Times New Roman" w:hAnsi="Times New Roman" w:eastAsia="宋体" w:cs="Times New Roman"/>
                <w:b/>
                <w:color w:val="auto"/>
                <w:szCs w:val="21"/>
                <w:u w:val="single"/>
              </w:rPr>
              <w:t xml:space="preserve">  估算模型参数表</w:t>
            </w:r>
          </w:p>
          <w:tbl>
            <w:tblPr>
              <w:tblStyle w:val="29"/>
              <w:tblW w:w="852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00"/>
              <w:gridCol w:w="2463"/>
              <w:gridCol w:w="406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trPr>
              <w:tc>
                <w:tcPr>
                  <w:tcW w:w="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bCs/>
                      <w:color w:val="auto"/>
                      <w:szCs w:val="21"/>
                      <w:u w:val="single"/>
                    </w:rPr>
                  </w:pPr>
                  <w:r>
                    <w:rPr>
                      <w:rFonts w:hint="default" w:ascii="Times New Roman" w:hAnsi="Times New Roman" w:eastAsia="宋体" w:cs="Times New Roman"/>
                      <w:b/>
                      <w:bCs/>
                      <w:color w:val="auto"/>
                      <w:szCs w:val="21"/>
                      <w:u w:val="single"/>
                    </w:rPr>
                    <w:t>参数</w:t>
                  </w:r>
                </w:p>
              </w:tc>
              <w:tc>
                <w:tcPr>
                  <w:tcW w:w="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宋体" w:cs="Times New Roman"/>
                      <w:b/>
                      <w:bCs/>
                      <w:color w:val="auto"/>
                      <w:szCs w:val="21"/>
                      <w:u w:val="single"/>
                    </w:rPr>
                  </w:pPr>
                  <w:r>
                    <w:rPr>
                      <w:rFonts w:hint="default" w:ascii="Times New Roman" w:hAnsi="Times New Roman" w:eastAsia="宋体" w:cs="Times New Roman"/>
                      <w:b/>
                      <w:bCs/>
                      <w:color w:val="auto"/>
                      <w:szCs w:val="21"/>
                      <w:u w:val="single"/>
                    </w:rPr>
                    <w:t>取值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trPr>
              <w:tc>
                <w:tcPr>
                  <w:tcW w:w="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城市/农村选项</w:t>
                  </w:r>
                </w:p>
              </w:tc>
              <w:tc>
                <w:tcPr>
                  <w:tcW w:w="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城市/农村</w:t>
                  </w:r>
                </w:p>
              </w:tc>
              <w:tc>
                <w:tcPr>
                  <w:tcW w:w="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城市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trPr>
              <w:tc>
                <w:tcPr>
                  <w:tcW w:w="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p>
              </w:tc>
              <w:tc>
                <w:tcPr>
                  <w:tcW w:w="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人口数(城市人口数)</w:t>
                  </w:r>
                </w:p>
              </w:tc>
              <w:tc>
                <w:tcPr>
                  <w:tcW w:w="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400000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trPr>
              <w:tc>
                <w:tcPr>
                  <w:tcW w:w="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最高环境温度</w:t>
                  </w:r>
                </w:p>
              </w:tc>
              <w:tc>
                <w:tcPr>
                  <w:tcW w:w="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40.3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trPr>
              <w:tc>
                <w:tcPr>
                  <w:tcW w:w="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最低环境温度</w:t>
                  </w:r>
                </w:p>
              </w:tc>
              <w:tc>
                <w:tcPr>
                  <w:tcW w:w="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trPr>
              <w:tc>
                <w:tcPr>
                  <w:tcW w:w="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土地利用类型</w:t>
                  </w:r>
                </w:p>
              </w:tc>
              <w:tc>
                <w:tcPr>
                  <w:tcW w:w="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农田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trPr>
              <w:tc>
                <w:tcPr>
                  <w:tcW w:w="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区域湿度条件</w:t>
                  </w:r>
                </w:p>
              </w:tc>
              <w:tc>
                <w:tcPr>
                  <w:tcW w:w="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潮湿</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trPr>
              <w:tc>
                <w:tcPr>
                  <w:tcW w:w="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是否考虑地形</w:t>
                  </w:r>
                </w:p>
              </w:tc>
              <w:tc>
                <w:tcPr>
                  <w:tcW w:w="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考虑地形</w:t>
                  </w:r>
                </w:p>
              </w:tc>
              <w:tc>
                <w:tcPr>
                  <w:tcW w:w="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trPr>
              <w:tc>
                <w:tcPr>
                  <w:tcW w:w="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p>
              </w:tc>
              <w:tc>
                <w:tcPr>
                  <w:tcW w:w="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地形数据分辨率(m)</w:t>
                  </w:r>
                </w:p>
              </w:tc>
              <w:tc>
                <w:tcPr>
                  <w:tcW w:w="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trPr>
              <w:tc>
                <w:tcPr>
                  <w:tcW w:w="0"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是否考虑岸线熏烟</w:t>
                  </w:r>
                </w:p>
              </w:tc>
              <w:tc>
                <w:tcPr>
                  <w:tcW w:w="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考虑岸线熏烟</w:t>
                  </w:r>
                </w:p>
              </w:tc>
              <w:tc>
                <w:tcPr>
                  <w:tcW w:w="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trPr>
              <w:tc>
                <w:tcPr>
                  <w:tcW w:w="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p>
              </w:tc>
              <w:tc>
                <w:tcPr>
                  <w:tcW w:w="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岸线距离/m</w:t>
                  </w:r>
                </w:p>
              </w:tc>
              <w:tc>
                <w:tcPr>
                  <w:tcW w:w="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trPr>
              <w:tc>
                <w:tcPr>
                  <w:tcW w:w="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p>
              </w:tc>
              <w:tc>
                <w:tcPr>
                  <w:tcW w:w="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岸线方向/°</w:t>
                  </w:r>
                </w:p>
              </w:tc>
              <w:tc>
                <w:tcPr>
                  <w:tcW w:w="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color w:val="auto"/>
                      <w:u w:val="single"/>
                    </w:rPr>
                  </w:pPr>
                  <w:r>
                    <w:rPr>
                      <w:rFonts w:hint="default" w:ascii="Times New Roman" w:hAnsi="Times New Roman" w:eastAsia="宋体" w:cs="Times New Roman"/>
                      <w:b w:val="0"/>
                      <w:color w:val="auto"/>
                      <w:sz w:val="23"/>
                      <w:szCs w:val="23"/>
                      <w:u w:val="single"/>
                    </w:rPr>
                    <w:t>/</w:t>
                  </w:r>
                </w:p>
              </w:tc>
            </w:tr>
          </w:tbl>
          <w:p>
            <w:pPr>
              <w:keepNext w:val="0"/>
              <w:keepLines w:val="0"/>
              <w:numPr>
                <w:ilvl w:val="0"/>
                <w:numId w:val="3"/>
              </w:numPr>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u w:val="single"/>
                <w:lang w:val="en-US" w:eastAsia="zh-CN"/>
              </w:rPr>
            </w:pPr>
            <w:r>
              <w:rPr>
                <w:rFonts w:hint="eastAsia" w:ascii="Times New Roman" w:hAnsi="Times New Roman" w:eastAsia="宋体" w:cs="Times New Roman"/>
                <w:color w:val="auto"/>
                <w:sz w:val="24"/>
                <w:szCs w:val="24"/>
                <w:u w:val="single"/>
                <w:lang w:val="en-US" w:eastAsia="zh-CN"/>
              </w:rPr>
              <w:t>最大落地浓度结果</w:t>
            </w:r>
          </w:p>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eastAsia="宋体" w:cs="Times New Roman"/>
                <w:color w:val="auto"/>
                <w:sz w:val="24"/>
                <w:szCs w:val="24"/>
                <w:u w:val="single"/>
                <w:lang w:val="en-US" w:eastAsia="zh-CN"/>
              </w:rPr>
            </w:pPr>
            <w:r>
              <w:rPr>
                <w:rFonts w:hint="eastAsia" w:ascii="Times New Roman" w:hAnsi="Times New Roman" w:eastAsia="宋体" w:cs="Times New Roman"/>
                <w:color w:val="auto"/>
                <w:sz w:val="24"/>
                <w:szCs w:val="24"/>
                <w:u w:val="single"/>
                <w:lang w:val="en-US" w:eastAsia="zh-CN"/>
              </w:rPr>
              <w:t>污染物最大落地浓度见下表。</w:t>
            </w:r>
          </w:p>
          <w:p>
            <w:pPr>
              <w:keepNext w:val="0"/>
              <w:keepLines w:val="0"/>
              <w:suppressLineNumbers w:val="0"/>
              <w:adjustRightInd w:val="0"/>
              <w:snapToGrid w:val="0"/>
              <w:spacing w:before="240" w:beforeLines="100" w:beforeAutospacing="0" w:after="0" w:afterAutospacing="0"/>
              <w:ind w:left="0" w:right="0"/>
              <w:jc w:val="center"/>
              <w:rPr>
                <w:rFonts w:hint="eastAsia" w:ascii="Times New Roman" w:hAnsi="Times New Roman" w:eastAsia="宋体" w:cs="Times New Roman"/>
                <w:b/>
                <w:color w:val="auto"/>
                <w:szCs w:val="21"/>
                <w:u w:val="single"/>
                <w:lang w:val="en-US" w:eastAsia="zh-CN"/>
              </w:rPr>
            </w:pPr>
            <w:r>
              <w:rPr>
                <w:rFonts w:hint="eastAsia" w:ascii="Times New Roman" w:hAnsi="Times New Roman" w:eastAsia="宋体" w:cs="Times New Roman"/>
                <w:b/>
                <w:color w:val="auto"/>
                <w:szCs w:val="21"/>
                <w:u w:val="single"/>
                <w:lang w:val="en-US" w:eastAsia="zh-CN"/>
              </w:rPr>
              <w:t>表4-5 最大落地浓度预测和计算结果一览表</w:t>
            </w:r>
          </w:p>
          <w:tbl>
            <w:tblPr>
              <w:tblStyle w:val="29"/>
              <w:tblW w:w="852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63"/>
              <w:gridCol w:w="914"/>
              <w:gridCol w:w="1363"/>
              <w:gridCol w:w="2195"/>
              <w:gridCol w:w="1678"/>
              <w:gridCol w:w="17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trPr>
              <w:tc>
                <w:tcPr>
                  <w:tcW w:w="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auto"/>
                      <w:u w:val="single"/>
                    </w:rPr>
                  </w:pPr>
                  <w:r>
                    <w:rPr>
                      <w:rFonts w:hint="default" w:ascii="Times New Roman" w:hAnsi="Times New Roman" w:eastAsia="宋体" w:cs="Times New Roman"/>
                      <w:b/>
                      <w:bCs/>
                      <w:color w:val="auto"/>
                      <w:u w:val="single"/>
                    </w:rPr>
                    <w:t>污染源名称</w:t>
                  </w:r>
                </w:p>
              </w:tc>
              <w:tc>
                <w:tcPr>
                  <w:tcW w:w="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auto"/>
                      <w:u w:val="single"/>
                    </w:rPr>
                  </w:pPr>
                  <w:r>
                    <w:rPr>
                      <w:rFonts w:hint="default" w:ascii="Times New Roman" w:hAnsi="Times New Roman" w:eastAsia="宋体" w:cs="Times New Roman"/>
                      <w:b/>
                      <w:bCs/>
                      <w:color w:val="auto"/>
                      <w:u w:val="single"/>
                    </w:rPr>
                    <w:t>评价因子</w:t>
                  </w:r>
                </w:p>
              </w:tc>
              <w:tc>
                <w:tcPr>
                  <w:tcW w:w="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auto"/>
                      <w:u w:val="single"/>
                    </w:rPr>
                  </w:pPr>
                  <w:r>
                    <w:rPr>
                      <w:rFonts w:hint="default" w:ascii="Times New Roman" w:hAnsi="Times New Roman" w:eastAsia="宋体" w:cs="Times New Roman"/>
                      <w:b/>
                      <w:bCs/>
                      <w:color w:val="auto"/>
                      <w:u w:val="single"/>
                    </w:rPr>
                    <w:t>评价标准(μg/m³)</w:t>
                  </w:r>
                </w:p>
              </w:tc>
              <w:tc>
                <w:tcPr>
                  <w:tcW w:w="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auto"/>
                      <w:u w:val="single"/>
                    </w:rPr>
                  </w:pPr>
                  <w:r>
                    <w:rPr>
                      <w:rFonts w:hint="default" w:ascii="Times New Roman" w:hAnsi="Times New Roman" w:eastAsia="宋体" w:cs="Times New Roman"/>
                      <w:b/>
                      <w:bCs/>
                      <w:color w:val="auto"/>
                      <w:u w:val="single"/>
                    </w:rPr>
                    <w:t>Cmax(μg/m³)</w:t>
                  </w:r>
                </w:p>
              </w:tc>
              <w:tc>
                <w:tcPr>
                  <w:tcW w:w="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auto"/>
                      <w:u w:val="single"/>
                    </w:rPr>
                  </w:pPr>
                  <w:r>
                    <w:rPr>
                      <w:rFonts w:hint="default" w:ascii="Times New Roman" w:hAnsi="Times New Roman" w:eastAsia="宋体" w:cs="Times New Roman"/>
                      <w:b/>
                      <w:bCs/>
                      <w:color w:val="auto"/>
                      <w:u w:val="single"/>
                    </w:rPr>
                    <w:t>Pmax(%)</w:t>
                  </w:r>
                </w:p>
              </w:tc>
              <w:tc>
                <w:tcPr>
                  <w:tcW w:w="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bCs/>
                      <w:color w:val="auto"/>
                      <w:u w:val="single"/>
                    </w:rPr>
                  </w:pPr>
                  <w:r>
                    <w:rPr>
                      <w:rFonts w:hint="default" w:ascii="Times New Roman" w:hAnsi="Times New Roman" w:eastAsia="宋体" w:cs="Times New Roman"/>
                      <w:b/>
                      <w:bCs/>
                      <w:color w:val="auto"/>
                      <w:u w:val="single"/>
                    </w:rPr>
                    <w:t>D10%(m)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trPr>
              <w:tc>
                <w:tcPr>
                  <w:tcW w:w="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矩形面源</w:t>
                  </w:r>
                </w:p>
              </w:tc>
              <w:tc>
                <w:tcPr>
                  <w:tcW w:w="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H</w:t>
                  </w:r>
                  <w:r>
                    <w:rPr>
                      <w:rFonts w:hint="default" w:ascii="Times New Roman" w:hAnsi="Times New Roman" w:eastAsia="宋体" w:cs="Times New Roman"/>
                      <w:color w:val="auto"/>
                      <w:u w:val="single"/>
                      <w:vertAlign w:val="subscript"/>
                    </w:rPr>
                    <w:t>2</w:t>
                  </w:r>
                  <w:r>
                    <w:rPr>
                      <w:rFonts w:hint="default" w:ascii="Times New Roman" w:hAnsi="Times New Roman" w:eastAsia="宋体" w:cs="Times New Roman"/>
                      <w:color w:val="auto"/>
                      <w:u w:val="single"/>
                    </w:rPr>
                    <w:t>S</w:t>
                  </w:r>
                </w:p>
              </w:tc>
              <w:tc>
                <w:tcPr>
                  <w:tcW w:w="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10.0</w:t>
                  </w:r>
                </w:p>
              </w:tc>
              <w:tc>
                <w:tcPr>
                  <w:tcW w:w="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0.3398</w:t>
                  </w:r>
                </w:p>
              </w:tc>
              <w:tc>
                <w:tcPr>
                  <w:tcW w:w="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3.3983</w:t>
                  </w:r>
                </w:p>
              </w:tc>
              <w:tc>
                <w:tcPr>
                  <w:tcW w:w="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0" w:hRule="atLeast"/>
              </w:trPr>
              <w:tc>
                <w:tcPr>
                  <w:tcW w:w="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矩形面源</w:t>
                  </w:r>
                </w:p>
              </w:tc>
              <w:tc>
                <w:tcPr>
                  <w:tcW w:w="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NH</w:t>
                  </w:r>
                  <w:r>
                    <w:rPr>
                      <w:rFonts w:hint="default" w:ascii="Times New Roman" w:hAnsi="Times New Roman" w:eastAsia="宋体" w:cs="Times New Roman"/>
                      <w:color w:val="auto"/>
                      <w:u w:val="single"/>
                      <w:vertAlign w:val="subscript"/>
                    </w:rPr>
                    <w:t>3</w:t>
                  </w:r>
                </w:p>
              </w:tc>
              <w:tc>
                <w:tcPr>
                  <w:tcW w:w="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200.0</w:t>
                  </w:r>
                </w:p>
              </w:tc>
              <w:tc>
                <w:tcPr>
                  <w:tcW w:w="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0.0791</w:t>
                  </w:r>
                </w:p>
              </w:tc>
              <w:tc>
                <w:tcPr>
                  <w:tcW w:w="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0.0396</w:t>
                  </w:r>
                </w:p>
              </w:tc>
              <w:tc>
                <w:tcPr>
                  <w:tcW w:w="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u w:val="single"/>
                    </w:rPr>
                  </w:pPr>
                  <w:r>
                    <w:rPr>
                      <w:rFonts w:hint="default" w:ascii="Times New Roman" w:hAnsi="Times New Roman" w:eastAsia="宋体" w:cs="Times New Roman"/>
                      <w:color w:val="auto"/>
                      <w:u w:val="single"/>
                    </w:rPr>
                    <w:t>/</w:t>
                  </w:r>
                </w:p>
              </w:tc>
            </w:tr>
          </w:tbl>
          <w:p>
            <w:pPr>
              <w:keepNext w:val="0"/>
              <w:keepLines w:val="0"/>
              <w:suppressLineNumbers w:val="0"/>
              <w:spacing w:before="0" w:beforeAutospacing="0" w:after="0" w:afterAutospacing="0" w:line="360" w:lineRule="auto"/>
              <w:ind w:left="0" w:right="0" w:firstLine="480" w:firstLineChars="200"/>
              <w:rPr>
                <w:rFonts w:hint="eastAsia" w:ascii="Times New Roman" w:hAnsi="Times New Roman" w:eastAsia="宋体" w:cs="Times New Roman"/>
                <w:color w:val="auto"/>
                <w:sz w:val="24"/>
                <w:szCs w:val="24"/>
                <w:u w:val="single"/>
                <w:lang w:val="en-US" w:eastAsia="zh-CN"/>
              </w:rPr>
            </w:pPr>
            <w:r>
              <w:rPr>
                <w:rFonts w:hint="eastAsia" w:ascii="Times New Roman" w:hAnsi="Times New Roman" w:eastAsia="宋体" w:cs="Times New Roman"/>
                <w:color w:val="auto"/>
                <w:sz w:val="24"/>
                <w:szCs w:val="24"/>
                <w:u w:val="single"/>
                <w:lang w:val="en-US" w:eastAsia="zh-CN"/>
              </w:rPr>
              <w:t>根据</w:t>
            </w:r>
            <w:r>
              <w:rPr>
                <w:rFonts w:hint="eastAsia" w:cs="Times New Roman"/>
                <w:color w:val="auto"/>
                <w:sz w:val="24"/>
                <w:szCs w:val="24"/>
                <w:u w:val="single"/>
                <w:lang w:val="en-US" w:eastAsia="zh-CN"/>
              </w:rPr>
              <w:t>估算</w:t>
            </w:r>
            <w:r>
              <w:rPr>
                <w:rFonts w:hint="eastAsia" w:ascii="Times New Roman" w:hAnsi="Times New Roman" w:eastAsia="宋体" w:cs="Times New Roman"/>
                <w:color w:val="auto"/>
                <w:sz w:val="24"/>
                <w:szCs w:val="24"/>
                <w:u w:val="single"/>
                <w:lang w:val="en-US" w:eastAsia="zh-CN"/>
              </w:rPr>
              <w:t>结果，项目污染物下风向最大浓度值可达到《环境影响评价技术导则大气环境》（HJ2.2-2018）中附录D的标准限值</w:t>
            </w:r>
            <w:r>
              <w:rPr>
                <w:rFonts w:hint="eastAsia" w:cs="Times New Roman"/>
                <w:color w:val="auto"/>
                <w:sz w:val="24"/>
                <w:szCs w:val="24"/>
                <w:u w:val="single"/>
                <w:lang w:val="en-US" w:eastAsia="zh-CN"/>
              </w:rPr>
              <w:t>要求</w:t>
            </w:r>
            <w:r>
              <w:rPr>
                <w:rFonts w:hint="eastAsia" w:ascii="Times New Roman" w:hAnsi="Times New Roman" w:eastAsia="宋体" w:cs="Times New Roman"/>
                <w:color w:val="auto"/>
                <w:sz w:val="24"/>
                <w:szCs w:val="24"/>
                <w:u w:val="single"/>
                <w:lang w:val="en-US" w:eastAsia="zh-CN"/>
              </w:rPr>
              <w:t>，可不设置大气防护距离。</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u w:val="single"/>
                <w:lang w:val="en-US" w:eastAsia="zh-CN"/>
              </w:rPr>
            </w:pPr>
            <w:r>
              <w:rPr>
                <w:rFonts w:hint="default" w:ascii="Times New Roman" w:hAnsi="Times New Roman" w:eastAsia="宋体" w:cs="Times New Roman"/>
                <w:color w:val="auto"/>
                <w:sz w:val="24"/>
                <w:szCs w:val="24"/>
                <w:u w:val="single"/>
                <w:lang w:val="en-US" w:eastAsia="zh-CN"/>
              </w:rPr>
              <w:t>为了避免恶臭类污染物对外环境产生的影响应采取下列</w:t>
            </w:r>
            <w:r>
              <w:rPr>
                <w:rFonts w:hint="eastAsia" w:cs="Times New Roman"/>
                <w:color w:val="auto"/>
                <w:sz w:val="24"/>
                <w:szCs w:val="24"/>
                <w:u w:val="single"/>
                <w:lang w:val="en-US" w:eastAsia="zh-CN"/>
              </w:rPr>
              <w:t>防治</w:t>
            </w:r>
            <w:r>
              <w:rPr>
                <w:rFonts w:hint="default" w:ascii="Times New Roman" w:hAnsi="Times New Roman" w:eastAsia="宋体" w:cs="Times New Roman"/>
                <w:color w:val="auto"/>
                <w:sz w:val="24"/>
                <w:szCs w:val="24"/>
                <w:u w:val="single"/>
                <w:lang w:val="en-US" w:eastAsia="zh-CN"/>
              </w:rPr>
              <w:t>措施：</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u w:val="single"/>
                <w:lang w:val="en-US" w:eastAsia="zh-CN"/>
              </w:rPr>
            </w:pPr>
            <w:r>
              <w:rPr>
                <w:rFonts w:hint="default" w:ascii="Times New Roman" w:hAnsi="Times New Roman" w:eastAsia="宋体" w:cs="Times New Roman"/>
                <w:color w:val="auto"/>
                <w:sz w:val="24"/>
                <w:szCs w:val="24"/>
                <w:u w:val="single"/>
                <w:lang w:val="en-US" w:eastAsia="zh-CN"/>
              </w:rPr>
              <w:t>A.产臭单元顶部加盖或密闭，设置厂区绿化隔离带。</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u w:val="single"/>
                <w:lang w:val="en-US" w:eastAsia="zh-CN"/>
              </w:rPr>
            </w:pPr>
            <w:r>
              <w:rPr>
                <w:rFonts w:hint="default" w:ascii="Times New Roman" w:hAnsi="Times New Roman" w:eastAsia="宋体" w:cs="Times New Roman"/>
                <w:color w:val="auto"/>
                <w:sz w:val="24"/>
                <w:szCs w:val="24"/>
                <w:u w:val="single"/>
                <w:lang w:val="en-US" w:eastAsia="zh-CN"/>
              </w:rPr>
              <w:t>B.加强处理站及厂界绿化。在道路、各构筑物四周、厂界及空地上实施绿化，选择种植不同系列的树种，特别是具有抗污染、吸收有害气体作用的灌乔木，组成防止恶臭的多层防护隔离带，尽量降低恶臭污染的影响。</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u w:val="single"/>
                <w:lang w:val="en-US" w:eastAsia="zh-CN"/>
              </w:rPr>
            </w:pPr>
            <w:r>
              <w:rPr>
                <w:rFonts w:hint="default" w:ascii="Times New Roman" w:hAnsi="Times New Roman" w:eastAsia="宋体" w:cs="Times New Roman"/>
                <w:color w:val="auto"/>
                <w:sz w:val="24"/>
                <w:szCs w:val="24"/>
                <w:u w:val="single"/>
                <w:lang w:val="en-US" w:eastAsia="zh-CN"/>
              </w:rPr>
              <w:t>C.加强管理工作，做到栅渣、日产日清运，缩短其在厂内的停留时间，削减厂区内恶臭源强度及数量。</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u w:val="single"/>
                <w:lang w:val="en-US" w:eastAsia="zh-CN"/>
              </w:rPr>
            </w:pPr>
            <w:r>
              <w:rPr>
                <w:rFonts w:hint="default" w:ascii="Times New Roman" w:hAnsi="Times New Roman" w:eastAsia="宋体" w:cs="Times New Roman"/>
                <w:color w:val="auto"/>
                <w:sz w:val="24"/>
                <w:szCs w:val="24"/>
                <w:u w:val="single"/>
                <w:lang w:val="en-US" w:eastAsia="zh-CN"/>
              </w:rPr>
              <w:t>D.污泥运输车辆密闭，避开运输高峰期。</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u w:val="single"/>
                <w:lang w:val="en-US" w:eastAsia="zh-CN"/>
              </w:rPr>
            </w:pPr>
            <w:r>
              <w:rPr>
                <w:rFonts w:hint="default" w:ascii="Times New Roman" w:hAnsi="Times New Roman" w:eastAsia="宋体" w:cs="Times New Roman"/>
                <w:color w:val="auto"/>
                <w:sz w:val="24"/>
                <w:szCs w:val="24"/>
                <w:u w:val="single"/>
                <w:lang w:val="en-US" w:eastAsia="zh-CN"/>
              </w:rPr>
              <w:t>E.厂界及厂内加强卫生防疫工作，定期进行消毒及杀灭蚊、蝇。加强厂内员工个人劳动卫生保护。</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u w:val="single"/>
                <w:lang w:val="en-US" w:eastAsia="zh-CN"/>
              </w:rPr>
            </w:pPr>
            <w:r>
              <w:rPr>
                <w:rFonts w:hint="default" w:ascii="Times New Roman" w:hAnsi="Times New Roman" w:eastAsia="宋体" w:cs="Times New Roman"/>
                <w:color w:val="auto"/>
                <w:sz w:val="24"/>
                <w:szCs w:val="24"/>
                <w:u w:val="single"/>
                <w:lang w:val="en-US" w:eastAsia="zh-CN"/>
              </w:rPr>
              <w:t>H.加大消杀和冲洗，保持厂区、物品和阴沟等卫生。</w:t>
            </w:r>
          </w:p>
          <w:p>
            <w:pPr>
              <w:pStyle w:val="44"/>
              <w:keepNext w:val="0"/>
              <w:keepLines w:val="0"/>
              <w:suppressLineNumbers w:val="0"/>
              <w:adjustRightInd/>
              <w:snapToGrid/>
              <w:spacing w:before="0" w:beforeAutospacing="0" w:after="0" w:afterAutospacing="0" w:line="360" w:lineRule="auto"/>
              <w:ind w:left="0" w:right="0"/>
              <w:rPr>
                <w:rFonts w:hint="eastAsia" w:ascii="Times New Roman" w:cs="Times New Roman"/>
                <w:b/>
                <w:bCs/>
                <w:color w:val="auto"/>
                <w:u w:val="single"/>
                <w:lang w:val="en-US" w:eastAsia="zh-CN"/>
              </w:rPr>
            </w:pPr>
            <w:r>
              <w:rPr>
                <w:rFonts w:hint="eastAsia" w:ascii="Times New Roman" w:cs="Times New Roman"/>
                <w:b/>
                <w:bCs/>
                <w:color w:val="auto"/>
                <w:u w:val="single"/>
                <w:lang w:val="en-US" w:eastAsia="zh-CN"/>
              </w:rPr>
              <w:t>1.3恶臭气体无组织防治措施可行性分析</w:t>
            </w:r>
          </w:p>
          <w:p>
            <w:pPr>
              <w:pStyle w:val="44"/>
              <w:keepNext w:val="0"/>
              <w:keepLines w:val="0"/>
              <w:suppressLineNumbers w:val="0"/>
              <w:adjustRightInd/>
              <w:snapToGrid/>
              <w:spacing w:before="0" w:beforeAutospacing="0" w:after="0" w:afterAutospacing="0" w:line="360" w:lineRule="auto"/>
              <w:ind w:left="0" w:right="0" w:firstLine="480" w:firstLineChars="200"/>
              <w:rPr>
                <w:rFonts w:hint="eastAsia" w:ascii="Times New Roman" w:cs="Times New Roman"/>
                <w:color w:val="auto"/>
                <w:u w:val="single"/>
                <w:lang w:val="en-US" w:eastAsia="zh-CN"/>
              </w:rPr>
            </w:pPr>
            <w:r>
              <w:rPr>
                <w:rFonts w:hint="eastAsia" w:ascii="Times New Roman" w:cs="Times New Roman"/>
                <w:color w:val="auto"/>
                <w:u w:val="single"/>
                <w:lang w:val="en-US" w:eastAsia="zh-CN"/>
              </w:rPr>
              <w:t>本项目恶臭气体呈无组织排放，主要采取以下防治措施：</w:t>
            </w:r>
          </w:p>
          <w:p>
            <w:pPr>
              <w:pStyle w:val="44"/>
              <w:keepNext w:val="0"/>
              <w:keepLines w:val="0"/>
              <w:suppressLineNumbers w:val="0"/>
              <w:adjustRightInd/>
              <w:snapToGrid/>
              <w:spacing w:before="0" w:beforeAutospacing="0" w:after="0" w:afterAutospacing="0" w:line="360" w:lineRule="auto"/>
              <w:ind w:left="0" w:right="0" w:firstLine="480" w:firstLineChars="200"/>
              <w:rPr>
                <w:rFonts w:hint="eastAsia" w:ascii="Times New Roman" w:cs="Times New Roman"/>
                <w:color w:val="auto"/>
                <w:u w:val="single"/>
                <w:lang w:val="en-US" w:eastAsia="zh-CN"/>
              </w:rPr>
            </w:pPr>
            <w:r>
              <w:rPr>
                <w:rFonts w:hint="eastAsia" w:ascii="Times New Roman" w:cs="Times New Roman"/>
                <w:color w:val="auto"/>
                <w:u w:val="single"/>
                <w:lang w:val="en-US" w:eastAsia="zh-CN"/>
              </w:rPr>
              <w:t>A.产臭单元顶部加盖或密闭，设置厂区绿化隔离带。</w:t>
            </w:r>
          </w:p>
          <w:p>
            <w:pPr>
              <w:pStyle w:val="44"/>
              <w:keepNext w:val="0"/>
              <w:keepLines w:val="0"/>
              <w:suppressLineNumbers w:val="0"/>
              <w:adjustRightInd/>
              <w:snapToGrid/>
              <w:spacing w:before="0" w:beforeAutospacing="0" w:after="0" w:afterAutospacing="0" w:line="360" w:lineRule="auto"/>
              <w:ind w:left="0" w:right="0" w:firstLine="480" w:firstLineChars="200"/>
              <w:rPr>
                <w:rFonts w:hint="eastAsia" w:ascii="Times New Roman" w:cs="Times New Roman"/>
                <w:color w:val="auto"/>
                <w:u w:val="single"/>
                <w:lang w:val="en-US" w:eastAsia="zh-CN"/>
              </w:rPr>
            </w:pPr>
            <w:r>
              <w:rPr>
                <w:rFonts w:hint="eastAsia" w:ascii="Times New Roman" w:cs="Times New Roman"/>
                <w:color w:val="auto"/>
                <w:u w:val="single"/>
                <w:lang w:val="en-US" w:eastAsia="zh-CN"/>
              </w:rPr>
              <w:t>B.加强处理站及厂界绿化。在道路、各构筑物四周、厂界及空地上实施绿化，选择种植不同系列的树种，特别是具有抗污染、吸收有害气体作用的灌乔木，组成防止恶臭的多层防护隔离带，尽量降低恶臭污染的影响。</w:t>
            </w:r>
          </w:p>
          <w:p>
            <w:pPr>
              <w:pStyle w:val="44"/>
              <w:keepNext w:val="0"/>
              <w:keepLines w:val="0"/>
              <w:suppressLineNumbers w:val="0"/>
              <w:adjustRightInd/>
              <w:snapToGrid/>
              <w:spacing w:before="0" w:beforeAutospacing="0" w:after="0" w:afterAutospacing="0" w:line="360" w:lineRule="auto"/>
              <w:ind w:left="0" w:right="0" w:firstLine="480" w:firstLineChars="200"/>
              <w:rPr>
                <w:rFonts w:hint="eastAsia" w:ascii="Times New Roman" w:cs="Times New Roman"/>
                <w:color w:val="auto"/>
                <w:u w:val="single"/>
                <w:lang w:val="en-US" w:eastAsia="zh-CN"/>
              </w:rPr>
            </w:pPr>
            <w:r>
              <w:rPr>
                <w:rFonts w:hint="eastAsia" w:ascii="Times New Roman" w:cs="Times New Roman"/>
                <w:color w:val="auto"/>
                <w:u w:val="single"/>
                <w:lang w:val="en-US" w:eastAsia="zh-CN"/>
              </w:rPr>
              <w:t>C.加强管理工作，做到栅渣、日产日清运，缩短其在厂内的停留时间，削减厂区内恶臭源强度及数量。</w:t>
            </w:r>
          </w:p>
          <w:p>
            <w:pPr>
              <w:pStyle w:val="44"/>
              <w:keepNext w:val="0"/>
              <w:keepLines w:val="0"/>
              <w:suppressLineNumbers w:val="0"/>
              <w:adjustRightInd/>
              <w:snapToGrid/>
              <w:spacing w:before="0" w:beforeAutospacing="0" w:after="0" w:afterAutospacing="0" w:line="360" w:lineRule="auto"/>
              <w:ind w:left="0" w:right="0" w:firstLine="480" w:firstLineChars="200"/>
              <w:rPr>
                <w:rFonts w:hint="eastAsia" w:ascii="Times New Roman" w:cs="Times New Roman"/>
                <w:color w:val="auto"/>
                <w:u w:val="single"/>
                <w:lang w:val="en-US" w:eastAsia="zh-CN"/>
              </w:rPr>
            </w:pPr>
            <w:r>
              <w:rPr>
                <w:rFonts w:hint="eastAsia" w:ascii="Times New Roman" w:cs="Times New Roman"/>
                <w:color w:val="auto"/>
                <w:u w:val="single"/>
                <w:lang w:val="en-US" w:eastAsia="zh-CN"/>
              </w:rPr>
              <w:t>D.污泥运输车辆密闭，避开运输高峰期。</w:t>
            </w:r>
          </w:p>
          <w:p>
            <w:pPr>
              <w:pStyle w:val="44"/>
              <w:keepNext w:val="0"/>
              <w:keepLines w:val="0"/>
              <w:suppressLineNumbers w:val="0"/>
              <w:adjustRightInd/>
              <w:snapToGrid/>
              <w:spacing w:before="0" w:beforeAutospacing="0" w:after="0" w:afterAutospacing="0" w:line="360" w:lineRule="auto"/>
              <w:ind w:left="0" w:right="0" w:firstLine="480" w:firstLineChars="200"/>
              <w:rPr>
                <w:rFonts w:hint="default" w:eastAsia="宋体"/>
                <w:color w:val="auto"/>
                <w:u w:val="single"/>
                <w:lang w:val="en-US" w:eastAsia="zh-CN"/>
              </w:rPr>
            </w:pPr>
            <w:r>
              <w:rPr>
                <w:rFonts w:hint="default" w:ascii="Times New Roman" w:cs="Times New Roman"/>
                <w:color w:val="auto"/>
                <w:u w:val="single"/>
                <w:lang w:val="en-US" w:eastAsia="zh-CN"/>
              </w:rPr>
              <w:t>通过采取以上措施，</w:t>
            </w:r>
            <w:r>
              <w:rPr>
                <w:rFonts w:hint="eastAsia" w:ascii="Times New Roman" w:cs="Times New Roman"/>
                <w:color w:val="auto"/>
                <w:u w:val="single"/>
                <w:lang w:val="en-US" w:eastAsia="zh-CN"/>
              </w:rPr>
              <w:t>经估算，</w:t>
            </w:r>
            <w:r>
              <w:rPr>
                <w:rFonts w:hint="default" w:ascii="Times New Roman" w:hAnsi="Times New Roman" w:cs="Times New Roman"/>
                <w:color w:val="auto"/>
                <w:szCs w:val="21"/>
                <w:u w:val="single"/>
              </w:rPr>
              <w:t>NH</w:t>
            </w:r>
            <w:r>
              <w:rPr>
                <w:rFonts w:hint="default" w:ascii="Times New Roman" w:hAnsi="Times New Roman" w:cs="Times New Roman"/>
                <w:color w:val="auto"/>
                <w:szCs w:val="21"/>
                <w:u w:val="single"/>
                <w:vertAlign w:val="subscript"/>
              </w:rPr>
              <w:t>3</w:t>
            </w:r>
            <w:r>
              <w:rPr>
                <w:rFonts w:hint="default" w:ascii="Times New Roman" w:hAnsi="Times New Roman" w:cs="Times New Roman"/>
                <w:color w:val="auto"/>
                <w:szCs w:val="21"/>
                <w:u w:val="single"/>
                <w:vertAlign w:val="subscript"/>
                <w:lang w:val="en-US" w:eastAsia="zh-CN"/>
              </w:rPr>
              <w:t>、</w:t>
            </w:r>
            <w:r>
              <w:rPr>
                <w:rFonts w:hint="default" w:ascii="Times New Roman" w:hAnsi="Times New Roman" w:cs="Times New Roman"/>
                <w:color w:val="auto"/>
                <w:szCs w:val="21"/>
                <w:u w:val="single"/>
              </w:rPr>
              <w:t>H</w:t>
            </w:r>
            <w:r>
              <w:rPr>
                <w:rFonts w:hint="default" w:ascii="Times New Roman" w:hAnsi="Times New Roman" w:cs="Times New Roman"/>
                <w:color w:val="auto"/>
                <w:szCs w:val="21"/>
                <w:u w:val="single"/>
                <w:vertAlign w:val="subscript"/>
              </w:rPr>
              <w:t>2</w:t>
            </w:r>
            <w:r>
              <w:rPr>
                <w:rFonts w:hint="default" w:ascii="Times New Roman" w:hAnsi="Times New Roman" w:cs="Times New Roman"/>
                <w:color w:val="auto"/>
                <w:szCs w:val="21"/>
                <w:u w:val="single"/>
              </w:rPr>
              <w:t>S</w:t>
            </w:r>
            <w:r>
              <w:rPr>
                <w:rFonts w:hint="eastAsia" w:ascii="Times New Roman" w:hAnsi="Times New Roman" w:cs="Times New Roman"/>
                <w:color w:val="auto"/>
                <w:szCs w:val="21"/>
                <w:u w:val="single"/>
                <w:lang w:val="en-US" w:eastAsia="zh-CN"/>
              </w:rPr>
              <w:t>、恶臭浓度执行《城镇污水处理厂污染物排放标准》（GB18918-2002）表4中相应标准，无组织防治措施可行。</w:t>
            </w:r>
          </w:p>
          <w:p>
            <w:pPr>
              <w:pStyle w:val="44"/>
              <w:keepNext w:val="0"/>
              <w:keepLines w:val="0"/>
              <w:suppressLineNumbers w:val="0"/>
              <w:adjustRightInd/>
              <w:snapToGrid/>
              <w:spacing w:before="0" w:beforeAutospacing="0" w:after="0" w:afterAutospacing="0" w:line="360" w:lineRule="auto"/>
              <w:ind w:left="0" w:right="0"/>
              <w:rPr>
                <w:rFonts w:hint="default" w:ascii="Times New Roman" w:cs="Times New Roman"/>
                <w:b/>
                <w:bCs/>
                <w:color w:val="auto"/>
              </w:rPr>
            </w:pPr>
            <w:r>
              <w:rPr>
                <w:rFonts w:hint="eastAsia" w:ascii="Times New Roman" w:cs="Times New Roman"/>
                <w:b/>
                <w:bCs/>
                <w:color w:val="auto"/>
              </w:rPr>
              <w:t>1.</w:t>
            </w:r>
            <w:r>
              <w:rPr>
                <w:rFonts w:hint="eastAsia" w:ascii="Times New Roman" w:cs="Times New Roman"/>
                <w:b/>
                <w:bCs/>
                <w:color w:val="auto"/>
                <w:lang w:val="en-US" w:eastAsia="zh-CN"/>
              </w:rPr>
              <w:t>4</w:t>
            </w:r>
            <w:r>
              <w:rPr>
                <w:rFonts w:hint="default" w:ascii="Times New Roman" w:cs="Times New Roman"/>
                <w:b/>
                <w:bCs/>
                <w:color w:val="auto"/>
              </w:rPr>
              <w:t>废气监测计划</w:t>
            </w:r>
          </w:p>
          <w:p>
            <w:pPr>
              <w:pStyle w:val="44"/>
              <w:keepNext w:val="0"/>
              <w:keepLines w:val="0"/>
              <w:suppressLineNumbers w:val="0"/>
              <w:adjustRightInd/>
              <w:snapToGrid/>
              <w:spacing w:before="0" w:beforeAutospacing="0" w:after="0" w:afterAutospacing="0" w:line="360" w:lineRule="auto"/>
              <w:ind w:left="0" w:right="0" w:firstLine="480" w:firstLineChars="200"/>
              <w:rPr>
                <w:rFonts w:hint="default" w:ascii="Times New Roman" w:cs="Times New Roman"/>
                <w:color w:val="auto"/>
                <w:lang w:val="zh-CN"/>
              </w:rPr>
            </w:pPr>
            <w:r>
              <w:rPr>
                <w:rFonts w:hint="eastAsia" w:ascii="Times New Roman" w:cs="Times New Roman"/>
                <w:color w:val="auto"/>
                <w:lang w:val="zh-CN"/>
              </w:rPr>
              <w:t>根据《排污单位自行监测技术指南 总则》（HJ 819-2017）、《排污单位自行监测技术指南 水处理》（HJ 1083—2020）等技术指南的要求，运营期过程中应对废气排放进行自行监测，监测计划见下表。</w:t>
            </w:r>
          </w:p>
          <w:p>
            <w:pPr>
              <w:keepNext w:val="0"/>
              <w:keepLines w:val="0"/>
              <w:suppressLineNumbers w:val="0"/>
              <w:autoSpaceDE w:val="0"/>
              <w:autoSpaceDN w:val="0"/>
              <w:spacing w:before="0" w:beforeAutospacing="0" w:after="0" w:afterAutospacing="0"/>
              <w:ind w:left="0" w:right="0" w:firstLine="422" w:firstLineChars="200"/>
              <w:jc w:val="center"/>
              <w:rPr>
                <w:rFonts w:hint="default"/>
                <w:b/>
                <w:bCs/>
                <w:color w:val="auto"/>
                <w:lang w:val="zh-CN"/>
              </w:rPr>
            </w:pPr>
            <w:r>
              <w:rPr>
                <w:rFonts w:hint="default"/>
                <w:b/>
                <w:bCs/>
                <w:color w:val="auto"/>
                <w:lang w:val="zh-CN"/>
              </w:rPr>
              <w:t>表</w:t>
            </w:r>
            <w:r>
              <w:rPr>
                <w:rFonts w:hint="default"/>
                <w:b/>
                <w:bCs/>
                <w:color w:val="auto"/>
              </w:rPr>
              <w:t>4-</w:t>
            </w:r>
            <w:r>
              <w:rPr>
                <w:rFonts w:hint="eastAsia"/>
                <w:b/>
                <w:bCs/>
                <w:color w:val="auto"/>
              </w:rPr>
              <w:t xml:space="preserve">3  </w:t>
            </w:r>
            <w:r>
              <w:rPr>
                <w:rFonts w:hint="default"/>
                <w:b/>
                <w:bCs/>
                <w:color w:val="auto"/>
              </w:rPr>
              <w:t>废气</w:t>
            </w:r>
            <w:r>
              <w:rPr>
                <w:rFonts w:hint="default"/>
                <w:b/>
                <w:bCs/>
                <w:color w:val="auto"/>
                <w:lang w:val="zh-CN"/>
              </w:rPr>
              <w:t>监测计划</w:t>
            </w:r>
          </w:p>
          <w:tbl>
            <w:tblPr>
              <w:tblStyle w:val="29"/>
              <w:tblW w:w="8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2"/>
              <w:gridCol w:w="2163"/>
              <w:gridCol w:w="3147"/>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292"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auto"/>
                    </w:rPr>
                  </w:pPr>
                  <w:r>
                    <w:rPr>
                      <w:rFonts w:hint="default"/>
                      <w:color w:val="auto"/>
                    </w:rPr>
                    <w:t>监测项目</w:t>
                  </w:r>
                </w:p>
              </w:tc>
              <w:tc>
                <w:tcPr>
                  <w:tcW w:w="2163"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auto"/>
                    </w:rPr>
                  </w:pPr>
                  <w:r>
                    <w:rPr>
                      <w:rFonts w:hint="default"/>
                      <w:color w:val="auto"/>
                    </w:rPr>
                    <w:t>监测因</w:t>
                  </w:r>
                  <w:r>
                    <w:rPr>
                      <w:rFonts w:hint="default"/>
                      <w:color w:val="auto"/>
                    </w:rPr>
                    <w:cr/>
                  </w:r>
                </w:p>
              </w:tc>
              <w:tc>
                <w:tcPr>
                  <w:tcW w:w="3147"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auto"/>
                    </w:rPr>
                  </w:pPr>
                  <w:r>
                    <w:rPr>
                      <w:rFonts w:hint="default"/>
                      <w:color w:val="auto"/>
                    </w:rPr>
                    <w:t>监测点</w:t>
                  </w:r>
                  <w:r>
                    <w:rPr>
                      <w:rFonts w:hint="eastAsia"/>
                      <w:color w:val="auto"/>
                    </w:rPr>
                    <w:t>位</w:t>
                  </w:r>
                </w:p>
              </w:tc>
              <w:tc>
                <w:tcPr>
                  <w:tcW w:w="145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auto"/>
                    </w:rPr>
                  </w:pPr>
                  <w:r>
                    <w:rPr>
                      <w:rFonts w:hint="default"/>
                      <w:color w:val="auto"/>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9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w:t>废气监测</w:t>
                  </w:r>
                </w:p>
              </w:tc>
              <w:tc>
                <w:tcPr>
                  <w:tcW w:w="216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w:t>NH</w:t>
                  </w:r>
                  <w:r>
                    <w:rPr>
                      <w:rFonts w:hint="default"/>
                      <w:color w:val="auto"/>
                      <w:vertAlign w:val="subscript"/>
                    </w:rPr>
                    <w:t>3</w:t>
                  </w:r>
                  <w:r>
                    <w:rPr>
                      <w:rFonts w:hint="default"/>
                      <w:color w:val="auto"/>
                    </w:rPr>
                    <w:t>、H</w:t>
                  </w:r>
                  <w:r>
                    <w:rPr>
                      <w:rFonts w:hint="default"/>
                      <w:color w:val="auto"/>
                      <w:vertAlign w:val="subscript"/>
                    </w:rPr>
                    <w:t>2</w:t>
                  </w:r>
                  <w:r>
                    <w:rPr>
                      <w:rFonts w:hint="default"/>
                      <w:color w:val="auto"/>
                    </w:rPr>
                    <w:t>S、</w:t>
                  </w:r>
                  <w:r>
                    <w:rPr>
                      <w:rFonts w:hint="eastAsia"/>
                      <w:color w:val="auto"/>
                    </w:rPr>
                    <w:t>臭气</w:t>
                  </w:r>
                  <w:r>
                    <w:rPr>
                      <w:rFonts w:hint="default"/>
                      <w:color w:val="auto"/>
                    </w:rPr>
                    <w:t>浓度</w:t>
                  </w:r>
                </w:p>
              </w:tc>
              <w:tc>
                <w:tcPr>
                  <w:tcW w:w="3147"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w:t>污水处理厂上</w:t>
                  </w:r>
                  <w:r>
                    <w:rPr>
                      <w:rFonts w:hint="eastAsia"/>
                      <w:color w:val="auto"/>
                    </w:rPr>
                    <w:t>、</w:t>
                  </w:r>
                  <w:r>
                    <w:rPr>
                      <w:rFonts w:hint="default"/>
                      <w:color w:val="auto"/>
                    </w:rPr>
                    <w:t>下风向</w:t>
                  </w:r>
                  <w:r>
                    <w:rPr>
                      <w:rFonts w:hint="eastAsia"/>
                      <w:color w:val="auto"/>
                    </w:rPr>
                    <w:t>（无组织）</w:t>
                  </w:r>
                </w:p>
              </w:tc>
              <w:tc>
                <w:tcPr>
                  <w:tcW w:w="145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eastAsia="宋体"/>
                      <w:color w:val="auto"/>
                      <w:lang w:val="en-US" w:eastAsia="zh-CN"/>
                    </w:rPr>
                  </w:pPr>
                  <w:r>
                    <w:rPr>
                      <w:rFonts w:hint="eastAsia"/>
                      <w:color w:val="auto"/>
                      <w:lang w:val="en-US" w:eastAsia="zh-CN"/>
                    </w:rPr>
                    <w:t>半年/次</w:t>
                  </w:r>
                </w:p>
              </w:tc>
            </w:tr>
          </w:tbl>
          <w:p>
            <w:pPr>
              <w:pStyle w:val="44"/>
              <w:keepNext w:val="0"/>
              <w:keepLines w:val="0"/>
              <w:suppressLineNumbers w:val="0"/>
              <w:adjustRightInd/>
              <w:snapToGrid/>
              <w:spacing w:before="0" w:beforeAutospacing="0" w:after="0" w:afterAutospacing="0" w:line="360" w:lineRule="auto"/>
              <w:ind w:left="0" w:right="0"/>
              <w:rPr>
                <w:rFonts w:hint="default" w:ascii="Times New Roman" w:cs="Times New Roman"/>
                <w:b/>
                <w:bCs/>
                <w:color w:val="auto"/>
              </w:rPr>
            </w:pPr>
            <w:r>
              <w:rPr>
                <w:rFonts w:hint="eastAsia" w:ascii="Times New Roman" w:cs="Times New Roman"/>
                <w:b/>
                <w:bCs/>
                <w:color w:val="auto"/>
              </w:rPr>
              <w:t>1.</w:t>
            </w:r>
            <w:r>
              <w:rPr>
                <w:rFonts w:hint="eastAsia" w:ascii="Times New Roman" w:cs="Times New Roman"/>
                <w:b/>
                <w:bCs/>
                <w:color w:val="auto"/>
                <w:lang w:val="en-US" w:eastAsia="zh-CN"/>
              </w:rPr>
              <w:t>4</w:t>
            </w:r>
            <w:r>
              <w:rPr>
                <w:rFonts w:hint="default" w:ascii="Times New Roman" w:cs="Times New Roman"/>
                <w:b/>
                <w:bCs/>
                <w:color w:val="auto"/>
              </w:rPr>
              <w:t>废气排放的环境影响</w:t>
            </w:r>
          </w:p>
          <w:p>
            <w:pPr>
              <w:keepNext w:val="0"/>
              <w:keepLines w:val="0"/>
              <w:suppressLineNumbers w:val="0"/>
              <w:spacing w:before="0" w:beforeAutospacing="0" w:after="0" w:afterAutospacing="0" w:line="360" w:lineRule="auto"/>
              <w:ind w:left="0" w:right="0" w:firstLine="482" w:firstLineChars="200"/>
              <w:rPr>
                <w:rFonts w:hint="default"/>
                <w:b/>
                <w:bCs/>
                <w:color w:val="auto"/>
                <w:sz w:val="24"/>
              </w:rPr>
            </w:pPr>
            <w:r>
              <w:rPr>
                <w:rFonts w:hint="default"/>
                <w:b/>
                <w:bCs/>
                <w:color w:val="auto"/>
                <w:sz w:val="24"/>
              </w:rPr>
              <w:t>（1）项目所在区域环境质量现状</w:t>
            </w:r>
          </w:p>
          <w:p>
            <w:pPr>
              <w:keepNext w:val="0"/>
              <w:keepLines w:val="0"/>
              <w:suppressLineNumbers w:val="0"/>
              <w:spacing w:before="0" w:beforeAutospacing="0" w:after="0" w:afterAutospacing="0" w:line="360" w:lineRule="auto"/>
              <w:ind w:left="0" w:right="0" w:firstLine="480" w:firstLineChars="200"/>
              <w:rPr>
                <w:rFonts w:hint="default"/>
                <w:color w:val="auto"/>
                <w:sz w:val="24"/>
              </w:rPr>
            </w:pPr>
            <w:r>
              <w:rPr>
                <w:rFonts w:hint="default"/>
                <w:color w:val="auto"/>
                <w:sz w:val="24"/>
              </w:rPr>
              <w:t>根据“区域环境质量现状”调查，评价区域属于达标区。</w:t>
            </w:r>
          </w:p>
          <w:p>
            <w:pPr>
              <w:keepNext w:val="0"/>
              <w:keepLines w:val="0"/>
              <w:suppressLineNumbers w:val="0"/>
              <w:spacing w:before="0" w:beforeAutospacing="0" w:after="0" w:afterAutospacing="0" w:line="360" w:lineRule="auto"/>
              <w:ind w:left="0" w:right="0" w:firstLine="482" w:firstLineChars="200"/>
              <w:rPr>
                <w:rFonts w:hint="default"/>
                <w:b/>
                <w:bCs/>
                <w:color w:val="auto"/>
                <w:sz w:val="24"/>
              </w:rPr>
            </w:pPr>
            <w:r>
              <w:rPr>
                <w:rFonts w:hint="default"/>
                <w:b/>
                <w:bCs/>
                <w:color w:val="auto"/>
                <w:sz w:val="24"/>
              </w:rPr>
              <w:t>（2）</w:t>
            </w:r>
            <w:r>
              <w:rPr>
                <w:rFonts w:hint="eastAsia"/>
                <w:b/>
                <w:bCs/>
                <w:color w:val="auto"/>
                <w:sz w:val="24"/>
              </w:rPr>
              <w:t>处理达标情况</w:t>
            </w:r>
          </w:p>
          <w:p>
            <w:pPr>
              <w:keepNext w:val="0"/>
              <w:keepLines w:val="0"/>
              <w:suppressLineNumbers w:val="0"/>
              <w:spacing w:before="0" w:beforeAutospacing="0" w:after="0" w:afterAutospacing="0" w:line="360" w:lineRule="auto"/>
              <w:ind w:left="0" w:right="0" w:firstLine="480" w:firstLineChars="200"/>
              <w:rPr>
                <w:rFonts w:hint="default"/>
                <w:b/>
                <w:bCs/>
                <w:color w:val="auto"/>
                <w:sz w:val="24"/>
              </w:rPr>
            </w:pPr>
            <w:r>
              <w:rPr>
                <w:rFonts w:hint="default"/>
                <w:color w:val="auto"/>
                <w:sz w:val="24"/>
              </w:rPr>
              <w:t>项目废气源强产生浓度及产生量</w:t>
            </w:r>
            <w:r>
              <w:rPr>
                <w:rFonts w:hint="eastAsia"/>
                <w:color w:val="auto"/>
                <w:sz w:val="24"/>
              </w:rPr>
              <w:t>均</w:t>
            </w:r>
            <w:r>
              <w:rPr>
                <w:rFonts w:hint="default"/>
                <w:color w:val="auto"/>
                <w:sz w:val="24"/>
              </w:rPr>
              <w:t>较低，</w:t>
            </w:r>
            <w:r>
              <w:rPr>
                <w:rFonts w:hint="eastAsia"/>
                <w:color w:val="auto"/>
                <w:sz w:val="24"/>
              </w:rPr>
              <w:t>满足《城镇污水处理厂污染物排放标准》（GB18918-2002）中相应标准</w:t>
            </w:r>
            <w:r>
              <w:rPr>
                <w:rFonts w:hint="default"/>
                <w:color w:val="auto"/>
                <w:sz w:val="24"/>
              </w:rPr>
              <w:t>。</w:t>
            </w:r>
          </w:p>
          <w:p>
            <w:pPr>
              <w:keepNext w:val="0"/>
              <w:keepLines w:val="0"/>
              <w:suppressLineNumbers w:val="0"/>
              <w:spacing w:before="0" w:beforeAutospacing="0" w:after="0" w:afterAutospacing="0" w:line="360" w:lineRule="auto"/>
              <w:ind w:left="0" w:right="0" w:firstLine="482" w:firstLineChars="200"/>
              <w:rPr>
                <w:rFonts w:hint="default"/>
                <w:b/>
                <w:bCs/>
                <w:color w:val="auto"/>
                <w:sz w:val="24"/>
              </w:rPr>
            </w:pPr>
            <w:r>
              <w:rPr>
                <w:rFonts w:hint="default"/>
                <w:b/>
                <w:bCs/>
                <w:color w:val="auto"/>
                <w:sz w:val="24"/>
              </w:rPr>
              <w:t>（3）项目采取的污染治理措施及污染物排放强度、排放方式</w:t>
            </w:r>
          </w:p>
          <w:p>
            <w:pPr>
              <w:keepNext w:val="0"/>
              <w:keepLines w:val="0"/>
              <w:suppressLineNumbers w:val="0"/>
              <w:spacing w:before="0" w:beforeAutospacing="0" w:after="0" w:afterAutospacing="0" w:line="360" w:lineRule="auto"/>
              <w:ind w:left="0" w:right="0" w:firstLine="480" w:firstLineChars="200"/>
              <w:rPr>
                <w:rFonts w:hint="default"/>
                <w:color w:val="auto"/>
                <w:sz w:val="24"/>
              </w:rPr>
            </w:pPr>
            <w:r>
              <w:rPr>
                <w:rFonts w:hint="default"/>
                <w:color w:val="auto"/>
                <w:sz w:val="24"/>
              </w:rPr>
              <w:t>项目采取的污染治理措施及污染物排放强度、排放方式汇总核实详见下表。</w:t>
            </w:r>
          </w:p>
          <w:p>
            <w:pPr>
              <w:keepNext w:val="0"/>
              <w:keepLines w:val="0"/>
              <w:suppressLineNumbers w:val="0"/>
              <w:spacing w:before="0" w:beforeAutospacing="0" w:after="0" w:afterAutospacing="0"/>
              <w:ind w:left="0" w:right="0"/>
              <w:jc w:val="center"/>
              <w:rPr>
                <w:rFonts w:hint="default"/>
                <w:b/>
                <w:bCs/>
                <w:color w:val="auto"/>
                <w:szCs w:val="21"/>
              </w:rPr>
            </w:pPr>
            <w:r>
              <w:rPr>
                <w:rFonts w:hint="default"/>
                <w:b/>
                <w:bCs/>
                <w:color w:val="auto"/>
                <w:szCs w:val="21"/>
              </w:rPr>
              <w:t>表4-</w:t>
            </w:r>
            <w:r>
              <w:rPr>
                <w:rFonts w:hint="eastAsia"/>
                <w:b/>
                <w:bCs/>
                <w:color w:val="auto"/>
                <w:szCs w:val="21"/>
              </w:rPr>
              <w:t xml:space="preserve">4  </w:t>
            </w:r>
            <w:r>
              <w:rPr>
                <w:rFonts w:hint="default"/>
                <w:b/>
                <w:bCs/>
                <w:color w:val="auto"/>
                <w:szCs w:val="21"/>
              </w:rPr>
              <w:t>大气污染物排放量核算表</w:t>
            </w:r>
          </w:p>
          <w:tbl>
            <w:tblPr>
              <w:tblStyle w:val="29"/>
              <w:tblW w:w="84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35"/>
              <w:gridCol w:w="873"/>
              <w:gridCol w:w="799"/>
              <w:gridCol w:w="802"/>
              <w:gridCol w:w="1021"/>
              <w:gridCol w:w="2876"/>
              <w:gridCol w:w="16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435" w:type="dxa"/>
                  <w:vMerge w:val="restart"/>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r>
                    <w:rPr>
                      <w:rFonts w:hint="default"/>
                      <w:color w:val="auto"/>
                      <w:szCs w:val="21"/>
                    </w:rPr>
                    <w:t>序号</w:t>
                  </w:r>
                </w:p>
              </w:tc>
              <w:tc>
                <w:tcPr>
                  <w:tcW w:w="873" w:type="dxa"/>
                  <w:vMerge w:val="restart"/>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r>
                    <w:rPr>
                      <w:rFonts w:hint="default"/>
                      <w:color w:val="auto"/>
                      <w:szCs w:val="21"/>
                    </w:rPr>
                    <w:t>产污环节</w:t>
                  </w:r>
                </w:p>
              </w:tc>
              <w:tc>
                <w:tcPr>
                  <w:tcW w:w="799" w:type="dxa"/>
                  <w:vMerge w:val="restart"/>
                  <w:noWrap w:val="0"/>
                  <w:vAlign w:val="center"/>
                </w:tcPr>
                <w:p>
                  <w:pPr>
                    <w:keepNext w:val="0"/>
                    <w:keepLines w:val="0"/>
                    <w:widowControl/>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szCs w:val="21"/>
                      <w:lang w:val="en-US" w:eastAsia="zh-CN"/>
                    </w:rPr>
                    <w:t>排放形式</w:t>
                  </w:r>
                </w:p>
              </w:tc>
              <w:tc>
                <w:tcPr>
                  <w:tcW w:w="802" w:type="dxa"/>
                  <w:vMerge w:val="restart"/>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r>
                    <w:rPr>
                      <w:rFonts w:hint="default"/>
                      <w:color w:val="auto"/>
                      <w:szCs w:val="21"/>
                    </w:rPr>
                    <w:t>污染物</w:t>
                  </w:r>
                </w:p>
              </w:tc>
              <w:tc>
                <w:tcPr>
                  <w:tcW w:w="1021" w:type="dxa"/>
                  <w:vMerge w:val="restart"/>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r>
                    <w:rPr>
                      <w:rFonts w:hint="default"/>
                      <w:color w:val="auto"/>
                      <w:szCs w:val="21"/>
                    </w:rPr>
                    <w:t>主要污染防治措施</w:t>
                  </w:r>
                </w:p>
              </w:tc>
              <w:tc>
                <w:tcPr>
                  <w:tcW w:w="2876" w:type="dxa"/>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r>
                    <w:rPr>
                      <w:rFonts w:hint="default"/>
                      <w:color w:val="auto"/>
                      <w:szCs w:val="21"/>
                    </w:rPr>
                    <w:t>国家或地方污染物排放标准</w:t>
                  </w:r>
                </w:p>
              </w:tc>
              <w:tc>
                <w:tcPr>
                  <w:tcW w:w="1692" w:type="dxa"/>
                  <w:vMerge w:val="restart"/>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r>
                    <w:rPr>
                      <w:rFonts w:hint="default"/>
                      <w:color w:val="auto"/>
                      <w:szCs w:val="21"/>
                    </w:rPr>
                    <w:t>核算年排放量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435" w:type="dxa"/>
                  <w:vMerge w:val="continue"/>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p>
              </w:tc>
              <w:tc>
                <w:tcPr>
                  <w:tcW w:w="873" w:type="dxa"/>
                  <w:vMerge w:val="continue"/>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p>
              </w:tc>
              <w:tc>
                <w:tcPr>
                  <w:tcW w:w="799" w:type="dxa"/>
                  <w:vMerge w:val="continue"/>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p>
              </w:tc>
              <w:tc>
                <w:tcPr>
                  <w:tcW w:w="80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p>
              </w:tc>
              <w:tc>
                <w:tcPr>
                  <w:tcW w:w="102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p>
              </w:tc>
              <w:tc>
                <w:tcPr>
                  <w:tcW w:w="2876" w:type="dxa"/>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r>
                    <w:rPr>
                      <w:rFonts w:hint="default"/>
                      <w:color w:val="auto"/>
                      <w:szCs w:val="21"/>
                    </w:rPr>
                    <w:t>标准名称</w:t>
                  </w:r>
                </w:p>
              </w:tc>
              <w:tc>
                <w:tcPr>
                  <w:tcW w:w="1692" w:type="dxa"/>
                  <w:vMerge w:val="continue"/>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35" w:type="dxa"/>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r>
                    <w:rPr>
                      <w:rFonts w:hint="default"/>
                      <w:color w:val="auto"/>
                      <w:szCs w:val="21"/>
                    </w:rPr>
                    <w:t>1</w:t>
                  </w:r>
                </w:p>
              </w:tc>
              <w:tc>
                <w:tcPr>
                  <w:tcW w:w="873" w:type="dxa"/>
                  <w:vMerge w:val="restart"/>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default"/>
                      <w:color w:val="auto"/>
                      <w:szCs w:val="21"/>
                    </w:rPr>
                    <w:t>废水处理</w:t>
                  </w:r>
                </w:p>
              </w:tc>
              <w:tc>
                <w:tcPr>
                  <w:tcW w:w="799" w:type="dxa"/>
                  <w:vMerge w:val="restart"/>
                  <w:noWrap w:val="0"/>
                  <w:vAlign w:val="center"/>
                </w:tcPr>
                <w:p>
                  <w:pPr>
                    <w:keepNext w:val="0"/>
                    <w:keepLines w:val="0"/>
                    <w:suppressLineNumbers w:val="0"/>
                    <w:spacing w:before="0" w:beforeAutospacing="0" w:after="0" w:afterAutospacing="0"/>
                    <w:ind w:left="0" w:right="0"/>
                    <w:jc w:val="center"/>
                    <w:rPr>
                      <w:rFonts w:hint="eastAsia" w:eastAsia="宋体"/>
                      <w:color w:val="auto"/>
                      <w:szCs w:val="21"/>
                      <w:lang w:val="en-US" w:eastAsia="zh-CN"/>
                    </w:rPr>
                  </w:pPr>
                  <w:r>
                    <w:rPr>
                      <w:rFonts w:hint="eastAsia"/>
                      <w:color w:val="auto"/>
                      <w:szCs w:val="21"/>
                      <w:lang w:val="en-US" w:eastAsia="zh-CN"/>
                    </w:rPr>
                    <w:t>无组织</w:t>
                  </w:r>
                </w:p>
              </w:tc>
              <w:tc>
                <w:tcPr>
                  <w:tcW w:w="802" w:type="dxa"/>
                  <w:noWrap w:val="0"/>
                  <w:vAlign w:val="center"/>
                </w:tcPr>
                <w:p>
                  <w:pPr>
                    <w:pStyle w:val="94"/>
                    <w:keepNext w:val="0"/>
                    <w:keepLines w:val="0"/>
                    <w:suppressLineNumbers w:val="0"/>
                    <w:spacing w:before="0" w:beforeAutospacing="0" w:after="0" w:afterAutospacing="0" w:line="240" w:lineRule="auto"/>
                    <w:ind w:left="0" w:right="0"/>
                    <w:jc w:val="center"/>
                    <w:rPr>
                      <w:rFonts w:hint="default"/>
                      <w:color w:val="auto"/>
                      <w:szCs w:val="21"/>
                    </w:rPr>
                  </w:pPr>
                  <w:r>
                    <w:rPr>
                      <w:rFonts w:hint="default"/>
                      <w:color w:val="auto"/>
                      <w:szCs w:val="21"/>
                    </w:rPr>
                    <w:t>NH</w:t>
                  </w:r>
                  <w:r>
                    <w:rPr>
                      <w:rFonts w:hint="default"/>
                      <w:color w:val="auto"/>
                      <w:szCs w:val="21"/>
                      <w:vertAlign w:val="subscript"/>
                    </w:rPr>
                    <w:t>3</w:t>
                  </w:r>
                </w:p>
              </w:tc>
              <w:tc>
                <w:tcPr>
                  <w:tcW w:w="1021" w:type="dxa"/>
                  <w:vMerge w:val="restart"/>
                  <w:noWrap w:val="0"/>
                  <w:vAlign w:val="center"/>
                </w:tcPr>
                <w:p>
                  <w:pPr>
                    <w:keepNext w:val="0"/>
                    <w:keepLines w:val="0"/>
                    <w:suppressLineNumbers w:val="0"/>
                    <w:spacing w:before="0" w:beforeAutospacing="0" w:after="0" w:afterAutospacing="0"/>
                    <w:ind w:left="0" w:right="0"/>
                    <w:jc w:val="center"/>
                    <w:rPr>
                      <w:rFonts w:hint="default"/>
                      <w:color w:val="auto"/>
                      <w:szCs w:val="21"/>
                    </w:rPr>
                  </w:pPr>
                  <w:r>
                    <w:rPr>
                      <w:rFonts w:hint="eastAsia"/>
                      <w:color w:val="auto"/>
                      <w:szCs w:val="21"/>
                    </w:rPr>
                    <w:t>加盖或密闭等</w:t>
                  </w:r>
                </w:p>
              </w:tc>
              <w:tc>
                <w:tcPr>
                  <w:tcW w:w="2876" w:type="dxa"/>
                  <w:vMerge w:val="restart"/>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r>
                    <w:rPr>
                      <w:rFonts w:hint="default"/>
                      <w:color w:val="auto"/>
                      <w:szCs w:val="21"/>
                    </w:rPr>
                    <w:t>《城镇污水处理厂污染物排放标准》（GB18918-2002）表</w:t>
                  </w:r>
                  <w:r>
                    <w:rPr>
                      <w:rFonts w:hint="eastAsia"/>
                      <w:color w:val="auto"/>
                      <w:szCs w:val="21"/>
                      <w:lang w:val="en-US" w:eastAsia="zh-CN"/>
                    </w:rPr>
                    <w:t>4</w:t>
                  </w:r>
                  <w:r>
                    <w:rPr>
                      <w:rFonts w:hint="default"/>
                      <w:color w:val="auto"/>
                      <w:szCs w:val="21"/>
                    </w:rPr>
                    <w:t>中相应标准</w:t>
                  </w:r>
                </w:p>
              </w:tc>
              <w:tc>
                <w:tcPr>
                  <w:tcW w:w="1692"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color w:val="auto"/>
                      <w:szCs w:val="21"/>
                    </w:rPr>
                  </w:pPr>
                  <w:r>
                    <w:rPr>
                      <w:rFonts w:hint="eastAsia"/>
                      <w:color w:val="auto"/>
                      <w:szCs w:val="21"/>
                    </w:rPr>
                    <w:t>0.00</w:t>
                  </w:r>
                  <w:r>
                    <w:rPr>
                      <w:rFonts w:hint="eastAsia"/>
                      <w:color w:val="auto"/>
                      <w:szCs w:val="21"/>
                      <w:lang w:val="en-US" w:eastAsia="zh-CN"/>
                    </w:rPr>
                    <w:t>60</w:t>
                  </w:r>
                  <w:r>
                    <w:rPr>
                      <w:rFonts w:hint="default"/>
                      <w:bCs/>
                      <w:color w:val="auto"/>
                      <w:szCs w:val="21"/>
                    </w:rPr>
                    <w:t>t/a</w:t>
                  </w:r>
                  <w:r>
                    <w:rPr>
                      <w:rFonts w:hint="eastAsia"/>
                      <w:bCs/>
                      <w:color w:val="auto"/>
                      <w:szCs w:val="21"/>
                    </w:rPr>
                    <w:t>（0.000</w:t>
                  </w:r>
                  <w:r>
                    <w:rPr>
                      <w:rFonts w:hint="eastAsia"/>
                      <w:bCs/>
                      <w:color w:val="auto"/>
                      <w:szCs w:val="21"/>
                      <w:lang w:val="en-US" w:eastAsia="zh-CN"/>
                    </w:rPr>
                    <w:t>7</w:t>
                  </w:r>
                  <w:r>
                    <w:rPr>
                      <w:rFonts w:hint="eastAsia"/>
                      <w:bCs/>
                      <w:color w:val="auto"/>
                      <w:szCs w:val="21"/>
                    </w:rPr>
                    <w:t>3</w:t>
                  </w:r>
                  <w:r>
                    <w:rPr>
                      <w:rFonts w:hint="default"/>
                      <w:bCs/>
                      <w:color w:val="auto"/>
                      <w:szCs w:val="21"/>
                    </w:rPr>
                    <w:t>kg/h</w:t>
                  </w:r>
                  <w:r>
                    <w:rPr>
                      <w:rFonts w:hint="eastAsia"/>
                      <w:bCs/>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435" w:type="dxa"/>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r>
                    <w:rPr>
                      <w:rFonts w:hint="default"/>
                      <w:color w:val="auto"/>
                      <w:szCs w:val="21"/>
                    </w:rPr>
                    <w:t>2</w:t>
                  </w:r>
                </w:p>
              </w:tc>
              <w:tc>
                <w:tcPr>
                  <w:tcW w:w="873"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szCs w:val="21"/>
                    </w:rPr>
                  </w:pPr>
                </w:p>
              </w:tc>
              <w:tc>
                <w:tcPr>
                  <w:tcW w:w="799"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szCs w:val="21"/>
                    </w:rPr>
                  </w:pPr>
                </w:p>
              </w:tc>
              <w:tc>
                <w:tcPr>
                  <w:tcW w:w="802" w:type="dxa"/>
                  <w:noWrap w:val="0"/>
                  <w:vAlign w:val="center"/>
                </w:tcPr>
                <w:p>
                  <w:pPr>
                    <w:pStyle w:val="94"/>
                    <w:keepNext w:val="0"/>
                    <w:keepLines w:val="0"/>
                    <w:suppressLineNumbers w:val="0"/>
                    <w:spacing w:before="0" w:beforeAutospacing="0" w:after="0" w:afterAutospacing="0" w:line="240" w:lineRule="auto"/>
                    <w:ind w:left="0" w:right="0"/>
                    <w:jc w:val="center"/>
                    <w:rPr>
                      <w:rFonts w:hint="default"/>
                      <w:color w:val="auto"/>
                      <w:szCs w:val="21"/>
                    </w:rPr>
                  </w:pPr>
                  <w:r>
                    <w:rPr>
                      <w:rFonts w:hint="default"/>
                      <w:color w:val="auto"/>
                      <w:szCs w:val="21"/>
                    </w:rPr>
                    <w:t>H</w:t>
                  </w:r>
                  <w:r>
                    <w:rPr>
                      <w:rFonts w:hint="default"/>
                      <w:color w:val="auto"/>
                      <w:szCs w:val="21"/>
                      <w:vertAlign w:val="subscript"/>
                    </w:rPr>
                    <w:t>2</w:t>
                  </w:r>
                  <w:r>
                    <w:rPr>
                      <w:rFonts w:hint="default"/>
                      <w:color w:val="auto"/>
                      <w:szCs w:val="21"/>
                    </w:rPr>
                    <w:t>S</w:t>
                  </w:r>
                </w:p>
              </w:tc>
              <w:tc>
                <w:tcPr>
                  <w:tcW w:w="1021"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szCs w:val="21"/>
                    </w:rPr>
                  </w:pPr>
                </w:p>
              </w:tc>
              <w:tc>
                <w:tcPr>
                  <w:tcW w:w="2876" w:type="dxa"/>
                  <w:vMerge w:val="continue"/>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p>
              </w:tc>
              <w:tc>
                <w:tcPr>
                  <w:tcW w:w="1692"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color w:val="auto"/>
                      <w:szCs w:val="21"/>
                    </w:rPr>
                  </w:pPr>
                  <w:r>
                    <w:rPr>
                      <w:rFonts w:hint="eastAsia"/>
                      <w:color w:val="auto"/>
                      <w:szCs w:val="21"/>
                    </w:rPr>
                    <w:t>0.000</w:t>
                  </w:r>
                  <w:r>
                    <w:rPr>
                      <w:rFonts w:hint="eastAsia"/>
                      <w:color w:val="auto"/>
                      <w:szCs w:val="21"/>
                      <w:lang w:val="en-US" w:eastAsia="zh-CN"/>
                    </w:rPr>
                    <w:t>61</w:t>
                  </w:r>
                  <w:r>
                    <w:rPr>
                      <w:rFonts w:hint="default"/>
                      <w:bCs/>
                      <w:color w:val="auto"/>
                      <w:szCs w:val="21"/>
                    </w:rPr>
                    <w:t>t/a</w:t>
                  </w:r>
                  <w:r>
                    <w:rPr>
                      <w:rFonts w:hint="eastAsia"/>
                      <w:bCs/>
                      <w:color w:val="auto"/>
                      <w:szCs w:val="21"/>
                    </w:rPr>
                    <w:t>（</w:t>
                  </w:r>
                  <w:r>
                    <w:rPr>
                      <w:rFonts w:hint="default"/>
                      <w:bCs/>
                      <w:color w:val="auto"/>
                      <w:szCs w:val="21"/>
                    </w:rPr>
                    <w:t>0.0</w:t>
                  </w:r>
                  <w:r>
                    <w:rPr>
                      <w:rFonts w:hint="eastAsia"/>
                      <w:bCs/>
                      <w:color w:val="auto"/>
                      <w:szCs w:val="21"/>
                    </w:rPr>
                    <w:t>001</w:t>
                  </w:r>
                  <w:r>
                    <w:rPr>
                      <w:rFonts w:hint="eastAsia"/>
                      <w:bCs/>
                      <w:color w:val="auto"/>
                      <w:szCs w:val="21"/>
                      <w:lang w:val="en-US" w:eastAsia="zh-CN"/>
                    </w:rPr>
                    <w:t>7</w:t>
                  </w:r>
                  <w:r>
                    <w:rPr>
                      <w:rFonts w:hint="default"/>
                      <w:bCs/>
                      <w:color w:val="auto"/>
                      <w:szCs w:val="21"/>
                    </w:rPr>
                    <w:t>kg/h</w:t>
                  </w:r>
                  <w:r>
                    <w:rPr>
                      <w:rFonts w:hint="eastAsia"/>
                      <w:bCs/>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435" w:type="dxa"/>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Cs w:val="21"/>
                      <w:lang w:val="en-US" w:eastAsia="zh-CN"/>
                    </w:rPr>
                  </w:pPr>
                  <w:r>
                    <w:rPr>
                      <w:rFonts w:hint="eastAsia"/>
                      <w:color w:val="auto"/>
                      <w:szCs w:val="21"/>
                      <w:lang w:val="en-US" w:eastAsia="zh-CN"/>
                    </w:rPr>
                    <w:t>3</w:t>
                  </w:r>
                </w:p>
              </w:tc>
              <w:tc>
                <w:tcPr>
                  <w:tcW w:w="873"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szCs w:val="21"/>
                    </w:rPr>
                  </w:pPr>
                </w:p>
              </w:tc>
              <w:tc>
                <w:tcPr>
                  <w:tcW w:w="799"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szCs w:val="21"/>
                    </w:rPr>
                  </w:pPr>
                </w:p>
              </w:tc>
              <w:tc>
                <w:tcPr>
                  <w:tcW w:w="802" w:type="dxa"/>
                  <w:noWrap w:val="0"/>
                  <w:vAlign w:val="center"/>
                </w:tcPr>
                <w:p>
                  <w:pPr>
                    <w:pStyle w:val="94"/>
                    <w:keepNext w:val="0"/>
                    <w:keepLines w:val="0"/>
                    <w:suppressLineNumbers w:val="0"/>
                    <w:spacing w:before="0" w:beforeAutospacing="0" w:after="0" w:afterAutospacing="0" w:line="240" w:lineRule="auto"/>
                    <w:ind w:left="0" w:right="0"/>
                    <w:jc w:val="center"/>
                    <w:rPr>
                      <w:rFonts w:hint="default" w:eastAsia="宋体"/>
                      <w:color w:val="auto"/>
                      <w:szCs w:val="21"/>
                      <w:lang w:val="en-US" w:eastAsia="zh-CN"/>
                    </w:rPr>
                  </w:pPr>
                  <w:r>
                    <w:rPr>
                      <w:rFonts w:hint="eastAsia"/>
                      <w:color w:val="auto"/>
                      <w:szCs w:val="21"/>
                      <w:lang w:val="en-US" w:eastAsia="zh-CN"/>
                    </w:rPr>
                    <w:t>恶臭浓度</w:t>
                  </w:r>
                </w:p>
              </w:tc>
              <w:tc>
                <w:tcPr>
                  <w:tcW w:w="1021"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szCs w:val="21"/>
                    </w:rPr>
                  </w:pPr>
                </w:p>
              </w:tc>
              <w:tc>
                <w:tcPr>
                  <w:tcW w:w="2876" w:type="dxa"/>
                  <w:vMerge w:val="continue"/>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p>
              </w:tc>
              <w:tc>
                <w:tcPr>
                  <w:tcW w:w="169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eastAsia="宋体"/>
                      <w:color w:val="auto"/>
                      <w:szCs w:val="21"/>
                      <w:lang w:val="en-US" w:eastAsia="zh-CN"/>
                    </w:rPr>
                  </w:pPr>
                  <w:r>
                    <w:rPr>
                      <w:rFonts w:hint="eastAsia"/>
                      <w:color w:val="auto"/>
                      <w:szCs w:val="21"/>
                      <w:lang w:val="en-US" w:eastAsia="zh-CN"/>
                    </w:rPr>
                    <w:t>/</w:t>
                  </w:r>
                </w:p>
              </w:tc>
            </w:tr>
          </w:tbl>
          <w:p>
            <w:pPr>
              <w:keepNext w:val="0"/>
              <w:keepLines w:val="0"/>
              <w:suppressLineNumbers w:val="0"/>
              <w:spacing w:before="0" w:beforeAutospacing="0" w:after="0" w:afterAutospacing="0" w:line="360" w:lineRule="auto"/>
              <w:ind w:left="0" w:right="0" w:firstLine="480" w:firstLineChars="200"/>
              <w:rPr>
                <w:rFonts w:hint="eastAsia"/>
                <w:color w:val="auto"/>
                <w:kern w:val="0"/>
                <w:sz w:val="24"/>
              </w:rPr>
            </w:pPr>
            <w:r>
              <w:rPr>
                <w:rFonts w:hint="eastAsia"/>
                <w:color w:val="auto"/>
                <w:kern w:val="0"/>
                <w:sz w:val="24"/>
              </w:rPr>
              <w:t>本次对大气环境影响的定性分析基于以下方面：</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①项目排放的大气污染物包含氨、硫化氢、臭气浓度，不涉及《有毒有害大气污染物名录》中的污染物以及二噁英、苯并[a]芘、氰化物、氯气等有毒有害污染物。</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②项目采取的废气治理措施可行</w:t>
            </w:r>
            <w:r>
              <w:rPr>
                <w:rFonts w:hint="eastAsia" w:cs="Times New Roman"/>
                <w:color w:val="auto"/>
                <w:kern w:val="0"/>
                <w:sz w:val="24"/>
                <w:lang w:val="en-US" w:eastAsia="zh-CN"/>
              </w:rPr>
              <w:t>有效</w:t>
            </w:r>
            <w:r>
              <w:rPr>
                <w:rFonts w:hint="default" w:ascii="Times New Roman" w:hAnsi="Times New Roman" w:cs="Times New Roman"/>
                <w:color w:val="auto"/>
                <w:kern w:val="0"/>
                <w:sz w:val="24"/>
              </w:rPr>
              <w:t>。</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③通过采取以上</w:t>
            </w:r>
            <w:r>
              <w:rPr>
                <w:rFonts w:hint="eastAsia" w:cs="Times New Roman"/>
                <w:color w:val="auto"/>
                <w:kern w:val="0"/>
                <w:sz w:val="24"/>
                <w:lang w:val="en-US" w:eastAsia="zh-CN"/>
              </w:rPr>
              <w:t>有效</w:t>
            </w:r>
            <w:r>
              <w:rPr>
                <w:rFonts w:hint="default" w:ascii="Times New Roman" w:hAnsi="Times New Roman" w:cs="Times New Roman"/>
                <w:color w:val="auto"/>
                <w:kern w:val="0"/>
                <w:sz w:val="24"/>
              </w:rPr>
              <w:t>技术，项目各废气污染物可达标排放。</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④项目在落实报告表提出的各项环保措施的基础上，项目建设不会对周围环境产生明显影响。</w:t>
            </w:r>
          </w:p>
          <w:p>
            <w:pPr>
              <w:keepNext w:val="0"/>
              <w:keepLines w:val="0"/>
              <w:suppressLineNumbers w:val="0"/>
              <w:spacing w:before="0" w:beforeAutospacing="0" w:after="0" w:afterAutospacing="0" w:line="360" w:lineRule="auto"/>
              <w:ind w:left="0" w:right="0" w:firstLine="480" w:firstLineChars="200"/>
              <w:rPr>
                <w:rFonts w:hint="default" w:ascii="Times New Roman" w:hAnsi="Times New Roman" w:cs="Times New Roman"/>
                <w:color w:val="auto"/>
                <w:kern w:val="0"/>
                <w:sz w:val="24"/>
              </w:rPr>
            </w:pPr>
            <w:r>
              <w:rPr>
                <w:rFonts w:hint="default" w:ascii="Times New Roman" w:hAnsi="Times New Roman" w:cs="Times New Roman"/>
                <w:color w:val="auto"/>
                <w:kern w:val="0"/>
                <w:sz w:val="24"/>
              </w:rPr>
              <w:t>综上，项目废气排放对区域大气环境和敏感目标的影响较小。</w:t>
            </w:r>
          </w:p>
          <w:p>
            <w:pPr>
              <w:keepNext w:val="0"/>
              <w:keepLines w:val="0"/>
              <w:suppressLineNumbers w:val="0"/>
              <w:spacing w:before="0" w:beforeAutospacing="0" w:after="0" w:afterAutospacing="0" w:line="360" w:lineRule="auto"/>
              <w:ind w:left="0" w:right="0" w:firstLine="482" w:firstLineChars="200"/>
              <w:rPr>
                <w:rFonts w:hint="eastAsia"/>
                <w:b/>
                <w:bCs/>
                <w:color w:val="auto"/>
                <w:sz w:val="24"/>
              </w:rPr>
            </w:pPr>
          </w:p>
          <w:p>
            <w:pPr>
              <w:keepNext w:val="0"/>
              <w:keepLines w:val="0"/>
              <w:suppressLineNumbers w:val="0"/>
              <w:spacing w:before="0" w:beforeAutospacing="0" w:after="0" w:afterAutospacing="0" w:line="360" w:lineRule="auto"/>
              <w:ind w:left="0" w:right="0" w:firstLine="482" w:firstLineChars="200"/>
              <w:rPr>
                <w:rFonts w:hint="eastAsia"/>
                <w:b/>
                <w:bCs/>
                <w:color w:val="auto"/>
                <w:sz w:val="24"/>
              </w:rPr>
            </w:pPr>
          </w:p>
          <w:p>
            <w:pPr>
              <w:keepNext w:val="0"/>
              <w:keepLines w:val="0"/>
              <w:suppressLineNumbers w:val="0"/>
              <w:spacing w:before="0" w:beforeAutospacing="0" w:after="0" w:afterAutospacing="0" w:line="360" w:lineRule="auto"/>
              <w:ind w:left="0" w:right="0" w:firstLine="482" w:firstLineChars="200"/>
              <w:rPr>
                <w:rFonts w:hint="eastAsia"/>
                <w:b/>
                <w:bCs/>
                <w:color w:val="auto"/>
                <w:sz w:val="24"/>
              </w:rPr>
            </w:pPr>
          </w:p>
          <w:p>
            <w:pPr>
              <w:keepNext w:val="0"/>
              <w:keepLines w:val="0"/>
              <w:suppressLineNumbers w:val="0"/>
              <w:spacing w:before="0" w:beforeAutospacing="0" w:after="0" w:afterAutospacing="0" w:line="360" w:lineRule="auto"/>
              <w:ind w:left="0" w:right="0" w:firstLine="482" w:firstLineChars="200"/>
              <w:rPr>
                <w:rFonts w:hint="eastAsia"/>
                <w:b/>
                <w:bCs/>
                <w:color w:val="auto"/>
                <w:sz w:val="24"/>
              </w:rPr>
            </w:pPr>
            <w:r>
              <w:rPr>
                <w:rFonts w:hint="eastAsia"/>
                <w:b/>
                <w:bCs/>
                <w:color w:val="auto"/>
                <w:sz w:val="24"/>
              </w:rPr>
              <w:t>2、废水排放源强</w:t>
            </w:r>
          </w:p>
          <w:p>
            <w:pPr>
              <w:pStyle w:val="44"/>
              <w:keepNext w:val="0"/>
              <w:keepLines w:val="0"/>
              <w:suppressLineNumbers w:val="0"/>
              <w:adjustRightInd/>
              <w:snapToGrid/>
              <w:spacing w:before="0" w:beforeAutospacing="0" w:after="0" w:afterAutospacing="0" w:line="360" w:lineRule="auto"/>
              <w:ind w:left="0" w:right="0" w:firstLine="482" w:firstLineChars="200"/>
              <w:rPr>
                <w:rFonts w:hint="default" w:ascii="Times New Roman" w:cs="Times New Roman"/>
                <w:b/>
                <w:bCs/>
                <w:color w:val="auto"/>
                <w:lang w:val="zh-CN"/>
              </w:rPr>
            </w:pPr>
            <w:r>
              <w:rPr>
                <w:rFonts w:hint="default" w:ascii="Times New Roman" w:cs="Times New Roman"/>
                <w:b/>
                <w:bCs/>
                <w:color w:val="auto"/>
                <w:lang w:val="zh-CN"/>
              </w:rPr>
              <w:t>（</w:t>
            </w:r>
            <w:r>
              <w:rPr>
                <w:rFonts w:hint="default" w:ascii="Times New Roman" w:cs="Times New Roman"/>
                <w:b/>
                <w:bCs/>
                <w:color w:val="auto"/>
              </w:rPr>
              <w:t>1</w:t>
            </w:r>
            <w:r>
              <w:rPr>
                <w:rFonts w:hint="default" w:ascii="Times New Roman" w:cs="Times New Roman"/>
                <w:b/>
                <w:bCs/>
                <w:color w:val="auto"/>
                <w:lang w:val="zh-CN"/>
              </w:rPr>
              <w:t>）</w:t>
            </w:r>
            <w:r>
              <w:rPr>
                <w:rFonts w:hint="default" w:ascii="Times New Roman" w:cs="Times New Roman"/>
                <w:b/>
                <w:bCs/>
                <w:color w:val="auto"/>
              </w:rPr>
              <w:t>源强</w:t>
            </w:r>
          </w:p>
          <w:p>
            <w:pPr>
              <w:keepNext w:val="0"/>
              <w:keepLines w:val="0"/>
              <w:suppressLineNumbers w:val="0"/>
              <w:spacing w:before="0" w:beforeAutospacing="0" w:after="0" w:afterAutospacing="0" w:line="360" w:lineRule="auto"/>
              <w:ind w:left="0" w:right="0" w:firstLine="480" w:firstLineChars="200"/>
              <w:rPr>
                <w:rFonts w:hint="default"/>
                <w:color w:val="auto"/>
                <w:kern w:val="0"/>
                <w:sz w:val="24"/>
                <w:lang w:val="zh-CN"/>
              </w:rPr>
            </w:pPr>
            <w:r>
              <w:rPr>
                <w:rFonts w:hint="default"/>
                <w:color w:val="auto"/>
                <w:kern w:val="0"/>
                <w:sz w:val="24"/>
                <w:lang w:val="zh-CN"/>
              </w:rPr>
              <w:t>本项目</w:t>
            </w:r>
            <w:r>
              <w:rPr>
                <w:rFonts w:hint="eastAsia"/>
                <w:color w:val="auto"/>
                <w:kern w:val="0"/>
                <w:sz w:val="24"/>
                <w:lang w:val="zh-CN"/>
              </w:rPr>
              <w:t>污泥压滤废水与污水处理过程中的废水性质基本相同，收集后经回流系统至污水提升泵房与生活污水一并进行有效处理后达标排放。因此，本项目</w:t>
            </w:r>
            <w:r>
              <w:rPr>
                <w:rFonts w:hint="default"/>
                <w:color w:val="auto"/>
                <w:kern w:val="0"/>
                <w:sz w:val="24"/>
                <w:lang w:val="zh-CN"/>
              </w:rPr>
              <w:t>废水主要来自办公及生活</w:t>
            </w:r>
            <w:r>
              <w:rPr>
                <w:rFonts w:hint="eastAsia"/>
                <w:color w:val="auto"/>
                <w:kern w:val="0"/>
                <w:sz w:val="24"/>
                <w:lang w:val="en-US" w:eastAsia="zh-CN"/>
              </w:rPr>
              <w:t>污水</w:t>
            </w:r>
            <w:r>
              <w:rPr>
                <w:rFonts w:hint="default"/>
                <w:color w:val="auto"/>
                <w:kern w:val="0"/>
                <w:sz w:val="24"/>
                <w:lang w:val="zh-CN"/>
              </w:rPr>
              <w:t>水</w:t>
            </w:r>
            <w:r>
              <w:rPr>
                <w:rFonts w:hint="default"/>
                <w:color w:val="auto"/>
                <w:kern w:val="0"/>
                <w:sz w:val="24"/>
              </w:rPr>
              <w:t>以及污水处理</w:t>
            </w:r>
            <w:r>
              <w:rPr>
                <w:rFonts w:hint="eastAsia"/>
                <w:color w:val="auto"/>
                <w:kern w:val="0"/>
                <w:sz w:val="24"/>
                <w:lang w:val="en-US" w:eastAsia="zh-CN"/>
              </w:rPr>
              <w:t>污水</w:t>
            </w:r>
            <w:r>
              <w:rPr>
                <w:rFonts w:hint="eastAsia"/>
                <w:color w:val="auto"/>
                <w:kern w:val="0"/>
                <w:sz w:val="24"/>
              </w:rPr>
              <w:t>（尾水</w:t>
            </w:r>
            <w:r>
              <w:rPr>
                <w:rFonts w:hint="eastAsia"/>
                <w:color w:val="auto"/>
                <w:kern w:val="0"/>
                <w:sz w:val="24"/>
                <w:lang w:val="en-US" w:eastAsia="zh-CN"/>
              </w:rPr>
              <w:t>全部回用</w:t>
            </w:r>
            <w:r>
              <w:rPr>
                <w:rFonts w:hint="eastAsia"/>
                <w:color w:val="auto"/>
                <w:kern w:val="0"/>
                <w:sz w:val="24"/>
              </w:rPr>
              <w:t>）</w:t>
            </w:r>
            <w:r>
              <w:rPr>
                <w:rFonts w:hint="default"/>
                <w:color w:val="auto"/>
                <w:kern w:val="0"/>
                <w:sz w:val="24"/>
                <w:lang w:val="zh-CN"/>
              </w:rPr>
              <w:t>等。</w:t>
            </w:r>
          </w:p>
          <w:p>
            <w:pPr>
              <w:keepNext w:val="0"/>
              <w:keepLines w:val="0"/>
              <w:suppressLineNumbers w:val="0"/>
              <w:spacing w:before="0" w:beforeAutospacing="0" w:after="0" w:afterAutospacing="0" w:line="360" w:lineRule="auto"/>
              <w:ind w:left="0" w:right="0" w:firstLine="480" w:firstLineChars="200"/>
              <w:rPr>
                <w:rFonts w:hint="default"/>
                <w:color w:val="auto"/>
                <w:kern w:val="0"/>
                <w:sz w:val="24"/>
                <w:lang w:val="en-US" w:eastAsia="zh-CN"/>
              </w:rPr>
            </w:pPr>
            <w:r>
              <w:rPr>
                <w:rFonts w:hint="default"/>
                <w:color w:val="auto"/>
                <w:kern w:val="0"/>
                <w:sz w:val="24"/>
                <w:lang w:val="zh-CN"/>
              </w:rPr>
              <w:t>①</w:t>
            </w:r>
            <w:r>
              <w:rPr>
                <w:rFonts w:hint="eastAsia"/>
                <w:color w:val="auto"/>
                <w:kern w:val="0"/>
                <w:sz w:val="24"/>
                <w:lang w:val="en-US" w:eastAsia="zh-CN"/>
              </w:rPr>
              <w:t>办公及生活污水</w:t>
            </w:r>
          </w:p>
          <w:p>
            <w:pPr>
              <w:keepNext w:val="0"/>
              <w:keepLines w:val="0"/>
              <w:suppressLineNumbers w:val="0"/>
              <w:spacing w:before="0" w:beforeAutospacing="0" w:after="0" w:afterAutospacing="0" w:line="360" w:lineRule="auto"/>
              <w:ind w:left="0" w:right="0" w:firstLine="480" w:firstLineChars="200"/>
              <w:rPr>
                <w:rFonts w:hint="eastAsia"/>
                <w:color w:val="auto"/>
                <w:kern w:val="0"/>
                <w:sz w:val="24"/>
              </w:rPr>
            </w:pPr>
            <w:r>
              <w:rPr>
                <w:rFonts w:hint="eastAsia"/>
                <w:color w:val="auto"/>
                <w:kern w:val="0"/>
                <w:sz w:val="24"/>
              </w:rPr>
              <w:t>本项目拟定劳动人员3人，在厂区食宿，用水参照湖南省地方标准《用水定额》（DB43/T388-2020），在厂区内食宿人员按照140L/人•d计算，则本项目生活用水总量为0.42m</w:t>
            </w:r>
            <w:r>
              <w:rPr>
                <w:rFonts w:hint="eastAsia"/>
                <w:color w:val="auto"/>
                <w:kern w:val="0"/>
                <w:sz w:val="24"/>
                <w:vertAlign w:val="superscript"/>
              </w:rPr>
              <w:t>3</w:t>
            </w:r>
            <w:r>
              <w:rPr>
                <w:rFonts w:hint="eastAsia"/>
                <w:color w:val="auto"/>
                <w:kern w:val="0"/>
                <w:sz w:val="24"/>
              </w:rPr>
              <w:t>/d（153.3m</w:t>
            </w:r>
            <w:r>
              <w:rPr>
                <w:rFonts w:hint="eastAsia"/>
                <w:color w:val="auto"/>
                <w:kern w:val="0"/>
                <w:sz w:val="24"/>
                <w:vertAlign w:val="superscript"/>
              </w:rPr>
              <w:t>3</w:t>
            </w:r>
            <w:r>
              <w:rPr>
                <w:rFonts w:hint="eastAsia"/>
                <w:color w:val="auto"/>
                <w:kern w:val="0"/>
                <w:sz w:val="24"/>
              </w:rPr>
              <w:t>/a）</w:t>
            </w:r>
            <w:r>
              <w:rPr>
                <w:rFonts w:hint="eastAsia"/>
                <w:color w:val="auto"/>
                <w:kern w:val="0"/>
                <w:sz w:val="24"/>
                <w:lang w:eastAsia="zh-CN"/>
              </w:rPr>
              <w:t>，生活污水产生量0.336m</w:t>
            </w:r>
            <w:r>
              <w:rPr>
                <w:rFonts w:hint="eastAsia"/>
                <w:color w:val="auto"/>
                <w:kern w:val="0"/>
                <w:sz w:val="24"/>
                <w:vertAlign w:val="superscript"/>
                <w:lang w:eastAsia="zh-CN"/>
              </w:rPr>
              <w:t>3</w:t>
            </w:r>
            <w:r>
              <w:rPr>
                <w:rFonts w:hint="eastAsia"/>
                <w:color w:val="auto"/>
                <w:kern w:val="0"/>
                <w:sz w:val="24"/>
                <w:lang w:eastAsia="zh-CN"/>
              </w:rPr>
              <w:t>/d（122.64m</w:t>
            </w:r>
            <w:r>
              <w:rPr>
                <w:rFonts w:hint="eastAsia"/>
                <w:color w:val="auto"/>
                <w:kern w:val="0"/>
                <w:sz w:val="24"/>
                <w:vertAlign w:val="superscript"/>
                <w:lang w:eastAsia="zh-CN"/>
              </w:rPr>
              <w:t>3</w:t>
            </w:r>
            <w:r>
              <w:rPr>
                <w:rFonts w:hint="eastAsia"/>
                <w:color w:val="auto"/>
                <w:kern w:val="0"/>
                <w:sz w:val="24"/>
                <w:lang w:eastAsia="zh-CN"/>
              </w:rPr>
              <w:t>/a）</w:t>
            </w:r>
            <w:r>
              <w:rPr>
                <w:rFonts w:hint="eastAsia"/>
                <w:color w:val="auto"/>
                <w:kern w:val="0"/>
                <w:sz w:val="24"/>
              </w:rPr>
              <w:t>。生活污水</w:t>
            </w:r>
            <w:r>
              <w:rPr>
                <w:rFonts w:hint="eastAsia"/>
                <w:color w:val="auto"/>
                <w:kern w:val="0"/>
                <w:sz w:val="24"/>
                <w:lang w:val="en-US" w:eastAsia="zh-CN"/>
              </w:rPr>
              <w:t>经化粪池处理后，</w:t>
            </w:r>
            <w:r>
              <w:rPr>
                <w:rFonts w:hint="eastAsia"/>
                <w:color w:val="auto"/>
                <w:kern w:val="0"/>
                <w:sz w:val="24"/>
              </w:rPr>
              <w:t>进入本项目污水处理系统进行处理。</w:t>
            </w:r>
          </w:p>
          <w:p>
            <w:pPr>
              <w:keepNext w:val="0"/>
              <w:keepLines w:val="0"/>
              <w:suppressLineNumbers w:val="0"/>
              <w:spacing w:before="0" w:beforeAutospacing="0" w:after="0" w:afterAutospacing="0" w:line="360" w:lineRule="auto"/>
              <w:ind w:left="0" w:right="0" w:firstLine="480" w:firstLineChars="200"/>
              <w:rPr>
                <w:rFonts w:hint="eastAsia"/>
                <w:color w:val="auto"/>
                <w:kern w:val="0"/>
                <w:sz w:val="24"/>
                <w:lang w:val="en-US" w:eastAsia="zh-CN"/>
              </w:rPr>
            </w:pPr>
            <w:r>
              <w:rPr>
                <w:rFonts w:hint="eastAsia"/>
                <w:color w:val="auto"/>
                <w:kern w:val="0"/>
                <w:sz w:val="24"/>
                <w:lang w:val="en-US" w:eastAsia="zh-CN"/>
              </w:rPr>
              <w:t>②污水处理站处理后尾水</w:t>
            </w:r>
          </w:p>
          <w:p>
            <w:pPr>
              <w:keepNext w:val="0"/>
              <w:keepLines w:val="0"/>
              <w:suppressLineNumbers w:val="0"/>
              <w:spacing w:before="0" w:beforeAutospacing="0" w:after="0" w:afterAutospacing="0" w:line="360" w:lineRule="auto"/>
              <w:ind w:left="0" w:right="0" w:firstLine="480" w:firstLineChars="200"/>
              <w:rPr>
                <w:rFonts w:hint="eastAsia"/>
                <w:color w:val="auto"/>
                <w:lang w:val="en-US" w:eastAsia="zh-CN"/>
              </w:rPr>
            </w:pPr>
            <w:r>
              <w:rPr>
                <w:rFonts w:hint="eastAsia"/>
                <w:color w:val="auto"/>
                <w:kern w:val="0"/>
                <w:sz w:val="24"/>
                <w:lang w:val="en-US" w:eastAsia="zh-CN"/>
              </w:rPr>
              <w:t>本项目近期内污水处理产处理后尾水全部回用于刨花板项目冷却系统、生物质电厂脱硫脱硝系统。</w:t>
            </w:r>
          </w:p>
          <w:p>
            <w:pPr>
              <w:keepNext w:val="0"/>
              <w:keepLines w:val="0"/>
              <w:suppressLineNumbers w:val="0"/>
              <w:spacing w:before="0" w:beforeAutospacing="0" w:after="0" w:afterAutospacing="0" w:line="360" w:lineRule="auto"/>
              <w:ind w:left="0" w:right="0" w:firstLine="482" w:firstLineChars="200"/>
              <w:rPr>
                <w:rFonts w:hint="eastAsia"/>
                <w:b/>
                <w:bCs/>
                <w:color w:val="auto"/>
                <w:sz w:val="24"/>
                <w:u w:val="single"/>
              </w:rPr>
            </w:pPr>
            <w:r>
              <w:rPr>
                <w:rFonts w:hint="eastAsia"/>
                <w:b/>
                <w:bCs/>
                <w:color w:val="auto"/>
                <w:sz w:val="24"/>
                <w:u w:val="single"/>
                <w:lang w:eastAsia="zh-CN"/>
              </w:rPr>
              <w:t>（</w:t>
            </w:r>
            <w:r>
              <w:rPr>
                <w:rFonts w:hint="eastAsia"/>
                <w:b/>
                <w:bCs/>
                <w:color w:val="auto"/>
                <w:sz w:val="24"/>
                <w:u w:val="single"/>
                <w:lang w:val="en-US" w:eastAsia="zh-CN"/>
              </w:rPr>
              <w:t>2</w:t>
            </w:r>
            <w:r>
              <w:rPr>
                <w:rFonts w:hint="eastAsia"/>
                <w:b/>
                <w:bCs/>
                <w:color w:val="auto"/>
                <w:sz w:val="24"/>
                <w:u w:val="single"/>
                <w:lang w:eastAsia="zh-CN"/>
              </w:rPr>
              <w:t>）</w:t>
            </w:r>
            <w:r>
              <w:rPr>
                <w:rFonts w:hint="eastAsia"/>
                <w:b/>
                <w:bCs/>
                <w:color w:val="auto"/>
                <w:sz w:val="24"/>
                <w:u w:val="single"/>
              </w:rPr>
              <w:t>废水治理设施技术可行性分析</w:t>
            </w:r>
          </w:p>
          <w:p>
            <w:pPr>
              <w:keepNext w:val="0"/>
              <w:keepLines w:val="0"/>
              <w:suppressLineNumbers w:val="0"/>
              <w:spacing w:before="0" w:beforeAutospacing="0" w:after="0" w:afterAutospacing="0" w:line="360" w:lineRule="auto"/>
              <w:ind w:left="0" w:right="0" w:firstLine="480" w:firstLineChars="200"/>
              <w:jc w:val="both"/>
              <w:rPr>
                <w:rFonts w:hint="default" w:ascii="Times New Roman" w:hAnsi="Times New Roman" w:cs="Times New Roman"/>
                <w:color w:val="auto"/>
                <w:sz w:val="24"/>
                <w:u w:val="single"/>
                <w:lang w:val="en-US" w:eastAsia="zh-CN"/>
              </w:rPr>
            </w:pPr>
            <w:r>
              <w:rPr>
                <w:rFonts w:hint="default" w:ascii="Times New Roman" w:hAnsi="Times New Roman" w:cs="Times New Roman"/>
                <w:color w:val="auto"/>
                <w:sz w:val="24"/>
                <w:highlight w:val="none"/>
                <w:u w:val="single"/>
                <w:lang w:val="en-US" w:eastAsia="zh-CN"/>
              </w:rPr>
              <w:t>根据</w:t>
            </w:r>
            <w:r>
              <w:rPr>
                <w:rFonts w:hint="default" w:ascii="Times New Roman" w:hAnsi="Times New Roman" w:cs="Times New Roman"/>
                <w:color w:val="auto"/>
                <w:sz w:val="24"/>
                <w:highlight w:val="none"/>
                <w:u w:val="single"/>
              </w:rPr>
              <w:t>《排污许可证申请与核发技术规范-</w:t>
            </w:r>
            <w:r>
              <w:rPr>
                <w:rFonts w:hint="default" w:ascii="Times New Roman" w:hAnsi="Times New Roman" w:cs="Times New Roman"/>
                <w:color w:val="auto"/>
                <w:sz w:val="24"/>
                <w:highlight w:val="none"/>
                <w:u w:val="single"/>
                <w:lang w:val="en-US" w:eastAsia="zh-CN"/>
              </w:rPr>
              <w:t>水处理</w:t>
            </w:r>
            <w:r>
              <w:rPr>
                <w:rFonts w:hint="default" w:ascii="Times New Roman" w:hAnsi="Times New Roman" w:cs="Times New Roman"/>
                <w:color w:val="auto"/>
                <w:sz w:val="24"/>
                <w:highlight w:val="none"/>
                <w:u w:val="single"/>
              </w:rPr>
              <w:t>》（HJ</w:t>
            </w:r>
            <w:r>
              <w:rPr>
                <w:rFonts w:hint="default" w:ascii="Times New Roman" w:hAnsi="Times New Roman" w:cs="Times New Roman"/>
                <w:color w:val="auto"/>
                <w:sz w:val="24"/>
                <w:highlight w:val="none"/>
                <w:u w:val="single"/>
                <w:lang w:val="en-US" w:eastAsia="zh-CN"/>
              </w:rPr>
              <w:t>978</w:t>
            </w:r>
            <w:r>
              <w:rPr>
                <w:rFonts w:hint="default" w:ascii="Times New Roman" w:hAnsi="Times New Roman" w:cs="Times New Roman"/>
                <w:color w:val="auto"/>
                <w:sz w:val="24"/>
                <w:highlight w:val="none"/>
                <w:u w:val="single"/>
              </w:rPr>
              <w:t>—</w:t>
            </w:r>
            <w:r>
              <w:rPr>
                <w:rFonts w:hint="default" w:ascii="Times New Roman" w:hAnsi="Times New Roman" w:cs="Times New Roman"/>
                <w:color w:val="auto"/>
                <w:sz w:val="24"/>
                <w:highlight w:val="none"/>
                <w:u w:val="single"/>
                <w:lang w:val="en-US" w:eastAsia="zh-CN"/>
              </w:rPr>
              <w:t>2018</w:t>
            </w:r>
            <w:r>
              <w:rPr>
                <w:rFonts w:hint="default" w:ascii="Times New Roman" w:hAnsi="Times New Roman" w:cs="Times New Roman"/>
                <w:color w:val="auto"/>
                <w:sz w:val="24"/>
                <w:highlight w:val="none"/>
                <w:u w:val="single"/>
              </w:rPr>
              <w:t>）</w:t>
            </w:r>
            <w:r>
              <w:rPr>
                <w:rFonts w:hint="default" w:ascii="Times New Roman" w:hAnsi="Times New Roman" w:cs="Times New Roman"/>
                <w:color w:val="auto"/>
                <w:sz w:val="24"/>
                <w:highlight w:val="none"/>
                <w:u w:val="single"/>
                <w:lang w:val="en-US" w:eastAsia="zh-CN"/>
              </w:rPr>
              <w:t>中6.2.1处理单一行业废水的工业污水集中处理厂水处理排污单位污水处理可行技术</w:t>
            </w:r>
            <w:r>
              <w:rPr>
                <w:rFonts w:hint="default" w:ascii="Times New Roman" w:hAnsi="Times New Roman" w:cs="Times New Roman"/>
                <w:color w:val="auto"/>
                <w:sz w:val="24"/>
                <w:szCs w:val="24"/>
                <w:highlight w:val="none"/>
                <w:u w:val="single"/>
                <w:lang w:val="en-US" w:eastAsia="zh-CN"/>
              </w:rPr>
              <w:t>参照表4污水处理可行技术参照表，生活污水执行GB18918中一级标准的A标准或更严格标准的可行技术为：预处理：格栅、沉淀（沉砂、初沉）、调节；生化处理：缺氧好氧、厌氧缺氧好氧、序批式活性污泥、接触氧化、氧化沟、移动生物床反应器、膜生物反应器；深度处理；混凝沉淀、过滤、曝气生物滤池、微滤、超滤、消毒（次氯酸钠、臭氧、紫外、二氧化氯），</w:t>
            </w:r>
            <w:r>
              <w:rPr>
                <w:rFonts w:hint="eastAsia"/>
                <w:color w:val="auto"/>
                <w:sz w:val="24"/>
                <w:u w:val="single"/>
                <w:lang w:val="en-US" w:eastAsia="zh-CN"/>
              </w:rPr>
              <w:t>本项目污水处理站设计规模为1000m</w:t>
            </w:r>
            <w:r>
              <w:rPr>
                <w:rFonts w:hint="eastAsia"/>
                <w:color w:val="auto"/>
                <w:sz w:val="24"/>
                <w:u w:val="single"/>
                <w:vertAlign w:val="superscript"/>
                <w:lang w:val="en-US" w:eastAsia="zh-CN"/>
              </w:rPr>
              <w:t>3</w:t>
            </w:r>
            <w:r>
              <w:rPr>
                <w:rFonts w:hint="eastAsia"/>
                <w:color w:val="auto"/>
                <w:sz w:val="24"/>
                <w:u w:val="single"/>
                <w:lang w:val="en-US" w:eastAsia="zh-CN"/>
              </w:rPr>
              <w:t>/d，本项目日进水量为180.656m</w:t>
            </w:r>
            <w:r>
              <w:rPr>
                <w:rFonts w:hint="eastAsia"/>
                <w:color w:val="auto"/>
                <w:sz w:val="24"/>
                <w:u w:val="single"/>
                <w:vertAlign w:val="superscript"/>
                <w:lang w:val="en-US" w:eastAsia="zh-CN"/>
              </w:rPr>
              <w:t>3</w:t>
            </w:r>
            <w:r>
              <w:rPr>
                <w:rFonts w:hint="eastAsia"/>
                <w:color w:val="auto"/>
                <w:sz w:val="24"/>
                <w:u w:val="single"/>
                <w:vertAlign w:val="baseline"/>
                <w:lang w:val="en-US" w:eastAsia="zh-CN"/>
              </w:rPr>
              <w:t>/d，设计规模</w:t>
            </w:r>
            <w:r>
              <w:rPr>
                <w:rFonts w:hint="eastAsia"/>
                <w:color w:val="auto"/>
                <w:sz w:val="24"/>
                <w:u w:val="single"/>
                <w:lang w:val="en-US" w:eastAsia="zh-CN"/>
              </w:rPr>
              <w:t>满足本项目处理水量要求。污水处理工艺采用“格栅井+调节池+混凝沉淀+水解酸化+A/O+二沉池+深度反应池+三沉池+紫外消毒”处理工艺，</w:t>
            </w:r>
            <w:r>
              <w:rPr>
                <w:rFonts w:hint="default" w:ascii="Times New Roman" w:hAnsi="Times New Roman" w:cs="Times New Roman"/>
                <w:color w:val="auto"/>
                <w:sz w:val="24"/>
                <w:szCs w:val="24"/>
                <w:highlight w:val="none"/>
                <w:u w:val="single"/>
              </w:rPr>
              <w:t>属于可行技</w:t>
            </w:r>
            <w:r>
              <w:rPr>
                <w:rFonts w:hint="default" w:ascii="Times New Roman" w:hAnsi="Times New Roman" w:cs="Times New Roman"/>
                <w:color w:val="auto"/>
                <w:sz w:val="24"/>
                <w:u w:val="single"/>
                <w:lang w:val="en-US" w:eastAsia="zh-CN"/>
              </w:rPr>
              <w:t>术</w:t>
            </w:r>
            <w:r>
              <w:rPr>
                <w:rFonts w:hint="eastAsia" w:ascii="Times New Roman" w:hAnsi="Times New Roman" w:cs="Times New Roman"/>
                <w:color w:val="auto"/>
                <w:sz w:val="24"/>
                <w:u w:val="single"/>
                <w:lang w:val="en-US" w:eastAsia="zh-CN"/>
              </w:rPr>
              <w:t>。</w:t>
            </w:r>
            <w:r>
              <w:rPr>
                <w:rFonts w:hint="eastAsia" w:ascii="Times New Roman" w:hAnsi="Times New Roman" w:cs="Times New Roman"/>
                <w:color w:val="auto"/>
                <w:sz w:val="24"/>
                <w:u w:val="single"/>
                <w:lang w:val="en-US" w:eastAsia="zh-CN"/>
              </w:rPr>
              <w:t>紫外消毒远期工程内容。</w:t>
            </w:r>
          </w:p>
          <w:p>
            <w:pPr>
              <w:keepNext w:val="0"/>
              <w:keepLines w:val="0"/>
              <w:suppressLineNumbers w:val="0"/>
              <w:spacing w:before="0" w:beforeAutospacing="0" w:after="0" w:afterAutospacing="0" w:line="360" w:lineRule="auto"/>
              <w:ind w:left="0" w:right="0" w:firstLine="482" w:firstLineChars="200"/>
              <w:rPr>
                <w:rFonts w:hint="eastAsia"/>
                <w:b/>
                <w:bCs/>
                <w:color w:val="auto"/>
                <w:sz w:val="24"/>
                <w:lang w:val="en-US" w:eastAsia="zh-CN"/>
              </w:rPr>
            </w:pPr>
            <w:r>
              <w:rPr>
                <w:rFonts w:hint="eastAsia"/>
                <w:b/>
                <w:bCs/>
                <w:color w:val="auto"/>
                <w:sz w:val="24"/>
                <w:lang w:val="en-US" w:eastAsia="zh-CN"/>
              </w:rPr>
              <w:t>（3）废水类别、污染物及污染治理措施信息表</w:t>
            </w:r>
          </w:p>
          <w:p>
            <w:pPr>
              <w:keepNext w:val="0"/>
              <w:keepLines w:val="0"/>
              <w:suppressLineNumbers w:val="0"/>
              <w:spacing w:before="0" w:beforeAutospacing="0" w:after="0" w:afterAutospacing="0"/>
              <w:ind w:left="0" w:right="0"/>
              <w:jc w:val="center"/>
              <w:rPr>
                <w:rFonts w:hint="default"/>
                <w:b/>
                <w:bCs/>
                <w:color w:val="auto"/>
                <w:szCs w:val="21"/>
                <w:lang w:val="en-US" w:eastAsia="zh-CN"/>
              </w:rPr>
            </w:pPr>
            <w:r>
              <w:rPr>
                <w:rFonts w:hint="eastAsia"/>
                <w:b/>
                <w:bCs/>
                <w:color w:val="auto"/>
                <w:szCs w:val="21"/>
                <w:lang w:val="en-US" w:eastAsia="zh-CN"/>
              </w:rPr>
              <w:t xml:space="preserve">表4-5 </w:t>
            </w:r>
            <w:r>
              <w:rPr>
                <w:rFonts w:hint="default"/>
                <w:b/>
                <w:bCs/>
                <w:color w:val="auto"/>
                <w:szCs w:val="21"/>
                <w:lang w:val="en-US" w:eastAsia="zh-CN"/>
              </w:rPr>
              <w:t>废水类别、污染物及污染治理措施信息表</w:t>
            </w:r>
          </w:p>
          <w:tbl>
            <w:tblPr>
              <w:tblStyle w:val="3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084"/>
              <w:gridCol w:w="1219"/>
              <w:gridCol w:w="726"/>
              <w:gridCol w:w="868"/>
              <w:gridCol w:w="939"/>
              <w:gridCol w:w="881"/>
              <w:gridCol w:w="131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 w:type="pct"/>
                  <w:vMerge w:val="restart"/>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序号</w:t>
                  </w:r>
                </w:p>
              </w:tc>
              <w:tc>
                <w:tcPr>
                  <w:tcW w:w="636" w:type="pct"/>
                  <w:vMerge w:val="restart"/>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color w:val="auto"/>
                      <w:sz w:val="21"/>
                      <w:szCs w:val="21"/>
                      <w:vertAlign w:val="baseline"/>
                      <w:lang w:val="en-US" w:eastAsia="zh-CN"/>
                    </w:rPr>
                  </w:pPr>
                  <w:r>
                    <w:rPr>
                      <w:rFonts w:hint="default"/>
                      <w:color w:val="auto"/>
                      <w:sz w:val="21"/>
                      <w:szCs w:val="21"/>
                      <w:vertAlign w:val="baseline"/>
                      <w:lang w:val="en-US" w:eastAsia="zh-CN"/>
                    </w:rPr>
                    <w:t>废水类别</w:t>
                  </w:r>
                </w:p>
              </w:tc>
              <w:tc>
                <w:tcPr>
                  <w:tcW w:w="715" w:type="pct"/>
                  <w:vMerge w:val="restart"/>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color w:val="auto"/>
                      <w:sz w:val="21"/>
                      <w:szCs w:val="21"/>
                      <w:vertAlign w:val="baseline"/>
                      <w:lang w:val="en-US" w:eastAsia="zh-CN"/>
                    </w:rPr>
                  </w:pPr>
                  <w:r>
                    <w:rPr>
                      <w:rFonts w:hint="default"/>
                      <w:color w:val="auto"/>
                      <w:sz w:val="21"/>
                      <w:szCs w:val="21"/>
                      <w:vertAlign w:val="baseline"/>
                      <w:lang w:val="en-US" w:eastAsia="zh-CN"/>
                    </w:rPr>
                    <w:t>污染物种类</w:t>
                  </w:r>
                </w:p>
              </w:tc>
              <w:tc>
                <w:tcPr>
                  <w:tcW w:w="426" w:type="pct"/>
                  <w:vMerge w:val="restart"/>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排放去向</w:t>
                  </w:r>
                </w:p>
              </w:tc>
              <w:tc>
                <w:tcPr>
                  <w:tcW w:w="509" w:type="pct"/>
                  <w:vMerge w:val="restart"/>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color w:val="auto"/>
                      <w:sz w:val="21"/>
                      <w:szCs w:val="21"/>
                      <w:vertAlign w:val="baseline"/>
                      <w:lang w:val="en-US" w:eastAsia="zh-CN"/>
                    </w:rPr>
                  </w:pPr>
                  <w:r>
                    <w:rPr>
                      <w:rFonts w:hint="default"/>
                      <w:color w:val="auto"/>
                      <w:sz w:val="21"/>
                      <w:szCs w:val="21"/>
                      <w:vertAlign w:val="baseline"/>
                      <w:lang w:val="en-US" w:eastAsia="zh-CN"/>
                    </w:rPr>
                    <w:t>排放规律</w:t>
                  </w:r>
                </w:p>
              </w:tc>
              <w:tc>
                <w:tcPr>
                  <w:tcW w:w="1841" w:type="pct"/>
                  <w:gridSpan w:val="3"/>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color w:val="auto"/>
                      <w:sz w:val="21"/>
                      <w:szCs w:val="21"/>
                      <w:vertAlign w:val="baseline"/>
                      <w:lang w:val="en-US" w:eastAsia="zh-CN"/>
                    </w:rPr>
                  </w:pPr>
                  <w:r>
                    <w:rPr>
                      <w:rFonts w:hint="default"/>
                      <w:color w:val="auto"/>
                      <w:sz w:val="21"/>
                      <w:szCs w:val="21"/>
                      <w:vertAlign w:val="baseline"/>
                      <w:lang w:val="en-US" w:eastAsia="zh-CN"/>
                    </w:rPr>
                    <w:t>污染治理设施</w:t>
                  </w:r>
                </w:p>
              </w:tc>
              <w:tc>
                <w:tcPr>
                  <w:tcW w:w="556" w:type="pct"/>
                  <w:vMerge w:val="restart"/>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color w:val="auto"/>
                      <w:sz w:val="21"/>
                      <w:szCs w:val="21"/>
                      <w:vertAlign w:val="baseline"/>
                      <w:lang w:val="en-US" w:eastAsia="zh-CN"/>
                    </w:rPr>
                  </w:pPr>
                  <w:r>
                    <w:rPr>
                      <w:rFonts w:hint="default"/>
                      <w:color w:val="auto"/>
                      <w:sz w:val="21"/>
                      <w:szCs w:val="21"/>
                      <w:vertAlign w:val="baseline"/>
                      <w:lang w:val="en-US" w:eastAsia="zh-CN"/>
                    </w:rPr>
                    <w:t>排放口编号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 w:type="pct"/>
                  <w:vMerge w:val="continue"/>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color w:val="auto"/>
                      <w:sz w:val="21"/>
                      <w:szCs w:val="21"/>
                      <w:vertAlign w:val="baseline"/>
                      <w:lang w:val="en-US" w:eastAsia="zh-CN"/>
                    </w:rPr>
                  </w:pPr>
                </w:p>
              </w:tc>
              <w:tc>
                <w:tcPr>
                  <w:tcW w:w="636" w:type="pct"/>
                  <w:vMerge w:val="continue"/>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color w:val="auto"/>
                      <w:sz w:val="21"/>
                      <w:szCs w:val="21"/>
                      <w:vertAlign w:val="baseline"/>
                      <w:lang w:val="en-US" w:eastAsia="zh-CN"/>
                    </w:rPr>
                  </w:pPr>
                </w:p>
              </w:tc>
              <w:tc>
                <w:tcPr>
                  <w:tcW w:w="715" w:type="pct"/>
                  <w:vMerge w:val="continue"/>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color w:val="auto"/>
                      <w:sz w:val="21"/>
                      <w:szCs w:val="21"/>
                      <w:vertAlign w:val="baseline"/>
                      <w:lang w:val="en-US" w:eastAsia="zh-CN"/>
                    </w:rPr>
                  </w:pPr>
                </w:p>
              </w:tc>
              <w:tc>
                <w:tcPr>
                  <w:tcW w:w="426" w:type="pct"/>
                  <w:vMerge w:val="continue"/>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color w:val="auto"/>
                      <w:sz w:val="21"/>
                      <w:szCs w:val="21"/>
                      <w:vertAlign w:val="baseline"/>
                      <w:lang w:val="en-US" w:eastAsia="zh-CN"/>
                    </w:rPr>
                  </w:pPr>
                </w:p>
              </w:tc>
              <w:tc>
                <w:tcPr>
                  <w:tcW w:w="509" w:type="pct"/>
                  <w:vMerge w:val="continue"/>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color w:val="auto"/>
                      <w:sz w:val="21"/>
                      <w:szCs w:val="21"/>
                      <w:vertAlign w:val="baseline"/>
                      <w:lang w:val="en-US" w:eastAsia="zh-CN"/>
                    </w:rPr>
                  </w:pPr>
                </w:p>
              </w:tc>
              <w:tc>
                <w:tcPr>
                  <w:tcW w:w="551" w:type="pct"/>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color w:val="auto"/>
                      <w:sz w:val="21"/>
                      <w:szCs w:val="21"/>
                      <w:vertAlign w:val="baseline"/>
                      <w:lang w:val="en-US" w:eastAsia="zh-CN"/>
                    </w:rPr>
                  </w:pPr>
                  <w:r>
                    <w:rPr>
                      <w:rFonts w:hint="default"/>
                      <w:color w:val="auto"/>
                      <w:sz w:val="21"/>
                      <w:szCs w:val="21"/>
                      <w:vertAlign w:val="baseline"/>
                      <w:lang w:val="en-US" w:eastAsia="zh-CN"/>
                    </w:rPr>
                    <w:t>污染治理设施编号</w:t>
                  </w:r>
                </w:p>
              </w:tc>
              <w:tc>
                <w:tcPr>
                  <w:tcW w:w="517" w:type="pct"/>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color w:val="auto"/>
                      <w:sz w:val="21"/>
                      <w:szCs w:val="21"/>
                      <w:vertAlign w:val="baseline"/>
                      <w:lang w:val="en-US" w:eastAsia="zh-CN"/>
                    </w:rPr>
                  </w:pPr>
                  <w:r>
                    <w:rPr>
                      <w:rFonts w:hint="default"/>
                      <w:color w:val="auto"/>
                      <w:sz w:val="21"/>
                      <w:szCs w:val="21"/>
                      <w:vertAlign w:val="baseline"/>
                      <w:lang w:val="en-US" w:eastAsia="zh-CN"/>
                    </w:rPr>
                    <w:t>污染治理设施名称</w:t>
                  </w:r>
                </w:p>
              </w:tc>
              <w:tc>
                <w:tcPr>
                  <w:tcW w:w="772" w:type="pct"/>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color w:val="auto"/>
                      <w:sz w:val="21"/>
                      <w:szCs w:val="21"/>
                      <w:vertAlign w:val="baseline"/>
                      <w:lang w:val="en-US" w:eastAsia="zh-CN"/>
                    </w:rPr>
                  </w:pPr>
                  <w:r>
                    <w:rPr>
                      <w:rFonts w:hint="default"/>
                      <w:color w:val="auto"/>
                      <w:sz w:val="21"/>
                      <w:szCs w:val="21"/>
                      <w:vertAlign w:val="baseline"/>
                      <w:lang w:val="en-US" w:eastAsia="zh-CN"/>
                    </w:rPr>
                    <w:t>污染治理设施工艺</w:t>
                  </w:r>
                </w:p>
              </w:tc>
              <w:tc>
                <w:tcPr>
                  <w:tcW w:w="556" w:type="pct"/>
                  <w:vMerge w:val="continue"/>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 w:type="pct"/>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ascii="Times New Roman" w:hAnsi="Times New Roman" w:cs="Times New Roman"/>
                      <w:b w:val="0"/>
                      <w:bCs/>
                      <w:color w:val="auto"/>
                      <w:sz w:val="21"/>
                      <w:szCs w:val="21"/>
                      <w:vertAlign w:val="baseline"/>
                      <w:lang w:val="en-US" w:eastAsia="zh-CN"/>
                    </w:rPr>
                  </w:pPr>
                  <w:r>
                    <w:rPr>
                      <w:rFonts w:hint="default" w:ascii="Times New Roman" w:hAnsi="Times New Roman" w:cs="Times New Roman"/>
                      <w:b w:val="0"/>
                      <w:bCs/>
                      <w:color w:val="auto"/>
                      <w:sz w:val="21"/>
                      <w:szCs w:val="21"/>
                      <w:vertAlign w:val="baseline"/>
                      <w:lang w:val="en-US" w:eastAsia="zh-CN"/>
                    </w:rPr>
                    <w:t>1</w:t>
                  </w:r>
                </w:p>
              </w:tc>
              <w:tc>
                <w:tcPr>
                  <w:tcW w:w="636" w:type="pct"/>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ascii="Times New Roman" w:hAnsi="Times New Roman" w:cs="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生活污水、锅炉排污水</w:t>
                  </w:r>
                </w:p>
              </w:tc>
              <w:tc>
                <w:tcPr>
                  <w:tcW w:w="715" w:type="pct"/>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ascii="Times New Roman" w:hAnsi="Times New Roman" w:cs="Times New Roman"/>
                      <w:b w:val="0"/>
                      <w:bCs/>
                      <w:color w:val="auto"/>
                      <w:sz w:val="21"/>
                      <w:szCs w:val="21"/>
                      <w:vertAlign w:val="baseline"/>
                      <w:lang w:val="en-US" w:eastAsia="zh-CN"/>
                    </w:rPr>
                  </w:pPr>
                  <w:r>
                    <w:rPr>
                      <w:rFonts w:hint="default" w:ascii="Times New Roman" w:hAnsi="Times New Roman" w:cs="Times New Roman"/>
                      <w:b w:val="0"/>
                      <w:bCs/>
                      <w:color w:val="auto"/>
                      <w:sz w:val="21"/>
                      <w:szCs w:val="21"/>
                      <w:vertAlign w:val="baseline"/>
                      <w:lang w:val="en-US" w:eastAsia="zh-CN"/>
                    </w:rPr>
                    <w:t>COD、BOD5、SS、NH</w:t>
                  </w:r>
                  <w:r>
                    <w:rPr>
                      <w:rFonts w:hint="default" w:ascii="Times New Roman" w:hAnsi="Times New Roman" w:cs="Times New Roman"/>
                      <w:b w:val="0"/>
                      <w:bCs/>
                      <w:color w:val="auto"/>
                      <w:sz w:val="21"/>
                      <w:szCs w:val="21"/>
                      <w:vertAlign w:val="subscript"/>
                      <w:lang w:val="en-US" w:eastAsia="zh-CN"/>
                    </w:rPr>
                    <w:t>3</w:t>
                  </w:r>
                  <w:r>
                    <w:rPr>
                      <w:rFonts w:hint="default" w:ascii="Times New Roman" w:hAnsi="Times New Roman" w:cs="Times New Roman"/>
                      <w:b w:val="0"/>
                      <w:bCs/>
                      <w:color w:val="auto"/>
                      <w:sz w:val="21"/>
                      <w:szCs w:val="21"/>
                      <w:vertAlign w:val="baseline"/>
                      <w:lang w:val="en-US" w:eastAsia="zh-CN"/>
                    </w:rPr>
                    <w:t>-N、TP</w:t>
                  </w:r>
                  <w:r>
                    <w:rPr>
                      <w:rFonts w:hint="eastAsia" w:ascii="Times New Roman" w:hAnsi="Times New Roman" w:cs="Times New Roman"/>
                      <w:b w:val="0"/>
                      <w:bCs/>
                      <w:color w:val="auto"/>
                      <w:sz w:val="21"/>
                      <w:szCs w:val="21"/>
                      <w:vertAlign w:val="baseline"/>
                      <w:lang w:val="en-US" w:eastAsia="zh-CN"/>
                    </w:rPr>
                    <w:t>、动植物油</w:t>
                  </w:r>
                </w:p>
              </w:tc>
              <w:tc>
                <w:tcPr>
                  <w:tcW w:w="426" w:type="pct"/>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ascii="Times New Roman" w:hAnsi="Times New Roman" w:cs="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回用</w:t>
                  </w:r>
                </w:p>
              </w:tc>
              <w:tc>
                <w:tcPr>
                  <w:tcW w:w="509" w:type="pct"/>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ascii="Times New Roman" w:hAnsi="Times New Roman" w:cs="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w:t>
                  </w:r>
                </w:p>
              </w:tc>
              <w:tc>
                <w:tcPr>
                  <w:tcW w:w="551" w:type="pct"/>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ascii="Times New Roman" w:hAnsi="Times New Roman" w:cs="Times New Roman"/>
                      <w:b w:val="0"/>
                      <w:bCs/>
                      <w:color w:val="auto"/>
                      <w:sz w:val="21"/>
                      <w:szCs w:val="21"/>
                      <w:vertAlign w:val="baseline"/>
                      <w:lang w:val="en-US" w:eastAsia="zh-CN"/>
                    </w:rPr>
                  </w:pPr>
                  <w:r>
                    <w:rPr>
                      <w:rFonts w:hint="eastAsia" w:ascii="Times New Roman" w:hAnsi="Times New Roman" w:cs="Times New Roman"/>
                      <w:b w:val="0"/>
                      <w:bCs/>
                      <w:color w:val="auto"/>
                      <w:sz w:val="21"/>
                      <w:szCs w:val="21"/>
                      <w:vertAlign w:val="baseline"/>
                      <w:lang w:val="en-US" w:eastAsia="zh-CN"/>
                    </w:rPr>
                    <w:t>/</w:t>
                  </w:r>
                </w:p>
              </w:tc>
              <w:tc>
                <w:tcPr>
                  <w:tcW w:w="517" w:type="pct"/>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ascii="Times New Roman" w:hAnsi="Times New Roman" w:cs="Times New Roman"/>
                      <w:b w:val="0"/>
                      <w:bCs/>
                      <w:color w:val="auto"/>
                      <w:sz w:val="21"/>
                      <w:szCs w:val="21"/>
                      <w:vertAlign w:val="baseline"/>
                      <w:lang w:val="en-US" w:eastAsia="zh-CN"/>
                    </w:rPr>
                  </w:pPr>
                  <w:r>
                    <w:rPr>
                      <w:rFonts w:hint="default" w:ascii="Times New Roman" w:hAnsi="Times New Roman" w:cs="Times New Roman"/>
                      <w:b w:val="0"/>
                      <w:bCs/>
                      <w:color w:val="auto"/>
                      <w:sz w:val="21"/>
                      <w:szCs w:val="21"/>
                      <w:vertAlign w:val="baseline"/>
                      <w:lang w:val="en-US" w:eastAsia="zh-CN"/>
                    </w:rPr>
                    <w:t>污水处理站</w:t>
                  </w:r>
                </w:p>
              </w:tc>
              <w:tc>
                <w:tcPr>
                  <w:tcW w:w="772" w:type="pct"/>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b w:val="0"/>
                      <w:bCs/>
                      <w:color w:val="auto"/>
                      <w:sz w:val="21"/>
                      <w:szCs w:val="21"/>
                      <w:vertAlign w:val="baseline"/>
                      <w:lang w:val="en-US" w:eastAsia="zh-CN"/>
                    </w:rPr>
                  </w:pPr>
                  <w:r>
                    <w:rPr>
                      <w:rFonts w:hint="default" w:ascii="Times New Roman" w:hAnsi="Times New Roman" w:cs="Times New Roman"/>
                      <w:b w:val="0"/>
                      <w:bCs/>
                      <w:color w:val="auto"/>
                      <w:sz w:val="21"/>
                      <w:szCs w:val="21"/>
                      <w:vertAlign w:val="baseline"/>
                      <w:lang w:val="en-US" w:eastAsia="zh-CN"/>
                    </w:rPr>
                    <w:t>格栅井+调节池+混凝沉淀+水解酸化+A/O+二沉池+深度反应池+三沉池</w:t>
                  </w:r>
                </w:p>
              </w:tc>
              <w:tc>
                <w:tcPr>
                  <w:tcW w:w="556" w:type="pct"/>
                  <w:vAlign w:val="center"/>
                </w:tcPr>
                <w:p>
                  <w:pPr>
                    <w:pStyle w:val="5"/>
                    <w:keepNext/>
                    <w:keepLines/>
                    <w:pageBreakBefore w:val="0"/>
                    <w:widowControl w:val="0"/>
                    <w:suppressLineNumbers w:val="0"/>
                    <w:kinsoku/>
                    <w:wordWrap/>
                    <w:overflowPunct/>
                    <w:topLinePunct w:val="0"/>
                    <w:autoSpaceDE/>
                    <w:autoSpaceDN/>
                    <w:bidi w:val="0"/>
                    <w:adjustRightInd/>
                    <w:snapToGrid/>
                    <w:spacing w:before="95" w:beforeLines="30" w:after="95" w:afterLines="30" w:line="240" w:lineRule="auto"/>
                    <w:ind w:left="0" w:right="0"/>
                    <w:jc w:val="center"/>
                    <w:textAlignment w:val="auto"/>
                    <w:rPr>
                      <w:rFonts w:hint="default"/>
                      <w:b w:val="0"/>
                      <w:bCs/>
                      <w:color w:val="auto"/>
                      <w:sz w:val="21"/>
                      <w:szCs w:val="21"/>
                      <w:vertAlign w:val="baseline"/>
                      <w:lang w:val="en-US" w:eastAsia="zh-CN"/>
                    </w:rPr>
                  </w:pPr>
                  <w:r>
                    <w:rPr>
                      <w:rFonts w:hint="eastAsia"/>
                      <w:b w:val="0"/>
                      <w:bCs/>
                      <w:color w:val="auto"/>
                      <w:sz w:val="21"/>
                      <w:szCs w:val="21"/>
                      <w:vertAlign w:val="baseline"/>
                      <w:lang w:val="en-US" w:eastAsia="zh-CN"/>
                    </w:rPr>
                    <w:t>/</w:t>
                  </w:r>
                </w:p>
              </w:tc>
            </w:tr>
          </w:tbl>
          <w:p>
            <w:pPr>
              <w:pStyle w:val="6"/>
              <w:keepNext w:val="0"/>
              <w:keepLines w:val="0"/>
              <w:suppressLineNumbers w:val="0"/>
              <w:spacing w:before="0" w:beforeAutospacing="0" w:after="0" w:afterAutospacing="0" w:line="360" w:lineRule="auto"/>
              <w:ind w:left="0" w:right="0" w:firstLine="482"/>
              <w:rPr>
                <w:rFonts w:hint="eastAsia"/>
                <w:b/>
                <w:bCs/>
                <w:color w:val="auto"/>
                <w:sz w:val="24"/>
              </w:rPr>
            </w:pPr>
            <w:r>
              <w:rPr>
                <w:rFonts w:hint="eastAsia"/>
                <w:b/>
                <w:bCs/>
                <w:color w:val="auto"/>
                <w:sz w:val="24"/>
              </w:rPr>
              <w:t>三、声环境影响和保护措施</w:t>
            </w:r>
          </w:p>
          <w:p>
            <w:pPr>
              <w:pStyle w:val="6"/>
              <w:keepNext w:val="0"/>
              <w:keepLines w:val="0"/>
              <w:suppressLineNumbers w:val="0"/>
              <w:spacing w:before="0" w:beforeAutospacing="0" w:after="0" w:afterAutospacing="0" w:line="360" w:lineRule="auto"/>
              <w:ind w:left="0" w:right="0" w:firstLine="482"/>
              <w:rPr>
                <w:rFonts w:hint="eastAsia"/>
                <w:b/>
                <w:bCs/>
                <w:color w:val="auto"/>
                <w:sz w:val="24"/>
              </w:rPr>
            </w:pPr>
            <w:r>
              <w:rPr>
                <w:rFonts w:hint="eastAsia"/>
                <w:b/>
                <w:bCs/>
                <w:color w:val="auto"/>
                <w:sz w:val="24"/>
              </w:rPr>
              <w:t>1、噪声污染源分析</w:t>
            </w:r>
          </w:p>
          <w:p>
            <w:pPr>
              <w:keepNext w:val="0"/>
              <w:keepLines w:val="0"/>
              <w:widowControl/>
              <w:suppressLineNumbers w:val="0"/>
              <w:spacing w:before="0" w:beforeAutospacing="0" w:after="0" w:afterAutospacing="0" w:line="360" w:lineRule="auto"/>
              <w:ind w:left="0" w:right="0" w:firstLine="480" w:firstLineChars="200"/>
              <w:jc w:val="left"/>
              <w:rPr>
                <w:rFonts w:hint="eastAsia"/>
                <w:b/>
                <w:color w:val="auto"/>
                <w:szCs w:val="21"/>
                <w:u w:val="single"/>
              </w:rPr>
            </w:pPr>
            <w:r>
              <w:rPr>
                <w:rFonts w:hint="eastAsia"/>
                <w:color w:val="auto"/>
                <w:sz w:val="24"/>
                <w:u w:val="single"/>
                <w:lang w:val="en-US" w:eastAsia="zh-CN"/>
              </w:rPr>
              <w:t>室外设备如搅拌机及潜水泵等设备主要位于水下，产生噪声较小</w:t>
            </w:r>
            <w:r>
              <w:rPr>
                <w:rFonts w:hint="eastAsia"/>
                <w:color w:val="auto"/>
                <w:sz w:val="24"/>
                <w:u w:val="single"/>
              </w:rPr>
              <w:t>。项目噪声主要来源于</w:t>
            </w:r>
            <w:r>
              <w:rPr>
                <w:rFonts w:hint="eastAsia"/>
                <w:color w:val="auto"/>
                <w:sz w:val="24"/>
                <w:u w:val="single"/>
                <w:lang w:val="en-US" w:eastAsia="zh-CN"/>
              </w:rPr>
              <w:t>设备间设备</w:t>
            </w:r>
            <w:r>
              <w:rPr>
                <w:rFonts w:hint="eastAsia"/>
                <w:color w:val="auto"/>
                <w:sz w:val="24"/>
                <w:u w:val="single"/>
              </w:rPr>
              <w:t>运行时产生的噪声，其噪声值在75-</w:t>
            </w:r>
            <w:r>
              <w:rPr>
                <w:rFonts w:hint="eastAsia"/>
                <w:color w:val="auto"/>
                <w:sz w:val="24"/>
                <w:u w:val="single"/>
                <w:lang w:val="en-US" w:eastAsia="zh-CN"/>
              </w:rPr>
              <w:t>85</w:t>
            </w:r>
            <w:r>
              <w:rPr>
                <w:rFonts w:hint="eastAsia"/>
                <w:color w:val="auto"/>
                <w:sz w:val="24"/>
                <w:u w:val="single"/>
              </w:rPr>
              <w:t>dB(A）之间，</w:t>
            </w:r>
          </w:p>
          <w:p>
            <w:pPr>
              <w:keepNext w:val="0"/>
              <w:keepLines w:val="0"/>
              <w:widowControl/>
              <w:suppressLineNumbers w:val="0"/>
              <w:spacing w:before="0" w:beforeAutospacing="0" w:after="0" w:afterAutospacing="0" w:line="360" w:lineRule="auto"/>
              <w:ind w:left="0" w:right="0"/>
              <w:jc w:val="center"/>
              <w:rPr>
                <w:rFonts w:hint="eastAsia"/>
                <w:b/>
                <w:color w:val="auto"/>
                <w:szCs w:val="21"/>
              </w:rPr>
            </w:pPr>
            <w:r>
              <w:rPr>
                <w:rFonts w:hint="default"/>
                <w:b/>
                <w:color w:val="auto"/>
                <w:szCs w:val="21"/>
              </w:rPr>
              <w:t>表4-</w:t>
            </w:r>
            <w:r>
              <w:rPr>
                <w:rFonts w:hint="eastAsia"/>
                <w:b/>
                <w:color w:val="auto"/>
                <w:szCs w:val="21"/>
                <w:lang w:val="en-US" w:eastAsia="zh-CN"/>
              </w:rPr>
              <w:t>6</w:t>
            </w:r>
            <w:r>
              <w:rPr>
                <w:rFonts w:hint="default"/>
                <w:b/>
                <w:color w:val="auto"/>
                <w:szCs w:val="21"/>
              </w:rPr>
              <w:t xml:space="preserve">  </w:t>
            </w:r>
            <w:r>
              <w:rPr>
                <w:rFonts w:hint="eastAsia"/>
                <w:b/>
                <w:color w:val="auto"/>
                <w:szCs w:val="21"/>
              </w:rPr>
              <w:t>工业企业噪声源强调查清单（室</w:t>
            </w:r>
            <w:r>
              <w:rPr>
                <w:rFonts w:hint="eastAsia"/>
                <w:b/>
                <w:color w:val="auto"/>
                <w:szCs w:val="21"/>
                <w:lang w:val="en-US" w:eastAsia="zh-CN"/>
              </w:rPr>
              <w:t>内</w:t>
            </w:r>
            <w:r>
              <w:rPr>
                <w:rFonts w:hint="eastAsia"/>
                <w:b/>
                <w:color w:val="auto"/>
                <w:szCs w:val="21"/>
              </w:rPr>
              <w:t>声源）</w:t>
            </w:r>
          </w:p>
          <w:tbl>
            <w:tblPr>
              <w:tblStyle w:val="3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568"/>
              <w:gridCol w:w="512"/>
              <w:gridCol w:w="866"/>
              <w:gridCol w:w="576"/>
              <w:gridCol w:w="456"/>
              <w:gridCol w:w="456"/>
              <w:gridCol w:w="486"/>
              <w:gridCol w:w="450"/>
              <w:gridCol w:w="399"/>
              <w:gridCol w:w="846"/>
              <w:gridCol w:w="627"/>
              <w:gridCol w:w="706"/>
              <w:gridCol w:w="706"/>
              <w:gridCol w:w="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序号</w:t>
                  </w:r>
                </w:p>
              </w:tc>
              <w:tc>
                <w:tcPr>
                  <w:tcW w:w="334"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建筑物名称</w:t>
                  </w:r>
                </w:p>
              </w:tc>
              <w:tc>
                <w:tcPr>
                  <w:tcW w:w="301"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声源名称</w:t>
                  </w:r>
                </w:p>
              </w:tc>
              <w:tc>
                <w:tcPr>
                  <w:tcW w:w="508"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eastAsia" w:eastAsia="宋体"/>
                      <w:color w:val="auto"/>
                      <w:vertAlign w:val="baseline"/>
                      <w:lang w:val="en-US" w:eastAsia="zh-CN"/>
                    </w:rPr>
                  </w:pPr>
                  <w:r>
                    <w:rPr>
                      <w:rFonts w:hint="eastAsia"/>
                      <w:color w:val="auto"/>
                      <w:vertAlign w:val="baseline"/>
                      <w:lang w:val="en-US" w:eastAsia="zh-CN"/>
                    </w:rPr>
                    <w:t>声压级/距源距离dB(A)/m</w:t>
                  </w:r>
                </w:p>
              </w:tc>
              <w:tc>
                <w:tcPr>
                  <w:tcW w:w="338"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声源控制措施</w:t>
                  </w:r>
                </w:p>
              </w:tc>
              <w:tc>
                <w:tcPr>
                  <w:tcW w:w="820" w:type="pct"/>
                  <w:gridSpan w:val="3"/>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空间相对位置/m</w:t>
                  </w:r>
                </w:p>
              </w:tc>
              <w:tc>
                <w:tcPr>
                  <w:tcW w:w="500" w:type="pct"/>
                  <w:gridSpan w:val="2"/>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距室内边界距离/m</w:t>
                  </w:r>
                </w:p>
              </w:tc>
              <w:tc>
                <w:tcPr>
                  <w:tcW w:w="496"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r>
                    <w:rPr>
                      <w:rFonts w:hint="eastAsia"/>
                      <w:color w:val="auto"/>
                      <w:vertAlign w:val="baseline"/>
                    </w:rPr>
                    <w:t>室内边界声级/dB</w:t>
                  </w:r>
                  <w:r>
                    <w:rPr>
                      <w:rFonts w:hint="eastAsia"/>
                      <w:color w:val="auto"/>
                      <w:vertAlign w:val="baseline"/>
                      <w:lang w:val="en-US" w:eastAsia="zh-CN"/>
                    </w:rPr>
                    <w:t>(</w:t>
                  </w:r>
                  <w:r>
                    <w:rPr>
                      <w:rFonts w:hint="eastAsia"/>
                      <w:color w:val="auto"/>
                      <w:vertAlign w:val="baseline"/>
                    </w:rPr>
                    <w:t>A）</w:t>
                  </w:r>
                </w:p>
              </w:tc>
              <w:tc>
                <w:tcPr>
                  <w:tcW w:w="368"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运行时段</w:t>
                  </w:r>
                </w:p>
              </w:tc>
              <w:tc>
                <w:tcPr>
                  <w:tcW w:w="414"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r>
                    <w:rPr>
                      <w:rFonts w:hint="eastAsia"/>
                      <w:color w:val="auto"/>
                      <w:vertAlign w:val="baseline"/>
                    </w:rPr>
                    <w:t>建筑物插入损失/dB（A）</w:t>
                  </w:r>
                </w:p>
              </w:tc>
              <w:tc>
                <w:tcPr>
                  <w:tcW w:w="684" w:type="pct"/>
                  <w:gridSpan w:val="2"/>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r>
                    <w:rPr>
                      <w:rFonts w:hint="eastAsia"/>
                      <w:color w:val="auto"/>
                      <w:vertAlign w:val="baseline"/>
                    </w:rPr>
                    <w:t>建筑物外噪声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eastAsia" w:eastAsia="宋体"/>
                      <w:color w:val="auto"/>
                      <w:vertAlign w:val="baseline"/>
                      <w:lang w:val="en-US" w:eastAsia="zh-CN"/>
                    </w:rPr>
                  </w:pPr>
                </w:p>
              </w:tc>
              <w:tc>
                <w:tcPr>
                  <w:tcW w:w="334"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eastAsia" w:eastAsia="宋体"/>
                      <w:color w:val="auto"/>
                      <w:vertAlign w:val="baseline"/>
                      <w:lang w:val="en-US" w:eastAsia="zh-CN"/>
                    </w:rPr>
                  </w:pPr>
                </w:p>
              </w:tc>
              <w:tc>
                <w:tcPr>
                  <w:tcW w:w="301"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508"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p>
              </w:tc>
              <w:tc>
                <w:tcPr>
                  <w:tcW w:w="338"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67"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eastAsia" w:eastAsia="宋体"/>
                      <w:color w:val="auto"/>
                      <w:vertAlign w:val="baseline"/>
                      <w:lang w:val="en-US" w:eastAsia="zh-CN"/>
                    </w:rPr>
                  </w:pPr>
                  <w:r>
                    <w:rPr>
                      <w:rFonts w:hint="eastAsia"/>
                      <w:color w:val="auto"/>
                      <w:vertAlign w:val="baseline"/>
                      <w:lang w:val="en-US" w:eastAsia="zh-CN"/>
                    </w:rPr>
                    <w:t>X</w:t>
                  </w:r>
                </w:p>
              </w:tc>
              <w:tc>
                <w:tcPr>
                  <w:tcW w:w="267"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eastAsia" w:eastAsia="宋体"/>
                      <w:color w:val="auto"/>
                      <w:vertAlign w:val="baseline"/>
                      <w:lang w:val="en-US" w:eastAsia="zh-CN"/>
                    </w:rPr>
                  </w:pPr>
                  <w:r>
                    <w:rPr>
                      <w:rFonts w:hint="eastAsia"/>
                      <w:color w:val="auto"/>
                      <w:vertAlign w:val="baseline"/>
                      <w:lang w:val="en-US" w:eastAsia="zh-CN"/>
                    </w:rPr>
                    <w:t>Y</w:t>
                  </w:r>
                </w:p>
              </w:tc>
              <w:tc>
                <w:tcPr>
                  <w:tcW w:w="284"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eastAsia" w:eastAsia="宋体"/>
                      <w:color w:val="auto"/>
                      <w:vertAlign w:val="baseline"/>
                      <w:lang w:val="en-US" w:eastAsia="zh-CN"/>
                    </w:rPr>
                  </w:pPr>
                  <w:r>
                    <w:rPr>
                      <w:rFonts w:hint="eastAsia"/>
                      <w:color w:val="auto"/>
                      <w:vertAlign w:val="baseline"/>
                      <w:lang w:val="en-US" w:eastAsia="zh-CN"/>
                    </w:rPr>
                    <w:t>Z</w:t>
                  </w:r>
                </w:p>
              </w:tc>
              <w:tc>
                <w:tcPr>
                  <w:tcW w:w="500" w:type="pct"/>
                  <w:gridSpan w:val="2"/>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496"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368"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414"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414"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r>
                    <w:rPr>
                      <w:rFonts w:hint="eastAsia"/>
                      <w:color w:val="auto"/>
                      <w:vertAlign w:val="baseline"/>
                    </w:rPr>
                    <w:t>声压级/dB（A）</w:t>
                  </w:r>
                </w:p>
              </w:tc>
              <w:tc>
                <w:tcPr>
                  <w:tcW w:w="270"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r>
                    <w:rPr>
                      <w:rFonts w:hint="eastAsia"/>
                      <w:color w:val="auto"/>
                      <w:vertAlign w:val="baseline"/>
                    </w:rPr>
                    <w:t>建筑物外距离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rightChars="0"/>
                    <w:jc w:val="center"/>
                    <w:textAlignment w:val="auto"/>
                    <w:rPr>
                      <w:rFonts w:hint="eastAsia" w:ascii="Times New Roman" w:hAnsi="Times New Roman" w:eastAsia="宋体" w:cs="Times New Roman"/>
                      <w:color w:val="auto"/>
                      <w:kern w:val="0"/>
                      <w:sz w:val="18"/>
                      <w:szCs w:val="20"/>
                      <w:vertAlign w:val="baseline"/>
                      <w:lang w:val="en-US" w:eastAsia="zh-CN" w:bidi="ar-SA"/>
                    </w:rPr>
                  </w:pPr>
                  <w:r>
                    <w:rPr>
                      <w:rFonts w:hint="eastAsia"/>
                      <w:color w:val="auto"/>
                      <w:vertAlign w:val="baseline"/>
                      <w:lang w:val="en-US" w:eastAsia="zh-CN"/>
                    </w:rPr>
                    <w:t>1</w:t>
                  </w:r>
                </w:p>
              </w:tc>
              <w:tc>
                <w:tcPr>
                  <w:tcW w:w="334"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rightChars="0"/>
                    <w:jc w:val="center"/>
                    <w:textAlignment w:val="auto"/>
                    <w:rPr>
                      <w:rFonts w:hint="eastAsia" w:ascii="Times New Roman" w:hAnsi="Times New Roman" w:eastAsia="宋体" w:cs="Times New Roman"/>
                      <w:color w:val="auto"/>
                      <w:kern w:val="0"/>
                      <w:sz w:val="18"/>
                      <w:szCs w:val="20"/>
                      <w:vertAlign w:val="baseline"/>
                      <w:lang w:val="en-US" w:eastAsia="zh-CN" w:bidi="ar-SA"/>
                    </w:rPr>
                  </w:pPr>
                  <w:r>
                    <w:rPr>
                      <w:rFonts w:hint="eastAsia"/>
                      <w:color w:val="auto"/>
                      <w:vertAlign w:val="baseline"/>
                      <w:lang w:val="en-US" w:eastAsia="zh-CN"/>
                    </w:rPr>
                    <w:t>设备间</w:t>
                  </w:r>
                </w:p>
              </w:tc>
              <w:tc>
                <w:tcPr>
                  <w:tcW w:w="301"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rightChars="0"/>
                    <w:jc w:val="center"/>
                    <w:textAlignment w:val="auto"/>
                    <w:rPr>
                      <w:rFonts w:hint="default" w:ascii="Times New Roman" w:hAnsi="Times New Roman" w:eastAsia="宋体" w:cs="Times New Roman"/>
                      <w:color w:val="auto"/>
                      <w:kern w:val="0"/>
                      <w:sz w:val="18"/>
                      <w:szCs w:val="20"/>
                      <w:vertAlign w:val="baseline"/>
                      <w:lang w:val="en-US" w:eastAsia="zh-CN" w:bidi="ar-SA"/>
                    </w:rPr>
                  </w:pPr>
                  <w:r>
                    <w:rPr>
                      <w:rFonts w:hint="eastAsia"/>
                      <w:color w:val="auto"/>
                      <w:vertAlign w:val="baseline"/>
                    </w:rPr>
                    <w:t>空气悬浮风机</w:t>
                  </w:r>
                </w:p>
              </w:tc>
              <w:tc>
                <w:tcPr>
                  <w:tcW w:w="508"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rightChars="0"/>
                    <w:jc w:val="center"/>
                    <w:textAlignment w:val="auto"/>
                    <w:rPr>
                      <w:rFonts w:hint="default" w:ascii="Times New Roman" w:hAnsi="Times New Roman" w:eastAsia="宋体" w:cs="Times New Roman"/>
                      <w:color w:val="auto"/>
                      <w:kern w:val="0"/>
                      <w:sz w:val="18"/>
                      <w:szCs w:val="20"/>
                      <w:vertAlign w:val="baseline"/>
                      <w:lang w:val="en-US" w:eastAsia="zh-CN" w:bidi="ar-SA"/>
                    </w:rPr>
                  </w:pPr>
                  <w:r>
                    <w:rPr>
                      <w:rFonts w:hint="eastAsia"/>
                      <w:color w:val="auto"/>
                      <w:vertAlign w:val="baseline"/>
                      <w:lang w:val="en-US" w:eastAsia="zh-CN"/>
                    </w:rPr>
                    <w:t>85/1</w:t>
                  </w:r>
                </w:p>
              </w:tc>
              <w:tc>
                <w:tcPr>
                  <w:tcW w:w="338"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rightChars="0"/>
                    <w:jc w:val="center"/>
                    <w:textAlignment w:val="auto"/>
                    <w:rPr>
                      <w:rFonts w:hint="default" w:ascii="Times New Roman" w:hAnsi="Times New Roman" w:eastAsia="宋体" w:cs="Times New Roman"/>
                      <w:color w:val="auto"/>
                      <w:kern w:val="0"/>
                      <w:sz w:val="18"/>
                      <w:szCs w:val="20"/>
                      <w:vertAlign w:val="baseline"/>
                      <w:lang w:val="en-US" w:eastAsia="zh-CN" w:bidi="ar-SA"/>
                    </w:rPr>
                  </w:pPr>
                  <w:r>
                    <w:rPr>
                      <w:rFonts w:hint="eastAsia"/>
                      <w:color w:val="auto"/>
                      <w:vertAlign w:val="baseline"/>
                    </w:rPr>
                    <w:t>合理布置、基础减震、隔声处</w:t>
                  </w:r>
                </w:p>
              </w:tc>
              <w:tc>
                <w:tcPr>
                  <w:tcW w:w="267"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-76</w:t>
                  </w:r>
                </w:p>
              </w:tc>
              <w:tc>
                <w:tcPr>
                  <w:tcW w:w="267"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-12</w:t>
                  </w:r>
                </w:p>
              </w:tc>
              <w:tc>
                <w:tcPr>
                  <w:tcW w:w="284"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1.2</w:t>
                  </w:r>
                </w:p>
              </w:tc>
              <w:tc>
                <w:tcPr>
                  <w:tcW w:w="265"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东</w:t>
                  </w:r>
                </w:p>
              </w:tc>
              <w:tc>
                <w:tcPr>
                  <w:tcW w:w="235"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eastAsia" w:eastAsia="宋体"/>
                      <w:color w:val="auto"/>
                      <w:vertAlign w:val="baseline"/>
                      <w:lang w:val="en-US" w:eastAsia="zh-CN"/>
                    </w:rPr>
                  </w:pPr>
                  <w:r>
                    <w:rPr>
                      <w:rFonts w:hint="eastAsia"/>
                      <w:color w:val="auto"/>
                      <w:vertAlign w:val="baseline"/>
                      <w:lang w:val="en-US" w:eastAsia="zh-CN"/>
                    </w:rPr>
                    <w:t>3</w:t>
                  </w:r>
                </w:p>
              </w:tc>
              <w:tc>
                <w:tcPr>
                  <w:tcW w:w="496"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75.46</w:t>
                  </w:r>
                </w:p>
              </w:tc>
              <w:tc>
                <w:tcPr>
                  <w:tcW w:w="368"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eastAsia"/>
                      <w:color w:val="auto"/>
                      <w:vertAlign w:val="baseline"/>
                      <w:lang w:val="en-US" w:eastAsia="zh-CN"/>
                    </w:rPr>
                  </w:pPr>
                  <w:r>
                    <w:rPr>
                      <w:rFonts w:hint="eastAsia"/>
                      <w:color w:val="auto"/>
                      <w:vertAlign w:val="baseline"/>
                      <w:lang w:val="en-US" w:eastAsia="zh-CN"/>
                    </w:rPr>
                    <w:t>0:00-</w:t>
                  </w:r>
                </w:p>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24:00</w:t>
                  </w:r>
                </w:p>
              </w:tc>
              <w:tc>
                <w:tcPr>
                  <w:tcW w:w="414"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20</w:t>
                  </w:r>
                </w:p>
              </w:tc>
              <w:tc>
                <w:tcPr>
                  <w:tcW w:w="414"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55.46</w:t>
                  </w:r>
                </w:p>
              </w:tc>
              <w:tc>
                <w:tcPr>
                  <w:tcW w:w="270"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eastAsia" w:eastAsia="宋体"/>
                      <w:color w:val="auto"/>
                      <w:vertAlign w:val="baseline"/>
                      <w:lang w:val="en-US" w:eastAsia="zh-CN"/>
                    </w:rPr>
                  </w:pPr>
                  <w:r>
                    <w:rPr>
                      <w:rFonts w:hint="eastAsia"/>
                      <w:color w:val="auto"/>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32"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334"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301"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508"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338"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67"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67"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84"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65"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eastAsia" w:eastAsia="宋体"/>
                      <w:color w:val="auto"/>
                      <w:vertAlign w:val="baseline"/>
                      <w:lang w:val="en-US" w:eastAsia="zh-CN"/>
                    </w:rPr>
                  </w:pPr>
                  <w:r>
                    <w:rPr>
                      <w:rFonts w:hint="eastAsia"/>
                      <w:color w:val="auto"/>
                      <w:vertAlign w:val="baseline"/>
                      <w:lang w:val="en-US" w:eastAsia="zh-CN"/>
                    </w:rPr>
                    <w:t>南</w:t>
                  </w:r>
                </w:p>
              </w:tc>
              <w:tc>
                <w:tcPr>
                  <w:tcW w:w="235"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eastAsia" w:eastAsia="宋体"/>
                      <w:color w:val="auto"/>
                      <w:vertAlign w:val="baseline"/>
                      <w:lang w:val="en-US" w:eastAsia="zh-CN"/>
                    </w:rPr>
                  </w:pPr>
                  <w:r>
                    <w:rPr>
                      <w:rFonts w:hint="eastAsia"/>
                      <w:color w:val="auto"/>
                      <w:vertAlign w:val="baseline"/>
                      <w:lang w:val="en-US" w:eastAsia="zh-CN"/>
                    </w:rPr>
                    <w:t>4</w:t>
                  </w:r>
                </w:p>
              </w:tc>
              <w:tc>
                <w:tcPr>
                  <w:tcW w:w="496"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72.96</w:t>
                  </w:r>
                </w:p>
              </w:tc>
              <w:tc>
                <w:tcPr>
                  <w:tcW w:w="368"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414"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20</w:t>
                  </w:r>
                </w:p>
              </w:tc>
              <w:tc>
                <w:tcPr>
                  <w:tcW w:w="414"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52.96</w:t>
                  </w:r>
                </w:p>
              </w:tc>
              <w:tc>
                <w:tcPr>
                  <w:tcW w:w="270"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eastAsia" w:eastAsia="宋体"/>
                      <w:color w:val="auto"/>
                      <w:vertAlign w:val="baseline"/>
                      <w:lang w:val="en-US" w:eastAsia="zh-CN"/>
                    </w:rPr>
                  </w:pPr>
                  <w:r>
                    <w:rPr>
                      <w:rFonts w:hint="eastAsia"/>
                      <w:color w:val="auto"/>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334"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301"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508"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338"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67"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67"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84"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65"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eastAsia" w:eastAsia="宋体"/>
                      <w:color w:val="auto"/>
                      <w:vertAlign w:val="baseline"/>
                      <w:lang w:val="en-US" w:eastAsia="zh-CN"/>
                    </w:rPr>
                  </w:pPr>
                  <w:r>
                    <w:rPr>
                      <w:rFonts w:hint="eastAsia"/>
                      <w:color w:val="auto"/>
                      <w:vertAlign w:val="baseline"/>
                      <w:lang w:val="en-US" w:eastAsia="zh-CN"/>
                    </w:rPr>
                    <w:t>西</w:t>
                  </w:r>
                </w:p>
              </w:tc>
              <w:tc>
                <w:tcPr>
                  <w:tcW w:w="235"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eastAsia" w:eastAsia="宋体"/>
                      <w:color w:val="auto"/>
                      <w:vertAlign w:val="baseline"/>
                      <w:lang w:val="en-US" w:eastAsia="zh-CN"/>
                    </w:rPr>
                  </w:pPr>
                  <w:r>
                    <w:rPr>
                      <w:rFonts w:hint="eastAsia"/>
                      <w:color w:val="auto"/>
                      <w:vertAlign w:val="baseline"/>
                      <w:lang w:val="en-US" w:eastAsia="zh-CN"/>
                    </w:rPr>
                    <w:t>5</w:t>
                  </w:r>
                </w:p>
              </w:tc>
              <w:tc>
                <w:tcPr>
                  <w:tcW w:w="496"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71.02</w:t>
                  </w:r>
                </w:p>
              </w:tc>
              <w:tc>
                <w:tcPr>
                  <w:tcW w:w="368"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414"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20</w:t>
                  </w:r>
                </w:p>
              </w:tc>
              <w:tc>
                <w:tcPr>
                  <w:tcW w:w="414"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51.02</w:t>
                  </w:r>
                </w:p>
              </w:tc>
              <w:tc>
                <w:tcPr>
                  <w:tcW w:w="270"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eastAsia" w:eastAsia="宋体"/>
                      <w:color w:val="auto"/>
                      <w:vertAlign w:val="baseline"/>
                      <w:lang w:val="en-US" w:eastAsia="zh-CN"/>
                    </w:rPr>
                  </w:pPr>
                  <w:r>
                    <w:rPr>
                      <w:rFonts w:hint="eastAsia"/>
                      <w:color w:val="auto"/>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334"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301"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508"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338"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67"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67"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84"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65"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eastAsia" w:eastAsia="宋体"/>
                      <w:color w:val="auto"/>
                      <w:vertAlign w:val="baseline"/>
                      <w:lang w:val="en-US" w:eastAsia="zh-CN"/>
                    </w:rPr>
                  </w:pPr>
                  <w:r>
                    <w:rPr>
                      <w:rFonts w:hint="eastAsia"/>
                      <w:color w:val="auto"/>
                      <w:vertAlign w:val="baseline"/>
                      <w:lang w:val="en-US" w:eastAsia="zh-CN"/>
                    </w:rPr>
                    <w:t>北</w:t>
                  </w:r>
                </w:p>
              </w:tc>
              <w:tc>
                <w:tcPr>
                  <w:tcW w:w="235"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eastAsia" w:eastAsia="宋体"/>
                      <w:color w:val="auto"/>
                      <w:vertAlign w:val="baseline"/>
                      <w:lang w:val="en-US" w:eastAsia="zh-CN"/>
                    </w:rPr>
                  </w:pPr>
                  <w:r>
                    <w:rPr>
                      <w:rFonts w:hint="eastAsia"/>
                      <w:color w:val="auto"/>
                      <w:vertAlign w:val="baseline"/>
                      <w:lang w:val="en-US" w:eastAsia="zh-CN"/>
                    </w:rPr>
                    <w:t>5</w:t>
                  </w:r>
                </w:p>
              </w:tc>
              <w:tc>
                <w:tcPr>
                  <w:tcW w:w="496"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r>
                    <w:rPr>
                      <w:rFonts w:hint="eastAsia"/>
                      <w:color w:val="auto"/>
                      <w:vertAlign w:val="baseline"/>
                      <w:lang w:val="en-US" w:eastAsia="zh-CN"/>
                    </w:rPr>
                    <w:t>71.02</w:t>
                  </w:r>
                </w:p>
              </w:tc>
              <w:tc>
                <w:tcPr>
                  <w:tcW w:w="368"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414"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20</w:t>
                  </w:r>
                </w:p>
              </w:tc>
              <w:tc>
                <w:tcPr>
                  <w:tcW w:w="414"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51.02</w:t>
                  </w:r>
                </w:p>
              </w:tc>
              <w:tc>
                <w:tcPr>
                  <w:tcW w:w="270"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eastAsia" w:eastAsia="宋体"/>
                      <w:color w:val="auto"/>
                      <w:vertAlign w:val="baseline"/>
                      <w:lang w:val="en-US" w:eastAsia="zh-CN"/>
                    </w:rPr>
                  </w:pPr>
                  <w:r>
                    <w:rPr>
                      <w:rFonts w:hint="eastAsia"/>
                      <w:color w:val="auto"/>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eastAsia" w:eastAsia="宋体"/>
                      <w:color w:val="auto"/>
                      <w:vertAlign w:val="baseline"/>
                      <w:lang w:val="en-US" w:eastAsia="zh-CN"/>
                    </w:rPr>
                  </w:pPr>
                  <w:r>
                    <w:rPr>
                      <w:rFonts w:hint="eastAsia"/>
                      <w:color w:val="auto"/>
                      <w:vertAlign w:val="baseline"/>
                      <w:lang w:val="en-US" w:eastAsia="zh-CN"/>
                    </w:rPr>
                    <w:t>2</w:t>
                  </w:r>
                </w:p>
              </w:tc>
              <w:tc>
                <w:tcPr>
                  <w:tcW w:w="334"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301"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eastAsia" w:eastAsia="宋体"/>
                      <w:color w:val="auto"/>
                      <w:vertAlign w:val="baseline"/>
                      <w:lang w:val="en-US" w:eastAsia="zh-CN"/>
                    </w:rPr>
                  </w:pPr>
                  <w:r>
                    <w:rPr>
                      <w:rFonts w:hint="eastAsia"/>
                      <w:color w:val="auto"/>
                      <w:vertAlign w:val="baseline"/>
                      <w:lang w:val="en-US" w:eastAsia="zh-CN"/>
                    </w:rPr>
                    <w:t>叠螺机</w:t>
                  </w:r>
                </w:p>
              </w:tc>
              <w:tc>
                <w:tcPr>
                  <w:tcW w:w="508"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75/1</w:t>
                  </w:r>
                </w:p>
              </w:tc>
              <w:tc>
                <w:tcPr>
                  <w:tcW w:w="338"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67"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-68</w:t>
                  </w:r>
                </w:p>
              </w:tc>
              <w:tc>
                <w:tcPr>
                  <w:tcW w:w="267"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-9</w:t>
                  </w:r>
                </w:p>
              </w:tc>
              <w:tc>
                <w:tcPr>
                  <w:tcW w:w="284"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eastAsia="宋体"/>
                      <w:color w:val="auto"/>
                      <w:vertAlign w:val="baseline"/>
                      <w:lang w:val="en-US" w:eastAsia="zh-CN"/>
                    </w:rPr>
                  </w:pPr>
                  <w:r>
                    <w:rPr>
                      <w:rFonts w:hint="eastAsia"/>
                      <w:color w:val="auto"/>
                      <w:vertAlign w:val="baseline"/>
                      <w:lang w:val="en-US" w:eastAsia="zh-CN"/>
                    </w:rPr>
                    <w:t>1.2</w:t>
                  </w:r>
                </w:p>
              </w:tc>
              <w:tc>
                <w:tcPr>
                  <w:tcW w:w="265"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rightChars="0"/>
                    <w:jc w:val="center"/>
                    <w:textAlignment w:val="auto"/>
                    <w:rPr>
                      <w:rFonts w:hint="eastAsia" w:ascii="Times New Roman" w:hAnsi="Times New Roman" w:eastAsia="宋体" w:cs="Times New Roman"/>
                      <w:color w:val="auto"/>
                      <w:kern w:val="0"/>
                      <w:sz w:val="18"/>
                      <w:szCs w:val="20"/>
                      <w:vertAlign w:val="baseline"/>
                      <w:lang w:val="en-US" w:eastAsia="zh-CN" w:bidi="ar-SA"/>
                    </w:rPr>
                  </w:pPr>
                  <w:r>
                    <w:rPr>
                      <w:rFonts w:hint="eastAsia"/>
                      <w:color w:val="auto"/>
                      <w:vertAlign w:val="baseline"/>
                      <w:lang w:val="en-US" w:eastAsia="zh-CN"/>
                    </w:rPr>
                    <w:t>东</w:t>
                  </w:r>
                </w:p>
              </w:tc>
              <w:tc>
                <w:tcPr>
                  <w:tcW w:w="235"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lang w:val="en-US" w:eastAsia="zh-CN"/>
                    </w:rPr>
                  </w:pPr>
                  <w:r>
                    <w:rPr>
                      <w:rFonts w:hint="eastAsia"/>
                      <w:color w:val="auto"/>
                      <w:vertAlign w:val="baseline"/>
                      <w:lang w:val="en-US" w:eastAsia="zh-CN"/>
                    </w:rPr>
                    <w:t>3</w:t>
                  </w:r>
                </w:p>
              </w:tc>
              <w:tc>
                <w:tcPr>
                  <w:tcW w:w="496"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lang w:val="en-US" w:eastAsia="zh-CN"/>
                    </w:rPr>
                  </w:pPr>
                  <w:r>
                    <w:rPr>
                      <w:rFonts w:hint="eastAsia"/>
                      <w:color w:val="auto"/>
                      <w:vertAlign w:val="baseline"/>
                      <w:lang w:val="en-US" w:eastAsia="zh-CN"/>
                    </w:rPr>
                    <w:t>69.46</w:t>
                  </w:r>
                </w:p>
              </w:tc>
              <w:tc>
                <w:tcPr>
                  <w:tcW w:w="368" w:type="pct"/>
                  <w:vMerge w:val="restar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eastAsia"/>
                      <w:color w:val="auto"/>
                      <w:vertAlign w:val="baseline"/>
                    </w:rPr>
                  </w:pPr>
                  <w:r>
                    <w:rPr>
                      <w:rFonts w:hint="eastAsia"/>
                      <w:color w:val="auto"/>
                      <w:vertAlign w:val="baseline"/>
                    </w:rPr>
                    <w:t>14：00~1</w:t>
                  </w:r>
                </w:p>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r>
                    <w:rPr>
                      <w:rFonts w:hint="eastAsia"/>
                      <w:color w:val="auto"/>
                      <w:vertAlign w:val="baseline"/>
                    </w:rPr>
                    <w:t>8：00</w:t>
                  </w:r>
                </w:p>
              </w:tc>
              <w:tc>
                <w:tcPr>
                  <w:tcW w:w="414"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lang w:val="en-US" w:eastAsia="zh-CN"/>
                    </w:rPr>
                  </w:pPr>
                  <w:r>
                    <w:rPr>
                      <w:rFonts w:hint="eastAsia"/>
                      <w:color w:val="auto"/>
                      <w:vertAlign w:val="baseline"/>
                      <w:lang w:val="en-US" w:eastAsia="zh-CN"/>
                    </w:rPr>
                    <w:t>20</w:t>
                  </w:r>
                </w:p>
              </w:tc>
              <w:tc>
                <w:tcPr>
                  <w:tcW w:w="414"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lang w:val="en-US" w:eastAsia="zh-CN"/>
                    </w:rPr>
                  </w:pPr>
                  <w:r>
                    <w:rPr>
                      <w:rFonts w:hint="eastAsia"/>
                      <w:color w:val="auto"/>
                      <w:vertAlign w:val="baseline"/>
                      <w:lang w:val="en-US" w:eastAsia="zh-CN"/>
                    </w:rPr>
                    <w:t>49.46</w:t>
                  </w:r>
                </w:p>
              </w:tc>
              <w:tc>
                <w:tcPr>
                  <w:tcW w:w="270"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lang w:val="en-US" w:eastAsia="zh-CN"/>
                    </w:rPr>
                  </w:pPr>
                  <w:r>
                    <w:rPr>
                      <w:rFonts w:hint="eastAsia"/>
                      <w:color w:val="auto"/>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334"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301"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508"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338"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67"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67"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84"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65"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rightChars="0"/>
                    <w:jc w:val="center"/>
                    <w:textAlignment w:val="auto"/>
                    <w:rPr>
                      <w:rFonts w:hint="eastAsia" w:ascii="Times New Roman" w:hAnsi="Times New Roman" w:eastAsia="宋体" w:cs="Times New Roman"/>
                      <w:color w:val="auto"/>
                      <w:kern w:val="0"/>
                      <w:sz w:val="18"/>
                      <w:szCs w:val="20"/>
                      <w:vertAlign w:val="baseline"/>
                      <w:lang w:val="en-US" w:eastAsia="zh-CN" w:bidi="ar-SA"/>
                    </w:rPr>
                  </w:pPr>
                  <w:r>
                    <w:rPr>
                      <w:rFonts w:hint="eastAsia"/>
                      <w:color w:val="auto"/>
                      <w:vertAlign w:val="baseline"/>
                      <w:lang w:val="en-US" w:eastAsia="zh-CN"/>
                    </w:rPr>
                    <w:t>南</w:t>
                  </w:r>
                </w:p>
              </w:tc>
              <w:tc>
                <w:tcPr>
                  <w:tcW w:w="235"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lang w:val="en-US" w:eastAsia="zh-CN"/>
                    </w:rPr>
                  </w:pPr>
                  <w:r>
                    <w:rPr>
                      <w:rFonts w:hint="eastAsia"/>
                      <w:color w:val="auto"/>
                      <w:vertAlign w:val="baseline"/>
                      <w:lang w:val="en-US" w:eastAsia="zh-CN"/>
                    </w:rPr>
                    <w:t>5</w:t>
                  </w:r>
                </w:p>
              </w:tc>
              <w:tc>
                <w:tcPr>
                  <w:tcW w:w="496"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lang w:val="en-US" w:eastAsia="zh-CN"/>
                    </w:rPr>
                  </w:pPr>
                  <w:r>
                    <w:rPr>
                      <w:rFonts w:hint="eastAsia"/>
                      <w:color w:val="auto"/>
                      <w:vertAlign w:val="baseline"/>
                      <w:lang w:val="en-US" w:eastAsia="zh-CN"/>
                    </w:rPr>
                    <w:t>66.02</w:t>
                  </w:r>
                </w:p>
              </w:tc>
              <w:tc>
                <w:tcPr>
                  <w:tcW w:w="368"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414"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lang w:val="en-US" w:eastAsia="zh-CN"/>
                    </w:rPr>
                  </w:pPr>
                  <w:r>
                    <w:rPr>
                      <w:rFonts w:hint="eastAsia"/>
                      <w:color w:val="auto"/>
                      <w:vertAlign w:val="baseline"/>
                      <w:lang w:val="en-US" w:eastAsia="zh-CN"/>
                    </w:rPr>
                    <w:t>20</w:t>
                  </w:r>
                </w:p>
              </w:tc>
              <w:tc>
                <w:tcPr>
                  <w:tcW w:w="414"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lang w:val="en-US" w:eastAsia="zh-CN"/>
                    </w:rPr>
                  </w:pPr>
                  <w:r>
                    <w:rPr>
                      <w:rFonts w:hint="eastAsia"/>
                      <w:color w:val="auto"/>
                      <w:vertAlign w:val="baseline"/>
                      <w:lang w:val="en-US" w:eastAsia="zh-CN"/>
                    </w:rPr>
                    <w:t>46.02</w:t>
                  </w:r>
                </w:p>
              </w:tc>
              <w:tc>
                <w:tcPr>
                  <w:tcW w:w="270"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lang w:val="en-US" w:eastAsia="zh-CN"/>
                    </w:rPr>
                  </w:pPr>
                  <w:r>
                    <w:rPr>
                      <w:rFonts w:hint="eastAsia"/>
                      <w:color w:val="auto"/>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334"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301"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508"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338"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67"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67"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84"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65"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rightChars="0"/>
                    <w:jc w:val="center"/>
                    <w:textAlignment w:val="auto"/>
                    <w:rPr>
                      <w:rFonts w:hint="eastAsia" w:ascii="Times New Roman" w:hAnsi="Times New Roman" w:eastAsia="宋体" w:cs="Times New Roman"/>
                      <w:color w:val="auto"/>
                      <w:kern w:val="0"/>
                      <w:sz w:val="18"/>
                      <w:szCs w:val="20"/>
                      <w:vertAlign w:val="baseline"/>
                      <w:lang w:val="en-US" w:eastAsia="zh-CN" w:bidi="ar-SA"/>
                    </w:rPr>
                  </w:pPr>
                  <w:r>
                    <w:rPr>
                      <w:rFonts w:hint="eastAsia"/>
                      <w:color w:val="auto"/>
                      <w:vertAlign w:val="baseline"/>
                      <w:lang w:val="en-US" w:eastAsia="zh-CN"/>
                    </w:rPr>
                    <w:t>西</w:t>
                  </w:r>
                </w:p>
              </w:tc>
              <w:tc>
                <w:tcPr>
                  <w:tcW w:w="235"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lang w:val="en-US" w:eastAsia="zh-CN"/>
                    </w:rPr>
                  </w:pPr>
                  <w:r>
                    <w:rPr>
                      <w:rFonts w:hint="eastAsia"/>
                      <w:color w:val="auto"/>
                      <w:vertAlign w:val="baseline"/>
                      <w:lang w:val="en-US" w:eastAsia="zh-CN"/>
                    </w:rPr>
                    <w:t>4</w:t>
                  </w:r>
                </w:p>
              </w:tc>
              <w:tc>
                <w:tcPr>
                  <w:tcW w:w="496"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lang w:val="en-US" w:eastAsia="zh-CN"/>
                    </w:rPr>
                  </w:pPr>
                  <w:r>
                    <w:rPr>
                      <w:rFonts w:hint="eastAsia"/>
                      <w:color w:val="auto"/>
                      <w:vertAlign w:val="baseline"/>
                      <w:lang w:val="en-US" w:eastAsia="zh-CN"/>
                    </w:rPr>
                    <w:t>67.96</w:t>
                  </w:r>
                </w:p>
              </w:tc>
              <w:tc>
                <w:tcPr>
                  <w:tcW w:w="368"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414"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lang w:val="en-US" w:eastAsia="zh-CN"/>
                    </w:rPr>
                  </w:pPr>
                  <w:r>
                    <w:rPr>
                      <w:rFonts w:hint="eastAsia"/>
                      <w:color w:val="auto"/>
                      <w:vertAlign w:val="baseline"/>
                      <w:lang w:val="en-US" w:eastAsia="zh-CN"/>
                    </w:rPr>
                    <w:t>20</w:t>
                  </w:r>
                </w:p>
              </w:tc>
              <w:tc>
                <w:tcPr>
                  <w:tcW w:w="414"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lang w:val="en-US" w:eastAsia="zh-CN"/>
                    </w:rPr>
                  </w:pPr>
                  <w:r>
                    <w:rPr>
                      <w:rFonts w:hint="eastAsia"/>
                      <w:color w:val="auto"/>
                      <w:vertAlign w:val="baseline"/>
                      <w:lang w:val="en-US" w:eastAsia="zh-CN"/>
                    </w:rPr>
                    <w:t>47.96</w:t>
                  </w:r>
                </w:p>
              </w:tc>
              <w:tc>
                <w:tcPr>
                  <w:tcW w:w="270"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lang w:val="en-US" w:eastAsia="zh-CN"/>
                    </w:rPr>
                  </w:pPr>
                  <w:r>
                    <w:rPr>
                      <w:rFonts w:hint="eastAsia"/>
                      <w:color w:val="auto"/>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334"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301"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508"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338"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67"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67"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84"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265"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rightChars="0"/>
                    <w:jc w:val="center"/>
                    <w:textAlignment w:val="auto"/>
                    <w:rPr>
                      <w:rFonts w:hint="eastAsia" w:ascii="Times New Roman" w:hAnsi="Times New Roman" w:eastAsia="宋体" w:cs="Times New Roman"/>
                      <w:color w:val="auto"/>
                      <w:kern w:val="0"/>
                      <w:sz w:val="18"/>
                      <w:szCs w:val="20"/>
                      <w:vertAlign w:val="baseline"/>
                      <w:lang w:val="en-US" w:eastAsia="zh-CN" w:bidi="ar-SA"/>
                    </w:rPr>
                  </w:pPr>
                  <w:r>
                    <w:rPr>
                      <w:rFonts w:hint="eastAsia"/>
                      <w:color w:val="auto"/>
                      <w:vertAlign w:val="baseline"/>
                      <w:lang w:val="en-US" w:eastAsia="zh-CN"/>
                    </w:rPr>
                    <w:t>北</w:t>
                  </w:r>
                </w:p>
              </w:tc>
              <w:tc>
                <w:tcPr>
                  <w:tcW w:w="235"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lang w:val="en-US" w:eastAsia="zh-CN"/>
                    </w:rPr>
                  </w:pPr>
                  <w:r>
                    <w:rPr>
                      <w:rFonts w:hint="eastAsia"/>
                      <w:color w:val="auto"/>
                      <w:vertAlign w:val="baseline"/>
                      <w:lang w:val="en-US" w:eastAsia="zh-CN"/>
                    </w:rPr>
                    <w:t>4</w:t>
                  </w:r>
                </w:p>
              </w:tc>
              <w:tc>
                <w:tcPr>
                  <w:tcW w:w="496"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eastAsia"/>
                      <w:color w:val="auto"/>
                      <w:vertAlign w:val="baseline"/>
                      <w:lang w:val="en-US" w:eastAsia="zh-CN"/>
                    </w:rPr>
                  </w:pPr>
                  <w:r>
                    <w:rPr>
                      <w:rFonts w:hint="eastAsia"/>
                      <w:color w:val="auto"/>
                      <w:vertAlign w:val="baseline"/>
                      <w:lang w:val="en-US" w:eastAsia="zh-CN"/>
                    </w:rPr>
                    <w:t>67.96</w:t>
                  </w:r>
                </w:p>
              </w:tc>
              <w:tc>
                <w:tcPr>
                  <w:tcW w:w="368" w:type="pct"/>
                  <w:vMerge w:val="continue"/>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rPr>
                  </w:pPr>
                </w:p>
              </w:tc>
              <w:tc>
                <w:tcPr>
                  <w:tcW w:w="414"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lang w:val="en-US" w:eastAsia="zh-CN"/>
                    </w:rPr>
                  </w:pPr>
                  <w:r>
                    <w:rPr>
                      <w:rFonts w:hint="eastAsia"/>
                      <w:color w:val="auto"/>
                      <w:vertAlign w:val="baseline"/>
                      <w:lang w:val="en-US" w:eastAsia="zh-CN"/>
                    </w:rPr>
                    <w:t>20</w:t>
                  </w:r>
                </w:p>
              </w:tc>
              <w:tc>
                <w:tcPr>
                  <w:tcW w:w="414"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lang w:val="en-US" w:eastAsia="zh-CN"/>
                    </w:rPr>
                  </w:pPr>
                  <w:r>
                    <w:rPr>
                      <w:rFonts w:hint="eastAsia"/>
                      <w:color w:val="auto"/>
                      <w:vertAlign w:val="baseline"/>
                      <w:lang w:val="en-US" w:eastAsia="zh-CN"/>
                    </w:rPr>
                    <w:t>47.96</w:t>
                  </w:r>
                </w:p>
              </w:tc>
              <w:tc>
                <w:tcPr>
                  <w:tcW w:w="270" w:type="pct"/>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lang w:val="en-US" w:eastAsia="zh-CN"/>
                    </w:rPr>
                  </w:pPr>
                  <w:r>
                    <w:rPr>
                      <w:rFonts w:hint="eastAsia"/>
                      <w:color w:val="auto"/>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5"/>
                  <w:vAlign w:val="center"/>
                </w:tcPr>
                <w:p>
                  <w:pPr>
                    <w:pStyle w:val="10"/>
                    <w:keepNext w:val="0"/>
                    <w:keepLines w:val="0"/>
                    <w:pageBreakBefore w:val="0"/>
                    <w:widowControl/>
                    <w:suppressLineNumbers w:val="0"/>
                    <w:kinsoku/>
                    <w:wordWrap/>
                    <w:overflowPunct/>
                    <w:topLinePunct w:val="0"/>
                    <w:autoSpaceDE/>
                    <w:autoSpaceDN/>
                    <w:bidi w:val="0"/>
                    <w:adjustRightInd/>
                    <w:snapToGrid w:val="0"/>
                    <w:spacing w:before="63" w:beforeLines="20" w:beforeAutospacing="0" w:after="4" w:afterAutospacing="0" w:line="240" w:lineRule="auto"/>
                    <w:ind w:left="0" w:right="0"/>
                    <w:jc w:val="center"/>
                    <w:textAlignment w:val="auto"/>
                    <w:rPr>
                      <w:rFonts w:hint="default"/>
                      <w:color w:val="auto"/>
                      <w:vertAlign w:val="baseline"/>
                      <w:lang w:val="en-US" w:eastAsia="zh-CN"/>
                    </w:rPr>
                  </w:pPr>
                  <w:r>
                    <w:rPr>
                      <w:rFonts w:hint="eastAsia"/>
                      <w:color w:val="auto"/>
                      <w:vertAlign w:val="baseline"/>
                      <w:lang w:val="en-US" w:eastAsia="zh-CN"/>
                    </w:rPr>
                    <w:t>注：以厂址中心为中心</w:t>
                  </w:r>
                </w:p>
              </w:tc>
            </w:tr>
          </w:tbl>
          <w:p>
            <w:pPr>
              <w:keepNext w:val="0"/>
              <w:keepLines w:val="0"/>
              <w:suppressLineNumbers w:val="0"/>
              <w:spacing w:before="0" w:beforeAutospacing="0" w:after="0" w:afterAutospacing="0" w:line="360" w:lineRule="auto"/>
              <w:ind w:left="0" w:right="0" w:firstLine="482" w:firstLineChars="200"/>
              <w:rPr>
                <w:rFonts w:hint="default"/>
                <w:b/>
                <w:color w:val="auto"/>
                <w:sz w:val="24"/>
              </w:rPr>
            </w:pPr>
            <w:bookmarkStart w:id="7" w:name="_Toc329264019"/>
            <w:r>
              <w:rPr>
                <w:rFonts w:hint="default"/>
                <w:b/>
                <w:color w:val="auto"/>
                <w:sz w:val="24"/>
              </w:rPr>
              <w:t>（2）预测模式</w:t>
            </w:r>
          </w:p>
          <w:p>
            <w:pPr>
              <w:keepNext w:val="0"/>
              <w:keepLines w:val="0"/>
              <w:suppressLineNumbers w:val="0"/>
              <w:spacing w:before="0" w:beforeAutospacing="0" w:after="0" w:afterAutospacing="0" w:line="360" w:lineRule="auto"/>
              <w:ind w:left="0" w:right="0" w:firstLine="480" w:firstLineChars="200"/>
              <w:rPr>
                <w:rFonts w:hint="default"/>
                <w:bCs/>
                <w:color w:val="auto"/>
                <w:sz w:val="24"/>
              </w:rPr>
            </w:pPr>
            <w:r>
              <w:rPr>
                <w:rFonts w:hint="default"/>
                <w:bCs/>
                <w:color w:val="auto"/>
                <w:sz w:val="24"/>
              </w:rPr>
              <w:t>预测模式选择（HJ</w:t>
            </w:r>
            <w:r>
              <w:rPr>
                <w:rFonts w:hint="eastAsia"/>
                <w:bCs/>
                <w:color w:val="auto"/>
                <w:sz w:val="24"/>
                <w:lang w:val="en-US" w:eastAsia="zh-CN"/>
              </w:rPr>
              <w:t xml:space="preserve"> </w:t>
            </w:r>
            <w:r>
              <w:rPr>
                <w:rFonts w:hint="default"/>
                <w:bCs/>
                <w:color w:val="auto"/>
                <w:sz w:val="24"/>
              </w:rPr>
              <w:t>2.4-2021）《环境影响评价技术导则—声环境</w:t>
            </w:r>
            <w:r>
              <w:rPr>
                <w:rFonts w:hint="eastAsia"/>
                <w:bCs/>
                <w:color w:val="auto"/>
                <w:sz w:val="24"/>
                <w:lang w:val="en-US" w:eastAsia="zh-CN"/>
              </w:rPr>
              <w:t>·</w:t>
            </w:r>
            <w:r>
              <w:rPr>
                <w:rFonts w:hint="default"/>
                <w:bCs/>
                <w:color w:val="auto"/>
                <w:sz w:val="24"/>
              </w:rPr>
              <w:t>》中推荐的工业噪声预测模式。</w:t>
            </w:r>
          </w:p>
          <w:p>
            <w:pPr>
              <w:keepNext w:val="0"/>
              <w:keepLines w:val="0"/>
              <w:suppressLineNumbers w:val="0"/>
              <w:spacing w:before="0" w:beforeAutospacing="0" w:after="0" w:afterAutospacing="0" w:line="360" w:lineRule="auto"/>
              <w:ind w:left="0" w:right="0"/>
              <w:rPr>
                <w:rFonts w:hint="default"/>
                <w:bCs/>
                <w:color w:val="auto"/>
                <w:sz w:val="24"/>
              </w:rPr>
            </w:pPr>
            <w:r>
              <w:rPr>
                <w:rFonts w:hint="default"/>
                <w:bCs/>
                <w:color w:val="auto"/>
                <w:sz w:val="24"/>
              </w:rPr>
              <w:t xml:space="preserve">    </w:t>
            </w:r>
            <w:r>
              <w:rPr>
                <w:rFonts w:hint="eastAsia" w:ascii="宋体" w:hAnsi="宋体" w:cs="宋体"/>
                <w:bCs/>
                <w:color w:val="auto"/>
                <w:sz w:val="24"/>
              </w:rPr>
              <w:t>①</w:t>
            </w:r>
            <w:r>
              <w:rPr>
                <w:rFonts w:hint="default"/>
                <w:bCs/>
                <w:color w:val="auto"/>
                <w:sz w:val="24"/>
              </w:rPr>
              <w:t>建设项目声源在预测点产生的等效声级贡献值（Leqg）计算公式：</w:t>
            </w:r>
          </w:p>
          <w:p>
            <w:pPr>
              <w:pStyle w:val="44"/>
              <w:keepNext w:val="0"/>
              <w:keepLines w:val="0"/>
              <w:suppressLineNumbers w:val="0"/>
              <w:spacing w:before="0" w:beforeAutospacing="0" w:after="0" w:afterAutospacing="0" w:line="360" w:lineRule="auto"/>
              <w:ind w:left="0" w:right="0"/>
              <w:jc w:val="center"/>
              <w:rPr>
                <w:rFonts w:hint="default" w:ascii="Times New Roman" w:cs="Times New Roman"/>
                <w:color w:val="auto"/>
              </w:rPr>
            </w:pPr>
            <w:r>
              <w:rPr>
                <w:rFonts w:hint="default" w:ascii="Times New Roman" w:cs="Times New Roman"/>
                <w:bCs/>
                <w:color w:val="auto"/>
              </w:rPr>
              <w:object>
                <v:shape id="_x0000_i1025" o:spt="75" type="#_x0000_t75" style="height:34.15pt;width:130.05pt;" o:ole="t" filled="f" o:preferrelative="t" stroked="f" coordsize="21600,21600">
                  <v:path/>
                  <v:fill on="f" focussize="0,0"/>
                  <v:stroke on="f"/>
                  <v:imagedata r:id="rId10" o:title=""/>
                  <o:lock v:ext="edit" aspectratio="t"/>
                  <w10:wrap type="none"/>
                  <w10:anchorlock/>
                </v:shape>
                <o:OLEObject Type="Embed" ProgID="" ShapeID="_x0000_i1025" DrawAspect="Content" ObjectID="_1468075725" r:id="rId9">
                  <o:LockedField>false</o:LockedField>
                </o:OLEObject>
              </w:object>
            </w:r>
          </w:p>
          <w:p>
            <w:pPr>
              <w:keepNext w:val="0"/>
              <w:keepLines w:val="0"/>
              <w:suppressLineNumbers w:val="0"/>
              <w:spacing w:before="0" w:beforeAutospacing="0" w:after="0" w:afterAutospacing="0" w:line="360" w:lineRule="auto"/>
              <w:ind w:left="0" w:right="0" w:firstLine="960" w:firstLineChars="400"/>
              <w:rPr>
                <w:rFonts w:hint="default"/>
                <w:bCs/>
                <w:color w:val="auto"/>
                <w:sz w:val="24"/>
              </w:rPr>
            </w:pPr>
            <w:r>
              <w:rPr>
                <w:rFonts w:hint="default"/>
                <w:bCs/>
                <w:color w:val="auto"/>
                <w:sz w:val="24"/>
              </w:rPr>
              <w:t>L</w:t>
            </w:r>
            <w:r>
              <w:rPr>
                <w:rFonts w:hint="default"/>
                <w:bCs/>
                <w:color w:val="auto"/>
                <w:sz w:val="24"/>
                <w:vertAlign w:val="subscript"/>
              </w:rPr>
              <w:t>eqg</w:t>
            </w:r>
            <w:r>
              <w:rPr>
                <w:rFonts w:hint="default"/>
                <w:bCs/>
                <w:color w:val="auto"/>
                <w:sz w:val="24"/>
              </w:rPr>
              <w:t xml:space="preserve"> ：建设项目声源在预测点的等效声级贡献值，dB(A)；</w:t>
            </w:r>
          </w:p>
          <w:p>
            <w:pPr>
              <w:keepNext w:val="0"/>
              <w:keepLines w:val="0"/>
              <w:suppressLineNumbers w:val="0"/>
              <w:spacing w:before="0" w:beforeAutospacing="0" w:after="0" w:afterAutospacing="0" w:line="360" w:lineRule="auto"/>
              <w:ind w:left="0" w:right="0" w:firstLine="960" w:firstLineChars="400"/>
              <w:rPr>
                <w:rFonts w:hint="default"/>
                <w:bCs/>
                <w:color w:val="auto"/>
                <w:sz w:val="24"/>
              </w:rPr>
            </w:pPr>
            <w:r>
              <w:rPr>
                <w:rFonts w:hint="default"/>
                <w:bCs/>
                <w:color w:val="auto"/>
                <w:sz w:val="24"/>
              </w:rPr>
              <w:t>L</w:t>
            </w:r>
            <w:r>
              <w:rPr>
                <w:rFonts w:hint="default"/>
                <w:bCs/>
                <w:color w:val="auto"/>
                <w:sz w:val="24"/>
                <w:vertAlign w:val="subscript"/>
              </w:rPr>
              <w:t>Ai</w:t>
            </w:r>
            <w:r>
              <w:rPr>
                <w:rFonts w:hint="default"/>
                <w:bCs/>
                <w:color w:val="auto"/>
                <w:sz w:val="24"/>
              </w:rPr>
              <w:t xml:space="preserve"> ：i声源在预测点产生的A声级，dB(A)；</w:t>
            </w:r>
          </w:p>
          <w:p>
            <w:pPr>
              <w:keepNext w:val="0"/>
              <w:keepLines w:val="0"/>
              <w:suppressLineNumbers w:val="0"/>
              <w:spacing w:before="0" w:beforeAutospacing="0" w:after="0" w:afterAutospacing="0" w:line="360" w:lineRule="auto"/>
              <w:ind w:left="0" w:right="0" w:firstLine="960" w:firstLineChars="400"/>
              <w:rPr>
                <w:rFonts w:hint="default"/>
                <w:bCs/>
                <w:color w:val="auto"/>
                <w:sz w:val="24"/>
              </w:rPr>
            </w:pPr>
            <w:r>
              <w:rPr>
                <w:rFonts w:hint="default"/>
                <w:bCs/>
                <w:color w:val="auto"/>
                <w:sz w:val="24"/>
              </w:rPr>
              <w:t>T ：预测计算的时间段，s；</w:t>
            </w:r>
          </w:p>
          <w:p>
            <w:pPr>
              <w:keepNext w:val="0"/>
              <w:keepLines w:val="0"/>
              <w:suppressLineNumbers w:val="0"/>
              <w:spacing w:before="0" w:beforeAutospacing="0" w:after="0" w:afterAutospacing="0" w:line="360" w:lineRule="auto"/>
              <w:ind w:left="0" w:right="0" w:firstLine="960" w:firstLineChars="400"/>
              <w:rPr>
                <w:rFonts w:hint="default"/>
                <w:bCs/>
                <w:color w:val="auto"/>
                <w:sz w:val="24"/>
              </w:rPr>
            </w:pPr>
            <w:r>
              <w:rPr>
                <w:rFonts w:hint="default"/>
                <w:bCs/>
                <w:color w:val="auto"/>
                <w:sz w:val="24"/>
              </w:rPr>
              <w:t>t</w:t>
            </w:r>
            <w:r>
              <w:rPr>
                <w:rFonts w:hint="default"/>
                <w:bCs/>
                <w:color w:val="auto"/>
                <w:sz w:val="24"/>
                <w:vertAlign w:val="subscript"/>
              </w:rPr>
              <w:t>i</w:t>
            </w:r>
            <w:r>
              <w:rPr>
                <w:rFonts w:hint="default"/>
                <w:bCs/>
                <w:color w:val="auto"/>
                <w:sz w:val="24"/>
              </w:rPr>
              <w:t xml:space="preserve"> ：i声源在T时段内的运行时间，s。</w:t>
            </w:r>
          </w:p>
          <w:p>
            <w:pPr>
              <w:keepNext w:val="0"/>
              <w:keepLines w:val="0"/>
              <w:suppressLineNumbers w:val="0"/>
              <w:spacing w:before="0" w:beforeAutospacing="0" w:after="0" w:afterAutospacing="0" w:line="360" w:lineRule="auto"/>
              <w:ind w:left="0" w:right="0"/>
              <w:rPr>
                <w:rFonts w:hint="default"/>
                <w:bCs/>
                <w:color w:val="auto"/>
                <w:sz w:val="24"/>
              </w:rPr>
            </w:pPr>
            <w:r>
              <w:rPr>
                <w:rFonts w:hint="default"/>
                <w:color w:val="auto"/>
                <w:kern w:val="0"/>
                <w:sz w:val="24"/>
              </w:rPr>
              <w:t xml:space="preserve">    </w:t>
            </w:r>
            <w:r>
              <w:rPr>
                <w:rFonts w:hint="eastAsia" w:ascii="宋体" w:hAnsi="宋体" w:cs="宋体"/>
                <w:bCs/>
                <w:color w:val="auto"/>
                <w:sz w:val="24"/>
              </w:rPr>
              <w:t>②</w:t>
            </w:r>
            <w:r>
              <w:rPr>
                <w:rFonts w:hint="default"/>
                <w:bCs/>
                <w:color w:val="auto"/>
                <w:sz w:val="24"/>
              </w:rPr>
              <w:t>预测点的预测等效声级（Leq）计算公式：</w:t>
            </w:r>
          </w:p>
          <w:p>
            <w:pPr>
              <w:keepNext w:val="0"/>
              <w:keepLines w:val="0"/>
              <w:suppressLineNumbers w:val="0"/>
              <w:spacing w:before="0" w:beforeAutospacing="0" w:after="0" w:afterAutospacing="0" w:line="360" w:lineRule="auto"/>
              <w:ind w:left="0" w:right="0"/>
              <w:jc w:val="center"/>
              <w:rPr>
                <w:rFonts w:hint="default"/>
                <w:bCs/>
                <w:color w:val="auto"/>
                <w:sz w:val="24"/>
              </w:rPr>
            </w:pPr>
            <w:r>
              <w:rPr>
                <w:rFonts w:hint="default"/>
                <w:color w:val="auto"/>
                <w:kern w:val="0"/>
                <w:sz w:val="24"/>
              </w:rPr>
              <w:object>
                <v:shape id="_x0000_i1026" o:spt="75" type="#_x0000_t75" style="height:26.2pt;width:147.2pt;" o:ole="t" filled="f" o:preferrelative="t" stroked="f" coordsize="21600,21600">
                  <v:path/>
                  <v:fill on="f" focussize="0,0"/>
                  <v:stroke on="f"/>
                  <v:imagedata r:id="rId12" o:title=""/>
                  <o:lock v:ext="edit" aspectratio="t"/>
                  <w10:wrap type="none"/>
                  <w10:anchorlock/>
                </v:shape>
                <o:OLEObject Type="Embed" ProgID="" ShapeID="_x0000_i1026" DrawAspect="Content" ObjectID="_1468075726" r:id="rId11">
                  <o:LockedField>false</o:LockedField>
                </o:OLEObject>
              </w:object>
            </w:r>
          </w:p>
          <w:p>
            <w:pPr>
              <w:keepNext w:val="0"/>
              <w:keepLines w:val="0"/>
              <w:suppressLineNumbers w:val="0"/>
              <w:spacing w:before="0" w:beforeAutospacing="0" w:after="0" w:afterAutospacing="0" w:line="360" w:lineRule="auto"/>
              <w:ind w:left="0" w:right="0" w:firstLine="960" w:firstLineChars="400"/>
              <w:rPr>
                <w:rFonts w:hint="default"/>
                <w:bCs/>
                <w:color w:val="auto"/>
                <w:sz w:val="24"/>
              </w:rPr>
            </w:pPr>
            <w:r>
              <w:rPr>
                <w:rFonts w:hint="default"/>
                <w:bCs/>
                <w:color w:val="auto"/>
                <w:sz w:val="24"/>
              </w:rPr>
              <w:t>L</w:t>
            </w:r>
            <w:r>
              <w:rPr>
                <w:rFonts w:hint="default"/>
                <w:bCs/>
                <w:color w:val="auto"/>
                <w:sz w:val="24"/>
                <w:vertAlign w:val="subscript"/>
              </w:rPr>
              <w:t>eqg</w:t>
            </w:r>
            <w:r>
              <w:rPr>
                <w:rFonts w:hint="default"/>
                <w:bCs/>
                <w:color w:val="auto"/>
                <w:sz w:val="24"/>
              </w:rPr>
              <w:t xml:space="preserve"> ：建设项目声源在预测点的等效声级贡献值，dB(A)；</w:t>
            </w:r>
          </w:p>
          <w:p>
            <w:pPr>
              <w:keepNext w:val="0"/>
              <w:keepLines w:val="0"/>
              <w:suppressLineNumbers w:val="0"/>
              <w:spacing w:before="0" w:beforeAutospacing="0" w:after="0" w:afterAutospacing="0" w:line="360" w:lineRule="auto"/>
              <w:ind w:left="0" w:right="0" w:firstLine="960" w:firstLineChars="400"/>
              <w:rPr>
                <w:rFonts w:hint="default"/>
                <w:bCs/>
                <w:color w:val="auto"/>
                <w:sz w:val="24"/>
              </w:rPr>
            </w:pPr>
            <w:r>
              <w:rPr>
                <w:rFonts w:hint="default"/>
                <w:bCs/>
                <w:color w:val="auto"/>
                <w:sz w:val="24"/>
              </w:rPr>
              <w:t>L</w:t>
            </w:r>
            <w:r>
              <w:rPr>
                <w:rFonts w:hint="default"/>
                <w:bCs/>
                <w:color w:val="auto"/>
                <w:sz w:val="24"/>
                <w:vertAlign w:val="subscript"/>
              </w:rPr>
              <w:t>eqb</w:t>
            </w:r>
            <w:r>
              <w:rPr>
                <w:rFonts w:hint="default"/>
                <w:bCs/>
                <w:color w:val="auto"/>
                <w:sz w:val="24"/>
              </w:rPr>
              <w:t xml:space="preserve"> ：预测点的背景值，dB(A)。</w:t>
            </w:r>
          </w:p>
          <w:p>
            <w:pPr>
              <w:keepNext w:val="0"/>
              <w:keepLines w:val="0"/>
              <w:suppressLineNumbers w:val="0"/>
              <w:spacing w:before="0" w:beforeAutospacing="0" w:after="0" w:afterAutospacing="0" w:line="360" w:lineRule="auto"/>
              <w:ind w:left="0" w:right="0"/>
              <w:rPr>
                <w:rFonts w:hint="default"/>
                <w:bCs/>
                <w:color w:val="auto"/>
                <w:sz w:val="24"/>
              </w:rPr>
            </w:pPr>
            <w:r>
              <w:rPr>
                <w:rFonts w:hint="default"/>
                <w:color w:val="auto"/>
                <w:kern w:val="0"/>
                <w:sz w:val="24"/>
              </w:rPr>
              <w:t xml:space="preserve">    </w:t>
            </w:r>
            <w:r>
              <w:rPr>
                <w:rFonts w:hint="eastAsia" w:ascii="宋体" w:hAnsi="宋体" w:cs="宋体"/>
                <w:bCs/>
                <w:color w:val="auto"/>
                <w:sz w:val="24"/>
              </w:rPr>
              <w:t>③</w:t>
            </w:r>
            <w:r>
              <w:rPr>
                <w:rFonts w:hint="default"/>
                <w:bCs/>
                <w:color w:val="auto"/>
                <w:sz w:val="24"/>
              </w:rPr>
              <w:t>声衰减计算简化为无指向性点声源几何发散衰减的基本公式：</w:t>
            </w:r>
          </w:p>
          <w:p>
            <w:pPr>
              <w:keepNext w:val="0"/>
              <w:keepLines w:val="0"/>
              <w:suppressLineNumbers w:val="0"/>
              <w:spacing w:before="0" w:beforeAutospacing="0" w:after="0" w:afterAutospacing="0" w:line="360" w:lineRule="auto"/>
              <w:ind w:left="0" w:right="0"/>
              <w:jc w:val="center"/>
              <w:rPr>
                <w:rFonts w:hint="default"/>
                <w:color w:val="auto"/>
                <w:sz w:val="24"/>
              </w:rPr>
            </w:pPr>
            <w:r>
              <w:rPr>
                <w:rFonts w:hint="default"/>
                <w:color w:val="auto"/>
                <w:kern w:val="0"/>
                <w:sz w:val="24"/>
              </w:rPr>
              <w:object>
                <v:shape id="_x0000_i1027" o:spt="75" type="#_x0000_t75" style="height:24.8pt;width:140.25pt;" o:ole="t" filled="f" o:preferrelative="t" stroked="f" coordsize="21600,21600">
                  <v:path/>
                  <v:fill on="f" focussize="0,0"/>
                  <v:stroke on="f"/>
                  <v:imagedata r:id="rId14" o:title=""/>
                  <o:lock v:ext="edit" aspectratio="t"/>
                  <w10:wrap type="none"/>
                  <w10:anchorlock/>
                </v:shape>
                <o:OLEObject Type="Embed" ProgID="" ShapeID="_x0000_i1027" DrawAspect="Content" ObjectID="_1468075727" r:id="rId13">
                  <o:LockedField>false</o:LockedField>
                </o:OLEObject>
              </w:object>
            </w:r>
          </w:p>
          <w:p>
            <w:pPr>
              <w:keepNext w:val="0"/>
              <w:keepLines w:val="0"/>
              <w:suppressLineNumbers w:val="0"/>
              <w:spacing w:before="0" w:beforeAutospacing="0" w:after="0" w:afterAutospacing="0" w:line="360" w:lineRule="auto"/>
              <w:ind w:left="0" w:right="0" w:firstLine="960" w:firstLineChars="400"/>
              <w:rPr>
                <w:rFonts w:hint="default"/>
                <w:bCs/>
                <w:color w:val="auto"/>
                <w:sz w:val="24"/>
              </w:rPr>
            </w:pPr>
            <w:r>
              <w:rPr>
                <w:rFonts w:hint="default"/>
                <w:bCs/>
                <w:color w:val="auto"/>
                <w:sz w:val="24"/>
              </w:rPr>
              <w:t>r</w:t>
            </w:r>
            <w:r>
              <w:rPr>
                <w:rFonts w:hint="default"/>
                <w:bCs/>
                <w:color w:val="auto"/>
                <w:sz w:val="24"/>
                <w:vertAlign w:val="subscript"/>
              </w:rPr>
              <w:t>0</w:t>
            </w:r>
            <w:r>
              <w:rPr>
                <w:rFonts w:hint="default"/>
                <w:bCs/>
                <w:color w:val="auto"/>
                <w:sz w:val="24"/>
              </w:rPr>
              <w:t xml:space="preserve"> ：参考位置与声源的距离，（m）；</w:t>
            </w:r>
          </w:p>
          <w:p>
            <w:pPr>
              <w:keepNext w:val="0"/>
              <w:keepLines w:val="0"/>
              <w:suppressLineNumbers w:val="0"/>
              <w:spacing w:before="0" w:beforeAutospacing="0" w:after="0" w:afterAutospacing="0" w:line="360" w:lineRule="auto"/>
              <w:ind w:left="0" w:right="0" w:firstLine="960" w:firstLineChars="400"/>
              <w:rPr>
                <w:rFonts w:hint="default"/>
                <w:bCs/>
                <w:color w:val="auto"/>
                <w:sz w:val="24"/>
              </w:rPr>
            </w:pPr>
            <w:r>
              <w:rPr>
                <w:rFonts w:hint="default"/>
                <w:bCs/>
                <w:color w:val="auto"/>
                <w:sz w:val="24"/>
              </w:rPr>
              <w:t>r ：预测点与声源的距离，（m）；</w:t>
            </w:r>
          </w:p>
          <w:p>
            <w:pPr>
              <w:keepNext w:val="0"/>
              <w:keepLines w:val="0"/>
              <w:suppressLineNumbers w:val="0"/>
              <w:spacing w:before="0" w:beforeAutospacing="0" w:after="0" w:afterAutospacing="0" w:line="360" w:lineRule="auto"/>
              <w:ind w:left="0" w:right="0" w:firstLine="960" w:firstLineChars="400"/>
              <w:rPr>
                <w:rFonts w:hint="default"/>
                <w:bCs/>
                <w:color w:val="auto"/>
                <w:sz w:val="24"/>
              </w:rPr>
            </w:pPr>
            <w:r>
              <w:rPr>
                <w:rFonts w:hint="default"/>
                <w:bCs/>
                <w:color w:val="auto"/>
                <w:sz w:val="24"/>
              </w:rPr>
              <w:t>L</w:t>
            </w:r>
            <w:r>
              <w:rPr>
                <w:rFonts w:hint="default"/>
                <w:bCs/>
                <w:color w:val="auto"/>
                <w:sz w:val="24"/>
                <w:vertAlign w:val="subscript"/>
              </w:rPr>
              <w:t>p(r)</w:t>
            </w:r>
            <w:r>
              <w:rPr>
                <w:rFonts w:hint="default"/>
                <w:bCs/>
                <w:color w:val="auto"/>
                <w:sz w:val="24"/>
              </w:rPr>
              <w:t xml:space="preserve"> ：声源在预测点处产生的A声级，与L</w:t>
            </w:r>
            <w:r>
              <w:rPr>
                <w:rFonts w:hint="default"/>
                <w:bCs/>
                <w:color w:val="auto"/>
                <w:sz w:val="24"/>
                <w:vertAlign w:val="subscript"/>
              </w:rPr>
              <w:t>Ai</w:t>
            </w:r>
            <w:r>
              <w:rPr>
                <w:rFonts w:hint="default"/>
                <w:bCs/>
                <w:color w:val="auto"/>
                <w:sz w:val="24"/>
              </w:rPr>
              <w:t>对应，dB(A)；</w:t>
            </w:r>
          </w:p>
          <w:p>
            <w:pPr>
              <w:keepNext w:val="0"/>
              <w:keepLines w:val="0"/>
              <w:suppressLineNumbers w:val="0"/>
              <w:spacing w:before="0" w:beforeAutospacing="0" w:after="0" w:afterAutospacing="0" w:line="360" w:lineRule="auto"/>
              <w:ind w:left="0" w:right="0" w:firstLine="960" w:firstLineChars="400"/>
              <w:rPr>
                <w:rFonts w:hint="default"/>
                <w:bCs/>
                <w:color w:val="auto"/>
                <w:sz w:val="24"/>
              </w:rPr>
            </w:pPr>
            <w:r>
              <w:rPr>
                <w:rFonts w:hint="default"/>
                <w:bCs/>
                <w:color w:val="auto"/>
                <w:sz w:val="24"/>
              </w:rPr>
              <w:t>Lp(r</w:t>
            </w:r>
            <w:r>
              <w:rPr>
                <w:rFonts w:hint="default"/>
                <w:bCs/>
                <w:color w:val="auto"/>
                <w:sz w:val="24"/>
                <w:vertAlign w:val="subscript"/>
              </w:rPr>
              <w:t>0</w:t>
            </w:r>
            <w:r>
              <w:rPr>
                <w:rFonts w:hint="default"/>
                <w:bCs/>
                <w:color w:val="auto"/>
                <w:sz w:val="24"/>
              </w:rPr>
              <w:t>) ：声源在参考位置处产生的A声级；</w:t>
            </w:r>
          </w:p>
          <w:p>
            <w:pPr>
              <w:keepNext w:val="0"/>
              <w:keepLines w:val="0"/>
              <w:suppressLineNumbers w:val="0"/>
              <w:spacing w:before="0" w:beforeAutospacing="0" w:after="0" w:afterAutospacing="0" w:line="360" w:lineRule="auto"/>
              <w:ind w:left="0" w:right="0" w:firstLine="840" w:firstLineChars="350"/>
              <w:rPr>
                <w:rFonts w:hint="default"/>
                <w:bCs/>
                <w:color w:val="auto"/>
                <w:sz w:val="24"/>
              </w:rPr>
            </w:pPr>
            <w:r>
              <w:rPr>
                <w:rFonts w:hint="default"/>
                <w:bCs/>
                <w:color w:val="auto"/>
                <w:sz w:val="24"/>
              </w:rPr>
              <w:t xml:space="preserve"> </w:t>
            </w:r>
            <w:r>
              <w:rPr>
                <w:rFonts w:hint="default" w:ascii="Cambria Math" w:hAnsi="Cambria Math" w:cs="Cambria Math"/>
                <w:bCs/>
                <w:color w:val="auto"/>
                <w:sz w:val="24"/>
              </w:rPr>
              <w:t>△</w:t>
            </w:r>
            <w:r>
              <w:rPr>
                <w:rFonts w:hint="default"/>
                <w:bCs/>
                <w:color w:val="auto"/>
                <w:sz w:val="24"/>
              </w:rPr>
              <w:t>Lp ：降噪系数，dB(A)，本项目取20dB（A）。</w:t>
            </w:r>
          </w:p>
          <w:p>
            <w:pPr>
              <w:keepNext w:val="0"/>
              <w:keepLines w:val="0"/>
              <w:suppressLineNumbers w:val="0"/>
              <w:spacing w:before="0" w:beforeAutospacing="0" w:after="0" w:afterAutospacing="0" w:line="360" w:lineRule="auto"/>
              <w:ind w:left="0" w:right="0" w:firstLine="482" w:firstLineChars="200"/>
              <w:rPr>
                <w:rFonts w:hint="default" w:eastAsia="Times New Roman"/>
                <w:b/>
                <w:color w:val="auto"/>
                <w:sz w:val="24"/>
              </w:rPr>
            </w:pPr>
            <w:r>
              <w:rPr>
                <w:rFonts w:hint="default"/>
                <w:b/>
                <w:color w:val="auto"/>
                <w:sz w:val="24"/>
              </w:rPr>
              <w:t>（3）预测结果</w:t>
            </w:r>
          </w:p>
          <w:p>
            <w:pPr>
              <w:keepNext w:val="0"/>
              <w:keepLines w:val="0"/>
              <w:suppressLineNumbers w:val="0"/>
              <w:spacing w:before="0" w:beforeAutospacing="0" w:after="0" w:afterAutospacing="0" w:line="360" w:lineRule="auto"/>
              <w:ind w:left="0" w:right="0" w:firstLine="480" w:firstLineChars="200"/>
              <w:rPr>
                <w:rFonts w:hint="default" w:eastAsia="Times New Roman"/>
                <w:b/>
                <w:color w:val="auto"/>
                <w:sz w:val="24"/>
              </w:rPr>
            </w:pPr>
            <w:r>
              <w:rPr>
                <w:rFonts w:hint="default"/>
                <w:color w:val="auto"/>
                <w:sz w:val="24"/>
              </w:rPr>
              <w:t>经测算，本项目建成后预计声环境影响情况表如下：</w:t>
            </w:r>
          </w:p>
          <w:p>
            <w:pPr>
              <w:keepNext w:val="0"/>
              <w:keepLines w:val="0"/>
              <w:suppressLineNumbers w:val="0"/>
              <w:spacing w:before="0" w:beforeAutospacing="0" w:after="0" w:afterAutospacing="0"/>
              <w:ind w:left="0" w:right="0"/>
              <w:jc w:val="center"/>
              <w:rPr>
                <w:rFonts w:hint="default" w:eastAsia="Times New Roman"/>
                <w:b/>
                <w:color w:val="auto"/>
              </w:rPr>
            </w:pPr>
            <w:r>
              <w:rPr>
                <w:rFonts w:hint="default"/>
                <w:b/>
                <w:color w:val="auto"/>
              </w:rPr>
              <w:t>表4-</w:t>
            </w:r>
            <w:r>
              <w:rPr>
                <w:rFonts w:hint="eastAsia"/>
                <w:b/>
                <w:color w:val="auto"/>
                <w:lang w:val="en-US" w:eastAsia="zh-CN"/>
              </w:rPr>
              <w:t>7</w:t>
            </w:r>
            <w:r>
              <w:rPr>
                <w:rFonts w:hint="default"/>
                <w:b/>
                <w:color w:val="auto"/>
              </w:rPr>
              <w:t xml:space="preserve">  项目声环境影响预测结果一览表</w:t>
            </w:r>
          </w:p>
          <w:bookmarkEnd w:id="7"/>
          <w:tbl>
            <w:tblPr>
              <w:tblStyle w:val="3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844"/>
              <w:gridCol w:w="837"/>
              <w:gridCol w:w="886"/>
              <w:gridCol w:w="1048"/>
              <w:gridCol w:w="1424"/>
              <w:gridCol w:w="1166"/>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Merge w:val="restar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预测方位</w:t>
                  </w:r>
                </w:p>
              </w:tc>
              <w:tc>
                <w:tcPr>
                  <w:tcW w:w="1506" w:type="pct"/>
                  <w:gridSpan w:val="3"/>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最大值点空间相对位置/m</w:t>
                  </w:r>
                </w:p>
              </w:tc>
              <w:tc>
                <w:tcPr>
                  <w:tcW w:w="615" w:type="pct"/>
                  <w:vMerge w:val="restart"/>
                  <w:vAlign w:val="center"/>
                </w:tcPr>
                <w:p>
                  <w:pPr>
                    <w:keepNext w:val="0"/>
                    <w:keepLines w:val="0"/>
                    <w:suppressLineNumbers w:val="0"/>
                    <w:spacing w:before="0" w:beforeAutospacing="0" w:after="0" w:afterAutospacing="0" w:line="360" w:lineRule="auto"/>
                    <w:ind w:left="0" w:right="0"/>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时段</w:t>
                  </w:r>
                </w:p>
              </w:tc>
              <w:tc>
                <w:tcPr>
                  <w:tcW w:w="835" w:type="pct"/>
                  <w:vMerge w:val="restart"/>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lang w:val="en-US" w:eastAsia="zh-CN"/>
                    </w:rPr>
                  </w:pPr>
                  <w:r>
                    <w:rPr>
                      <w:rFonts w:hint="eastAsia"/>
                      <w:color w:val="auto"/>
                      <w:sz w:val="21"/>
                      <w:szCs w:val="21"/>
                      <w:vertAlign w:val="baseline"/>
                      <w:lang w:val="en-US" w:eastAsia="zh-CN"/>
                    </w:rPr>
                    <w:t>贡献值</w:t>
                  </w:r>
                </w:p>
                <w:p>
                  <w:pPr>
                    <w:pStyle w:val="10"/>
                    <w:keepNext w:val="0"/>
                    <w:keepLines w:val="0"/>
                    <w:suppressLineNumbers w:val="0"/>
                    <w:spacing w:beforeAutospacing="0" w:afterAutospacing="0"/>
                    <w:ind w:left="0"/>
                    <w:rPr>
                      <w:rFonts w:hint="eastAsia"/>
                      <w:color w:val="auto"/>
                      <w:lang w:val="en-US" w:eastAsia="zh-CN"/>
                    </w:rPr>
                  </w:pPr>
                  <w:r>
                    <w:rPr>
                      <w:rFonts w:hint="eastAsia"/>
                      <w:bCs/>
                      <w:color w:val="auto"/>
                      <w:sz w:val="24"/>
                      <w:lang w:eastAsia="zh-CN"/>
                    </w:rPr>
                    <w:t>（</w:t>
                  </w:r>
                  <w:r>
                    <w:rPr>
                      <w:rFonts w:hint="default"/>
                      <w:bCs/>
                      <w:color w:val="auto"/>
                      <w:sz w:val="24"/>
                    </w:rPr>
                    <w:t>dB(A)</w:t>
                  </w:r>
                  <w:r>
                    <w:rPr>
                      <w:rFonts w:hint="eastAsia"/>
                      <w:bCs/>
                      <w:color w:val="auto"/>
                      <w:sz w:val="24"/>
                      <w:lang w:eastAsia="zh-CN"/>
                    </w:rPr>
                    <w:t>）</w:t>
                  </w:r>
                </w:p>
              </w:tc>
              <w:tc>
                <w:tcPr>
                  <w:tcW w:w="684" w:type="pct"/>
                  <w:vMerge w:val="restar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标准限值</w:t>
                  </w:r>
                </w:p>
              </w:tc>
              <w:tc>
                <w:tcPr>
                  <w:tcW w:w="697" w:type="pct"/>
                  <w:vMerge w:val="restar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Merge w:val="continue"/>
                  <w:vAlign w:val="center"/>
                </w:tcPr>
                <w:p>
                  <w:pPr>
                    <w:keepNext w:val="0"/>
                    <w:keepLines w:val="0"/>
                    <w:suppressLineNumbers w:val="0"/>
                    <w:spacing w:before="0" w:beforeAutospacing="0" w:after="0" w:afterAutospacing="0" w:line="360" w:lineRule="auto"/>
                    <w:ind w:left="0" w:right="0"/>
                    <w:jc w:val="center"/>
                    <w:rPr>
                      <w:rFonts w:hint="eastAsia" w:eastAsia="宋体"/>
                      <w:color w:val="auto"/>
                      <w:sz w:val="21"/>
                      <w:szCs w:val="21"/>
                      <w:vertAlign w:val="baseline"/>
                      <w:lang w:val="en-US" w:eastAsia="zh-CN"/>
                    </w:rPr>
                  </w:pPr>
                </w:p>
              </w:tc>
              <w:tc>
                <w:tcPr>
                  <w:tcW w:w="495" w:type="pct"/>
                  <w:vAlign w:val="center"/>
                </w:tcPr>
                <w:p>
                  <w:pPr>
                    <w:keepNext w:val="0"/>
                    <w:keepLines w:val="0"/>
                    <w:suppressLineNumbers w:val="0"/>
                    <w:spacing w:before="0" w:beforeAutospacing="0" w:after="0" w:afterAutospacing="0" w:line="360" w:lineRule="auto"/>
                    <w:ind w:left="0" w:right="0"/>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X</w:t>
                  </w:r>
                </w:p>
              </w:tc>
              <w:tc>
                <w:tcPr>
                  <w:tcW w:w="491" w:type="pct"/>
                  <w:vAlign w:val="center"/>
                </w:tcPr>
                <w:p>
                  <w:pPr>
                    <w:keepNext w:val="0"/>
                    <w:keepLines w:val="0"/>
                    <w:suppressLineNumbers w:val="0"/>
                    <w:spacing w:before="0" w:beforeAutospacing="0" w:after="0" w:afterAutospacing="0" w:line="360" w:lineRule="auto"/>
                    <w:ind w:left="0" w:right="0"/>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Y</w:t>
                  </w:r>
                </w:p>
              </w:tc>
              <w:tc>
                <w:tcPr>
                  <w:tcW w:w="520" w:type="pc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Z</w:t>
                  </w:r>
                </w:p>
              </w:tc>
              <w:tc>
                <w:tcPr>
                  <w:tcW w:w="615" w:type="pct"/>
                  <w:vMerge w:val="continue"/>
                  <w:vAlign w:val="center"/>
                </w:tcPr>
                <w:p>
                  <w:pPr>
                    <w:keepNext w:val="0"/>
                    <w:keepLines w:val="0"/>
                    <w:suppressLineNumbers w:val="0"/>
                    <w:spacing w:before="0" w:beforeAutospacing="0" w:after="0" w:afterAutospacing="0" w:line="360" w:lineRule="auto"/>
                    <w:ind w:left="0" w:right="0"/>
                    <w:jc w:val="center"/>
                    <w:rPr>
                      <w:rFonts w:hint="eastAsia" w:eastAsia="宋体"/>
                      <w:color w:val="auto"/>
                      <w:sz w:val="21"/>
                      <w:szCs w:val="21"/>
                      <w:vertAlign w:val="baseline"/>
                      <w:lang w:val="en-US" w:eastAsia="zh-CN"/>
                    </w:rPr>
                  </w:pPr>
                </w:p>
              </w:tc>
              <w:tc>
                <w:tcPr>
                  <w:tcW w:w="835" w:type="pct"/>
                  <w:vMerge w:val="continue"/>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p>
              </w:tc>
              <w:tc>
                <w:tcPr>
                  <w:tcW w:w="684" w:type="pct"/>
                  <w:vMerge w:val="continue"/>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p>
              </w:tc>
              <w:tc>
                <w:tcPr>
                  <w:tcW w:w="697" w:type="pct"/>
                  <w:vMerge w:val="continue"/>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Merge w:val="restart"/>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lang w:val="en-US" w:eastAsia="zh-CN"/>
                    </w:rPr>
                  </w:pPr>
                  <w:r>
                    <w:rPr>
                      <w:rFonts w:hint="eastAsia"/>
                      <w:color w:val="auto"/>
                      <w:sz w:val="21"/>
                      <w:szCs w:val="21"/>
                      <w:vertAlign w:val="baseline"/>
                      <w:lang w:val="en-US" w:eastAsia="zh-CN"/>
                    </w:rPr>
                    <w:t>东侧</w:t>
                  </w:r>
                </w:p>
              </w:tc>
              <w:tc>
                <w:tcPr>
                  <w:tcW w:w="495" w:type="pct"/>
                  <w:vMerge w:val="restar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68</w:t>
                  </w:r>
                </w:p>
              </w:tc>
              <w:tc>
                <w:tcPr>
                  <w:tcW w:w="491" w:type="pct"/>
                  <w:vMerge w:val="restar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-8.6</w:t>
                  </w:r>
                </w:p>
              </w:tc>
              <w:tc>
                <w:tcPr>
                  <w:tcW w:w="520" w:type="pct"/>
                  <w:vMerge w:val="restar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1.2</w:t>
                  </w:r>
                </w:p>
              </w:tc>
              <w:tc>
                <w:tcPr>
                  <w:tcW w:w="615" w:type="pct"/>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宋体" w:cs="Times New Roman"/>
                      <w:color w:val="auto"/>
                      <w:kern w:val="2"/>
                      <w:sz w:val="21"/>
                      <w:szCs w:val="21"/>
                      <w:vertAlign w:val="baseline"/>
                      <w:lang w:val="en-US" w:eastAsia="zh-CN" w:bidi="ar-SA"/>
                    </w:rPr>
                  </w:pPr>
                  <w:r>
                    <w:rPr>
                      <w:rFonts w:hint="eastAsia"/>
                      <w:color w:val="auto"/>
                      <w:sz w:val="21"/>
                      <w:szCs w:val="21"/>
                      <w:vertAlign w:val="baseline"/>
                      <w:lang w:val="en-US" w:eastAsia="zh-CN"/>
                    </w:rPr>
                    <w:t>昼间</w:t>
                  </w:r>
                </w:p>
              </w:tc>
              <w:tc>
                <w:tcPr>
                  <w:tcW w:w="835" w:type="pc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42.6</w:t>
                  </w:r>
                </w:p>
              </w:tc>
              <w:tc>
                <w:tcPr>
                  <w:tcW w:w="684" w:type="pc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65</w:t>
                  </w:r>
                </w:p>
              </w:tc>
              <w:tc>
                <w:tcPr>
                  <w:tcW w:w="697" w:type="pct"/>
                  <w:vAlign w:val="center"/>
                </w:tcPr>
                <w:p>
                  <w:pPr>
                    <w:keepNext w:val="0"/>
                    <w:keepLines w:val="0"/>
                    <w:suppressLineNumbers w:val="0"/>
                    <w:spacing w:before="0" w:beforeAutospacing="0" w:after="0" w:afterAutospacing="0" w:line="360" w:lineRule="auto"/>
                    <w:ind w:left="0" w:right="0"/>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Merge w:val="continue"/>
                  <w:vAlign w:val="center"/>
                </w:tcPr>
                <w:p>
                  <w:pPr>
                    <w:keepNext w:val="0"/>
                    <w:keepLines w:val="0"/>
                    <w:suppressLineNumbers w:val="0"/>
                    <w:spacing w:before="0" w:beforeAutospacing="0" w:after="0" w:afterAutospacing="0" w:line="360" w:lineRule="auto"/>
                    <w:ind w:left="0" w:right="0"/>
                    <w:jc w:val="center"/>
                    <w:rPr>
                      <w:rFonts w:hint="eastAsia" w:eastAsia="宋体"/>
                      <w:color w:val="auto"/>
                      <w:sz w:val="21"/>
                      <w:szCs w:val="21"/>
                      <w:vertAlign w:val="baseline"/>
                      <w:lang w:val="en-US" w:eastAsia="zh-CN"/>
                    </w:rPr>
                  </w:pPr>
                </w:p>
              </w:tc>
              <w:tc>
                <w:tcPr>
                  <w:tcW w:w="495" w:type="pct"/>
                  <w:vMerge w:val="continue"/>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p>
              </w:tc>
              <w:tc>
                <w:tcPr>
                  <w:tcW w:w="491" w:type="pct"/>
                  <w:vMerge w:val="continue"/>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p>
              </w:tc>
              <w:tc>
                <w:tcPr>
                  <w:tcW w:w="520" w:type="pct"/>
                  <w:vMerge w:val="continue"/>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p>
              </w:tc>
              <w:tc>
                <w:tcPr>
                  <w:tcW w:w="615" w:type="pct"/>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宋体" w:cs="Times New Roman"/>
                      <w:color w:val="auto"/>
                      <w:kern w:val="2"/>
                      <w:sz w:val="21"/>
                      <w:szCs w:val="21"/>
                      <w:vertAlign w:val="baseline"/>
                      <w:lang w:val="en-US" w:eastAsia="zh-CN" w:bidi="ar-SA"/>
                    </w:rPr>
                  </w:pPr>
                  <w:r>
                    <w:rPr>
                      <w:rFonts w:hint="eastAsia"/>
                      <w:color w:val="auto"/>
                      <w:sz w:val="21"/>
                      <w:szCs w:val="21"/>
                      <w:vertAlign w:val="baseline"/>
                      <w:lang w:val="en-US" w:eastAsia="zh-CN"/>
                    </w:rPr>
                    <w:t>夜间</w:t>
                  </w:r>
                </w:p>
              </w:tc>
              <w:tc>
                <w:tcPr>
                  <w:tcW w:w="835" w:type="pc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38.7</w:t>
                  </w:r>
                </w:p>
              </w:tc>
              <w:tc>
                <w:tcPr>
                  <w:tcW w:w="684" w:type="pc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55</w:t>
                  </w:r>
                </w:p>
              </w:tc>
              <w:tc>
                <w:tcPr>
                  <w:tcW w:w="697" w:type="pct"/>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r>
                    <w:rPr>
                      <w:rFonts w:hint="eastAsia"/>
                      <w:color w:val="auto"/>
                      <w:sz w:val="21"/>
                      <w:szCs w:val="21"/>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Merge w:val="restart"/>
                  <w:vAlign w:val="center"/>
                </w:tcPr>
                <w:p>
                  <w:pPr>
                    <w:keepNext w:val="0"/>
                    <w:keepLines w:val="0"/>
                    <w:suppressLineNumbers w:val="0"/>
                    <w:spacing w:before="0" w:beforeAutospacing="0" w:after="0" w:afterAutospacing="0" w:line="360" w:lineRule="auto"/>
                    <w:ind w:left="0" w:right="0"/>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南侧</w:t>
                  </w:r>
                </w:p>
              </w:tc>
              <w:tc>
                <w:tcPr>
                  <w:tcW w:w="495" w:type="pct"/>
                  <w:vMerge w:val="restar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34</w:t>
                  </w:r>
                </w:p>
              </w:tc>
              <w:tc>
                <w:tcPr>
                  <w:tcW w:w="491" w:type="pct"/>
                  <w:vMerge w:val="restar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-16.8</w:t>
                  </w:r>
                </w:p>
              </w:tc>
              <w:tc>
                <w:tcPr>
                  <w:tcW w:w="520" w:type="pct"/>
                  <w:vMerge w:val="restar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1.2</w:t>
                  </w:r>
                </w:p>
              </w:tc>
              <w:tc>
                <w:tcPr>
                  <w:tcW w:w="615" w:type="pct"/>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宋体" w:cs="Times New Roman"/>
                      <w:color w:val="auto"/>
                      <w:kern w:val="2"/>
                      <w:sz w:val="21"/>
                      <w:szCs w:val="21"/>
                      <w:vertAlign w:val="baseline"/>
                      <w:lang w:val="en-US" w:eastAsia="zh-CN" w:bidi="ar-SA"/>
                    </w:rPr>
                  </w:pPr>
                  <w:r>
                    <w:rPr>
                      <w:rFonts w:hint="eastAsia"/>
                      <w:color w:val="auto"/>
                      <w:sz w:val="21"/>
                      <w:szCs w:val="21"/>
                      <w:vertAlign w:val="baseline"/>
                      <w:lang w:val="en-US" w:eastAsia="zh-CN"/>
                    </w:rPr>
                    <w:t>昼间</w:t>
                  </w:r>
                </w:p>
              </w:tc>
              <w:tc>
                <w:tcPr>
                  <w:tcW w:w="835" w:type="pc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43.2</w:t>
                  </w:r>
                </w:p>
              </w:tc>
              <w:tc>
                <w:tcPr>
                  <w:tcW w:w="684" w:type="pct"/>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宋体" w:cs="Times New Roman"/>
                      <w:color w:val="auto"/>
                      <w:kern w:val="2"/>
                      <w:sz w:val="21"/>
                      <w:szCs w:val="21"/>
                      <w:vertAlign w:val="baseline"/>
                      <w:lang w:val="en-US" w:eastAsia="zh-CN" w:bidi="ar-SA"/>
                    </w:rPr>
                  </w:pPr>
                  <w:r>
                    <w:rPr>
                      <w:rFonts w:hint="eastAsia"/>
                      <w:color w:val="auto"/>
                      <w:sz w:val="21"/>
                      <w:szCs w:val="21"/>
                      <w:vertAlign w:val="baseline"/>
                      <w:lang w:val="en-US" w:eastAsia="zh-CN"/>
                    </w:rPr>
                    <w:t>65</w:t>
                  </w:r>
                </w:p>
              </w:tc>
              <w:tc>
                <w:tcPr>
                  <w:tcW w:w="697" w:type="pct"/>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r>
                    <w:rPr>
                      <w:rFonts w:hint="eastAsia"/>
                      <w:color w:val="auto"/>
                      <w:sz w:val="21"/>
                      <w:szCs w:val="21"/>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Merge w:val="continue"/>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p>
              </w:tc>
              <w:tc>
                <w:tcPr>
                  <w:tcW w:w="495" w:type="pct"/>
                  <w:vMerge w:val="continue"/>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p>
              </w:tc>
              <w:tc>
                <w:tcPr>
                  <w:tcW w:w="491" w:type="pct"/>
                  <w:vMerge w:val="continue"/>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p>
              </w:tc>
              <w:tc>
                <w:tcPr>
                  <w:tcW w:w="520" w:type="pct"/>
                  <w:vMerge w:val="continue"/>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p>
              </w:tc>
              <w:tc>
                <w:tcPr>
                  <w:tcW w:w="615" w:type="pct"/>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宋体" w:cs="Times New Roman"/>
                      <w:color w:val="auto"/>
                      <w:kern w:val="2"/>
                      <w:sz w:val="21"/>
                      <w:szCs w:val="21"/>
                      <w:vertAlign w:val="baseline"/>
                      <w:lang w:val="en-US" w:eastAsia="zh-CN" w:bidi="ar-SA"/>
                    </w:rPr>
                  </w:pPr>
                  <w:r>
                    <w:rPr>
                      <w:rFonts w:hint="eastAsia"/>
                      <w:color w:val="auto"/>
                      <w:sz w:val="21"/>
                      <w:szCs w:val="21"/>
                      <w:vertAlign w:val="baseline"/>
                      <w:lang w:val="en-US" w:eastAsia="zh-CN"/>
                    </w:rPr>
                    <w:t>夜间</w:t>
                  </w:r>
                </w:p>
              </w:tc>
              <w:tc>
                <w:tcPr>
                  <w:tcW w:w="835" w:type="pc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39.3</w:t>
                  </w:r>
                </w:p>
              </w:tc>
              <w:tc>
                <w:tcPr>
                  <w:tcW w:w="684" w:type="pct"/>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宋体" w:cs="Times New Roman"/>
                      <w:color w:val="auto"/>
                      <w:kern w:val="2"/>
                      <w:sz w:val="21"/>
                      <w:szCs w:val="21"/>
                      <w:vertAlign w:val="baseline"/>
                      <w:lang w:val="en-US" w:eastAsia="zh-CN" w:bidi="ar-SA"/>
                    </w:rPr>
                  </w:pPr>
                  <w:r>
                    <w:rPr>
                      <w:rFonts w:hint="eastAsia"/>
                      <w:color w:val="auto"/>
                      <w:sz w:val="21"/>
                      <w:szCs w:val="21"/>
                      <w:vertAlign w:val="baseline"/>
                      <w:lang w:val="en-US" w:eastAsia="zh-CN"/>
                    </w:rPr>
                    <w:t>55</w:t>
                  </w:r>
                </w:p>
              </w:tc>
              <w:tc>
                <w:tcPr>
                  <w:tcW w:w="697" w:type="pct"/>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r>
                    <w:rPr>
                      <w:rFonts w:hint="eastAsia"/>
                      <w:color w:val="auto"/>
                      <w:sz w:val="21"/>
                      <w:szCs w:val="21"/>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60" w:type="pct"/>
                  <w:vMerge w:val="restar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西侧</w:t>
                  </w:r>
                </w:p>
              </w:tc>
              <w:tc>
                <w:tcPr>
                  <w:tcW w:w="495" w:type="pct"/>
                  <w:vMerge w:val="restar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-42</w:t>
                  </w:r>
                </w:p>
              </w:tc>
              <w:tc>
                <w:tcPr>
                  <w:tcW w:w="491" w:type="pct"/>
                  <w:vMerge w:val="restar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6.8</w:t>
                  </w:r>
                </w:p>
              </w:tc>
              <w:tc>
                <w:tcPr>
                  <w:tcW w:w="520" w:type="pct"/>
                  <w:vMerge w:val="restar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1.2</w:t>
                  </w:r>
                </w:p>
              </w:tc>
              <w:tc>
                <w:tcPr>
                  <w:tcW w:w="615" w:type="pct"/>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宋体" w:cs="Times New Roman"/>
                      <w:color w:val="auto"/>
                      <w:kern w:val="2"/>
                      <w:sz w:val="21"/>
                      <w:szCs w:val="21"/>
                      <w:vertAlign w:val="baseline"/>
                      <w:lang w:val="en-US" w:eastAsia="zh-CN" w:bidi="ar-SA"/>
                    </w:rPr>
                  </w:pPr>
                  <w:r>
                    <w:rPr>
                      <w:rFonts w:hint="eastAsia"/>
                      <w:color w:val="auto"/>
                      <w:sz w:val="21"/>
                      <w:szCs w:val="21"/>
                      <w:vertAlign w:val="baseline"/>
                      <w:lang w:val="en-US" w:eastAsia="zh-CN"/>
                    </w:rPr>
                    <w:t>昼间</w:t>
                  </w:r>
                </w:p>
              </w:tc>
              <w:tc>
                <w:tcPr>
                  <w:tcW w:w="835" w:type="pc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44.7</w:t>
                  </w:r>
                </w:p>
              </w:tc>
              <w:tc>
                <w:tcPr>
                  <w:tcW w:w="684" w:type="pct"/>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宋体" w:cs="Times New Roman"/>
                      <w:color w:val="auto"/>
                      <w:kern w:val="2"/>
                      <w:sz w:val="21"/>
                      <w:szCs w:val="21"/>
                      <w:vertAlign w:val="baseline"/>
                      <w:lang w:val="en-US" w:eastAsia="zh-CN" w:bidi="ar-SA"/>
                    </w:rPr>
                  </w:pPr>
                  <w:r>
                    <w:rPr>
                      <w:rFonts w:hint="eastAsia"/>
                      <w:color w:val="auto"/>
                      <w:sz w:val="21"/>
                      <w:szCs w:val="21"/>
                      <w:vertAlign w:val="baseline"/>
                      <w:lang w:val="en-US" w:eastAsia="zh-CN"/>
                    </w:rPr>
                    <w:t>65</w:t>
                  </w:r>
                </w:p>
              </w:tc>
              <w:tc>
                <w:tcPr>
                  <w:tcW w:w="697" w:type="pct"/>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r>
                    <w:rPr>
                      <w:rFonts w:hint="eastAsia"/>
                      <w:color w:val="auto"/>
                      <w:sz w:val="21"/>
                      <w:szCs w:val="21"/>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Merge w:val="continue"/>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p>
              </w:tc>
              <w:tc>
                <w:tcPr>
                  <w:tcW w:w="495" w:type="pct"/>
                  <w:vMerge w:val="continue"/>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p>
              </w:tc>
              <w:tc>
                <w:tcPr>
                  <w:tcW w:w="491" w:type="pct"/>
                  <w:vMerge w:val="continue"/>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p>
              </w:tc>
              <w:tc>
                <w:tcPr>
                  <w:tcW w:w="520" w:type="pct"/>
                  <w:vMerge w:val="continue"/>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p>
              </w:tc>
              <w:tc>
                <w:tcPr>
                  <w:tcW w:w="615" w:type="pct"/>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宋体" w:cs="Times New Roman"/>
                      <w:color w:val="auto"/>
                      <w:kern w:val="2"/>
                      <w:sz w:val="21"/>
                      <w:szCs w:val="21"/>
                      <w:vertAlign w:val="baseline"/>
                      <w:lang w:val="en-US" w:eastAsia="zh-CN" w:bidi="ar-SA"/>
                    </w:rPr>
                  </w:pPr>
                  <w:r>
                    <w:rPr>
                      <w:rFonts w:hint="eastAsia"/>
                      <w:color w:val="auto"/>
                      <w:sz w:val="21"/>
                      <w:szCs w:val="21"/>
                      <w:vertAlign w:val="baseline"/>
                      <w:lang w:val="en-US" w:eastAsia="zh-CN"/>
                    </w:rPr>
                    <w:t>夜间</w:t>
                  </w:r>
                </w:p>
              </w:tc>
              <w:tc>
                <w:tcPr>
                  <w:tcW w:w="835" w:type="pc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41.6</w:t>
                  </w:r>
                </w:p>
              </w:tc>
              <w:tc>
                <w:tcPr>
                  <w:tcW w:w="684" w:type="pct"/>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宋体" w:cs="Times New Roman"/>
                      <w:color w:val="auto"/>
                      <w:kern w:val="2"/>
                      <w:sz w:val="21"/>
                      <w:szCs w:val="21"/>
                      <w:vertAlign w:val="baseline"/>
                      <w:lang w:val="en-US" w:eastAsia="zh-CN" w:bidi="ar-SA"/>
                    </w:rPr>
                  </w:pPr>
                  <w:r>
                    <w:rPr>
                      <w:rFonts w:hint="eastAsia"/>
                      <w:color w:val="auto"/>
                      <w:sz w:val="21"/>
                      <w:szCs w:val="21"/>
                      <w:vertAlign w:val="baseline"/>
                      <w:lang w:val="en-US" w:eastAsia="zh-CN"/>
                    </w:rPr>
                    <w:t>55</w:t>
                  </w:r>
                </w:p>
              </w:tc>
              <w:tc>
                <w:tcPr>
                  <w:tcW w:w="697" w:type="pct"/>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r>
                    <w:rPr>
                      <w:rFonts w:hint="eastAsia"/>
                      <w:color w:val="auto"/>
                      <w:sz w:val="21"/>
                      <w:szCs w:val="21"/>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Merge w:val="restart"/>
                  <w:vAlign w:val="center"/>
                </w:tcPr>
                <w:p>
                  <w:pPr>
                    <w:keepNext w:val="0"/>
                    <w:keepLines w:val="0"/>
                    <w:suppressLineNumbers w:val="0"/>
                    <w:spacing w:before="0" w:beforeAutospacing="0" w:after="0" w:afterAutospacing="0" w:line="360" w:lineRule="auto"/>
                    <w:ind w:left="0" w:right="0"/>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北侧</w:t>
                  </w:r>
                </w:p>
              </w:tc>
              <w:tc>
                <w:tcPr>
                  <w:tcW w:w="495" w:type="pct"/>
                  <w:vMerge w:val="restar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--28</w:t>
                  </w:r>
                </w:p>
              </w:tc>
              <w:tc>
                <w:tcPr>
                  <w:tcW w:w="491" w:type="pct"/>
                  <w:vMerge w:val="restar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14.3</w:t>
                  </w:r>
                </w:p>
              </w:tc>
              <w:tc>
                <w:tcPr>
                  <w:tcW w:w="520" w:type="pct"/>
                  <w:vMerge w:val="restar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1.2</w:t>
                  </w:r>
                </w:p>
              </w:tc>
              <w:tc>
                <w:tcPr>
                  <w:tcW w:w="615" w:type="pct"/>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宋体" w:cs="Times New Roman"/>
                      <w:color w:val="auto"/>
                      <w:kern w:val="2"/>
                      <w:sz w:val="21"/>
                      <w:szCs w:val="21"/>
                      <w:vertAlign w:val="baseline"/>
                      <w:lang w:val="en-US" w:eastAsia="zh-CN" w:bidi="ar-SA"/>
                    </w:rPr>
                  </w:pPr>
                  <w:r>
                    <w:rPr>
                      <w:rFonts w:hint="eastAsia"/>
                      <w:color w:val="auto"/>
                      <w:sz w:val="21"/>
                      <w:szCs w:val="21"/>
                      <w:vertAlign w:val="baseline"/>
                      <w:lang w:val="en-US" w:eastAsia="zh-CN"/>
                    </w:rPr>
                    <w:t>昼间</w:t>
                  </w:r>
                </w:p>
              </w:tc>
              <w:tc>
                <w:tcPr>
                  <w:tcW w:w="835" w:type="pc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42.8</w:t>
                  </w:r>
                </w:p>
              </w:tc>
              <w:tc>
                <w:tcPr>
                  <w:tcW w:w="684" w:type="pct"/>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宋体" w:cs="Times New Roman"/>
                      <w:color w:val="auto"/>
                      <w:kern w:val="2"/>
                      <w:sz w:val="21"/>
                      <w:szCs w:val="21"/>
                      <w:vertAlign w:val="baseline"/>
                      <w:lang w:val="en-US" w:eastAsia="zh-CN" w:bidi="ar-SA"/>
                    </w:rPr>
                  </w:pPr>
                  <w:r>
                    <w:rPr>
                      <w:rFonts w:hint="eastAsia"/>
                      <w:color w:val="auto"/>
                      <w:sz w:val="21"/>
                      <w:szCs w:val="21"/>
                      <w:vertAlign w:val="baseline"/>
                      <w:lang w:val="en-US" w:eastAsia="zh-CN"/>
                    </w:rPr>
                    <w:t>65</w:t>
                  </w:r>
                </w:p>
              </w:tc>
              <w:tc>
                <w:tcPr>
                  <w:tcW w:w="697" w:type="pct"/>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r>
                    <w:rPr>
                      <w:rFonts w:hint="eastAsia"/>
                      <w:color w:val="auto"/>
                      <w:sz w:val="21"/>
                      <w:szCs w:val="21"/>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vMerge w:val="continue"/>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p>
              </w:tc>
              <w:tc>
                <w:tcPr>
                  <w:tcW w:w="495" w:type="pct"/>
                  <w:vMerge w:val="continue"/>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p>
              </w:tc>
              <w:tc>
                <w:tcPr>
                  <w:tcW w:w="491" w:type="pct"/>
                  <w:vMerge w:val="continue"/>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p>
              </w:tc>
              <w:tc>
                <w:tcPr>
                  <w:tcW w:w="520" w:type="pct"/>
                  <w:vMerge w:val="continue"/>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p>
              </w:tc>
              <w:tc>
                <w:tcPr>
                  <w:tcW w:w="615" w:type="pct"/>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宋体" w:cs="Times New Roman"/>
                      <w:color w:val="auto"/>
                      <w:kern w:val="2"/>
                      <w:sz w:val="21"/>
                      <w:szCs w:val="21"/>
                      <w:vertAlign w:val="baseline"/>
                      <w:lang w:val="en-US" w:eastAsia="zh-CN" w:bidi="ar-SA"/>
                    </w:rPr>
                  </w:pPr>
                  <w:r>
                    <w:rPr>
                      <w:rFonts w:hint="eastAsia"/>
                      <w:color w:val="auto"/>
                      <w:sz w:val="21"/>
                      <w:szCs w:val="21"/>
                      <w:vertAlign w:val="baseline"/>
                      <w:lang w:val="en-US" w:eastAsia="zh-CN"/>
                    </w:rPr>
                    <w:t>夜间</w:t>
                  </w:r>
                </w:p>
              </w:tc>
              <w:tc>
                <w:tcPr>
                  <w:tcW w:w="835" w:type="pct"/>
                  <w:vAlign w:val="center"/>
                </w:tcPr>
                <w:p>
                  <w:pPr>
                    <w:keepNext w:val="0"/>
                    <w:keepLines w:val="0"/>
                    <w:suppressLineNumbers w:val="0"/>
                    <w:spacing w:before="0" w:beforeAutospacing="0" w:after="0" w:afterAutospacing="0" w:line="360" w:lineRule="auto"/>
                    <w:ind w:left="0" w:right="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39.4</w:t>
                  </w:r>
                </w:p>
              </w:tc>
              <w:tc>
                <w:tcPr>
                  <w:tcW w:w="684" w:type="pct"/>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宋体" w:cs="Times New Roman"/>
                      <w:color w:val="auto"/>
                      <w:kern w:val="2"/>
                      <w:sz w:val="21"/>
                      <w:szCs w:val="21"/>
                      <w:vertAlign w:val="baseline"/>
                      <w:lang w:val="en-US" w:eastAsia="zh-CN" w:bidi="ar-SA"/>
                    </w:rPr>
                  </w:pPr>
                  <w:r>
                    <w:rPr>
                      <w:rFonts w:hint="eastAsia"/>
                      <w:color w:val="auto"/>
                      <w:sz w:val="21"/>
                      <w:szCs w:val="21"/>
                      <w:vertAlign w:val="baseline"/>
                      <w:lang w:val="en-US" w:eastAsia="zh-CN"/>
                    </w:rPr>
                    <w:t>55</w:t>
                  </w:r>
                </w:p>
              </w:tc>
              <w:tc>
                <w:tcPr>
                  <w:tcW w:w="697" w:type="pct"/>
                  <w:vAlign w:val="center"/>
                </w:tcPr>
                <w:p>
                  <w:pPr>
                    <w:keepNext w:val="0"/>
                    <w:keepLines w:val="0"/>
                    <w:suppressLineNumbers w:val="0"/>
                    <w:spacing w:before="0" w:beforeAutospacing="0" w:after="0" w:afterAutospacing="0" w:line="360" w:lineRule="auto"/>
                    <w:ind w:left="0" w:right="0"/>
                    <w:jc w:val="center"/>
                    <w:rPr>
                      <w:rFonts w:hint="eastAsia"/>
                      <w:color w:val="auto"/>
                      <w:sz w:val="21"/>
                      <w:szCs w:val="21"/>
                      <w:vertAlign w:val="baseline"/>
                    </w:rPr>
                  </w:pPr>
                  <w:r>
                    <w:rPr>
                      <w:rFonts w:hint="eastAsia"/>
                      <w:color w:val="auto"/>
                      <w:sz w:val="21"/>
                      <w:szCs w:val="21"/>
                      <w:vertAlign w:val="baseline"/>
                      <w:lang w:val="en-US" w:eastAsia="zh-CN"/>
                    </w:rPr>
                    <w:t>达标</w:t>
                  </w:r>
                </w:p>
              </w:tc>
            </w:tr>
          </w:tbl>
          <w:p>
            <w:pPr>
              <w:keepNext w:val="0"/>
              <w:keepLines w:val="0"/>
              <w:suppressLineNumbers w:val="0"/>
              <w:spacing w:before="0" w:beforeAutospacing="0" w:after="0" w:afterAutospacing="0" w:line="360" w:lineRule="auto"/>
              <w:ind w:left="0" w:right="0" w:firstLine="480" w:firstLineChars="200"/>
              <w:rPr>
                <w:rFonts w:hint="default"/>
                <w:color w:val="auto"/>
                <w:sz w:val="24"/>
              </w:rPr>
            </w:pPr>
            <w:r>
              <w:rPr>
                <w:rFonts w:hint="eastAsia"/>
                <w:color w:val="auto"/>
                <w:sz w:val="24"/>
              </w:rPr>
              <w:t>由上表预测结果可知，项目四侧厂界昼、夜噪声贡献值均达到《工业企业厂界环境噪声排放标准》（GB12348-2008）中3类标准要求。</w:t>
            </w:r>
          </w:p>
          <w:p>
            <w:pPr>
              <w:keepNext w:val="0"/>
              <w:keepLines w:val="0"/>
              <w:suppressLineNumbers w:val="0"/>
              <w:spacing w:before="0" w:beforeAutospacing="0" w:after="0" w:afterAutospacing="0" w:line="360" w:lineRule="auto"/>
              <w:ind w:left="0" w:right="0" w:firstLine="482" w:firstLineChars="200"/>
              <w:rPr>
                <w:rFonts w:hint="default" w:eastAsia="Times New Roman"/>
                <w:b/>
                <w:color w:val="auto"/>
                <w:sz w:val="24"/>
              </w:rPr>
            </w:pPr>
            <w:r>
              <w:rPr>
                <w:rFonts w:hint="default"/>
                <w:b/>
                <w:color w:val="auto"/>
                <w:sz w:val="24"/>
              </w:rPr>
              <w:t>（4）</w:t>
            </w:r>
            <w:r>
              <w:rPr>
                <w:rFonts w:hint="eastAsia"/>
                <w:b/>
                <w:color w:val="auto"/>
                <w:sz w:val="24"/>
              </w:rPr>
              <w:t>对关心点的影响分析</w:t>
            </w:r>
          </w:p>
          <w:p>
            <w:pPr>
              <w:keepNext w:val="0"/>
              <w:keepLines w:val="0"/>
              <w:suppressLineNumbers w:val="0"/>
              <w:spacing w:before="0" w:beforeAutospacing="0" w:after="0" w:afterAutospacing="0" w:line="360" w:lineRule="auto"/>
              <w:ind w:left="0" w:right="0" w:firstLine="480" w:firstLineChars="200"/>
              <w:rPr>
                <w:rFonts w:hint="eastAsia"/>
                <w:color w:val="auto"/>
                <w:sz w:val="24"/>
              </w:rPr>
            </w:pPr>
            <w:r>
              <w:rPr>
                <w:rFonts w:hint="eastAsia"/>
                <w:color w:val="auto"/>
                <w:sz w:val="24"/>
              </w:rPr>
              <w:t>项目周边最近敏感点为</w:t>
            </w:r>
            <w:r>
              <w:rPr>
                <w:rFonts w:hint="eastAsia"/>
                <w:color w:val="auto"/>
                <w:sz w:val="24"/>
                <w:lang w:val="en-US" w:eastAsia="zh-CN"/>
              </w:rPr>
              <w:t>山下坝居民点</w:t>
            </w:r>
            <w:r>
              <w:rPr>
                <w:rFonts w:hint="eastAsia"/>
                <w:color w:val="auto"/>
                <w:sz w:val="24"/>
                <w:lang w:eastAsia="zh-CN"/>
              </w:rPr>
              <w:t>，</w:t>
            </w:r>
            <w:r>
              <w:rPr>
                <w:rFonts w:hint="eastAsia"/>
                <w:color w:val="auto"/>
                <w:sz w:val="24"/>
              </w:rPr>
              <w:t>距离本项目生产区</w:t>
            </w:r>
            <w:r>
              <w:rPr>
                <w:rFonts w:hint="eastAsia"/>
                <w:color w:val="auto"/>
                <w:sz w:val="24"/>
                <w:lang w:val="en-US" w:eastAsia="zh-CN"/>
              </w:rPr>
              <w:t>120</w:t>
            </w:r>
            <w:r>
              <w:rPr>
                <w:rFonts w:hint="eastAsia"/>
                <w:color w:val="auto"/>
                <w:sz w:val="24"/>
              </w:rPr>
              <w:t>米，项目投产后，由于噪声源距离其他关心点远，随着沿途的几何发散衰减、空气吸收衰减、地面效应衰减及厂内房屋的遮挡，噪声衰减量较大，关心点噪声能满足《声环境质量标准》GB3096-2008中2类标准要求。</w:t>
            </w:r>
          </w:p>
          <w:p>
            <w:pPr>
              <w:keepNext w:val="0"/>
              <w:keepLines w:val="0"/>
              <w:suppressLineNumbers w:val="0"/>
              <w:spacing w:before="0" w:beforeAutospacing="0" w:after="0" w:afterAutospacing="0" w:line="360" w:lineRule="auto"/>
              <w:ind w:left="0" w:right="0" w:firstLine="482" w:firstLineChars="200"/>
              <w:rPr>
                <w:rFonts w:hint="default"/>
                <w:b/>
                <w:color w:val="auto"/>
                <w:sz w:val="24"/>
              </w:rPr>
            </w:pPr>
            <w:r>
              <w:rPr>
                <w:rFonts w:hint="default"/>
                <w:b/>
                <w:color w:val="auto"/>
                <w:sz w:val="24"/>
              </w:rPr>
              <w:t>（5）噪声防治措施</w:t>
            </w:r>
          </w:p>
          <w:p>
            <w:pPr>
              <w:keepNext w:val="0"/>
              <w:keepLines w:val="0"/>
              <w:widowControl/>
              <w:suppressLineNumbers w:val="0"/>
              <w:spacing w:before="0" w:beforeAutospacing="0" w:after="0" w:afterAutospacing="0" w:line="360" w:lineRule="auto"/>
              <w:ind w:left="0" w:right="0" w:firstLine="480" w:firstLineChars="200"/>
              <w:jc w:val="left"/>
              <w:rPr>
                <w:rFonts w:hint="default"/>
                <w:color w:val="auto"/>
                <w:sz w:val="24"/>
              </w:rPr>
            </w:pPr>
            <w:r>
              <w:rPr>
                <w:rFonts w:hint="default"/>
                <w:color w:val="auto"/>
                <w:sz w:val="24"/>
              </w:rPr>
              <w:t>为进一步减少本项目运营期间噪声对周边环境的影响，环评要求采取以下噪声防治措施：</w:t>
            </w:r>
          </w:p>
          <w:p>
            <w:pPr>
              <w:keepNext w:val="0"/>
              <w:keepLines w:val="0"/>
              <w:widowControl/>
              <w:suppressLineNumbers w:val="0"/>
              <w:spacing w:before="0" w:beforeAutospacing="0" w:after="0" w:afterAutospacing="0" w:line="360" w:lineRule="auto"/>
              <w:ind w:left="0" w:right="0" w:firstLine="360" w:firstLineChars="150"/>
              <w:jc w:val="left"/>
              <w:rPr>
                <w:rFonts w:hint="default"/>
                <w:color w:val="auto"/>
                <w:sz w:val="24"/>
              </w:rPr>
            </w:pPr>
            <w:r>
              <w:rPr>
                <w:rFonts w:hint="eastAsia" w:ascii="宋体" w:hAnsi="宋体" w:cs="宋体"/>
                <w:color w:val="auto"/>
                <w:sz w:val="24"/>
              </w:rPr>
              <w:t>①</w:t>
            </w:r>
            <w:r>
              <w:rPr>
                <w:rFonts w:hint="default"/>
                <w:color w:val="auto"/>
                <w:sz w:val="24"/>
              </w:rPr>
              <w:t>选用噪声较小的设备；</w:t>
            </w:r>
          </w:p>
          <w:p>
            <w:pPr>
              <w:keepNext w:val="0"/>
              <w:keepLines w:val="0"/>
              <w:widowControl/>
              <w:suppressLineNumbers w:val="0"/>
              <w:spacing w:before="0" w:beforeAutospacing="0" w:after="0" w:afterAutospacing="0" w:line="360" w:lineRule="auto"/>
              <w:ind w:left="0" w:right="0" w:firstLine="360" w:firstLineChars="150"/>
              <w:jc w:val="left"/>
              <w:rPr>
                <w:rFonts w:hint="default"/>
                <w:color w:val="auto"/>
                <w:sz w:val="24"/>
              </w:rPr>
            </w:pPr>
            <w:r>
              <w:rPr>
                <w:rFonts w:hint="eastAsia" w:ascii="宋体" w:hAnsi="宋体" w:cs="宋体"/>
                <w:color w:val="auto"/>
                <w:sz w:val="24"/>
              </w:rPr>
              <w:t>②</w:t>
            </w:r>
            <w:r>
              <w:rPr>
                <w:rFonts w:hint="eastAsia" w:ascii="宋体" w:hAnsi="宋体" w:cs="宋体"/>
                <w:color w:val="auto"/>
                <w:sz w:val="24"/>
                <w:lang w:val="en-US" w:eastAsia="zh-CN"/>
              </w:rPr>
              <w:t>对设备间</w:t>
            </w:r>
            <w:r>
              <w:rPr>
                <w:rFonts w:hint="default"/>
                <w:color w:val="auto"/>
                <w:sz w:val="24"/>
              </w:rPr>
              <w:t>采取建筑隔声，做好鼓风设备的隔声、减振、风管软接等降噪措施，必要时建独立风机室，并使用隔声门窗及吸声材料；</w:t>
            </w:r>
          </w:p>
          <w:p>
            <w:pPr>
              <w:keepNext w:val="0"/>
              <w:keepLines w:val="0"/>
              <w:widowControl/>
              <w:suppressLineNumbers w:val="0"/>
              <w:spacing w:before="0" w:beforeAutospacing="0" w:after="0" w:afterAutospacing="0" w:line="360" w:lineRule="auto"/>
              <w:ind w:left="0" w:right="0" w:firstLine="360" w:firstLineChars="150"/>
              <w:jc w:val="left"/>
              <w:rPr>
                <w:rFonts w:hint="default"/>
                <w:color w:val="auto"/>
                <w:sz w:val="24"/>
              </w:rPr>
            </w:pPr>
            <w:r>
              <w:rPr>
                <w:rFonts w:hint="eastAsia" w:ascii="宋体" w:hAnsi="宋体" w:cs="宋体"/>
                <w:color w:val="auto"/>
                <w:sz w:val="24"/>
              </w:rPr>
              <w:t>③</w:t>
            </w:r>
            <w:r>
              <w:rPr>
                <w:rFonts w:hint="default"/>
                <w:color w:val="auto"/>
                <w:sz w:val="24"/>
              </w:rPr>
              <w:t>设独立的高噪声设备隔声操作间，改善操作条件，以减小噪声对外界环境的影响。</w:t>
            </w:r>
          </w:p>
          <w:p>
            <w:pPr>
              <w:pStyle w:val="44"/>
              <w:keepNext w:val="0"/>
              <w:keepLines w:val="0"/>
              <w:suppressLineNumbers w:val="0"/>
              <w:adjustRightInd/>
              <w:snapToGrid/>
              <w:spacing w:before="0" w:beforeAutospacing="0" w:after="0" w:afterAutospacing="0" w:line="360" w:lineRule="auto"/>
              <w:ind w:left="0" w:right="0" w:firstLine="480" w:firstLineChars="200"/>
              <w:rPr>
                <w:rFonts w:hint="default" w:ascii="Times New Roman" w:cs="Times New Roman"/>
                <w:color w:val="auto"/>
                <w:lang w:val="zh-CN"/>
              </w:rPr>
            </w:pPr>
            <w:r>
              <w:rPr>
                <w:rFonts w:hint="eastAsia" w:ascii="宋体" w:hAnsi="宋体" w:cs="宋体"/>
                <w:color w:val="auto"/>
                <w:sz w:val="24"/>
              </w:rPr>
              <w:t>④</w:t>
            </w:r>
            <w:r>
              <w:rPr>
                <w:rFonts w:hint="default" w:ascii="Times New Roman" w:cs="Times New Roman"/>
                <w:color w:val="auto"/>
              </w:rPr>
              <w:t>增加厂区内高大树木的绿化程度，尤其是部分高噪声设备周围的绿化密度，以利于高噪声设备的声源降噪</w:t>
            </w:r>
            <w:r>
              <w:rPr>
                <w:rFonts w:hint="default" w:ascii="Times New Roman" w:cs="Times New Roman"/>
                <w:color w:val="auto"/>
                <w:lang w:val="zh-CN"/>
              </w:rPr>
              <w:t>。</w:t>
            </w:r>
          </w:p>
          <w:p>
            <w:pPr>
              <w:pStyle w:val="44"/>
              <w:keepNext w:val="0"/>
              <w:keepLines w:val="0"/>
              <w:suppressLineNumbers w:val="0"/>
              <w:adjustRightInd/>
              <w:snapToGrid/>
              <w:spacing w:before="0" w:beforeAutospacing="0" w:after="0" w:afterAutospacing="0" w:line="360" w:lineRule="auto"/>
              <w:ind w:left="0" w:right="0" w:firstLine="480" w:firstLineChars="200"/>
              <w:rPr>
                <w:rFonts w:hint="default" w:ascii="Times New Roman" w:cs="Times New Roman"/>
                <w:color w:val="auto"/>
                <w:lang w:val="zh-CN"/>
              </w:rPr>
            </w:pPr>
            <w:r>
              <w:rPr>
                <w:rFonts w:hint="default" w:ascii="Times New Roman" w:cs="Times New Roman"/>
                <w:color w:val="auto"/>
                <w:lang w:val="zh-CN"/>
              </w:rPr>
              <w:t>综上，经预测及采取以上污染防治措施后，本项目噪声对周边环境影响较小。</w:t>
            </w:r>
          </w:p>
          <w:p>
            <w:pPr>
              <w:pStyle w:val="44"/>
              <w:keepNext w:val="0"/>
              <w:keepLines w:val="0"/>
              <w:suppressLineNumbers w:val="0"/>
              <w:adjustRightInd/>
              <w:snapToGrid/>
              <w:spacing w:before="0" w:beforeAutospacing="0" w:after="0" w:afterAutospacing="0" w:line="360" w:lineRule="auto"/>
              <w:ind w:left="0" w:right="0" w:firstLine="480" w:firstLineChars="200"/>
              <w:rPr>
                <w:rFonts w:hint="default" w:ascii="Times New Roman" w:cs="Times New Roman"/>
                <w:color w:val="auto"/>
              </w:rPr>
            </w:pPr>
            <w:r>
              <w:rPr>
                <w:rFonts w:hint="default" w:ascii="Times New Roman" w:cs="Times New Roman"/>
                <w:color w:val="auto"/>
                <w:lang w:val="zh-CN"/>
              </w:rPr>
              <w:t>（</w:t>
            </w:r>
            <w:r>
              <w:rPr>
                <w:rFonts w:hint="default" w:ascii="Times New Roman" w:cs="Times New Roman"/>
                <w:color w:val="auto"/>
              </w:rPr>
              <w:t>2</w:t>
            </w:r>
            <w:r>
              <w:rPr>
                <w:rFonts w:hint="default" w:ascii="Times New Roman" w:cs="Times New Roman"/>
                <w:color w:val="auto"/>
                <w:lang w:val="zh-CN"/>
              </w:rPr>
              <w:t>）</w:t>
            </w:r>
            <w:r>
              <w:rPr>
                <w:rFonts w:hint="default" w:ascii="Times New Roman" w:cs="Times New Roman"/>
                <w:color w:val="auto"/>
              </w:rPr>
              <w:t>噪声监测计划</w:t>
            </w:r>
          </w:p>
          <w:p>
            <w:pPr>
              <w:pStyle w:val="44"/>
              <w:keepNext w:val="0"/>
              <w:keepLines w:val="0"/>
              <w:suppressLineNumbers w:val="0"/>
              <w:adjustRightInd/>
              <w:snapToGrid/>
              <w:spacing w:before="0" w:beforeAutospacing="0" w:after="0" w:afterAutospacing="0" w:line="360" w:lineRule="auto"/>
              <w:ind w:left="0" w:right="0" w:firstLine="480" w:firstLineChars="200"/>
              <w:rPr>
                <w:rFonts w:hint="default" w:ascii="Times New Roman" w:cs="Times New Roman"/>
                <w:color w:val="auto"/>
                <w:lang w:val="zh-CN"/>
              </w:rPr>
            </w:pPr>
            <w:r>
              <w:rPr>
                <w:rFonts w:hint="default" w:ascii="Times New Roman" w:cs="Times New Roman"/>
                <w:color w:val="auto"/>
                <w:lang w:val="zh-CN"/>
              </w:rPr>
              <w:t>项目</w:t>
            </w:r>
            <w:r>
              <w:rPr>
                <w:rFonts w:hint="default" w:ascii="Times New Roman" w:cs="Times New Roman"/>
                <w:color w:val="auto"/>
              </w:rPr>
              <w:t>噪声</w:t>
            </w:r>
            <w:r>
              <w:rPr>
                <w:rFonts w:hint="default" w:ascii="Times New Roman" w:cs="Times New Roman"/>
                <w:color w:val="auto"/>
                <w:lang w:val="zh-CN"/>
              </w:rPr>
              <w:t>监测计划见表</w:t>
            </w:r>
            <w:r>
              <w:rPr>
                <w:rFonts w:hint="default" w:ascii="Times New Roman" w:cs="Times New Roman"/>
                <w:color w:val="auto"/>
              </w:rPr>
              <w:t>4-</w:t>
            </w:r>
            <w:r>
              <w:rPr>
                <w:rFonts w:hint="eastAsia" w:ascii="Times New Roman" w:cs="Times New Roman"/>
                <w:color w:val="auto"/>
                <w:lang w:val="en-US" w:eastAsia="zh-CN"/>
              </w:rPr>
              <w:t>8</w:t>
            </w:r>
            <w:r>
              <w:rPr>
                <w:rFonts w:hint="default" w:ascii="Times New Roman" w:cs="Times New Roman"/>
                <w:color w:val="auto"/>
                <w:lang w:val="zh-CN"/>
              </w:rPr>
              <w:t>：</w:t>
            </w:r>
          </w:p>
          <w:p>
            <w:pPr>
              <w:keepNext w:val="0"/>
              <w:keepLines w:val="0"/>
              <w:suppressLineNumbers w:val="0"/>
              <w:autoSpaceDE w:val="0"/>
              <w:autoSpaceDN w:val="0"/>
              <w:spacing w:before="0" w:beforeAutospacing="0" w:after="0" w:afterAutospacing="0"/>
              <w:ind w:left="0" w:right="0" w:firstLine="422" w:firstLineChars="200"/>
              <w:jc w:val="center"/>
              <w:rPr>
                <w:rFonts w:hint="default"/>
                <w:b/>
                <w:bCs/>
                <w:color w:val="auto"/>
                <w:lang w:val="zh-CN"/>
              </w:rPr>
            </w:pPr>
            <w:r>
              <w:rPr>
                <w:rFonts w:hint="default"/>
                <w:b/>
                <w:bCs/>
                <w:color w:val="auto"/>
                <w:lang w:val="zh-CN"/>
              </w:rPr>
              <w:t>表</w:t>
            </w:r>
            <w:r>
              <w:rPr>
                <w:rFonts w:hint="default"/>
                <w:b/>
                <w:bCs/>
                <w:color w:val="auto"/>
              </w:rPr>
              <w:t>4-</w:t>
            </w:r>
            <w:r>
              <w:rPr>
                <w:rFonts w:hint="eastAsia"/>
                <w:b/>
                <w:bCs/>
                <w:color w:val="auto"/>
                <w:lang w:val="en-US" w:eastAsia="zh-CN"/>
              </w:rPr>
              <w:t>8</w:t>
            </w:r>
            <w:r>
              <w:rPr>
                <w:rFonts w:hint="default"/>
                <w:b/>
                <w:bCs/>
                <w:color w:val="auto"/>
              </w:rPr>
              <w:t xml:space="preserve"> 噪声</w:t>
            </w:r>
            <w:r>
              <w:rPr>
                <w:rFonts w:hint="default"/>
                <w:b/>
                <w:bCs/>
                <w:color w:val="auto"/>
                <w:lang w:val="zh-CN"/>
              </w:rPr>
              <w:t>监测计划</w:t>
            </w:r>
          </w:p>
          <w:tbl>
            <w:tblPr>
              <w:tblStyle w:val="29"/>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271"/>
              <w:gridCol w:w="2126"/>
              <w:gridCol w:w="3092"/>
              <w:gridCol w:w="143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271"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auto"/>
                    </w:rPr>
                  </w:pPr>
                  <w:r>
                    <w:rPr>
                      <w:rFonts w:hint="default"/>
                      <w:color w:val="auto"/>
                    </w:rPr>
                    <w:t>监测项目</w:t>
                  </w:r>
                </w:p>
              </w:tc>
              <w:tc>
                <w:tcPr>
                  <w:tcW w:w="2126"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auto"/>
                    </w:rPr>
                  </w:pPr>
                  <w:r>
                    <w:rPr>
                      <w:rFonts w:hint="default"/>
                      <w:color w:val="auto"/>
                    </w:rPr>
                    <w:t>监测因子</w:t>
                  </w:r>
                </w:p>
              </w:tc>
              <w:tc>
                <w:tcPr>
                  <w:tcW w:w="3092"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auto"/>
                    </w:rPr>
                  </w:pPr>
                  <w:r>
                    <w:rPr>
                      <w:rFonts w:hint="default"/>
                      <w:color w:val="auto"/>
                    </w:rPr>
                    <w:t>监测点位</w:t>
                  </w:r>
                </w:p>
              </w:tc>
              <w:tc>
                <w:tcPr>
                  <w:tcW w:w="1430"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auto"/>
                    </w:rPr>
                  </w:pPr>
                  <w:r>
                    <w:rPr>
                      <w:rFonts w:hint="default"/>
                      <w:color w:val="auto"/>
                    </w:rPr>
                    <w:t>监测频率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3" w:hRule="atLeast"/>
                <w:jc w:val="center"/>
              </w:trPr>
              <w:tc>
                <w:tcPr>
                  <w:tcW w:w="1271"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auto"/>
                    </w:rPr>
                  </w:pPr>
                  <w:r>
                    <w:rPr>
                      <w:rFonts w:hint="default"/>
                      <w:color w:val="auto"/>
                    </w:rPr>
                    <w:t>噪声监测</w:t>
                  </w:r>
                </w:p>
              </w:tc>
              <w:tc>
                <w:tcPr>
                  <w:tcW w:w="2126"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auto"/>
                    </w:rPr>
                  </w:pPr>
                  <w:r>
                    <w:rPr>
                      <w:rFonts w:hint="default"/>
                      <w:color w:val="auto"/>
                    </w:rPr>
                    <w:t>dB(A)</w:t>
                  </w:r>
                </w:p>
              </w:tc>
              <w:tc>
                <w:tcPr>
                  <w:tcW w:w="3092"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auto"/>
                    </w:rPr>
                  </w:pPr>
                  <w:r>
                    <w:rPr>
                      <w:rFonts w:hint="default"/>
                      <w:color w:val="auto"/>
                    </w:rPr>
                    <w:t>东、南、西、北厂界外1m</w:t>
                  </w:r>
                </w:p>
              </w:tc>
              <w:tc>
                <w:tcPr>
                  <w:tcW w:w="1430"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color w:val="auto"/>
                    </w:rPr>
                  </w:pPr>
                  <w:r>
                    <w:rPr>
                      <w:rFonts w:hint="default"/>
                      <w:color w:val="auto"/>
                    </w:rPr>
                    <w:t>每季度一次</w:t>
                  </w:r>
                </w:p>
              </w:tc>
            </w:tr>
          </w:tbl>
          <w:p>
            <w:pPr>
              <w:pStyle w:val="44"/>
              <w:keepNext w:val="0"/>
              <w:keepLines w:val="0"/>
              <w:suppressLineNumbers w:val="0"/>
              <w:adjustRightInd/>
              <w:snapToGrid/>
              <w:spacing w:before="0" w:beforeAutospacing="0" w:after="0" w:afterAutospacing="0" w:line="360" w:lineRule="auto"/>
              <w:ind w:left="0" w:right="0" w:firstLine="480" w:firstLineChars="200"/>
              <w:rPr>
                <w:rFonts w:hint="eastAsia" w:ascii="Times New Roman" w:cs="Times New Roman"/>
                <w:color w:val="auto"/>
                <w:u w:val="single"/>
              </w:rPr>
            </w:pPr>
            <w:r>
              <w:rPr>
                <w:rFonts w:hint="eastAsia" w:ascii="Times New Roman" w:cs="Times New Roman"/>
                <w:color w:val="auto"/>
                <w:u w:val="single"/>
              </w:rPr>
              <w:t>拟建项目建成后设备噪声通过厂房、设备选型、安装消声器等隔声、消声、降噪后可减低部分噪声值。根据预测结果，厂界东、南、西、北预测值均昼间均满足GB12348-2008《工业企业厂界环境噪声排放标准》中3类标准限值，项目噪声达标排放，关心点噪声能满足《声环境质量标准》GB3096-2008中2类标准要求，在运营期间不会出现夜间噪声扰民现象，对周围环境噪声影响较小。</w:t>
            </w:r>
          </w:p>
          <w:p>
            <w:pPr>
              <w:pStyle w:val="6"/>
              <w:keepNext w:val="0"/>
              <w:keepLines w:val="0"/>
              <w:suppressLineNumbers w:val="0"/>
              <w:spacing w:before="0" w:beforeAutospacing="0" w:after="0" w:afterAutospacing="0" w:line="360" w:lineRule="auto"/>
              <w:ind w:left="0" w:right="0" w:firstLine="482"/>
              <w:rPr>
                <w:rFonts w:hint="eastAsia"/>
                <w:b/>
                <w:bCs/>
                <w:color w:val="auto"/>
                <w:sz w:val="24"/>
                <w:u w:val="none"/>
              </w:rPr>
            </w:pPr>
          </w:p>
          <w:p>
            <w:pPr>
              <w:pStyle w:val="6"/>
              <w:keepNext w:val="0"/>
              <w:keepLines w:val="0"/>
              <w:suppressLineNumbers w:val="0"/>
              <w:spacing w:before="0" w:beforeAutospacing="0" w:after="0" w:afterAutospacing="0" w:line="360" w:lineRule="auto"/>
              <w:ind w:left="0" w:right="0" w:firstLine="482"/>
              <w:rPr>
                <w:rFonts w:hint="eastAsia"/>
                <w:b/>
                <w:bCs/>
                <w:color w:val="auto"/>
                <w:sz w:val="24"/>
                <w:u w:val="none"/>
              </w:rPr>
            </w:pPr>
          </w:p>
          <w:p>
            <w:pPr>
              <w:pStyle w:val="6"/>
              <w:keepNext w:val="0"/>
              <w:keepLines w:val="0"/>
              <w:suppressLineNumbers w:val="0"/>
              <w:spacing w:before="0" w:beforeAutospacing="0" w:after="0" w:afterAutospacing="0" w:line="360" w:lineRule="auto"/>
              <w:ind w:left="0" w:right="0" w:firstLine="482"/>
              <w:rPr>
                <w:rFonts w:hint="eastAsia"/>
                <w:b/>
                <w:bCs/>
                <w:color w:val="auto"/>
                <w:sz w:val="24"/>
                <w:u w:val="none"/>
              </w:rPr>
            </w:pPr>
          </w:p>
          <w:p>
            <w:pPr>
              <w:pStyle w:val="6"/>
              <w:keepNext w:val="0"/>
              <w:keepLines w:val="0"/>
              <w:suppressLineNumbers w:val="0"/>
              <w:spacing w:before="0" w:beforeAutospacing="0" w:after="0" w:afterAutospacing="0" w:line="360" w:lineRule="auto"/>
              <w:ind w:left="0" w:right="0" w:firstLine="482"/>
              <w:rPr>
                <w:rFonts w:hint="eastAsia"/>
                <w:b/>
                <w:bCs/>
                <w:color w:val="auto"/>
                <w:sz w:val="24"/>
                <w:u w:val="none"/>
              </w:rPr>
            </w:pPr>
          </w:p>
          <w:p>
            <w:pPr>
              <w:pStyle w:val="6"/>
              <w:keepNext w:val="0"/>
              <w:keepLines w:val="0"/>
              <w:suppressLineNumbers w:val="0"/>
              <w:spacing w:before="0" w:beforeAutospacing="0" w:after="0" w:afterAutospacing="0" w:line="360" w:lineRule="auto"/>
              <w:ind w:left="0" w:right="0" w:firstLine="482"/>
              <w:rPr>
                <w:rFonts w:hint="eastAsia"/>
                <w:b/>
                <w:bCs/>
                <w:color w:val="auto"/>
                <w:sz w:val="24"/>
                <w:u w:val="none"/>
              </w:rPr>
            </w:pPr>
          </w:p>
          <w:p>
            <w:pPr>
              <w:pStyle w:val="6"/>
              <w:keepNext w:val="0"/>
              <w:keepLines w:val="0"/>
              <w:suppressLineNumbers w:val="0"/>
              <w:spacing w:before="0" w:beforeAutospacing="0" w:after="0" w:afterAutospacing="0" w:line="360" w:lineRule="auto"/>
              <w:ind w:left="0" w:right="0" w:firstLine="482"/>
              <w:rPr>
                <w:rFonts w:hint="eastAsia"/>
                <w:b/>
                <w:bCs/>
                <w:color w:val="auto"/>
                <w:sz w:val="24"/>
                <w:u w:val="none"/>
              </w:rPr>
            </w:pPr>
          </w:p>
          <w:p>
            <w:pPr>
              <w:pStyle w:val="6"/>
              <w:keepNext w:val="0"/>
              <w:keepLines w:val="0"/>
              <w:suppressLineNumbers w:val="0"/>
              <w:spacing w:before="0" w:beforeAutospacing="0" w:after="0" w:afterAutospacing="0" w:line="360" w:lineRule="auto"/>
              <w:ind w:left="0" w:right="0" w:firstLine="482"/>
              <w:rPr>
                <w:rFonts w:hint="eastAsia"/>
                <w:b/>
                <w:bCs/>
                <w:color w:val="auto"/>
                <w:sz w:val="24"/>
                <w:u w:val="none"/>
              </w:rPr>
            </w:pPr>
            <w:r>
              <w:rPr>
                <w:rFonts w:hint="eastAsia"/>
                <w:b/>
                <w:bCs/>
                <w:color w:val="auto"/>
                <w:sz w:val="24"/>
                <w:u w:val="none"/>
              </w:rPr>
              <w:t>四、固体废物环境影响和保护措施</w:t>
            </w:r>
          </w:p>
          <w:p>
            <w:pPr>
              <w:keepNext w:val="0"/>
              <w:keepLines w:val="0"/>
              <w:suppressLineNumbers w:val="0"/>
              <w:spacing w:before="0" w:beforeAutospacing="0" w:after="0" w:afterAutospacing="0" w:line="360" w:lineRule="auto"/>
              <w:ind w:left="0" w:right="0" w:firstLine="482" w:firstLineChars="200"/>
              <w:rPr>
                <w:rFonts w:hint="eastAsia"/>
                <w:b/>
                <w:bCs/>
                <w:color w:val="auto"/>
                <w:sz w:val="24"/>
                <w:u w:val="none"/>
              </w:rPr>
            </w:pPr>
            <w:r>
              <w:rPr>
                <w:rFonts w:hint="eastAsia"/>
                <w:b/>
                <w:bCs/>
                <w:color w:val="auto"/>
                <w:sz w:val="24"/>
                <w:u w:val="none"/>
                <w:lang w:val="en-US" w:eastAsia="zh-CN"/>
              </w:rPr>
              <w:t>1、</w:t>
            </w:r>
            <w:r>
              <w:rPr>
                <w:rFonts w:hint="eastAsia"/>
                <w:b/>
                <w:bCs/>
                <w:color w:val="auto"/>
                <w:sz w:val="24"/>
                <w:u w:val="none"/>
              </w:rPr>
              <w:t>固废产生及处置情况</w:t>
            </w:r>
          </w:p>
          <w:p>
            <w:pPr>
              <w:pStyle w:val="10"/>
              <w:keepNext w:val="0"/>
              <w:keepLines w:val="0"/>
              <w:pageBreakBefore w:val="0"/>
              <w:suppressLineNumbers w:val="0"/>
              <w:kinsoku/>
              <w:wordWrap/>
              <w:overflowPunct/>
              <w:topLinePunct w:val="0"/>
              <w:autoSpaceDE/>
              <w:autoSpaceDN/>
              <w:bidi w:val="0"/>
              <w:adjustRightInd/>
              <w:spacing w:before="0" w:beforeAutospacing="0" w:after="0" w:afterAutospacing="0" w:line="360" w:lineRule="auto"/>
              <w:ind w:left="0" w:leftChars="0" w:right="0" w:firstLine="480" w:firstLineChars="200"/>
              <w:textAlignment w:val="auto"/>
              <w:rPr>
                <w:rFonts w:hint="default"/>
                <w:color w:val="auto"/>
                <w:sz w:val="24"/>
              </w:rPr>
            </w:pPr>
            <w:r>
              <w:rPr>
                <w:rFonts w:hint="default"/>
                <w:color w:val="auto"/>
                <w:sz w:val="24"/>
              </w:rPr>
              <w:t>项目固体废物主要为污水处理过程中产生的污泥、格栅沉渣、员工生活垃圾以及少量危废等。</w:t>
            </w:r>
          </w:p>
          <w:p>
            <w:pPr>
              <w:pStyle w:val="95"/>
              <w:keepNext w:val="0"/>
              <w:keepLines w:val="0"/>
              <w:pageBreakBefore w:val="0"/>
              <w:suppressLineNumbers w:val="0"/>
              <w:kinsoku/>
              <w:wordWrap/>
              <w:overflowPunct/>
              <w:topLinePunct w:val="0"/>
              <w:autoSpaceDE/>
              <w:autoSpaceDN/>
              <w:bidi w:val="0"/>
              <w:adjustRightInd/>
              <w:spacing w:before="0" w:beforeAutospacing="0" w:after="0" w:afterAutospacing="0"/>
              <w:ind w:left="0" w:leftChars="0" w:right="0" w:firstLine="480" w:firstLineChars="200"/>
              <w:textAlignment w:val="auto"/>
              <w:rPr>
                <w:rFonts w:hint="default" w:cs="Times New Roman"/>
                <w:bCs/>
                <w:color w:val="auto"/>
              </w:rPr>
            </w:pPr>
            <w:r>
              <w:rPr>
                <w:rFonts w:hint="default" w:cs="Times New Roman"/>
                <w:bCs/>
                <w:color w:val="auto"/>
              </w:rPr>
              <w:t>（1）栅渣</w:t>
            </w:r>
          </w:p>
          <w:p>
            <w:pPr>
              <w:pStyle w:val="95"/>
              <w:keepNext w:val="0"/>
              <w:keepLines w:val="0"/>
              <w:pageBreakBefore w:val="0"/>
              <w:suppressLineNumbers w:val="0"/>
              <w:kinsoku/>
              <w:wordWrap/>
              <w:overflowPunct/>
              <w:topLinePunct w:val="0"/>
              <w:autoSpaceDE/>
              <w:autoSpaceDN/>
              <w:bidi w:val="0"/>
              <w:adjustRightInd/>
              <w:spacing w:before="0" w:beforeAutospacing="0" w:after="0" w:afterAutospacing="0"/>
              <w:ind w:left="0" w:leftChars="0" w:right="0" w:firstLine="480" w:firstLineChars="200"/>
              <w:textAlignment w:val="auto"/>
              <w:rPr>
                <w:rFonts w:hint="default" w:cs="Times New Roman"/>
                <w:bCs/>
                <w:color w:val="auto"/>
              </w:rPr>
            </w:pPr>
            <w:r>
              <w:rPr>
                <w:rFonts w:hint="default" w:cs="Times New Roman"/>
                <w:bCs/>
                <w:color w:val="auto"/>
              </w:rPr>
              <w:t>在污水预处理阶段，由格栅井分离出一定量的栅渣，主要是较大块状物、枝状物、软性物质和软塑料等粗、细垃圾和悬浮或飘浮状态的杂物。</w:t>
            </w:r>
            <w:r>
              <w:rPr>
                <w:rFonts w:hint="eastAsia" w:cs="Times New Roman"/>
                <w:bCs/>
                <w:color w:val="auto"/>
              </w:rPr>
              <w:t>类比同类工程，</w:t>
            </w:r>
            <w:r>
              <w:rPr>
                <w:rFonts w:hint="default" w:cs="Times New Roman"/>
                <w:bCs/>
                <w:color w:val="auto"/>
              </w:rPr>
              <w:t>栅渣产生量约</w:t>
            </w:r>
            <w:r>
              <w:rPr>
                <w:rFonts w:hint="eastAsia" w:cs="Times New Roman"/>
                <w:bCs/>
                <w:color w:val="auto"/>
                <w:lang w:val="en-US" w:eastAsia="zh-CN"/>
              </w:rPr>
              <w:t>6</w:t>
            </w:r>
            <w:r>
              <w:rPr>
                <w:rFonts w:hint="default" w:cs="Times New Roman"/>
                <w:bCs/>
                <w:color w:val="auto"/>
              </w:rPr>
              <w:t>t/a。</w:t>
            </w:r>
            <w:r>
              <w:rPr>
                <w:rFonts w:hint="eastAsia" w:cs="Times New Roman"/>
                <w:bCs/>
                <w:color w:val="auto"/>
              </w:rPr>
              <w:t>厂内暂存后外运至</w:t>
            </w:r>
            <w:r>
              <w:rPr>
                <w:rFonts w:hint="eastAsia" w:cs="Times New Roman"/>
                <w:bCs/>
                <w:color w:val="auto"/>
                <w:lang w:val="en-US" w:eastAsia="zh-CN"/>
              </w:rPr>
              <w:t>新田县</w:t>
            </w:r>
            <w:r>
              <w:rPr>
                <w:rFonts w:hint="eastAsia" w:cs="Times New Roman"/>
                <w:bCs/>
                <w:color w:val="auto"/>
              </w:rPr>
              <w:t>填埋场进行填埋处理。</w:t>
            </w:r>
          </w:p>
          <w:p>
            <w:pPr>
              <w:pStyle w:val="95"/>
              <w:keepNext w:val="0"/>
              <w:keepLines w:val="0"/>
              <w:pageBreakBefore w:val="0"/>
              <w:suppressLineNumbers w:val="0"/>
              <w:kinsoku/>
              <w:wordWrap/>
              <w:overflowPunct/>
              <w:topLinePunct w:val="0"/>
              <w:autoSpaceDE/>
              <w:autoSpaceDN/>
              <w:bidi w:val="0"/>
              <w:adjustRightInd/>
              <w:spacing w:before="0" w:beforeAutospacing="0" w:after="0" w:afterAutospacing="0"/>
              <w:ind w:left="0" w:leftChars="0" w:right="0" w:firstLine="480" w:firstLineChars="200"/>
              <w:textAlignment w:val="auto"/>
              <w:rPr>
                <w:rFonts w:hint="default" w:cs="Times New Roman"/>
                <w:bCs/>
                <w:color w:val="auto"/>
                <w:u w:val="single"/>
              </w:rPr>
            </w:pPr>
            <w:r>
              <w:rPr>
                <w:rFonts w:hint="default" w:cs="Times New Roman"/>
                <w:bCs/>
                <w:color w:val="auto"/>
                <w:u w:val="single"/>
              </w:rPr>
              <w:t>（2）污泥泥饼</w:t>
            </w:r>
          </w:p>
          <w:p>
            <w:pPr>
              <w:pStyle w:val="95"/>
              <w:keepNext w:val="0"/>
              <w:keepLines w:val="0"/>
              <w:pageBreakBefore w:val="0"/>
              <w:suppressLineNumbers w:val="0"/>
              <w:kinsoku/>
              <w:wordWrap/>
              <w:overflowPunct/>
              <w:topLinePunct w:val="0"/>
              <w:autoSpaceDE/>
              <w:autoSpaceDN/>
              <w:bidi w:val="0"/>
              <w:adjustRightInd/>
              <w:spacing w:before="0" w:beforeAutospacing="0" w:after="0" w:afterAutospacing="0"/>
              <w:ind w:left="0" w:leftChars="0" w:right="0" w:firstLine="480" w:firstLineChars="200"/>
              <w:textAlignment w:val="auto"/>
              <w:rPr>
                <w:rFonts w:hint="default" w:cs="Times New Roman"/>
                <w:bCs/>
                <w:color w:val="auto"/>
                <w:u w:val="single"/>
              </w:rPr>
            </w:pPr>
            <w:r>
              <w:rPr>
                <w:rFonts w:hint="eastAsia" w:hAnsi="宋体" w:cs="Times New Roman"/>
                <w:bCs/>
                <w:color w:val="auto"/>
                <w:u w:val="single"/>
                <w:lang w:val="en-US" w:eastAsia="zh-CN"/>
              </w:rPr>
              <w:t>本项目处理废水来源主要为</w:t>
            </w:r>
            <w:r>
              <w:rPr>
                <w:rFonts w:hint="eastAsia" w:ascii="Times New Roman" w:hAnsi="Times New Roman" w:cs="宋体"/>
                <w:color w:val="auto"/>
                <w:sz w:val="24"/>
                <w:u w:val="single"/>
              </w:rPr>
              <w:t>湖南鲁丽木业绿色新材料科技产业园</w:t>
            </w:r>
            <w:r>
              <w:rPr>
                <w:rFonts w:hint="eastAsia" w:ascii="Times New Roman" w:hAnsi="Times New Roman" w:cs="宋体"/>
                <w:color w:val="auto"/>
                <w:sz w:val="24"/>
                <w:u w:val="single"/>
                <w:lang w:val="en-US" w:eastAsia="zh-CN"/>
              </w:rPr>
              <w:t>内生活污水及生物质电厂锅炉排污水，生物质电厂锅炉排污水中污染物主要为SS、COD、盐分等。因此，本项目产生污泥为一般固废。</w:t>
            </w:r>
            <w:r>
              <w:rPr>
                <w:rFonts w:hint="default" w:hAnsi="宋体" w:cs="Times New Roman"/>
                <w:bCs/>
                <w:color w:val="auto"/>
                <w:u w:val="single"/>
              </w:rPr>
              <w:t>项目类比</w:t>
            </w:r>
            <w:r>
              <w:rPr>
                <w:rFonts w:hint="eastAsia" w:hAnsi="宋体" w:cs="Times New Roman"/>
                <w:bCs/>
                <w:color w:val="auto"/>
                <w:u w:val="single"/>
              </w:rPr>
              <w:t>同类工艺污水处理厂</w:t>
            </w:r>
            <w:r>
              <w:rPr>
                <w:rFonts w:hint="default" w:hAnsi="宋体" w:cs="Times New Roman"/>
                <w:bCs/>
                <w:color w:val="auto"/>
                <w:u w:val="single"/>
              </w:rPr>
              <w:t>中污泥产生量</w:t>
            </w:r>
            <w:r>
              <w:rPr>
                <w:rFonts w:hint="eastAsia" w:hAnsi="宋体" w:cs="Times New Roman"/>
                <w:bCs/>
                <w:color w:val="auto"/>
                <w:u w:val="single"/>
              </w:rPr>
              <w:t>，</w:t>
            </w:r>
            <w:r>
              <w:rPr>
                <w:rFonts w:hint="eastAsia" w:hAnsi="宋体" w:cs="Times New Roman"/>
                <w:bCs/>
                <w:color w:val="auto"/>
                <w:u w:val="single"/>
                <w:lang w:val="en-US" w:eastAsia="zh-CN"/>
              </w:rPr>
              <w:t>每处理4000m</w:t>
            </w:r>
            <w:r>
              <w:rPr>
                <w:rFonts w:hint="eastAsia" w:hAnsi="宋体" w:cs="Times New Roman"/>
                <w:bCs/>
                <w:color w:val="auto"/>
                <w:u w:val="single"/>
                <w:vertAlign w:val="superscript"/>
                <w:lang w:val="en-US" w:eastAsia="zh-CN"/>
              </w:rPr>
              <w:t>3</w:t>
            </w:r>
            <w:r>
              <w:rPr>
                <w:rFonts w:hint="eastAsia" w:hAnsi="宋体" w:cs="Times New Roman"/>
                <w:bCs/>
                <w:color w:val="auto"/>
                <w:u w:val="single"/>
                <w:lang w:val="en-US" w:eastAsia="zh-CN"/>
              </w:rPr>
              <w:t>/d</w:t>
            </w:r>
            <w:r>
              <w:rPr>
                <w:rFonts w:hint="eastAsia" w:hAnsi="宋体" w:cs="Times New Roman"/>
                <w:bCs/>
                <w:color w:val="auto"/>
                <w:u w:val="single"/>
              </w:rPr>
              <w:t>产生</w:t>
            </w:r>
            <w:r>
              <w:rPr>
                <w:rFonts w:hint="eastAsia" w:hAnsi="宋体" w:cs="Times New Roman"/>
                <w:bCs/>
                <w:color w:val="auto"/>
                <w:u w:val="single"/>
                <w:lang w:val="en-US" w:eastAsia="zh-CN"/>
              </w:rPr>
              <w:t>约</w:t>
            </w:r>
            <w:r>
              <w:rPr>
                <w:rFonts w:hint="eastAsia" w:hAnsi="宋体" w:cs="Times New Roman"/>
                <w:bCs/>
                <w:color w:val="auto"/>
                <w:u w:val="single"/>
              </w:rPr>
              <w:t>1吨污泥</w:t>
            </w:r>
            <w:r>
              <w:rPr>
                <w:rFonts w:hint="eastAsia" w:hAnsi="宋体" w:cs="Times New Roman"/>
                <w:bCs/>
                <w:color w:val="auto"/>
                <w:u w:val="single"/>
                <w:lang w:eastAsia="zh-CN"/>
              </w:rPr>
              <w:t>。</w:t>
            </w:r>
            <w:r>
              <w:rPr>
                <w:rFonts w:hint="eastAsia" w:hAnsi="宋体" w:cs="Times New Roman"/>
                <w:bCs/>
                <w:color w:val="auto"/>
                <w:u w:val="single"/>
                <w:lang w:val="en-US" w:eastAsia="zh-CN"/>
              </w:rPr>
              <w:t>经计算，本项目</w:t>
            </w:r>
            <w:r>
              <w:rPr>
                <w:rFonts w:hint="default" w:hAnsi="宋体" w:cs="Times New Roman"/>
                <w:bCs/>
                <w:color w:val="auto"/>
                <w:u w:val="single"/>
              </w:rPr>
              <w:t>污泥产生量</w:t>
            </w:r>
            <w:r>
              <w:rPr>
                <w:rFonts w:hint="eastAsia" w:hAnsi="宋体" w:cs="Times New Roman"/>
                <w:bCs/>
                <w:color w:val="auto"/>
                <w:u w:val="single"/>
              </w:rPr>
              <w:t>约</w:t>
            </w:r>
            <w:r>
              <w:rPr>
                <w:rFonts w:hint="default" w:hAnsi="宋体" w:cs="Times New Roman"/>
                <w:bCs/>
                <w:color w:val="auto"/>
                <w:u w:val="single"/>
              </w:rPr>
              <w:t>为</w:t>
            </w:r>
            <w:r>
              <w:rPr>
                <w:rFonts w:hint="eastAsia" w:cs="Times New Roman"/>
                <w:bCs/>
                <w:color w:val="auto"/>
                <w:u w:val="single"/>
                <w:lang w:val="en-US" w:eastAsia="zh-CN"/>
              </w:rPr>
              <w:t>57.73</w:t>
            </w:r>
            <w:r>
              <w:rPr>
                <w:rFonts w:hint="default" w:cs="Times New Roman"/>
                <w:bCs/>
                <w:color w:val="auto"/>
                <w:u w:val="single"/>
              </w:rPr>
              <w:t>t/a</w:t>
            </w:r>
            <w:r>
              <w:rPr>
                <w:rFonts w:hint="eastAsia" w:cs="Times New Roman"/>
                <w:bCs/>
                <w:color w:val="auto"/>
                <w:u w:val="single"/>
                <w:lang w:eastAsia="zh-CN"/>
              </w:rPr>
              <w:t>（</w:t>
            </w:r>
            <w:r>
              <w:rPr>
                <w:rFonts w:hint="eastAsia" w:cs="Times New Roman"/>
                <w:bCs/>
                <w:color w:val="auto"/>
                <w:u w:val="single"/>
                <w:lang w:val="en-US" w:eastAsia="zh-CN"/>
              </w:rPr>
              <w:t>含水率为60%</w:t>
            </w:r>
            <w:r>
              <w:rPr>
                <w:rFonts w:hint="eastAsia" w:cs="Times New Roman"/>
                <w:bCs/>
                <w:color w:val="auto"/>
                <w:u w:val="single"/>
                <w:lang w:eastAsia="zh-CN"/>
              </w:rPr>
              <w:t>）</w:t>
            </w:r>
            <w:r>
              <w:rPr>
                <w:rFonts w:hint="eastAsia" w:cs="Times New Roman"/>
                <w:bCs/>
                <w:color w:val="auto"/>
                <w:u w:val="single"/>
              </w:rPr>
              <w:t>，</w:t>
            </w:r>
            <w:r>
              <w:rPr>
                <w:rFonts w:hint="default" w:cs="Times New Roman"/>
                <w:bCs/>
                <w:color w:val="auto"/>
                <w:u w:val="single"/>
              </w:rPr>
              <w:t>污泥泥饼</w:t>
            </w:r>
            <w:r>
              <w:rPr>
                <w:rFonts w:hint="eastAsia" w:cs="Times New Roman"/>
                <w:bCs/>
                <w:color w:val="auto"/>
                <w:u w:val="single"/>
              </w:rPr>
              <w:t>暂存</w:t>
            </w:r>
            <w:r>
              <w:rPr>
                <w:rFonts w:hint="eastAsia" w:cs="Times New Roman"/>
                <w:bCs/>
                <w:color w:val="auto"/>
                <w:u w:val="single"/>
                <w:lang w:val="en-US" w:eastAsia="zh-CN"/>
              </w:rPr>
              <w:t>于污泥间定期</w:t>
            </w:r>
            <w:r>
              <w:rPr>
                <w:rFonts w:hint="eastAsia" w:cs="Times New Roman"/>
                <w:bCs/>
                <w:color w:val="auto"/>
                <w:u w:val="single"/>
              </w:rPr>
              <w:t>外运至</w:t>
            </w:r>
            <w:r>
              <w:rPr>
                <w:rFonts w:hint="eastAsia" w:cs="Times New Roman"/>
                <w:bCs/>
                <w:color w:val="auto"/>
                <w:u w:val="single"/>
                <w:lang w:val="en-US" w:eastAsia="zh-CN"/>
              </w:rPr>
              <w:t>新田县</w:t>
            </w:r>
            <w:r>
              <w:rPr>
                <w:rFonts w:hint="eastAsia" w:cs="Times New Roman"/>
                <w:bCs/>
                <w:color w:val="auto"/>
                <w:u w:val="single"/>
              </w:rPr>
              <w:t>填埋场进行填埋处理。</w:t>
            </w:r>
          </w:p>
          <w:p>
            <w:pPr>
              <w:pStyle w:val="95"/>
              <w:keepNext w:val="0"/>
              <w:keepLines w:val="0"/>
              <w:pageBreakBefore w:val="0"/>
              <w:suppressLineNumbers w:val="0"/>
              <w:kinsoku/>
              <w:wordWrap/>
              <w:overflowPunct/>
              <w:topLinePunct w:val="0"/>
              <w:autoSpaceDE/>
              <w:autoSpaceDN/>
              <w:bidi w:val="0"/>
              <w:adjustRightInd/>
              <w:spacing w:before="0" w:beforeAutospacing="0" w:after="0" w:afterAutospacing="0"/>
              <w:ind w:left="0" w:leftChars="0" w:right="0" w:firstLine="480" w:firstLineChars="200"/>
              <w:textAlignment w:val="auto"/>
              <w:rPr>
                <w:rFonts w:hint="default" w:cs="Times New Roman"/>
                <w:color w:val="auto"/>
              </w:rPr>
            </w:pPr>
            <w:r>
              <w:rPr>
                <w:rFonts w:hint="default" w:cs="Times New Roman"/>
                <w:color w:val="auto"/>
              </w:rPr>
              <w:t xml:space="preserve">（4）生活垃圾 </w:t>
            </w:r>
          </w:p>
          <w:p>
            <w:pPr>
              <w:pStyle w:val="95"/>
              <w:keepNext w:val="0"/>
              <w:keepLines w:val="0"/>
              <w:pageBreakBefore w:val="0"/>
              <w:suppressLineNumbers w:val="0"/>
              <w:kinsoku/>
              <w:wordWrap/>
              <w:overflowPunct/>
              <w:topLinePunct w:val="0"/>
              <w:autoSpaceDE/>
              <w:autoSpaceDN/>
              <w:bidi w:val="0"/>
              <w:adjustRightInd/>
              <w:spacing w:before="0" w:beforeAutospacing="0" w:after="0" w:afterAutospacing="0"/>
              <w:ind w:left="0" w:leftChars="0" w:right="0" w:firstLine="480" w:firstLineChars="200"/>
              <w:textAlignment w:val="auto"/>
              <w:rPr>
                <w:rFonts w:hint="default" w:cs="Times New Roman"/>
                <w:bCs/>
                <w:color w:val="auto"/>
              </w:rPr>
            </w:pPr>
            <w:r>
              <w:rPr>
                <w:rFonts w:hint="default" w:cs="Times New Roman"/>
                <w:bCs/>
                <w:color w:val="auto"/>
              </w:rPr>
              <w:t>本项目劳动定员</w:t>
            </w:r>
            <w:r>
              <w:rPr>
                <w:rFonts w:hint="eastAsia" w:cs="Times New Roman"/>
                <w:bCs/>
                <w:color w:val="auto"/>
                <w:lang w:val="en-US" w:eastAsia="zh-CN"/>
              </w:rPr>
              <w:t>3</w:t>
            </w:r>
            <w:r>
              <w:rPr>
                <w:rFonts w:hint="default" w:cs="Times New Roman"/>
                <w:bCs/>
                <w:color w:val="auto"/>
              </w:rPr>
              <w:t>人，按每人每天生活垃圾产生量0.8kg估算，则生活垃圾产生量约</w:t>
            </w:r>
            <w:r>
              <w:rPr>
                <w:rFonts w:hint="eastAsia" w:cs="Times New Roman"/>
                <w:bCs/>
                <w:color w:val="auto"/>
                <w:lang w:val="en-US" w:eastAsia="zh-CN"/>
              </w:rPr>
              <w:t>2.4</w:t>
            </w:r>
            <w:r>
              <w:rPr>
                <w:rFonts w:hint="default" w:cs="Times New Roman"/>
                <w:bCs/>
                <w:color w:val="auto"/>
              </w:rPr>
              <w:t>kg/d（</w:t>
            </w:r>
            <w:r>
              <w:rPr>
                <w:rFonts w:hint="eastAsia" w:cs="Times New Roman"/>
                <w:bCs/>
                <w:color w:val="auto"/>
                <w:lang w:val="en-US" w:eastAsia="zh-CN"/>
              </w:rPr>
              <w:t>0.72</w:t>
            </w:r>
            <w:r>
              <w:rPr>
                <w:rFonts w:hint="default" w:cs="Times New Roman"/>
                <w:bCs/>
                <w:color w:val="auto"/>
              </w:rPr>
              <w:t>t/a）</w:t>
            </w:r>
            <w:r>
              <w:rPr>
                <w:rFonts w:hint="eastAsia" w:cs="Times New Roman"/>
                <w:bCs/>
                <w:color w:val="auto"/>
              </w:rPr>
              <w:t>，集中收集由环卫部门处理。</w:t>
            </w:r>
          </w:p>
          <w:p>
            <w:pPr>
              <w:pStyle w:val="95"/>
              <w:keepNext w:val="0"/>
              <w:keepLines w:val="0"/>
              <w:pageBreakBefore w:val="0"/>
              <w:suppressLineNumbers w:val="0"/>
              <w:kinsoku/>
              <w:wordWrap/>
              <w:overflowPunct/>
              <w:topLinePunct w:val="0"/>
              <w:autoSpaceDE/>
              <w:autoSpaceDN/>
              <w:bidi w:val="0"/>
              <w:adjustRightInd/>
              <w:spacing w:before="0" w:beforeAutospacing="0" w:after="0" w:afterAutospacing="0"/>
              <w:ind w:left="0" w:leftChars="0" w:right="0" w:firstLine="480" w:firstLineChars="200"/>
              <w:textAlignment w:val="auto"/>
              <w:rPr>
                <w:rFonts w:hint="default" w:cs="Times New Roman"/>
                <w:color w:val="auto"/>
              </w:rPr>
            </w:pPr>
            <w:r>
              <w:rPr>
                <w:rFonts w:hint="default" w:cs="Times New Roman"/>
                <w:color w:val="auto"/>
              </w:rPr>
              <w:t>（5）危险废物</w:t>
            </w:r>
          </w:p>
          <w:p>
            <w:pPr>
              <w:pStyle w:val="95"/>
              <w:keepNext w:val="0"/>
              <w:keepLines w:val="0"/>
              <w:pageBreakBefore w:val="0"/>
              <w:suppressLineNumbers w:val="0"/>
              <w:kinsoku/>
              <w:wordWrap/>
              <w:overflowPunct/>
              <w:topLinePunct w:val="0"/>
              <w:autoSpaceDE/>
              <w:autoSpaceDN/>
              <w:bidi w:val="0"/>
              <w:adjustRightInd/>
              <w:spacing w:before="0" w:beforeAutospacing="0" w:after="0" w:afterAutospacing="0"/>
              <w:ind w:left="0" w:leftChars="0" w:right="0" w:firstLine="480" w:firstLineChars="200"/>
              <w:textAlignment w:val="auto"/>
              <w:rPr>
                <w:rFonts w:hint="default" w:cs="Times New Roman"/>
                <w:bCs/>
                <w:color w:val="auto"/>
              </w:rPr>
            </w:pPr>
            <w:r>
              <w:rPr>
                <w:rFonts w:hint="default" w:cs="Times New Roman"/>
                <w:bCs/>
                <w:color w:val="auto"/>
              </w:rPr>
              <w:t>污水处理厂设备需定期进行检修以及进行维修，该过程会产生废润滑油，产生量约0.0</w:t>
            </w:r>
            <w:r>
              <w:rPr>
                <w:rFonts w:hint="eastAsia" w:cs="Times New Roman"/>
                <w:bCs/>
                <w:color w:val="auto"/>
                <w:lang w:val="en-US" w:eastAsia="zh-CN"/>
              </w:rPr>
              <w:t>2</w:t>
            </w:r>
            <w:r>
              <w:rPr>
                <w:rFonts w:hint="default" w:cs="Times New Roman"/>
                <w:bCs/>
                <w:color w:val="auto"/>
              </w:rPr>
              <w:t>t/a，该部分危险废物属于《国家危险废物名录》（2021 年）中HW08“其他生产、销售、使用过程中产生的废弃矿油”，废物代码900-249-08。</w:t>
            </w:r>
          </w:p>
          <w:p>
            <w:pPr>
              <w:pStyle w:val="95"/>
              <w:keepNext w:val="0"/>
              <w:keepLines w:val="0"/>
              <w:pageBreakBefore w:val="0"/>
              <w:suppressLineNumbers w:val="0"/>
              <w:kinsoku/>
              <w:wordWrap/>
              <w:overflowPunct/>
              <w:topLinePunct w:val="0"/>
              <w:autoSpaceDE/>
              <w:autoSpaceDN/>
              <w:bidi w:val="0"/>
              <w:adjustRightInd/>
              <w:spacing w:before="0" w:beforeAutospacing="0" w:after="0" w:afterAutospacing="0"/>
              <w:ind w:left="0" w:leftChars="0" w:right="0" w:firstLine="480" w:firstLineChars="200"/>
              <w:textAlignment w:val="auto"/>
              <w:rPr>
                <w:rFonts w:hint="default" w:cs="Times New Roman"/>
                <w:bCs/>
                <w:color w:val="auto"/>
              </w:rPr>
            </w:pPr>
            <w:r>
              <w:rPr>
                <w:rFonts w:hint="eastAsia" w:cs="Times New Roman"/>
                <w:bCs/>
                <w:color w:val="auto"/>
              </w:rPr>
              <w:t>本项目拟设置危险废物暂存间约5m</w:t>
            </w:r>
            <w:r>
              <w:rPr>
                <w:rFonts w:hint="eastAsia" w:cs="Times New Roman"/>
                <w:bCs/>
                <w:color w:val="auto"/>
                <w:vertAlign w:val="superscript"/>
              </w:rPr>
              <w:t>2</w:t>
            </w:r>
            <w:r>
              <w:rPr>
                <w:rFonts w:hint="eastAsia" w:cs="Times New Roman"/>
                <w:bCs/>
                <w:color w:val="auto"/>
              </w:rPr>
              <w:t>。</w:t>
            </w:r>
            <w:r>
              <w:rPr>
                <w:rFonts w:hint="default" w:cs="Times New Roman"/>
                <w:bCs/>
                <w:color w:val="auto"/>
              </w:rPr>
              <w:t>以上危险废物在集中收集后，严格按照</w:t>
            </w:r>
            <w:r>
              <w:rPr>
                <w:rFonts w:hint="default" w:cs="Times New Roman"/>
                <w:bCs/>
                <w:color w:val="auto"/>
                <w:u w:val="single"/>
              </w:rPr>
              <w:t>《危险废物贮存污染控制标准》（</w:t>
            </w:r>
            <w:r>
              <w:rPr>
                <w:rFonts w:hint="eastAsia" w:cs="Times New Roman"/>
                <w:bCs/>
                <w:color w:val="auto"/>
                <w:u w:val="single"/>
              </w:rPr>
              <w:t>GB 18597—2023</w:t>
            </w:r>
            <w:r>
              <w:rPr>
                <w:rFonts w:hint="default" w:cs="Times New Roman"/>
                <w:bCs/>
                <w:color w:val="auto"/>
                <w:u w:val="single"/>
              </w:rPr>
              <w:t>）</w:t>
            </w:r>
            <w:r>
              <w:rPr>
                <w:rFonts w:hint="default" w:cs="Times New Roman"/>
                <w:bCs/>
                <w:color w:val="auto"/>
              </w:rPr>
              <w:t>要求进行储存及管理，统一收集放置厂区危废暂存间进行临时堆放，后交由具有危险废物处置资质的单位进行处理。</w:t>
            </w:r>
          </w:p>
          <w:p>
            <w:pPr>
              <w:pStyle w:val="95"/>
              <w:keepNext w:val="0"/>
              <w:keepLines w:val="0"/>
              <w:suppressLineNumbers w:val="0"/>
              <w:spacing w:before="0" w:beforeAutospacing="0" w:after="0" w:afterAutospacing="0" w:line="240" w:lineRule="auto"/>
              <w:ind w:left="0" w:right="0" w:firstLine="0" w:firstLineChars="0"/>
              <w:jc w:val="center"/>
              <w:rPr>
                <w:rFonts w:hint="default" w:cs="Times New Roman"/>
                <w:b/>
                <w:bCs/>
                <w:color w:val="auto"/>
                <w:sz w:val="21"/>
                <w:szCs w:val="21"/>
              </w:rPr>
            </w:pPr>
            <w:r>
              <w:rPr>
                <w:rFonts w:hint="default" w:cs="Times New Roman"/>
                <w:b/>
                <w:bCs/>
                <w:color w:val="auto"/>
                <w:sz w:val="21"/>
                <w:szCs w:val="21"/>
              </w:rPr>
              <w:t>表4-</w:t>
            </w:r>
            <w:r>
              <w:rPr>
                <w:rFonts w:hint="eastAsia" w:cs="Times New Roman"/>
                <w:b/>
                <w:bCs/>
                <w:color w:val="auto"/>
                <w:sz w:val="21"/>
                <w:szCs w:val="21"/>
                <w:lang w:val="en-US" w:eastAsia="zh-CN"/>
              </w:rPr>
              <w:t>9</w:t>
            </w:r>
            <w:r>
              <w:rPr>
                <w:rFonts w:hint="default" w:cs="Times New Roman"/>
                <w:b/>
                <w:bCs/>
                <w:color w:val="auto"/>
                <w:sz w:val="21"/>
                <w:szCs w:val="21"/>
              </w:rPr>
              <w:t xml:space="preserve">  本项目固废产生情况表</w:t>
            </w:r>
          </w:p>
          <w:tbl>
            <w:tblPr>
              <w:tblStyle w:val="29"/>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9"/>
              <w:gridCol w:w="1869"/>
              <w:gridCol w:w="1540"/>
              <w:gridCol w:w="2224"/>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039" w:type="dxa"/>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r>
                    <w:rPr>
                      <w:rFonts w:hint="default"/>
                      <w:color w:val="auto"/>
                      <w:szCs w:val="21"/>
                    </w:rPr>
                    <w:t>序号</w:t>
                  </w:r>
                </w:p>
              </w:tc>
              <w:tc>
                <w:tcPr>
                  <w:tcW w:w="3409" w:type="dxa"/>
                  <w:gridSpan w:val="2"/>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r>
                    <w:rPr>
                      <w:rFonts w:hint="default"/>
                      <w:color w:val="auto"/>
                      <w:szCs w:val="21"/>
                    </w:rPr>
                    <w:t>固废种类</w:t>
                  </w:r>
                </w:p>
              </w:tc>
              <w:tc>
                <w:tcPr>
                  <w:tcW w:w="2224" w:type="dxa"/>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r>
                    <w:rPr>
                      <w:rFonts w:hint="default"/>
                      <w:color w:val="auto"/>
                      <w:szCs w:val="21"/>
                    </w:rPr>
                    <w:t>产生量t/a</w:t>
                  </w:r>
                </w:p>
              </w:tc>
              <w:tc>
                <w:tcPr>
                  <w:tcW w:w="1266" w:type="dxa"/>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r>
                    <w:rPr>
                      <w:rFonts w:hint="default"/>
                      <w:color w:val="auto"/>
                      <w:szCs w:val="21"/>
                    </w:rPr>
                    <w:t>含水率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039" w:type="dxa"/>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r>
                    <w:rPr>
                      <w:rFonts w:hint="default"/>
                      <w:color w:val="auto"/>
                      <w:szCs w:val="21"/>
                    </w:rPr>
                    <w:t>1</w:t>
                  </w:r>
                </w:p>
              </w:tc>
              <w:tc>
                <w:tcPr>
                  <w:tcW w:w="3409" w:type="dxa"/>
                  <w:gridSpan w:val="2"/>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r>
                    <w:rPr>
                      <w:rFonts w:hint="default"/>
                      <w:color w:val="auto"/>
                      <w:szCs w:val="21"/>
                    </w:rPr>
                    <w:t>栅渣</w:t>
                  </w:r>
                </w:p>
              </w:tc>
              <w:tc>
                <w:tcPr>
                  <w:tcW w:w="2224" w:type="dxa"/>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Cs w:val="21"/>
                      <w:lang w:eastAsia="zh-CN"/>
                    </w:rPr>
                  </w:pPr>
                  <w:r>
                    <w:rPr>
                      <w:rFonts w:hint="eastAsia"/>
                      <w:color w:val="auto"/>
                      <w:lang w:val="en-US" w:eastAsia="zh-CN"/>
                    </w:rPr>
                    <w:t>6</w:t>
                  </w:r>
                </w:p>
              </w:tc>
              <w:tc>
                <w:tcPr>
                  <w:tcW w:w="1266" w:type="dxa"/>
                  <w:vMerge w:val="restart"/>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r>
                    <w:rPr>
                      <w:rFonts w:hint="default"/>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39" w:type="dxa"/>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r>
                    <w:rPr>
                      <w:rFonts w:hint="default"/>
                      <w:color w:val="auto"/>
                      <w:szCs w:val="21"/>
                    </w:rPr>
                    <w:t>2</w:t>
                  </w:r>
                </w:p>
              </w:tc>
              <w:tc>
                <w:tcPr>
                  <w:tcW w:w="3409" w:type="dxa"/>
                  <w:gridSpan w:val="2"/>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r>
                    <w:rPr>
                      <w:rFonts w:hint="default"/>
                      <w:color w:val="auto"/>
                      <w:szCs w:val="21"/>
                    </w:rPr>
                    <w:t>脱水后泥饼</w:t>
                  </w:r>
                </w:p>
              </w:tc>
              <w:tc>
                <w:tcPr>
                  <w:tcW w:w="2224" w:type="dxa"/>
                  <w:noWrap w:val="0"/>
                  <w:vAlign w:val="center"/>
                </w:tcPr>
                <w:p>
                  <w:pPr>
                    <w:keepNext w:val="0"/>
                    <w:keepLines w:val="0"/>
                    <w:widowControl/>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lang w:val="en-US" w:eastAsia="zh-CN"/>
                    </w:rPr>
                    <w:t>57.73</w:t>
                  </w:r>
                </w:p>
              </w:tc>
              <w:tc>
                <w:tcPr>
                  <w:tcW w:w="1266" w:type="dxa"/>
                  <w:vMerge w:val="continue"/>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039" w:type="dxa"/>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r>
                    <w:rPr>
                      <w:rFonts w:hint="default"/>
                      <w:color w:val="auto"/>
                      <w:szCs w:val="21"/>
                    </w:rPr>
                    <w:t>3</w:t>
                  </w:r>
                </w:p>
              </w:tc>
              <w:tc>
                <w:tcPr>
                  <w:tcW w:w="3409" w:type="dxa"/>
                  <w:gridSpan w:val="2"/>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r>
                    <w:rPr>
                      <w:rFonts w:hint="default"/>
                      <w:color w:val="auto"/>
                      <w:szCs w:val="21"/>
                    </w:rPr>
                    <w:t>厂区生活垃圾</w:t>
                  </w:r>
                </w:p>
              </w:tc>
              <w:tc>
                <w:tcPr>
                  <w:tcW w:w="2224" w:type="dxa"/>
                  <w:noWrap w:val="0"/>
                  <w:vAlign w:val="center"/>
                </w:tcPr>
                <w:p>
                  <w:pPr>
                    <w:keepNext w:val="0"/>
                    <w:keepLines w:val="0"/>
                    <w:widowControl/>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lang w:val="en-US" w:eastAsia="zh-CN"/>
                    </w:rPr>
                    <w:t>0.72</w:t>
                  </w:r>
                </w:p>
              </w:tc>
              <w:tc>
                <w:tcPr>
                  <w:tcW w:w="1266" w:type="dxa"/>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Cs w:val="21"/>
                      <w:lang w:val="en-US" w:eastAsia="zh-CN"/>
                    </w:rPr>
                  </w:pPr>
                  <w:r>
                    <w:rPr>
                      <w:rFonts w:hint="eastAsia"/>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039" w:type="dxa"/>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Cs w:val="21"/>
                      <w:lang w:val="en-US" w:eastAsia="zh-CN"/>
                    </w:rPr>
                  </w:pPr>
                  <w:r>
                    <w:rPr>
                      <w:rFonts w:hint="eastAsia"/>
                      <w:color w:val="auto"/>
                      <w:szCs w:val="21"/>
                      <w:lang w:val="en-US" w:eastAsia="zh-CN"/>
                    </w:rPr>
                    <w:t>4</w:t>
                  </w:r>
                </w:p>
              </w:tc>
              <w:tc>
                <w:tcPr>
                  <w:tcW w:w="1869" w:type="dxa"/>
                  <w:noWrap w:val="0"/>
                  <w:vAlign w:val="center"/>
                </w:tcPr>
                <w:p>
                  <w:pPr>
                    <w:keepNext w:val="0"/>
                    <w:keepLines w:val="0"/>
                    <w:widowControl/>
                    <w:suppressLineNumbers w:val="0"/>
                    <w:spacing w:before="0" w:beforeAutospacing="0" w:after="0" w:afterAutospacing="0"/>
                    <w:ind w:left="0" w:right="0"/>
                    <w:jc w:val="center"/>
                    <w:rPr>
                      <w:rFonts w:hint="default" w:eastAsia="宋体"/>
                      <w:color w:val="auto"/>
                      <w:szCs w:val="21"/>
                      <w:lang w:val="en-US" w:eastAsia="zh-CN"/>
                    </w:rPr>
                  </w:pPr>
                  <w:r>
                    <w:rPr>
                      <w:rFonts w:hint="eastAsia"/>
                      <w:color w:val="auto"/>
                      <w:szCs w:val="21"/>
                      <w:lang w:val="en-US" w:eastAsia="zh-CN"/>
                    </w:rPr>
                    <w:t>危险废物</w:t>
                  </w:r>
                </w:p>
              </w:tc>
              <w:tc>
                <w:tcPr>
                  <w:tcW w:w="1540" w:type="dxa"/>
                  <w:noWrap w:val="0"/>
                  <w:vAlign w:val="center"/>
                </w:tcPr>
                <w:p>
                  <w:pPr>
                    <w:keepNext w:val="0"/>
                    <w:keepLines w:val="0"/>
                    <w:widowControl/>
                    <w:suppressLineNumbers w:val="0"/>
                    <w:spacing w:before="0" w:beforeAutospacing="0" w:after="0" w:afterAutospacing="0"/>
                    <w:ind w:left="0" w:right="0"/>
                    <w:jc w:val="center"/>
                    <w:rPr>
                      <w:rFonts w:hint="eastAsia" w:eastAsia="宋体"/>
                      <w:color w:val="auto"/>
                      <w:szCs w:val="21"/>
                      <w:lang w:eastAsia="zh-CN"/>
                    </w:rPr>
                  </w:pPr>
                  <w:r>
                    <w:rPr>
                      <w:rFonts w:hint="default"/>
                      <w:color w:val="auto"/>
                      <w:szCs w:val="21"/>
                    </w:rPr>
                    <w:t>废</w:t>
                  </w:r>
                  <w:r>
                    <w:rPr>
                      <w:rFonts w:hint="eastAsia"/>
                      <w:color w:val="auto"/>
                      <w:szCs w:val="21"/>
                      <w:lang w:val="en-US" w:eastAsia="zh-CN"/>
                    </w:rPr>
                    <w:t>润滑油</w:t>
                  </w:r>
                </w:p>
              </w:tc>
              <w:tc>
                <w:tcPr>
                  <w:tcW w:w="2224" w:type="dxa"/>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r>
                    <w:rPr>
                      <w:rFonts w:hint="default" w:eastAsia="Times New Roman"/>
                      <w:color w:val="auto"/>
                    </w:rPr>
                    <w:t>0.02</w:t>
                  </w:r>
                </w:p>
              </w:tc>
              <w:tc>
                <w:tcPr>
                  <w:tcW w:w="1266" w:type="dxa"/>
                  <w:noWrap w:val="0"/>
                  <w:vAlign w:val="center"/>
                </w:tcPr>
                <w:p>
                  <w:pPr>
                    <w:keepNext w:val="0"/>
                    <w:keepLines w:val="0"/>
                    <w:widowControl/>
                    <w:suppressLineNumbers w:val="0"/>
                    <w:spacing w:before="0" w:beforeAutospacing="0" w:after="0" w:afterAutospacing="0"/>
                    <w:ind w:left="0" w:right="0"/>
                    <w:jc w:val="center"/>
                    <w:rPr>
                      <w:rFonts w:hint="default"/>
                      <w:color w:val="auto"/>
                      <w:szCs w:val="21"/>
                    </w:rPr>
                  </w:pPr>
                  <w:r>
                    <w:rPr>
                      <w:rFonts w:hint="default"/>
                      <w:color w:val="auto"/>
                      <w:szCs w:val="21"/>
                    </w:rPr>
                    <w:t>/</w:t>
                  </w:r>
                </w:p>
              </w:tc>
            </w:tr>
          </w:tbl>
          <w:p>
            <w:pPr>
              <w:keepNext w:val="0"/>
              <w:keepLines w:val="0"/>
              <w:suppressLineNumbers w:val="0"/>
              <w:spacing w:before="0" w:beforeAutospacing="0" w:after="0" w:afterAutospacing="0" w:line="360" w:lineRule="auto"/>
              <w:ind w:left="0" w:right="0" w:firstLine="482" w:firstLineChars="200"/>
              <w:rPr>
                <w:rFonts w:hint="default"/>
                <w:b/>
                <w:bCs/>
                <w:color w:val="auto"/>
                <w:sz w:val="24"/>
                <w:u w:val="none"/>
                <w:lang w:val="en-US" w:eastAsia="zh-CN"/>
              </w:rPr>
            </w:pPr>
            <w:r>
              <w:rPr>
                <w:rFonts w:hint="eastAsia"/>
                <w:b/>
                <w:bCs/>
                <w:color w:val="auto"/>
                <w:sz w:val="24"/>
                <w:u w:val="none"/>
                <w:lang w:val="en-US" w:eastAsia="zh-CN"/>
              </w:rPr>
              <w:t>2、一般固体废物管理要求</w:t>
            </w:r>
          </w:p>
          <w:p>
            <w:pPr>
              <w:keepNext w:val="0"/>
              <w:keepLines w:val="0"/>
              <w:suppressLineNumbers w:val="0"/>
              <w:spacing w:before="0" w:beforeAutospacing="0" w:after="0" w:afterAutospacing="0" w:line="360" w:lineRule="auto"/>
              <w:ind w:left="0" w:right="0" w:firstLine="480" w:firstLineChars="200"/>
              <w:rPr>
                <w:rFonts w:hint="eastAsia"/>
                <w:b w:val="0"/>
                <w:bCs w:val="0"/>
                <w:color w:val="auto"/>
                <w:sz w:val="24"/>
                <w:u w:val="none"/>
                <w:lang w:val="en-US" w:eastAsia="zh-CN"/>
              </w:rPr>
            </w:pPr>
            <w:r>
              <w:rPr>
                <w:rFonts w:hint="eastAsia"/>
                <w:b w:val="0"/>
                <w:bCs w:val="0"/>
                <w:color w:val="auto"/>
                <w:sz w:val="24"/>
                <w:u w:val="none"/>
                <w:lang w:val="en-US" w:eastAsia="zh-CN"/>
              </w:rPr>
              <w:t>一般工业固体废物按照《一般工业固体废物贮存和填埋污染控制标准》（GB18599-2020）的相关要求进行设置。</w:t>
            </w:r>
          </w:p>
          <w:p>
            <w:pPr>
              <w:keepNext w:val="0"/>
              <w:keepLines w:val="0"/>
              <w:suppressLineNumbers w:val="0"/>
              <w:spacing w:before="0" w:beforeAutospacing="0" w:after="0" w:afterAutospacing="0" w:line="360" w:lineRule="auto"/>
              <w:ind w:left="0" w:right="0" w:firstLine="480" w:firstLineChars="200"/>
              <w:rPr>
                <w:rFonts w:hint="eastAsia"/>
                <w:color w:val="auto"/>
                <w:sz w:val="24"/>
                <w:u w:val="none"/>
              </w:rPr>
            </w:pPr>
            <w:r>
              <w:rPr>
                <w:rFonts w:hint="eastAsia"/>
                <w:b w:val="0"/>
                <w:bCs w:val="0"/>
                <w:color w:val="auto"/>
                <w:sz w:val="24"/>
                <w:u w:val="none"/>
                <w:lang w:val="en-US" w:eastAsia="zh-CN"/>
              </w:rPr>
              <w:t>项目在厂区内设置一个一般固废暂存间用于暂存一般固废。</w:t>
            </w:r>
            <w:r>
              <w:rPr>
                <w:rFonts w:hint="eastAsia"/>
                <w:color w:val="auto"/>
                <w:sz w:val="24"/>
                <w:u w:val="none"/>
              </w:rPr>
              <w:t>项目一般固体废物中各类</w:t>
            </w:r>
            <w:r>
              <w:rPr>
                <w:rFonts w:hint="eastAsia"/>
                <w:color w:val="auto"/>
                <w:sz w:val="24"/>
                <w:u w:val="none"/>
                <w:lang w:val="en-US" w:eastAsia="zh-CN"/>
              </w:rPr>
              <w:t>固废</w:t>
            </w:r>
            <w:r>
              <w:rPr>
                <w:rFonts w:hint="eastAsia"/>
                <w:color w:val="auto"/>
                <w:sz w:val="24"/>
                <w:u w:val="none"/>
              </w:rPr>
              <w:t>应分类收集，在暂存</w:t>
            </w:r>
            <w:r>
              <w:rPr>
                <w:rFonts w:hint="eastAsia"/>
                <w:color w:val="auto"/>
                <w:sz w:val="24"/>
                <w:u w:val="none"/>
                <w:lang w:val="en-US" w:eastAsia="zh-CN"/>
              </w:rPr>
              <w:t>间</w:t>
            </w:r>
            <w:r>
              <w:rPr>
                <w:rFonts w:hint="eastAsia"/>
                <w:color w:val="auto"/>
                <w:sz w:val="24"/>
                <w:u w:val="none"/>
              </w:rPr>
              <w:t>内分类暂存，不得随处堆放，垃圾暂存区应防雨、防风、防渗漏，固废临时贮存场建设、运行管理应满足如下要求：</w:t>
            </w:r>
          </w:p>
          <w:p>
            <w:pPr>
              <w:keepNext w:val="0"/>
              <w:keepLines w:val="0"/>
              <w:suppressLineNumbers w:val="0"/>
              <w:spacing w:before="0" w:beforeAutospacing="0" w:after="0" w:afterAutospacing="0" w:line="360" w:lineRule="auto"/>
              <w:ind w:left="0" w:right="0" w:firstLine="480" w:firstLineChars="200"/>
              <w:rPr>
                <w:rFonts w:hint="eastAsia"/>
                <w:color w:val="auto"/>
                <w:sz w:val="24"/>
                <w:u w:val="none"/>
              </w:rPr>
            </w:pPr>
            <w:r>
              <w:rPr>
                <w:rFonts w:hint="eastAsia"/>
                <w:color w:val="auto"/>
                <w:sz w:val="24"/>
                <w:u w:val="none"/>
              </w:rPr>
              <w:t>①地面应采取硬化措施并满足承载力要求，必要时采取相应措施防止地基下沉。</w:t>
            </w:r>
          </w:p>
          <w:p>
            <w:pPr>
              <w:keepNext w:val="0"/>
              <w:keepLines w:val="0"/>
              <w:suppressLineNumbers w:val="0"/>
              <w:spacing w:before="0" w:beforeAutospacing="0" w:after="0" w:afterAutospacing="0" w:line="360" w:lineRule="auto"/>
              <w:ind w:left="0" w:right="0" w:firstLine="480" w:firstLineChars="200"/>
              <w:rPr>
                <w:rFonts w:hint="eastAsia"/>
                <w:color w:val="auto"/>
                <w:sz w:val="24"/>
                <w:u w:val="none"/>
              </w:rPr>
            </w:pPr>
            <w:r>
              <w:rPr>
                <w:rFonts w:hint="eastAsia"/>
                <w:color w:val="auto"/>
                <w:sz w:val="24"/>
                <w:u w:val="none"/>
              </w:rPr>
              <w:t>②要求设置必要的防风、防雨、防晒措施。</w:t>
            </w:r>
          </w:p>
          <w:p>
            <w:pPr>
              <w:keepNext w:val="0"/>
              <w:keepLines w:val="0"/>
              <w:suppressLineNumbers w:val="0"/>
              <w:spacing w:before="0" w:beforeAutospacing="0" w:after="0" w:afterAutospacing="0" w:line="360" w:lineRule="auto"/>
              <w:ind w:left="0" w:right="0" w:firstLine="480" w:firstLineChars="200"/>
              <w:rPr>
                <w:rFonts w:hint="eastAsia" w:eastAsia="宋体"/>
                <w:color w:val="auto"/>
                <w:sz w:val="24"/>
                <w:u w:val="none"/>
                <w:lang w:val="en-US" w:eastAsia="zh-CN"/>
              </w:rPr>
            </w:pPr>
            <w:r>
              <w:rPr>
                <w:rFonts w:hint="eastAsia"/>
                <w:color w:val="auto"/>
                <w:sz w:val="24"/>
                <w:u w:val="none"/>
                <w:lang w:val="en-US" w:eastAsia="zh-CN"/>
              </w:rPr>
              <w:t>③防渗性能应至少相当于渗透系数1.0×10</w:t>
            </w:r>
            <w:r>
              <w:rPr>
                <w:rFonts w:hint="eastAsia"/>
                <w:color w:val="auto"/>
                <w:sz w:val="24"/>
                <w:u w:val="none"/>
                <w:vertAlign w:val="superscript"/>
                <w:lang w:val="en-US" w:eastAsia="zh-CN"/>
              </w:rPr>
              <w:t>-5</w:t>
            </w:r>
            <w:r>
              <w:rPr>
                <w:rFonts w:hint="eastAsia"/>
                <w:color w:val="auto"/>
                <w:sz w:val="24"/>
                <w:u w:val="none"/>
                <w:lang w:val="en-US" w:eastAsia="zh-CN"/>
              </w:rPr>
              <w:t>cm/s、厚度0.75m的天然基础层。</w:t>
            </w:r>
          </w:p>
          <w:p>
            <w:pPr>
              <w:keepNext w:val="0"/>
              <w:keepLines w:val="0"/>
              <w:suppressLineNumbers w:val="0"/>
              <w:spacing w:before="0" w:beforeAutospacing="0" w:after="0" w:afterAutospacing="0" w:line="360" w:lineRule="auto"/>
              <w:ind w:left="0" w:right="0" w:firstLine="480" w:firstLineChars="200"/>
              <w:rPr>
                <w:rFonts w:hint="eastAsia"/>
                <w:color w:val="auto"/>
                <w:sz w:val="24"/>
                <w:u w:val="none"/>
                <w:lang w:val="en-US" w:eastAsia="zh-CN"/>
              </w:rPr>
            </w:pPr>
            <w:r>
              <w:rPr>
                <w:rFonts w:hint="eastAsia"/>
                <w:color w:val="auto"/>
                <w:sz w:val="24"/>
                <w:u w:val="none"/>
                <w:lang w:val="en-US" w:eastAsia="zh-CN"/>
              </w:rPr>
              <w:t>④不相容的一般工业固体废物应设置不同的分区进行贮存作业；</w:t>
            </w:r>
          </w:p>
          <w:p>
            <w:pPr>
              <w:keepNext w:val="0"/>
              <w:keepLines w:val="0"/>
              <w:suppressLineNumbers w:val="0"/>
              <w:spacing w:before="0" w:beforeAutospacing="0" w:after="0" w:afterAutospacing="0" w:line="360" w:lineRule="auto"/>
              <w:ind w:left="0" w:right="0" w:firstLine="480" w:firstLineChars="200"/>
              <w:rPr>
                <w:rFonts w:hint="eastAsia"/>
                <w:color w:val="auto"/>
                <w:sz w:val="24"/>
                <w:u w:val="none"/>
                <w:lang w:val="en-US" w:eastAsia="zh-CN"/>
              </w:rPr>
            </w:pPr>
            <w:r>
              <w:rPr>
                <w:rFonts w:hint="eastAsia"/>
                <w:color w:val="auto"/>
                <w:sz w:val="24"/>
                <w:u w:val="none"/>
                <w:lang w:val="en-US" w:eastAsia="zh-CN"/>
              </w:rPr>
              <w:t>⑤制定运行计划，运行管理人员应定期参加企业的岗位培训。；</w:t>
            </w:r>
          </w:p>
          <w:p>
            <w:pPr>
              <w:keepNext w:val="0"/>
              <w:keepLines w:val="0"/>
              <w:suppressLineNumbers w:val="0"/>
              <w:spacing w:before="0" w:beforeAutospacing="0" w:after="0" w:afterAutospacing="0" w:line="360" w:lineRule="auto"/>
              <w:ind w:left="0" w:right="0" w:firstLine="480" w:firstLineChars="200"/>
              <w:rPr>
                <w:rFonts w:hint="eastAsia"/>
                <w:color w:val="auto"/>
                <w:sz w:val="24"/>
                <w:u w:val="none"/>
                <w:lang w:val="en-US" w:eastAsia="zh-CN"/>
              </w:rPr>
            </w:pPr>
            <w:r>
              <w:rPr>
                <w:rFonts w:hint="eastAsia"/>
                <w:color w:val="auto"/>
                <w:sz w:val="24"/>
                <w:u w:val="none"/>
                <w:lang w:val="en-US" w:eastAsia="zh-CN"/>
              </w:rPr>
              <w:t>⑥建立档案管理制度，并按照相关法律法规进行整理与归档，永久保存；</w:t>
            </w:r>
          </w:p>
          <w:p>
            <w:pPr>
              <w:keepNext w:val="0"/>
              <w:keepLines w:val="0"/>
              <w:suppressLineNumbers w:val="0"/>
              <w:spacing w:before="0" w:beforeAutospacing="0" w:after="0" w:afterAutospacing="0" w:line="360" w:lineRule="auto"/>
              <w:ind w:left="0" w:right="0" w:firstLine="480" w:firstLineChars="200"/>
              <w:rPr>
                <w:rFonts w:hint="eastAsia"/>
                <w:color w:val="auto"/>
                <w:sz w:val="24"/>
                <w:u w:val="none"/>
              </w:rPr>
            </w:pPr>
            <w:r>
              <w:rPr>
                <w:rFonts w:hint="eastAsia"/>
                <w:color w:val="auto"/>
                <w:sz w:val="24"/>
                <w:u w:val="none"/>
                <w:lang w:val="en-US" w:eastAsia="zh-CN"/>
              </w:rPr>
              <w:t>⑦</w:t>
            </w:r>
            <w:r>
              <w:rPr>
                <w:rFonts w:hint="eastAsia"/>
                <w:color w:val="auto"/>
                <w:sz w:val="24"/>
                <w:u w:val="none"/>
              </w:rPr>
              <w:t>按《环境保护图形标识—固体废物贮存（处置）场》（GB15562.2）要求设置环境保护图形标志。</w:t>
            </w:r>
          </w:p>
          <w:p>
            <w:pPr>
              <w:pStyle w:val="15"/>
              <w:keepNext w:val="0"/>
              <w:keepLines w:val="0"/>
              <w:suppressLineNumbers w:val="0"/>
              <w:spacing w:before="0" w:beforeAutospacing="0" w:after="0" w:afterAutospacing="0" w:line="360" w:lineRule="auto"/>
              <w:ind w:left="0" w:leftChars="0" w:right="0" w:firstLine="480" w:firstLineChars="200"/>
              <w:rPr>
                <w:rFonts w:hint="eastAsia"/>
                <w:color w:val="auto"/>
                <w:sz w:val="24"/>
                <w:u w:val="none"/>
                <w:lang w:val="en-US" w:eastAsia="zh-CN"/>
              </w:rPr>
            </w:pPr>
            <w:r>
              <w:rPr>
                <w:rFonts w:hint="eastAsia"/>
                <w:color w:val="auto"/>
                <w:sz w:val="24"/>
                <w:u w:val="none"/>
                <w:lang w:val="en-US" w:eastAsia="zh-CN"/>
              </w:rPr>
              <w:t>⑧采取分区作业、覆盖等有效抑尘措施防止扬尘污染。</w:t>
            </w:r>
          </w:p>
          <w:p>
            <w:pPr>
              <w:keepNext w:val="0"/>
              <w:keepLines w:val="0"/>
              <w:suppressLineNumbers w:val="0"/>
              <w:spacing w:before="0" w:beforeAutospacing="0" w:after="0" w:afterAutospacing="0" w:line="360" w:lineRule="auto"/>
              <w:ind w:left="0" w:right="0" w:firstLine="482" w:firstLineChars="200"/>
              <w:rPr>
                <w:rFonts w:hint="default"/>
                <w:b/>
                <w:bCs/>
                <w:color w:val="auto"/>
                <w:sz w:val="24"/>
                <w:u w:val="none"/>
                <w:lang w:val="en-US" w:eastAsia="zh-CN"/>
              </w:rPr>
            </w:pPr>
            <w:r>
              <w:rPr>
                <w:rFonts w:hint="eastAsia"/>
                <w:b/>
                <w:bCs/>
                <w:color w:val="auto"/>
                <w:sz w:val="24"/>
                <w:u w:val="none"/>
                <w:lang w:val="en-US" w:eastAsia="zh-CN"/>
              </w:rPr>
              <w:t>3</w:t>
            </w:r>
            <w:r>
              <w:rPr>
                <w:rFonts w:hint="eastAsia"/>
                <w:b/>
                <w:bCs/>
                <w:color w:val="auto"/>
                <w:sz w:val="24"/>
                <w:u w:val="none"/>
              </w:rPr>
              <w:t>、</w:t>
            </w:r>
            <w:r>
              <w:rPr>
                <w:rFonts w:hint="eastAsia"/>
                <w:b/>
                <w:bCs/>
                <w:color w:val="auto"/>
                <w:sz w:val="24"/>
                <w:u w:val="none"/>
                <w:lang w:val="en-US" w:eastAsia="zh-CN"/>
              </w:rPr>
              <w:t>危险废物管理要求</w:t>
            </w:r>
          </w:p>
          <w:p>
            <w:pPr>
              <w:keepNext w:val="0"/>
              <w:keepLines w:val="0"/>
              <w:suppressLineNumbers w:val="0"/>
              <w:spacing w:before="0" w:beforeAutospacing="0" w:after="0" w:afterAutospacing="0" w:line="360" w:lineRule="auto"/>
              <w:ind w:left="0" w:right="0" w:firstLine="480" w:firstLineChars="200"/>
              <w:rPr>
                <w:rFonts w:hint="eastAsia"/>
                <w:color w:val="auto"/>
                <w:sz w:val="24"/>
                <w:u w:val="none"/>
                <w:lang w:eastAsia="zh-CN"/>
              </w:rPr>
            </w:pPr>
            <w:r>
              <w:rPr>
                <w:rFonts w:hint="eastAsia"/>
                <w:color w:val="auto"/>
                <w:sz w:val="24"/>
                <w:u w:val="none"/>
                <w:lang w:eastAsia="zh-CN"/>
              </w:rPr>
              <w:t>项目</w:t>
            </w:r>
            <w:r>
              <w:rPr>
                <w:rFonts w:hint="eastAsia"/>
                <w:color w:val="auto"/>
                <w:sz w:val="24"/>
                <w:u w:val="none"/>
                <w:lang w:val="en-US" w:eastAsia="zh-CN"/>
              </w:rPr>
              <w:t>拟</w:t>
            </w:r>
            <w:r>
              <w:rPr>
                <w:rFonts w:hint="eastAsia"/>
                <w:color w:val="auto"/>
                <w:sz w:val="24"/>
                <w:u w:val="none"/>
                <w:lang w:eastAsia="zh-CN"/>
              </w:rPr>
              <w:t>设置</w:t>
            </w:r>
            <w:r>
              <w:rPr>
                <w:rFonts w:hint="eastAsia"/>
                <w:color w:val="auto"/>
                <w:sz w:val="24"/>
                <w:u w:val="none"/>
                <w:lang w:val="en-US" w:eastAsia="zh-CN"/>
              </w:rPr>
              <w:t>1个</w:t>
            </w:r>
            <w:r>
              <w:rPr>
                <w:rFonts w:hint="eastAsia"/>
                <w:color w:val="auto"/>
                <w:sz w:val="24"/>
                <w:u w:val="none"/>
                <w:lang w:eastAsia="zh-CN"/>
              </w:rPr>
              <w:t>危废暂存间（5m</w:t>
            </w:r>
            <w:r>
              <w:rPr>
                <w:rFonts w:hint="eastAsia"/>
                <w:color w:val="auto"/>
                <w:sz w:val="24"/>
                <w:u w:val="none"/>
                <w:vertAlign w:val="superscript"/>
                <w:lang w:eastAsia="zh-CN"/>
              </w:rPr>
              <w:t>2</w:t>
            </w:r>
            <w:r>
              <w:rPr>
                <w:rFonts w:hint="eastAsia"/>
                <w:color w:val="auto"/>
                <w:sz w:val="24"/>
                <w:u w:val="none"/>
                <w:lang w:eastAsia="zh-CN"/>
              </w:rPr>
              <w:t>），用于危险废物产生后委托有资质单位处理前，在厂房内的临时储存。危废暂存间地面采取防腐防渗，表面铺设地砖，设置整体托盘，内部放置防渗漏桶。当产生危险废物后将收集液体类危险废物的防渗漏桶放置在暂存点托盘内；建设单位对危险废物建立台账制度，详细记录危险废物产生日期、种类、产生量、容器等信息，并对容器做好危险废物标签，详细标注危险废物主要成分、危险情况、安全措施等信息；按照危险废物特性分类储存，及时通知相关单位到厂房转运；当产生的化学品废包装材料收集一桶后，通知相关单位到厂房转运。</w:t>
            </w:r>
          </w:p>
          <w:p>
            <w:pPr>
              <w:keepNext w:val="0"/>
              <w:keepLines w:val="0"/>
              <w:suppressLineNumbers w:val="0"/>
              <w:spacing w:before="0" w:beforeAutospacing="0" w:after="0" w:afterAutospacing="0" w:line="360" w:lineRule="auto"/>
              <w:ind w:left="0" w:right="0" w:firstLine="480" w:firstLineChars="200"/>
              <w:rPr>
                <w:rFonts w:hint="eastAsia"/>
                <w:color w:val="auto"/>
                <w:sz w:val="24"/>
                <w:u w:val="none"/>
                <w:lang w:eastAsia="zh-CN"/>
              </w:rPr>
            </w:pPr>
            <w:r>
              <w:rPr>
                <w:rFonts w:hint="eastAsia"/>
                <w:color w:val="auto"/>
                <w:sz w:val="24"/>
                <w:u w:val="none"/>
                <w:lang w:eastAsia="zh-CN"/>
              </w:rPr>
              <w:t>本项目产生的废润滑油、废活性炭和</w:t>
            </w:r>
            <w:r>
              <w:rPr>
                <w:rFonts w:hint="eastAsia"/>
                <w:color w:val="auto"/>
                <w:sz w:val="24"/>
                <w:u w:val="none"/>
                <w:lang w:val="en-US" w:eastAsia="zh-CN"/>
              </w:rPr>
              <w:t>废化学原料桶</w:t>
            </w:r>
            <w:r>
              <w:rPr>
                <w:rFonts w:hint="eastAsia"/>
                <w:color w:val="auto"/>
                <w:sz w:val="24"/>
                <w:u w:val="none"/>
                <w:lang w:eastAsia="zh-CN"/>
              </w:rPr>
              <w:t>等均属于危险固体废物，本项目将危险废</w:t>
            </w:r>
            <w:r>
              <w:rPr>
                <w:rFonts w:hint="eastAsia"/>
                <w:color w:val="auto"/>
                <w:sz w:val="24"/>
                <w:u w:val="none"/>
                <w:lang w:eastAsia="zh-CN"/>
              </w:rPr>
              <w:t>物委托有资质的单位进行处置，建设单位需要签订危废处理协议。外运时需要严格按照《危险废物转移管理办法》（生态环境部、公安部、交通运输部令第23号）的相关规定报批危险废物转移计划，应做到不沿途抛洒；此外，必须加强对固体废弃物的管理，</w:t>
            </w:r>
            <w:r>
              <w:rPr>
                <w:rFonts w:hint="eastAsia"/>
                <w:color w:val="auto"/>
                <w:sz w:val="24"/>
                <w:u w:val="none"/>
                <w:lang w:eastAsia="zh-CN"/>
              </w:rPr>
              <w:t>确保各类固体废弃物的妥善处置，固体废弃物贮存场所应有明显的标志，并有防雨、防晒等设施，以防二次污染。</w:t>
            </w:r>
          </w:p>
          <w:p>
            <w:pPr>
              <w:keepNext w:val="0"/>
              <w:keepLines w:val="0"/>
              <w:suppressLineNumbers w:val="0"/>
              <w:spacing w:before="0" w:beforeAutospacing="0" w:after="0" w:afterAutospacing="0" w:line="360" w:lineRule="auto"/>
              <w:ind w:left="0" w:right="0" w:firstLine="480" w:firstLineChars="200"/>
              <w:rPr>
                <w:rFonts w:hint="eastAsia"/>
                <w:color w:val="auto"/>
                <w:sz w:val="24"/>
                <w:u w:val="none"/>
                <w:lang w:eastAsia="zh-CN"/>
              </w:rPr>
            </w:pPr>
            <w:r>
              <w:rPr>
                <w:rFonts w:hint="eastAsia"/>
                <w:color w:val="auto"/>
                <w:sz w:val="24"/>
                <w:u w:val="none"/>
                <w:lang w:eastAsia="zh-CN"/>
              </w:rPr>
              <w:t>危废仓库做好防风、防雨、防晒、防渗漏“四防”措施，防止二次污染。地面采用坚固、防渗、耐腐蚀的材料建造，库内废物定期由有资质单位的专用运输车辆运输。危险废物按照类别分置于防渗漏的专用包装物或者密闭的容器内，专用包装物、容器设有明显的警示标识和警示说明。</w:t>
            </w:r>
          </w:p>
          <w:p>
            <w:pPr>
              <w:keepNext w:val="0"/>
              <w:keepLines w:val="0"/>
              <w:suppressLineNumbers w:val="0"/>
              <w:spacing w:before="0" w:beforeAutospacing="0" w:after="0" w:afterAutospacing="0" w:line="360" w:lineRule="auto"/>
              <w:ind w:left="0" w:right="0" w:firstLine="480" w:firstLineChars="200"/>
              <w:rPr>
                <w:rFonts w:hint="eastAsia"/>
                <w:color w:val="auto"/>
                <w:sz w:val="24"/>
                <w:u w:val="none"/>
                <w:lang w:eastAsia="zh-CN"/>
              </w:rPr>
            </w:pPr>
            <w:r>
              <w:rPr>
                <w:rFonts w:hint="eastAsia"/>
                <w:color w:val="auto"/>
                <w:sz w:val="24"/>
                <w:u w:val="none"/>
                <w:lang w:eastAsia="zh-CN"/>
              </w:rPr>
              <w:t>贮存容器要求：</w:t>
            </w:r>
          </w:p>
          <w:p>
            <w:pPr>
              <w:keepNext w:val="0"/>
              <w:keepLines w:val="0"/>
              <w:suppressLineNumbers w:val="0"/>
              <w:spacing w:before="0" w:beforeAutospacing="0" w:after="0" w:afterAutospacing="0" w:line="360" w:lineRule="auto"/>
              <w:ind w:left="0" w:right="0" w:firstLine="480" w:firstLineChars="200"/>
              <w:rPr>
                <w:rFonts w:hint="eastAsia"/>
                <w:color w:val="auto"/>
                <w:sz w:val="24"/>
                <w:u w:val="none"/>
                <w:lang w:eastAsia="zh-CN"/>
              </w:rPr>
            </w:pPr>
            <w:r>
              <w:rPr>
                <w:rFonts w:hint="eastAsia"/>
                <w:color w:val="auto"/>
                <w:sz w:val="24"/>
                <w:u w:val="none"/>
                <w:lang w:eastAsia="zh-CN"/>
              </w:rPr>
              <w:t>应当使用符合标准的容器盛装危险废物，装载危险废物的容器及材质要满足相应的强度要求，容器必须完好无损，材质和衬里要与危险废物相容（不相互反应）；液体危险废物可注入开孔直径不超过70毫米并有放气孔的桶中；装载液体、半固体危险废物的容器内须留足够空间，容器顶部与液体表面之间保留100毫米以上的空间，无法装入常用容器的危险废物可用防漏胶袋等盛装；禁止将不相容（相互反应）的危险废物在同一容器内混装；装危险废物的容器上必须粘贴符合GB18597-2023标准的标签。</w:t>
            </w:r>
          </w:p>
          <w:p>
            <w:pPr>
              <w:keepNext w:val="0"/>
              <w:keepLines w:val="0"/>
              <w:suppressLineNumbers w:val="0"/>
              <w:spacing w:before="0" w:beforeAutospacing="0" w:after="0" w:afterAutospacing="0" w:line="360" w:lineRule="auto"/>
              <w:ind w:left="0" w:right="0" w:firstLine="480" w:firstLineChars="200"/>
              <w:rPr>
                <w:rFonts w:hint="eastAsia"/>
                <w:color w:val="auto"/>
                <w:sz w:val="24"/>
                <w:u w:val="none"/>
                <w:lang w:eastAsia="zh-CN"/>
              </w:rPr>
            </w:pPr>
            <w:r>
              <w:rPr>
                <w:rFonts w:hint="eastAsia"/>
                <w:color w:val="auto"/>
                <w:sz w:val="24"/>
                <w:u w:val="none"/>
                <w:lang w:eastAsia="zh-CN"/>
              </w:rPr>
              <w:t>危废贮存设施的运行及管理：</w:t>
            </w:r>
          </w:p>
          <w:p>
            <w:pPr>
              <w:keepNext w:val="0"/>
              <w:keepLines w:val="0"/>
              <w:suppressLineNumbers w:val="0"/>
              <w:spacing w:before="0" w:beforeAutospacing="0" w:after="0" w:afterAutospacing="0" w:line="360" w:lineRule="auto"/>
              <w:ind w:left="0" w:right="0" w:firstLine="480" w:firstLineChars="200"/>
              <w:rPr>
                <w:rFonts w:hint="eastAsia"/>
                <w:color w:val="auto"/>
                <w:sz w:val="24"/>
                <w:u w:val="none"/>
                <w:lang w:eastAsia="zh-CN"/>
              </w:rPr>
            </w:pPr>
            <w:r>
              <w:rPr>
                <w:rFonts w:hint="eastAsia"/>
                <w:color w:val="auto"/>
                <w:sz w:val="24"/>
                <w:u w:val="none"/>
                <w:lang w:eastAsia="zh-CN"/>
              </w:rPr>
              <w:t>①每个危废堆间应留有搬运通道，盛装在容器内的同类危险废物可以堆叠存放，不得将不相容的废物混合或合并存放。</w:t>
            </w:r>
          </w:p>
          <w:p>
            <w:pPr>
              <w:keepNext w:val="0"/>
              <w:keepLines w:val="0"/>
              <w:suppressLineNumbers w:val="0"/>
              <w:spacing w:before="0" w:beforeAutospacing="0" w:after="0" w:afterAutospacing="0" w:line="360" w:lineRule="auto"/>
              <w:ind w:left="0" w:right="0" w:firstLine="480" w:firstLineChars="200"/>
              <w:rPr>
                <w:rFonts w:hint="eastAsia"/>
                <w:color w:val="auto"/>
                <w:sz w:val="24"/>
                <w:u w:val="none"/>
                <w:lang w:eastAsia="zh-CN"/>
              </w:rPr>
            </w:pPr>
            <w:r>
              <w:rPr>
                <w:rFonts w:hint="eastAsia"/>
                <w:color w:val="auto"/>
                <w:sz w:val="24"/>
                <w:u w:val="none"/>
                <w:lang w:eastAsia="zh-CN"/>
              </w:rPr>
              <w:t>②须作好危险废物情况的记录，记录上须注明危险废物的名称、来源、数量、特性和包装容器的类别、入库日期、存放库位、废物出库日期及接收单位名称。危险废物的记录和货单在危险废物回取后应继续保留5年。</w:t>
            </w:r>
          </w:p>
          <w:p>
            <w:pPr>
              <w:keepNext w:val="0"/>
              <w:keepLines w:val="0"/>
              <w:suppressLineNumbers w:val="0"/>
              <w:spacing w:before="0" w:beforeAutospacing="0" w:after="0" w:afterAutospacing="0" w:line="360" w:lineRule="auto"/>
              <w:ind w:left="0" w:right="0" w:firstLine="480" w:firstLineChars="200"/>
              <w:rPr>
                <w:rFonts w:hint="eastAsia"/>
                <w:color w:val="auto"/>
                <w:sz w:val="24"/>
                <w:u w:val="none"/>
                <w:lang w:eastAsia="zh-CN"/>
              </w:rPr>
            </w:pPr>
            <w:r>
              <w:rPr>
                <w:rFonts w:hint="eastAsia"/>
                <w:color w:val="auto"/>
                <w:sz w:val="24"/>
                <w:u w:val="none"/>
                <w:lang w:eastAsia="zh-CN"/>
              </w:rPr>
              <w:t>③必须定期对所贮存的危险废物包装容器及贮存设施进行检查，发现破损，应及时采取措施清理更换。</w:t>
            </w:r>
          </w:p>
          <w:p>
            <w:pPr>
              <w:keepNext w:val="0"/>
              <w:keepLines w:val="0"/>
              <w:suppressLineNumbers w:val="0"/>
              <w:spacing w:before="0" w:beforeAutospacing="0" w:after="0" w:afterAutospacing="0" w:line="360" w:lineRule="auto"/>
              <w:ind w:left="0" w:right="0" w:firstLine="480" w:firstLineChars="200"/>
              <w:rPr>
                <w:rFonts w:hint="eastAsia"/>
                <w:color w:val="auto"/>
                <w:sz w:val="24"/>
                <w:u w:val="none"/>
                <w:lang w:eastAsia="zh-CN"/>
              </w:rPr>
            </w:pPr>
            <w:r>
              <w:rPr>
                <w:rFonts w:hint="eastAsia"/>
                <w:color w:val="auto"/>
                <w:sz w:val="24"/>
                <w:u w:val="none"/>
                <w:lang w:eastAsia="zh-CN"/>
              </w:rPr>
              <w:t>危险废物贮存设施的安全防护与监测：</w:t>
            </w:r>
          </w:p>
          <w:p>
            <w:pPr>
              <w:keepNext w:val="0"/>
              <w:keepLines w:val="0"/>
              <w:suppressLineNumbers w:val="0"/>
              <w:spacing w:before="0" w:beforeAutospacing="0" w:after="0" w:afterAutospacing="0" w:line="360" w:lineRule="auto"/>
              <w:ind w:left="0" w:right="0" w:firstLine="480" w:firstLineChars="200"/>
              <w:rPr>
                <w:rFonts w:hint="eastAsia"/>
                <w:color w:val="auto"/>
                <w:sz w:val="24"/>
                <w:u w:val="none"/>
                <w:lang w:eastAsia="zh-CN"/>
              </w:rPr>
            </w:pPr>
            <w:r>
              <w:rPr>
                <w:rFonts w:hint="eastAsia"/>
                <w:color w:val="auto"/>
                <w:sz w:val="24"/>
                <w:u w:val="none"/>
                <w:lang w:eastAsia="zh-CN"/>
              </w:rPr>
              <w:t>①危险废物贮存设施都必须按《环境保护图形标志—固体废物贮存（处置）场》（GB 15562.2-1995）修改单的规定设置警示标志。</w:t>
            </w:r>
          </w:p>
          <w:p>
            <w:pPr>
              <w:keepNext w:val="0"/>
              <w:keepLines w:val="0"/>
              <w:suppressLineNumbers w:val="0"/>
              <w:spacing w:before="0" w:beforeAutospacing="0" w:after="0" w:afterAutospacing="0" w:line="360" w:lineRule="auto"/>
              <w:ind w:left="0" w:right="0" w:firstLine="480" w:firstLineChars="200"/>
              <w:rPr>
                <w:rFonts w:hint="eastAsia"/>
                <w:color w:val="auto"/>
                <w:sz w:val="24"/>
                <w:u w:val="none"/>
                <w:lang w:eastAsia="zh-CN"/>
              </w:rPr>
            </w:pPr>
            <w:r>
              <w:rPr>
                <w:rFonts w:hint="eastAsia"/>
                <w:color w:val="auto"/>
                <w:sz w:val="24"/>
                <w:u w:val="none"/>
                <w:lang w:eastAsia="zh-CN"/>
              </w:rPr>
              <w:t>②危险废物贮存设施应配备通讯设备、照明设施、安全防护服装及工具，并设有应急防护设施。</w:t>
            </w:r>
          </w:p>
          <w:p>
            <w:pPr>
              <w:keepNext w:val="0"/>
              <w:keepLines w:val="0"/>
              <w:suppressLineNumbers w:val="0"/>
              <w:spacing w:before="0" w:beforeAutospacing="0" w:after="0" w:afterAutospacing="0" w:line="360" w:lineRule="auto"/>
              <w:ind w:left="0" w:right="0" w:firstLine="480" w:firstLineChars="200"/>
              <w:rPr>
                <w:rFonts w:hint="eastAsia"/>
                <w:color w:val="auto"/>
                <w:sz w:val="24"/>
                <w:u w:val="none"/>
                <w:lang w:eastAsia="zh-CN"/>
              </w:rPr>
            </w:pPr>
            <w:r>
              <w:rPr>
                <w:rFonts w:hint="eastAsia"/>
                <w:color w:val="auto"/>
                <w:sz w:val="24"/>
                <w:u w:val="none"/>
                <w:lang w:eastAsia="zh-CN"/>
              </w:rPr>
              <w:t>③危险废物贮存设施内清理出来的泄漏物，一律按危险废物处理。</w:t>
            </w:r>
          </w:p>
          <w:p>
            <w:pPr>
              <w:keepNext w:val="0"/>
              <w:keepLines w:val="0"/>
              <w:suppressLineNumbers w:val="0"/>
              <w:spacing w:before="0" w:beforeAutospacing="0" w:after="0" w:afterAutospacing="0" w:line="360" w:lineRule="auto"/>
              <w:ind w:left="0" w:right="0" w:firstLine="480" w:firstLineChars="200"/>
              <w:rPr>
                <w:rFonts w:hint="eastAsia"/>
                <w:color w:val="auto"/>
                <w:sz w:val="24"/>
                <w:u w:val="none"/>
                <w:lang w:eastAsia="zh-CN"/>
              </w:rPr>
            </w:pPr>
            <w:r>
              <w:rPr>
                <w:rFonts w:hint="eastAsia"/>
                <w:color w:val="auto"/>
                <w:sz w:val="24"/>
                <w:u w:val="none"/>
                <w:lang w:eastAsia="zh-CN"/>
              </w:rPr>
              <w:t>④按国家污染源管理要求对危险废物贮存设施进行监测。</w:t>
            </w:r>
          </w:p>
          <w:p>
            <w:pPr>
              <w:keepNext w:val="0"/>
              <w:keepLines w:val="0"/>
              <w:suppressLineNumbers w:val="0"/>
              <w:spacing w:before="0" w:beforeAutospacing="0" w:after="0" w:afterAutospacing="0" w:line="360" w:lineRule="auto"/>
              <w:ind w:left="0" w:right="0" w:firstLine="480" w:firstLineChars="200"/>
              <w:rPr>
                <w:rFonts w:hint="default" w:eastAsia="宋体"/>
                <w:color w:val="auto"/>
                <w:sz w:val="24"/>
                <w:u w:val="none"/>
                <w:lang w:val="en-US" w:eastAsia="zh-CN"/>
              </w:rPr>
            </w:pPr>
            <w:r>
              <w:rPr>
                <w:rFonts w:hint="eastAsia"/>
                <w:color w:val="auto"/>
                <w:sz w:val="24"/>
                <w:u w:val="none"/>
                <w:lang w:eastAsia="zh-CN"/>
              </w:rPr>
              <w:t>（</w:t>
            </w:r>
            <w:r>
              <w:rPr>
                <w:rFonts w:hint="eastAsia"/>
                <w:color w:val="auto"/>
                <w:sz w:val="24"/>
                <w:u w:val="none"/>
                <w:lang w:val="en-US" w:eastAsia="zh-CN"/>
              </w:rPr>
              <w:t>3</w:t>
            </w:r>
            <w:r>
              <w:rPr>
                <w:rFonts w:hint="eastAsia"/>
                <w:color w:val="auto"/>
                <w:sz w:val="24"/>
                <w:u w:val="none"/>
                <w:lang w:eastAsia="zh-CN"/>
              </w:rPr>
              <w:t>）</w:t>
            </w:r>
            <w:r>
              <w:rPr>
                <w:rFonts w:hint="eastAsia"/>
                <w:color w:val="auto"/>
                <w:sz w:val="24"/>
                <w:u w:val="none"/>
                <w:lang w:val="en-US" w:eastAsia="zh-CN"/>
              </w:rPr>
              <w:t>生活垃圾管理要求</w:t>
            </w:r>
          </w:p>
          <w:p>
            <w:pPr>
              <w:keepNext w:val="0"/>
              <w:keepLines w:val="0"/>
              <w:suppressLineNumbers w:val="0"/>
              <w:spacing w:before="0" w:beforeAutospacing="0" w:after="0" w:afterAutospacing="0" w:line="360" w:lineRule="auto"/>
              <w:ind w:left="0" w:right="0" w:firstLine="480" w:firstLineChars="200"/>
              <w:rPr>
                <w:rFonts w:hint="eastAsia"/>
                <w:color w:val="auto"/>
                <w:sz w:val="24"/>
                <w:u w:val="none"/>
              </w:rPr>
            </w:pPr>
            <w:r>
              <w:rPr>
                <w:rFonts w:hint="eastAsia"/>
                <w:color w:val="auto"/>
                <w:sz w:val="24"/>
                <w:u w:val="none"/>
              </w:rPr>
              <w:t>定期委托环卫部门处置，避免在厂内长时间存放。</w:t>
            </w:r>
          </w:p>
          <w:p>
            <w:pPr>
              <w:keepNext w:val="0"/>
              <w:keepLines w:val="0"/>
              <w:suppressLineNumbers w:val="0"/>
              <w:spacing w:before="0" w:beforeAutospacing="0" w:after="0" w:afterAutospacing="0" w:line="360" w:lineRule="auto"/>
              <w:ind w:left="0" w:right="0" w:firstLine="480" w:firstLineChars="200"/>
              <w:rPr>
                <w:rFonts w:hint="eastAsia"/>
                <w:color w:val="auto"/>
                <w:sz w:val="24"/>
                <w:u w:val="none"/>
              </w:rPr>
            </w:pPr>
            <w:r>
              <w:rPr>
                <w:rFonts w:hint="eastAsia"/>
                <w:color w:val="auto"/>
                <w:sz w:val="24"/>
                <w:u w:val="none"/>
              </w:rPr>
              <w:t>综上所述，本项目固体废物处理处置符合国家《固体废物污染环境防治法》规定的原则，符合《一般工业固体废物贮存和填埋污染控制标准》（GB18599-2020）</w:t>
            </w:r>
            <w:r>
              <w:rPr>
                <w:rFonts w:hint="eastAsia"/>
                <w:color w:val="auto"/>
                <w:sz w:val="24"/>
                <w:u w:val="none"/>
                <w:lang w:eastAsia="zh-CN"/>
              </w:rPr>
              <w:t>、照《危险废物贮存污染控制标准》（GB18597-2023）</w:t>
            </w:r>
            <w:r>
              <w:rPr>
                <w:rFonts w:hint="eastAsia"/>
                <w:color w:val="auto"/>
                <w:sz w:val="24"/>
                <w:u w:val="none"/>
              </w:rPr>
              <w:t>规定，采取上述措施后，本项目固体废物可得到妥善的处理，对周围环境造成的影响很小。</w:t>
            </w:r>
          </w:p>
          <w:p>
            <w:pPr>
              <w:pStyle w:val="6"/>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bCs/>
                <w:color w:val="auto"/>
                <w:sz w:val="24"/>
                <w:u w:val="none"/>
                <w:lang w:val="en-US" w:eastAsia="zh-CN"/>
              </w:rPr>
            </w:pPr>
            <w:r>
              <w:rPr>
                <w:rFonts w:hint="eastAsia" w:ascii="Times New Roman" w:hAnsi="Times New Roman" w:eastAsia="宋体" w:cs="Times New Roman"/>
                <w:b/>
                <w:bCs/>
                <w:color w:val="auto"/>
                <w:sz w:val="24"/>
                <w:u w:val="none"/>
                <w:lang w:val="en-US" w:eastAsia="zh-CN"/>
              </w:rPr>
              <w:t>五、地下水和土壤环境影响分析</w:t>
            </w:r>
          </w:p>
          <w:p>
            <w:pPr>
              <w:pStyle w:val="6"/>
              <w:keepNext w:val="0"/>
              <w:keepLines w:val="0"/>
              <w:suppressLineNumbers w:val="0"/>
              <w:spacing w:before="0" w:beforeAutospacing="0" w:after="0" w:afterAutospacing="0" w:line="360" w:lineRule="auto"/>
              <w:ind w:left="0" w:right="0" w:firstLine="482"/>
              <w:rPr>
                <w:rFonts w:hint="eastAsia"/>
                <w:b w:val="0"/>
                <w:bCs w:val="0"/>
                <w:color w:val="auto"/>
                <w:sz w:val="24"/>
                <w:u w:val="none"/>
                <w:lang w:val="en-US" w:eastAsia="zh-CN"/>
              </w:rPr>
            </w:pPr>
            <w:r>
              <w:rPr>
                <w:rFonts w:hint="eastAsia"/>
                <w:b w:val="0"/>
                <w:bCs w:val="0"/>
                <w:color w:val="auto"/>
                <w:sz w:val="24"/>
                <w:u w:val="none"/>
                <w:lang w:val="en-US" w:eastAsia="zh-CN"/>
              </w:rPr>
              <w:t>1、污染源及污染途径识别</w:t>
            </w:r>
          </w:p>
          <w:p>
            <w:pPr>
              <w:pStyle w:val="6"/>
              <w:keepNext w:val="0"/>
              <w:keepLines w:val="0"/>
              <w:suppressLineNumbers w:val="0"/>
              <w:spacing w:before="0" w:beforeAutospacing="0" w:after="0" w:afterAutospacing="0" w:line="360" w:lineRule="auto"/>
              <w:ind w:left="0" w:right="0" w:firstLine="482"/>
              <w:rPr>
                <w:rFonts w:hint="eastAsia"/>
                <w:b w:val="0"/>
                <w:bCs w:val="0"/>
                <w:color w:val="auto"/>
                <w:sz w:val="24"/>
                <w:u w:val="none"/>
                <w:lang w:val="en-US" w:eastAsia="zh-CN"/>
              </w:rPr>
            </w:pPr>
            <w:r>
              <w:rPr>
                <w:rFonts w:hint="eastAsia"/>
                <w:b w:val="0"/>
                <w:bCs w:val="0"/>
                <w:color w:val="auto"/>
                <w:sz w:val="24"/>
                <w:u w:val="none"/>
                <w:lang w:val="en-US" w:eastAsia="zh-CN"/>
              </w:rPr>
              <w:t>地下水及土壤可能的污染来源为各污水管线、污水池、处理设施等构筑物防渗层由于老化腐蚀等原因出现破裂后，会导致污水处理系统中的废水持续泄露进入地下水系统中，并且下渗进入含水层，对环境造成影响。本项目主要污染物类型为生活污水及锅炉排污水，不含难降解有机物及重金属等易累积污染物。</w:t>
            </w:r>
          </w:p>
          <w:p>
            <w:pPr>
              <w:pStyle w:val="6"/>
              <w:keepNext w:val="0"/>
              <w:keepLines w:val="0"/>
              <w:suppressLineNumbers w:val="0"/>
              <w:spacing w:before="0" w:beforeAutospacing="0" w:after="0" w:afterAutospacing="0" w:line="360" w:lineRule="auto"/>
              <w:ind w:left="0" w:right="0" w:firstLine="482"/>
              <w:rPr>
                <w:rFonts w:hint="eastAsia"/>
                <w:b w:val="0"/>
                <w:bCs w:val="0"/>
                <w:color w:val="auto"/>
                <w:sz w:val="24"/>
                <w:u w:val="none"/>
                <w:lang w:val="en-US" w:eastAsia="zh-CN"/>
              </w:rPr>
            </w:pPr>
            <w:r>
              <w:rPr>
                <w:rFonts w:hint="eastAsia"/>
                <w:b w:val="0"/>
                <w:bCs w:val="0"/>
                <w:color w:val="auto"/>
                <w:sz w:val="24"/>
                <w:u w:val="none"/>
                <w:lang w:val="en-US" w:eastAsia="zh-CN"/>
              </w:rPr>
              <w:t>2、污染防控措施</w:t>
            </w:r>
          </w:p>
          <w:p>
            <w:pPr>
              <w:pStyle w:val="6"/>
              <w:keepNext w:val="0"/>
              <w:keepLines w:val="0"/>
              <w:suppressLineNumbers w:val="0"/>
              <w:spacing w:before="0" w:beforeAutospacing="0" w:after="0" w:afterAutospacing="0" w:line="360" w:lineRule="auto"/>
              <w:ind w:left="0" w:right="0" w:firstLine="482"/>
              <w:rPr>
                <w:rFonts w:hint="eastAsia"/>
                <w:b w:val="0"/>
                <w:bCs w:val="0"/>
                <w:color w:val="auto"/>
                <w:sz w:val="24"/>
                <w:u w:val="none"/>
                <w:lang w:val="en-US" w:eastAsia="zh-CN"/>
              </w:rPr>
            </w:pPr>
            <w:r>
              <w:rPr>
                <w:rFonts w:hint="eastAsia"/>
                <w:b w:val="0"/>
                <w:bCs w:val="0"/>
                <w:color w:val="auto"/>
                <w:sz w:val="24"/>
                <w:u w:val="none"/>
                <w:lang w:val="en-US" w:eastAsia="zh-CN"/>
              </w:rPr>
              <w:t>本项目地下水及土壤污染防治措施和对策，应坚持“源头控制、分区防治、污染监控、应急响应”的原则。本项目拟采取的防治措施如下所述。</w:t>
            </w:r>
          </w:p>
          <w:p>
            <w:pPr>
              <w:pStyle w:val="6"/>
              <w:keepNext w:val="0"/>
              <w:keepLines w:val="0"/>
              <w:suppressLineNumbers w:val="0"/>
              <w:spacing w:before="0" w:beforeAutospacing="0" w:after="0" w:afterAutospacing="0" w:line="360" w:lineRule="auto"/>
              <w:ind w:left="0" w:right="0" w:firstLine="482"/>
              <w:rPr>
                <w:rFonts w:hint="eastAsia"/>
                <w:b w:val="0"/>
                <w:bCs w:val="0"/>
                <w:color w:val="auto"/>
                <w:sz w:val="24"/>
                <w:u w:val="none"/>
                <w:lang w:val="en-US" w:eastAsia="zh-CN"/>
              </w:rPr>
            </w:pPr>
            <w:r>
              <w:rPr>
                <w:rFonts w:hint="eastAsia"/>
                <w:b w:val="0"/>
                <w:bCs w:val="0"/>
                <w:color w:val="auto"/>
                <w:sz w:val="24"/>
                <w:u w:val="none"/>
                <w:lang w:val="en-US" w:eastAsia="zh-CN"/>
              </w:rPr>
              <w:t>（1）源头控制措施</w:t>
            </w:r>
          </w:p>
          <w:p>
            <w:pPr>
              <w:pStyle w:val="6"/>
              <w:keepNext w:val="0"/>
              <w:keepLines w:val="0"/>
              <w:suppressLineNumbers w:val="0"/>
              <w:spacing w:before="0" w:beforeAutospacing="0" w:after="0" w:afterAutospacing="0" w:line="360" w:lineRule="auto"/>
              <w:ind w:left="0" w:right="0" w:firstLine="482"/>
              <w:rPr>
                <w:rFonts w:hint="eastAsia"/>
                <w:b w:val="0"/>
                <w:bCs w:val="0"/>
                <w:color w:val="auto"/>
                <w:sz w:val="24"/>
                <w:u w:val="none"/>
                <w:lang w:val="en-US" w:eastAsia="zh-CN"/>
              </w:rPr>
            </w:pPr>
            <w:r>
              <w:rPr>
                <w:rFonts w:hint="eastAsia"/>
                <w:b w:val="0"/>
                <w:bCs w:val="0"/>
                <w:color w:val="auto"/>
                <w:sz w:val="24"/>
                <w:u w:val="none"/>
                <w:lang w:val="en-US" w:eastAsia="zh-CN"/>
              </w:rPr>
              <w:t>污水处理站各污水处理池等均按防渗要求设计，正常情况下不会有泄漏，不存在废水污染地下水情况。项目应根据国家现行相关规范加强环境管理，采取防止和降低污染物跑、冒、滴、漏的措施。正常生产过程中应加强巡检及时处理污染物跑、冒、滴、漏，同时应加强对防渗工程的检查，若发现防渗密封材料老化或损坏，应及时维修更换；检修、拆卸时必须采取措施，集中收集渗漏污水，杜绝任意排放；利用厂区的地下水监测点，定期监控地下水水质受污染情况；穿过构筑物壁的管道预先设置防水套管，套管环缝隙采用柔性材料填塞。</w:t>
            </w:r>
          </w:p>
          <w:p>
            <w:pPr>
              <w:pStyle w:val="6"/>
              <w:keepNext w:val="0"/>
              <w:keepLines w:val="0"/>
              <w:suppressLineNumbers w:val="0"/>
              <w:spacing w:before="0" w:beforeAutospacing="0" w:after="0" w:afterAutospacing="0" w:line="360" w:lineRule="auto"/>
              <w:ind w:left="0" w:right="0" w:firstLine="482"/>
              <w:rPr>
                <w:rFonts w:hint="eastAsia"/>
                <w:b w:val="0"/>
                <w:bCs w:val="0"/>
                <w:color w:val="auto"/>
                <w:sz w:val="24"/>
                <w:u w:val="none"/>
                <w:lang w:val="en-US" w:eastAsia="zh-CN"/>
              </w:rPr>
            </w:pPr>
            <w:r>
              <w:rPr>
                <w:rFonts w:hint="eastAsia"/>
                <w:b w:val="0"/>
                <w:bCs w:val="0"/>
                <w:color w:val="auto"/>
                <w:sz w:val="24"/>
                <w:u w:val="none"/>
                <w:lang w:val="en-US" w:eastAsia="zh-CN"/>
              </w:rPr>
              <w:t>（2）分区防治措施</w:t>
            </w:r>
          </w:p>
          <w:p>
            <w:pPr>
              <w:pStyle w:val="6"/>
              <w:keepNext w:val="0"/>
              <w:keepLines w:val="0"/>
              <w:suppressLineNumbers w:val="0"/>
              <w:spacing w:before="0" w:beforeAutospacing="0" w:after="0" w:afterAutospacing="0" w:line="360" w:lineRule="auto"/>
              <w:ind w:left="0" w:right="0" w:firstLine="482"/>
              <w:rPr>
                <w:rFonts w:hint="eastAsia"/>
                <w:b w:val="0"/>
                <w:bCs w:val="0"/>
                <w:color w:val="auto"/>
                <w:sz w:val="24"/>
                <w:u w:val="none"/>
                <w:lang w:val="en-US" w:eastAsia="zh-CN"/>
              </w:rPr>
            </w:pPr>
            <w:r>
              <w:rPr>
                <w:rFonts w:hint="eastAsia"/>
                <w:b w:val="0"/>
                <w:bCs w:val="0"/>
                <w:color w:val="auto"/>
                <w:sz w:val="24"/>
                <w:u w:val="none"/>
                <w:lang w:val="en-US" w:eastAsia="zh-CN"/>
              </w:rPr>
              <w:t>为了避免项目营运对区域地下水及土壤环境的影响，项目制定了厂区污染防治方案，针对不同区域进行防渗设计、采取合理的防渗措施。本项目运营后由于存在粪污废水处理过程，这些过程如防渗不够可能会对地下水水质及土壤造成污染。根据《环境影响评价技术导则 地下水环境》HJ-610-2016中的表7 “地下水污染防渗分区参照表”，以及本项目可能泄漏至地面区域的污染物性质和生产单元的构筑方式，本项目可能发生下渗污染的区域——所有废水、污泥处理构筑物池体、废水、污泥输送管道均为一般防渗区，辅助工程风机房、中控室、办公室等及厂区道路为简单防渗区。施工单位严格按照设计单位对各防渗区的防渗设计要求施工，严禁渗漏污染地下水和土壤环境。</w:t>
            </w:r>
          </w:p>
          <w:p>
            <w:pPr>
              <w:pStyle w:val="6"/>
              <w:keepNext w:val="0"/>
              <w:keepLines w:val="0"/>
              <w:suppressLineNumbers w:val="0"/>
              <w:spacing w:before="0" w:beforeAutospacing="0" w:after="0" w:afterAutospacing="0" w:line="360" w:lineRule="auto"/>
              <w:ind w:left="0" w:right="0" w:firstLine="482"/>
              <w:rPr>
                <w:rFonts w:hint="eastAsia"/>
                <w:b w:val="0"/>
                <w:bCs w:val="0"/>
                <w:color w:val="auto"/>
                <w:sz w:val="24"/>
                <w:u w:val="none"/>
                <w:lang w:val="en-US" w:eastAsia="zh-CN"/>
              </w:rPr>
            </w:pPr>
            <w:r>
              <w:rPr>
                <w:rFonts w:hint="eastAsia"/>
                <w:b w:val="0"/>
                <w:bCs w:val="0"/>
                <w:color w:val="auto"/>
                <w:sz w:val="24"/>
                <w:u w:val="none"/>
                <w:lang w:val="en-US" w:eastAsia="zh-CN"/>
              </w:rPr>
              <w:t>（3）要求采用的防渗方案</w:t>
            </w:r>
          </w:p>
          <w:p>
            <w:pPr>
              <w:pStyle w:val="6"/>
              <w:keepNext w:val="0"/>
              <w:keepLines w:val="0"/>
              <w:suppressLineNumbers w:val="0"/>
              <w:spacing w:before="0" w:beforeAutospacing="0" w:after="0" w:afterAutospacing="0" w:line="360" w:lineRule="auto"/>
              <w:ind w:left="0" w:right="0" w:firstLine="482"/>
              <w:rPr>
                <w:rFonts w:hint="eastAsia"/>
                <w:b w:val="0"/>
                <w:bCs w:val="0"/>
                <w:color w:val="auto"/>
                <w:sz w:val="24"/>
                <w:u w:val="none"/>
                <w:lang w:val="en-US" w:eastAsia="zh-CN"/>
              </w:rPr>
            </w:pPr>
            <w:r>
              <w:rPr>
                <w:rFonts w:hint="eastAsia"/>
                <w:b w:val="0"/>
                <w:bCs w:val="0"/>
                <w:color w:val="auto"/>
                <w:sz w:val="24"/>
                <w:u w:val="none"/>
                <w:lang w:val="en-US" w:eastAsia="zh-CN"/>
              </w:rPr>
              <w:t>根据各污染防治分区的防渗要求，结合施工过程中的可操作性和技术水平，可选用的典型防渗方案如下。具体设计时可根据场地实际的工程地质、水文地质条件和可能发生泄漏的物料性质等，在满足防渗要求的前提下作必要的调整。建议防渗方案如下：</w:t>
            </w:r>
          </w:p>
          <w:p>
            <w:pPr>
              <w:pStyle w:val="6"/>
              <w:keepNext w:val="0"/>
              <w:keepLines w:val="0"/>
              <w:suppressLineNumbers w:val="0"/>
              <w:spacing w:before="0" w:beforeAutospacing="0" w:after="0" w:afterAutospacing="0" w:line="360" w:lineRule="auto"/>
              <w:ind w:left="0" w:right="0" w:firstLine="482"/>
              <w:rPr>
                <w:rFonts w:hint="eastAsia"/>
                <w:b w:val="0"/>
                <w:bCs w:val="0"/>
                <w:color w:val="auto"/>
                <w:sz w:val="24"/>
                <w:u w:val="none"/>
                <w:lang w:val="en-US" w:eastAsia="zh-CN"/>
              </w:rPr>
            </w:pPr>
            <w:r>
              <w:rPr>
                <w:rFonts w:hint="eastAsia"/>
                <w:b w:val="0"/>
                <w:bCs w:val="0"/>
                <w:color w:val="auto"/>
                <w:sz w:val="24"/>
                <w:u w:val="none"/>
                <w:lang w:val="en-US" w:eastAsia="zh-CN"/>
              </w:rPr>
              <w:t>1)一般防渗区</w:t>
            </w:r>
          </w:p>
          <w:p>
            <w:pPr>
              <w:pStyle w:val="6"/>
              <w:keepNext w:val="0"/>
              <w:keepLines w:val="0"/>
              <w:suppressLineNumbers w:val="0"/>
              <w:spacing w:before="0" w:beforeAutospacing="0" w:after="0" w:afterAutospacing="0" w:line="360" w:lineRule="auto"/>
              <w:ind w:left="0" w:right="0" w:firstLine="482"/>
              <w:rPr>
                <w:rFonts w:hint="eastAsia"/>
                <w:b w:val="0"/>
                <w:bCs w:val="0"/>
                <w:color w:val="auto"/>
                <w:sz w:val="24"/>
                <w:u w:val="none"/>
                <w:lang w:val="en-US" w:eastAsia="zh-CN"/>
              </w:rPr>
            </w:pPr>
            <w:r>
              <w:rPr>
                <w:rFonts w:hint="eastAsia"/>
                <w:b w:val="0"/>
                <w:bCs w:val="0"/>
                <w:color w:val="auto"/>
                <w:sz w:val="24"/>
                <w:u w:val="none"/>
                <w:lang w:val="en-US" w:eastAsia="zh-CN"/>
              </w:rPr>
              <w:t>①所有废水、污泥处理构筑物池体混凝土抗压强度、抗渗、抗冻性能必须达到设计要求；底板混凝土高程和坡度要满足设计要求；池壁要垂直、表面平整，相临湿接缝部位的混凝土应紧密，保护层厚度符合规定；浇注池壁混凝土前，混凝土施工缝应凿毛产冲洗干净，混凝土要衔接紧密不得渗漏；预埋管件、止水带和填缝板要安装牢固，位置准确；每座水池必须做满水实验，确保质量合格。</w:t>
            </w:r>
          </w:p>
          <w:p>
            <w:pPr>
              <w:pStyle w:val="6"/>
              <w:keepNext w:val="0"/>
              <w:keepLines w:val="0"/>
              <w:suppressLineNumbers w:val="0"/>
              <w:spacing w:before="0" w:beforeAutospacing="0" w:after="0" w:afterAutospacing="0" w:line="360" w:lineRule="auto"/>
              <w:ind w:left="0" w:right="0" w:firstLine="482"/>
              <w:rPr>
                <w:rFonts w:hint="eastAsia"/>
                <w:b w:val="0"/>
                <w:bCs w:val="0"/>
                <w:color w:val="auto"/>
                <w:sz w:val="24"/>
                <w:u w:val="none"/>
                <w:lang w:val="en-US" w:eastAsia="zh-CN"/>
              </w:rPr>
            </w:pPr>
            <w:r>
              <w:rPr>
                <w:rFonts w:hint="eastAsia"/>
                <w:b w:val="0"/>
                <w:bCs w:val="0"/>
                <w:color w:val="auto"/>
                <w:sz w:val="24"/>
                <w:u w:val="none"/>
                <w:lang w:val="en-US" w:eastAsia="zh-CN"/>
              </w:rPr>
              <w:t>②废水、污泥输送全部采用管道输送，本次评价对废水、污泥输送管道提出如下要求：</w:t>
            </w:r>
          </w:p>
          <w:p>
            <w:pPr>
              <w:pStyle w:val="6"/>
              <w:keepNext w:val="0"/>
              <w:keepLines w:val="0"/>
              <w:suppressLineNumbers w:val="0"/>
              <w:spacing w:before="0" w:beforeAutospacing="0" w:after="0" w:afterAutospacing="0" w:line="360" w:lineRule="auto"/>
              <w:ind w:left="0" w:right="0" w:firstLine="482"/>
              <w:rPr>
                <w:rFonts w:hint="eastAsia"/>
                <w:b w:val="0"/>
                <w:bCs w:val="0"/>
                <w:color w:val="auto"/>
                <w:sz w:val="24"/>
                <w:u w:val="none"/>
                <w:lang w:val="en-US" w:eastAsia="zh-CN"/>
              </w:rPr>
            </w:pPr>
            <w:r>
              <w:rPr>
                <w:rFonts w:hint="eastAsia"/>
                <w:b w:val="0"/>
                <w:bCs w:val="0"/>
                <w:color w:val="auto"/>
                <w:sz w:val="24"/>
                <w:u w:val="none"/>
                <w:lang w:val="en-US" w:eastAsia="zh-CN"/>
              </w:rPr>
              <w:t>A、排水管道必须具有足够的强度，以承受外部荷载和内部水压。</w:t>
            </w:r>
          </w:p>
          <w:p>
            <w:pPr>
              <w:pStyle w:val="6"/>
              <w:keepNext w:val="0"/>
              <w:keepLines w:val="0"/>
              <w:suppressLineNumbers w:val="0"/>
              <w:spacing w:before="0" w:beforeAutospacing="0" w:after="0" w:afterAutospacing="0" w:line="360" w:lineRule="auto"/>
              <w:ind w:left="0" w:right="0" w:firstLine="482"/>
              <w:rPr>
                <w:rFonts w:hint="eastAsia"/>
                <w:b w:val="0"/>
                <w:bCs w:val="0"/>
                <w:color w:val="auto"/>
                <w:sz w:val="24"/>
                <w:u w:val="none"/>
                <w:lang w:val="en-US" w:eastAsia="zh-CN"/>
              </w:rPr>
            </w:pPr>
            <w:r>
              <w:rPr>
                <w:rFonts w:hint="eastAsia"/>
                <w:b w:val="0"/>
                <w:bCs w:val="0"/>
                <w:color w:val="auto"/>
                <w:sz w:val="24"/>
                <w:u w:val="none"/>
                <w:lang w:val="en-US" w:eastAsia="zh-CN"/>
              </w:rPr>
              <w:t>B、排水管渠除具有抗废水中杂质的冲刷和磨损的作用外，还应该具有一定的抗腐蚀的性能，以免受废水或地下水的侵蚀作用而损坏。</w:t>
            </w:r>
          </w:p>
          <w:p>
            <w:pPr>
              <w:pStyle w:val="6"/>
              <w:keepNext w:val="0"/>
              <w:keepLines w:val="0"/>
              <w:suppressLineNumbers w:val="0"/>
              <w:spacing w:before="0" w:beforeAutospacing="0" w:after="0" w:afterAutospacing="0" w:line="360" w:lineRule="auto"/>
              <w:ind w:left="0" w:right="0" w:firstLine="482"/>
              <w:rPr>
                <w:rFonts w:hint="eastAsia"/>
                <w:b w:val="0"/>
                <w:bCs w:val="0"/>
                <w:color w:val="auto"/>
                <w:sz w:val="24"/>
                <w:u w:val="none"/>
                <w:lang w:val="en-US" w:eastAsia="zh-CN"/>
              </w:rPr>
            </w:pPr>
            <w:r>
              <w:rPr>
                <w:rFonts w:hint="eastAsia"/>
                <w:b w:val="0"/>
                <w:bCs w:val="0"/>
                <w:color w:val="auto"/>
                <w:sz w:val="24"/>
                <w:u w:val="none"/>
                <w:lang w:val="en-US" w:eastAsia="zh-CN"/>
              </w:rPr>
              <w:t>C、排水管道应具有良好的防渗漏性能，以防止废水渗出或地下水渗入。废水从管道渗出，不仅会污染地下水或土壤，还可能导致破坏管道及附近建筑物的基础；而地下水渗入污水管道，将降低管道的排水能力，增大污水泵站及处理构筑物的水力负荷。</w:t>
            </w:r>
          </w:p>
          <w:p>
            <w:pPr>
              <w:pStyle w:val="6"/>
              <w:keepNext w:val="0"/>
              <w:keepLines w:val="0"/>
              <w:suppressLineNumbers w:val="0"/>
              <w:spacing w:before="0" w:beforeAutospacing="0" w:after="0" w:afterAutospacing="0" w:line="360" w:lineRule="auto"/>
              <w:ind w:left="0" w:right="0" w:firstLine="482"/>
              <w:rPr>
                <w:rFonts w:hint="eastAsia"/>
                <w:b w:val="0"/>
                <w:bCs w:val="0"/>
                <w:color w:val="auto"/>
                <w:sz w:val="24"/>
                <w:u w:val="none"/>
                <w:lang w:val="en-US" w:eastAsia="zh-CN"/>
              </w:rPr>
            </w:pPr>
            <w:r>
              <w:rPr>
                <w:rFonts w:hint="eastAsia"/>
                <w:b w:val="0"/>
                <w:bCs w:val="0"/>
                <w:color w:val="auto"/>
                <w:sz w:val="24"/>
                <w:u w:val="none"/>
                <w:lang w:val="en-US" w:eastAsia="zh-CN"/>
              </w:rPr>
              <w:t>D、排水管渠的内壁应光滑，以尽量减小管道输水的阻力损失。</w:t>
            </w:r>
          </w:p>
          <w:p>
            <w:pPr>
              <w:pStyle w:val="6"/>
              <w:keepNext w:val="0"/>
              <w:keepLines w:val="0"/>
              <w:suppressLineNumbers w:val="0"/>
              <w:spacing w:before="0" w:beforeAutospacing="0" w:after="0" w:afterAutospacing="0" w:line="360" w:lineRule="auto"/>
              <w:ind w:left="0" w:right="0" w:firstLine="482"/>
              <w:rPr>
                <w:rFonts w:hint="eastAsia"/>
                <w:b w:val="0"/>
                <w:bCs w:val="0"/>
                <w:color w:val="auto"/>
                <w:sz w:val="24"/>
                <w:u w:val="none"/>
                <w:lang w:val="en-US" w:eastAsia="zh-CN"/>
              </w:rPr>
            </w:pPr>
            <w:r>
              <w:rPr>
                <w:rFonts w:hint="eastAsia"/>
                <w:b w:val="0"/>
                <w:bCs w:val="0"/>
                <w:color w:val="auto"/>
                <w:sz w:val="24"/>
                <w:u w:val="none"/>
                <w:lang w:val="en-US" w:eastAsia="zh-CN"/>
              </w:rPr>
              <w:t>E、加强施工质量管理，对管道和施工技术质量要求进行严格控制。</w:t>
            </w:r>
          </w:p>
          <w:p>
            <w:pPr>
              <w:pStyle w:val="6"/>
              <w:keepNext w:val="0"/>
              <w:keepLines w:val="0"/>
              <w:suppressLineNumbers w:val="0"/>
              <w:spacing w:before="0" w:beforeAutospacing="0" w:after="0" w:afterAutospacing="0" w:line="360" w:lineRule="auto"/>
              <w:ind w:left="0" w:right="0" w:firstLine="482"/>
              <w:rPr>
                <w:rFonts w:hint="eastAsia"/>
                <w:b w:val="0"/>
                <w:bCs w:val="0"/>
                <w:color w:val="auto"/>
                <w:sz w:val="24"/>
                <w:u w:val="none"/>
                <w:lang w:val="en-US" w:eastAsia="zh-CN"/>
              </w:rPr>
            </w:pPr>
            <w:r>
              <w:rPr>
                <w:rFonts w:hint="eastAsia"/>
                <w:b w:val="0"/>
                <w:bCs w:val="0"/>
                <w:color w:val="auto"/>
                <w:sz w:val="24"/>
                <w:u w:val="none"/>
                <w:lang w:val="en-US" w:eastAsia="zh-CN"/>
              </w:rPr>
              <w:t>③采用仪器设备定期检测管道漏点，及时处理，检查法兰、阀门、弯管和三通等部位，减少管道中的跑冒滴漏现象，将污染物控制在源头；加强固废(污泥、粪渣)的跟踪管理，防止污水或固体渗滤液渗漏污染地下水及土壤。</w:t>
            </w:r>
          </w:p>
          <w:p>
            <w:pPr>
              <w:pStyle w:val="6"/>
              <w:keepNext w:val="0"/>
              <w:keepLines w:val="0"/>
              <w:suppressLineNumbers w:val="0"/>
              <w:spacing w:before="0" w:beforeAutospacing="0" w:after="0" w:afterAutospacing="0" w:line="360" w:lineRule="auto"/>
              <w:ind w:left="0" w:right="0" w:firstLine="482"/>
              <w:rPr>
                <w:rFonts w:hint="eastAsia"/>
                <w:b w:val="0"/>
                <w:bCs w:val="0"/>
                <w:color w:val="auto"/>
                <w:sz w:val="24"/>
                <w:u w:val="none"/>
                <w:lang w:val="en-US" w:eastAsia="zh-CN"/>
              </w:rPr>
            </w:pPr>
            <w:r>
              <w:rPr>
                <w:rFonts w:hint="eastAsia"/>
                <w:b w:val="0"/>
                <w:bCs w:val="0"/>
                <w:color w:val="auto"/>
                <w:sz w:val="24"/>
                <w:u w:val="none"/>
                <w:lang w:val="en-US" w:eastAsia="zh-CN"/>
              </w:rPr>
              <w:t>2)简单防渗区</w:t>
            </w:r>
          </w:p>
          <w:p>
            <w:pPr>
              <w:pStyle w:val="6"/>
              <w:keepNext w:val="0"/>
              <w:keepLines w:val="0"/>
              <w:suppressLineNumbers w:val="0"/>
              <w:spacing w:before="0" w:beforeAutospacing="0" w:after="0" w:afterAutospacing="0" w:line="360" w:lineRule="auto"/>
              <w:ind w:left="0" w:right="0" w:firstLine="482"/>
              <w:rPr>
                <w:rFonts w:hint="eastAsia"/>
                <w:b w:val="0"/>
                <w:bCs w:val="0"/>
                <w:color w:val="auto"/>
                <w:sz w:val="24"/>
                <w:u w:val="none"/>
                <w:lang w:val="en-US" w:eastAsia="zh-CN"/>
              </w:rPr>
            </w:pPr>
            <w:r>
              <w:rPr>
                <w:rFonts w:hint="eastAsia"/>
                <w:b w:val="0"/>
                <w:bCs w:val="0"/>
                <w:color w:val="auto"/>
                <w:sz w:val="24"/>
                <w:u w:val="none"/>
                <w:lang w:val="en-US" w:eastAsia="zh-CN"/>
              </w:rPr>
              <w:t>办公区域、辅助生产区、路面进行水泥地面硬化。</w:t>
            </w:r>
          </w:p>
          <w:p>
            <w:pPr>
              <w:pStyle w:val="6"/>
              <w:keepNext w:val="0"/>
              <w:keepLines w:val="0"/>
              <w:suppressLineNumbers w:val="0"/>
              <w:spacing w:before="0" w:beforeAutospacing="0" w:after="0" w:afterAutospacing="0" w:line="360" w:lineRule="auto"/>
              <w:ind w:left="0" w:right="0" w:firstLine="482"/>
              <w:rPr>
                <w:rFonts w:hint="eastAsia"/>
                <w:b w:val="0"/>
                <w:bCs w:val="0"/>
                <w:color w:val="auto"/>
                <w:sz w:val="24"/>
                <w:u w:val="none"/>
                <w:lang w:val="en-US" w:eastAsia="zh-CN"/>
              </w:rPr>
            </w:pPr>
            <w:r>
              <w:rPr>
                <w:rFonts w:hint="eastAsia"/>
                <w:b w:val="0"/>
                <w:bCs w:val="0"/>
                <w:color w:val="auto"/>
                <w:sz w:val="24"/>
                <w:u w:val="none"/>
                <w:lang w:val="en-US" w:eastAsia="zh-CN"/>
              </w:rPr>
              <w:t>分析认为，项目在实施过程中对废水产、排点采取严格的防渗措施，对排水管网定期巡检，可杜绝地下水污染隐患，项目建设区域对地下水及土壤环境的影响不明显。</w:t>
            </w:r>
          </w:p>
          <w:p>
            <w:pPr>
              <w:pStyle w:val="6"/>
              <w:keepNext w:val="0"/>
              <w:keepLines w:val="0"/>
              <w:suppressLineNumbers w:val="0"/>
              <w:spacing w:before="0" w:beforeAutospacing="0" w:after="0" w:afterAutospacing="0" w:line="360" w:lineRule="auto"/>
              <w:ind w:left="0" w:right="0" w:firstLine="482"/>
              <w:rPr>
                <w:rFonts w:hint="default" w:ascii="Times New Roman" w:hAnsi="Times New Roman" w:eastAsia="宋体" w:cs="Times New Roman"/>
                <w:b w:val="0"/>
                <w:bCs w:val="0"/>
                <w:color w:val="auto"/>
                <w:sz w:val="24"/>
                <w:u w:val="none"/>
                <w:lang w:val="en-US" w:eastAsia="zh-CN"/>
              </w:rPr>
            </w:pPr>
            <w:r>
              <w:rPr>
                <w:rFonts w:hint="eastAsia" w:ascii="Times New Roman" w:hAnsi="Times New Roman" w:eastAsia="宋体" w:cs="Times New Roman"/>
                <w:b w:val="0"/>
                <w:bCs w:val="0"/>
                <w:color w:val="auto"/>
                <w:sz w:val="24"/>
                <w:u w:val="none"/>
                <w:lang w:val="en-US" w:eastAsia="zh-CN"/>
              </w:rPr>
              <w:t>3）</w:t>
            </w:r>
            <w:r>
              <w:rPr>
                <w:rFonts w:hint="default" w:ascii="Times New Roman" w:hAnsi="Times New Roman" w:eastAsia="宋体" w:cs="Times New Roman"/>
                <w:b w:val="0"/>
                <w:bCs w:val="0"/>
                <w:color w:val="auto"/>
                <w:sz w:val="24"/>
                <w:u w:val="none"/>
                <w:lang w:val="en-US" w:eastAsia="zh-CN"/>
              </w:rPr>
              <w:t>重点防渗区</w:t>
            </w:r>
          </w:p>
          <w:p>
            <w:pPr>
              <w:pStyle w:val="6"/>
              <w:keepNext w:val="0"/>
              <w:keepLines w:val="0"/>
              <w:suppressLineNumbers w:val="0"/>
              <w:spacing w:before="0" w:beforeAutospacing="0" w:after="0" w:afterAutospacing="0" w:line="360" w:lineRule="auto"/>
              <w:ind w:left="0" w:right="0" w:firstLine="482"/>
              <w:rPr>
                <w:rFonts w:hint="eastAsia" w:ascii="Times New Roman" w:hAnsi="Times New Roman" w:eastAsia="宋体" w:cs="Times New Roman"/>
                <w:b w:val="0"/>
                <w:bCs w:val="0"/>
                <w:color w:val="auto"/>
                <w:sz w:val="24"/>
                <w:u w:val="none"/>
                <w:lang w:val="en-US" w:eastAsia="zh-CN"/>
              </w:rPr>
            </w:pPr>
            <w:r>
              <w:rPr>
                <w:rFonts w:hint="default" w:ascii="Times New Roman" w:hAnsi="Times New Roman" w:eastAsia="宋体" w:cs="Times New Roman"/>
                <w:b w:val="0"/>
                <w:bCs w:val="0"/>
                <w:color w:val="auto"/>
                <w:sz w:val="24"/>
                <w:u w:val="none"/>
                <w:lang w:val="en-US" w:eastAsia="zh-CN"/>
              </w:rPr>
              <w:t>重点防渗区防渗设计要求参照</w:t>
            </w:r>
            <w:r>
              <w:rPr>
                <w:rFonts w:hint="eastAsia" w:ascii="Times New Roman" w:hAnsi="Times New Roman" w:eastAsia="宋体" w:cs="Times New Roman"/>
                <w:b w:val="0"/>
                <w:bCs w:val="0"/>
                <w:color w:val="auto"/>
                <w:sz w:val="24"/>
                <w:u w:val="none"/>
                <w:lang w:val="en-US" w:eastAsia="zh-CN"/>
              </w:rPr>
              <w:t>《危险废物贮存污染控制标准》（GB18597-2023），危废储存库地面基础应采取防渗，地基采用3:7灰土垫层300mm厚，地面采用C30防渗砼200mm厚，面层用防渗砂浆抹面30mm厚，防渗系数能够达到10</w:t>
            </w:r>
            <w:r>
              <w:rPr>
                <w:rFonts w:hint="eastAsia" w:ascii="Times New Roman" w:hAnsi="Times New Roman" w:eastAsia="宋体" w:cs="Times New Roman"/>
                <w:b w:val="0"/>
                <w:bCs w:val="0"/>
                <w:color w:val="auto"/>
                <w:sz w:val="24"/>
                <w:u w:val="none"/>
                <w:vertAlign w:val="superscript"/>
                <w:lang w:val="en-US" w:eastAsia="zh-CN"/>
              </w:rPr>
              <w:t>-10</w:t>
            </w:r>
            <w:r>
              <w:rPr>
                <w:rFonts w:hint="eastAsia" w:ascii="Times New Roman" w:hAnsi="Times New Roman" w:eastAsia="宋体" w:cs="Times New Roman"/>
                <w:b w:val="0"/>
                <w:bCs w:val="0"/>
                <w:color w:val="auto"/>
                <w:sz w:val="24"/>
                <w:u w:val="none"/>
                <w:lang w:val="en-US" w:eastAsia="zh-CN"/>
              </w:rPr>
              <w:t>cm/s。危废仓储间、原辅料仓库的危废和液态原料储存容器底部设置防渗托盘，防止泄漏。</w:t>
            </w:r>
          </w:p>
          <w:p>
            <w:pPr>
              <w:pStyle w:val="6"/>
              <w:keepNext w:val="0"/>
              <w:keepLines w:val="0"/>
              <w:suppressLineNumbers w:val="0"/>
              <w:spacing w:before="0" w:beforeAutospacing="0" w:after="0" w:afterAutospacing="0" w:line="360" w:lineRule="auto"/>
              <w:ind w:left="0" w:right="0" w:firstLine="482"/>
              <w:rPr>
                <w:rFonts w:hint="eastAsia"/>
                <w:b w:val="0"/>
                <w:bCs w:val="0"/>
                <w:color w:val="auto"/>
                <w:sz w:val="24"/>
                <w:u w:val="none"/>
                <w:lang w:val="en-US" w:eastAsia="zh-CN"/>
              </w:rPr>
            </w:pPr>
            <w:r>
              <w:rPr>
                <w:rFonts w:hint="eastAsia"/>
                <w:b w:val="0"/>
                <w:bCs w:val="0"/>
                <w:color w:val="auto"/>
                <w:sz w:val="24"/>
                <w:u w:val="none"/>
                <w:lang w:val="en-US" w:eastAsia="zh-CN"/>
              </w:rPr>
              <w:t>项目采取分区防渗措施具体见下表：</w:t>
            </w:r>
          </w:p>
          <w:p>
            <w:pPr>
              <w:pStyle w:val="10"/>
              <w:keepNext w:val="0"/>
              <w:keepLines w:val="0"/>
              <w:suppressLineNumbers w:val="0"/>
              <w:kinsoku w:val="0"/>
              <w:overflowPunct w:val="0"/>
              <w:autoSpaceDE w:val="0"/>
              <w:autoSpaceDN w:val="0"/>
              <w:spacing w:beforeAutospacing="0" w:after="0" w:afterAutospacing="0" w:line="240" w:lineRule="auto"/>
              <w:ind w:left="0" w:firstLine="422"/>
              <w:jc w:val="center"/>
              <w:rPr>
                <w:rFonts w:hint="eastAsia"/>
                <w:b/>
                <w:bCs/>
                <w:color w:val="auto"/>
                <w:sz w:val="21"/>
                <w:szCs w:val="21"/>
                <w:u w:val="none"/>
                <w:lang w:val="en-US" w:eastAsia="zh-CN"/>
              </w:rPr>
            </w:pPr>
            <w:r>
              <w:rPr>
                <w:rFonts w:hint="eastAsia"/>
                <w:b/>
                <w:bCs/>
                <w:color w:val="auto"/>
                <w:sz w:val="21"/>
                <w:szCs w:val="21"/>
                <w:u w:val="none"/>
                <w:lang w:val="en-US" w:eastAsia="zh-CN"/>
              </w:rPr>
              <w:t>表4-10 厂区内分区防渗要求</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7"/>
              <w:gridCol w:w="2336"/>
              <w:gridCol w:w="5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tcBorders>
                    <w:top w:val="single" w:color="auto" w:sz="4" w:space="0"/>
                    <w:bottom w:val="single" w:color="auto" w:sz="4" w:space="0"/>
                    <w:right w:val="single" w:color="auto" w:sz="4" w:space="0"/>
                  </w:tcBorders>
                  <w:vAlign w:val="center"/>
                </w:tcPr>
                <w:p>
                  <w:pPr>
                    <w:pStyle w:val="9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95" w:afterLines="30" w:afterAutospacing="0" w:line="240" w:lineRule="auto"/>
                    <w:ind w:left="0" w:right="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分类</w:t>
                  </w:r>
                </w:p>
              </w:tc>
              <w:tc>
                <w:tcPr>
                  <w:tcW w:w="2336" w:type="dxa"/>
                  <w:tcBorders>
                    <w:top w:val="single" w:color="auto" w:sz="4" w:space="0"/>
                    <w:left w:val="single" w:color="auto" w:sz="4" w:space="0"/>
                    <w:bottom w:val="single" w:color="auto" w:sz="4" w:space="0"/>
                    <w:right w:val="single" w:color="auto" w:sz="4" w:space="0"/>
                  </w:tcBorders>
                  <w:vAlign w:val="center"/>
                </w:tcPr>
                <w:p>
                  <w:pPr>
                    <w:pStyle w:val="9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95" w:afterLines="30" w:afterAutospacing="0" w:line="240" w:lineRule="auto"/>
                    <w:ind w:left="0" w:right="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内容</w:t>
                  </w:r>
                </w:p>
              </w:tc>
              <w:tc>
                <w:tcPr>
                  <w:tcW w:w="5219" w:type="dxa"/>
                  <w:tcBorders>
                    <w:top w:val="single" w:color="auto" w:sz="4" w:space="0"/>
                    <w:left w:val="single" w:color="auto" w:sz="4" w:space="0"/>
                    <w:bottom w:val="single" w:color="auto" w:sz="4" w:space="0"/>
                    <w:right w:val="single" w:color="auto" w:sz="4" w:space="0"/>
                  </w:tcBorders>
                  <w:vAlign w:val="center"/>
                </w:tcPr>
                <w:p>
                  <w:pPr>
                    <w:pStyle w:val="9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95" w:afterLines="30" w:afterAutospacing="0" w:line="240" w:lineRule="auto"/>
                    <w:ind w:left="0" w:right="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eastAsia" w:ascii="Times New Roman" w:hAnsi="Times New Roman" w:eastAsia="宋体" w:cs="Times New Roman"/>
                      <w:b/>
                      <w:bCs/>
                      <w:color w:val="auto"/>
                      <w:sz w:val="21"/>
                      <w:szCs w:val="21"/>
                      <w:vertAlign w:val="baseline"/>
                      <w:lang w:val="en-US" w:eastAsia="zh-CN"/>
                    </w:rPr>
                    <w:t>防渗要求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tcBorders>
                    <w:top w:val="single" w:color="auto" w:sz="4" w:space="0"/>
                    <w:left w:val="single" w:color="auto" w:sz="4" w:space="0"/>
                    <w:bottom w:val="single" w:color="auto" w:sz="4" w:space="0"/>
                    <w:right w:val="single" w:color="auto" w:sz="4" w:space="0"/>
                  </w:tcBorders>
                  <w:vAlign w:val="center"/>
                </w:tcPr>
                <w:p>
                  <w:pPr>
                    <w:pStyle w:val="9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95" w:afterLines="30" w:afterAutospacing="0" w:line="240" w:lineRule="auto"/>
                    <w:ind w:left="0"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一般防渗区域</w:t>
                  </w:r>
                </w:p>
              </w:tc>
              <w:tc>
                <w:tcPr>
                  <w:tcW w:w="2336" w:type="dxa"/>
                  <w:tcBorders>
                    <w:top w:val="single" w:color="auto" w:sz="4" w:space="0"/>
                    <w:left w:val="single" w:color="auto" w:sz="4" w:space="0"/>
                    <w:bottom w:val="single" w:color="auto" w:sz="4" w:space="0"/>
                    <w:right w:val="single" w:color="auto" w:sz="4" w:space="0"/>
                  </w:tcBorders>
                  <w:vAlign w:val="center"/>
                </w:tcPr>
                <w:p>
                  <w:pPr>
                    <w:pStyle w:val="9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95" w:afterLines="30" w:afterAutospacing="0" w:line="240" w:lineRule="auto"/>
                    <w:ind w:left="0"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所有废水、污泥处理构筑物池体、废水、污泥输送管道</w:t>
                  </w:r>
                  <w:r>
                    <w:rPr>
                      <w:rFonts w:hint="eastAsia" w:cs="Times New Roman"/>
                      <w:b w:val="0"/>
                      <w:bCs w:val="0"/>
                      <w:color w:val="auto"/>
                      <w:sz w:val="21"/>
                      <w:szCs w:val="21"/>
                      <w:vertAlign w:val="baseline"/>
                      <w:lang w:val="en-US" w:eastAsia="zh-CN"/>
                    </w:rPr>
                    <w:t>、一般固废暂存间</w:t>
                  </w:r>
                  <w:r>
                    <w:rPr>
                      <w:rFonts w:hint="default" w:ascii="Times New Roman" w:hAnsi="Times New Roman" w:eastAsia="宋体" w:cs="Times New Roman"/>
                      <w:b w:val="0"/>
                      <w:bCs w:val="0"/>
                      <w:color w:val="auto"/>
                      <w:sz w:val="21"/>
                      <w:szCs w:val="21"/>
                      <w:vertAlign w:val="baseline"/>
                      <w:lang w:val="en-US" w:eastAsia="zh-CN"/>
                    </w:rPr>
                    <w:t>。</w:t>
                  </w:r>
                </w:p>
              </w:tc>
              <w:tc>
                <w:tcPr>
                  <w:tcW w:w="5219" w:type="dxa"/>
                  <w:tcBorders>
                    <w:top w:val="single" w:color="auto" w:sz="4" w:space="0"/>
                    <w:left w:val="single" w:color="auto" w:sz="4" w:space="0"/>
                    <w:bottom w:val="single" w:color="auto" w:sz="4" w:space="0"/>
                    <w:right w:val="single" w:color="auto" w:sz="4" w:space="0"/>
                  </w:tcBorders>
                  <w:vAlign w:val="center"/>
                </w:tcPr>
                <w:p>
                  <w:pPr>
                    <w:pStyle w:val="9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95" w:afterLines="30" w:afterAutospacing="0" w:line="240" w:lineRule="auto"/>
                    <w:ind w:left="0"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污水输送管道采用高强度防腐材质，减轻管道腐蚀造成的渗漏，并进行定期检查，防止跑冒滴漏的现象发生。地面采用混凝土结构，并进行人工材料(HDPE)防渗层处理，防渗能力达到：Mb≥1.5m，防渗系数≤1.0×10</w:t>
                  </w:r>
                  <w:r>
                    <w:rPr>
                      <w:rFonts w:hint="default" w:ascii="Times New Roman" w:hAnsi="Times New Roman" w:eastAsia="宋体" w:cs="Times New Roman"/>
                      <w:b w:val="0"/>
                      <w:bCs w:val="0"/>
                      <w:color w:val="auto"/>
                      <w:sz w:val="21"/>
                      <w:szCs w:val="21"/>
                      <w:vertAlign w:val="superscript"/>
                      <w:lang w:val="en-US" w:eastAsia="zh-CN"/>
                    </w:rPr>
                    <w:t>-7</w:t>
                  </w:r>
                  <w:r>
                    <w:rPr>
                      <w:rFonts w:hint="default" w:ascii="Times New Roman" w:hAnsi="Times New Roman" w:eastAsia="宋体" w:cs="Times New Roman"/>
                      <w:b w:val="0"/>
                      <w:bCs w:val="0"/>
                      <w:color w:val="auto"/>
                      <w:sz w:val="21"/>
                      <w:szCs w:val="21"/>
                      <w:vertAlign w:val="baseline"/>
                      <w:lang w:val="en-US" w:eastAsia="zh-CN"/>
                    </w:rPr>
                    <w:t>cm/s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tcBorders>
                    <w:top w:val="single" w:color="auto" w:sz="4" w:space="0"/>
                    <w:left w:val="single" w:color="auto" w:sz="4" w:space="0"/>
                    <w:bottom w:val="single" w:color="auto" w:sz="4" w:space="0"/>
                    <w:right w:val="single" w:color="auto" w:sz="4" w:space="0"/>
                  </w:tcBorders>
                  <w:vAlign w:val="center"/>
                </w:tcPr>
                <w:p>
                  <w:pPr>
                    <w:pStyle w:val="9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95" w:afterLines="30" w:afterAutospacing="0" w:line="240" w:lineRule="auto"/>
                    <w:ind w:left="0"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简单防渗区域</w:t>
                  </w:r>
                </w:p>
              </w:tc>
              <w:tc>
                <w:tcPr>
                  <w:tcW w:w="2336" w:type="dxa"/>
                  <w:tcBorders>
                    <w:top w:val="single" w:color="auto" w:sz="4" w:space="0"/>
                    <w:left w:val="single" w:color="auto" w:sz="4" w:space="0"/>
                    <w:bottom w:val="single" w:color="auto" w:sz="4" w:space="0"/>
                    <w:right w:val="single" w:color="auto" w:sz="4" w:space="0"/>
                  </w:tcBorders>
                  <w:vAlign w:val="center"/>
                </w:tcPr>
                <w:p>
                  <w:pPr>
                    <w:pStyle w:val="9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95" w:afterLines="30" w:afterAutospacing="0" w:line="240" w:lineRule="auto"/>
                    <w:ind w:left="0"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办公区域、辅助生产区、路面等其他区域</w:t>
                  </w:r>
                </w:p>
              </w:tc>
              <w:tc>
                <w:tcPr>
                  <w:tcW w:w="5219" w:type="dxa"/>
                  <w:tcBorders>
                    <w:top w:val="single" w:color="auto" w:sz="4" w:space="0"/>
                    <w:left w:val="single" w:color="auto" w:sz="4" w:space="0"/>
                    <w:bottom w:val="single" w:color="auto" w:sz="4" w:space="0"/>
                    <w:right w:val="single" w:color="auto" w:sz="4" w:space="0"/>
                  </w:tcBorders>
                  <w:vAlign w:val="center"/>
                </w:tcPr>
                <w:p>
                  <w:pPr>
                    <w:pStyle w:val="9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95" w:afterLines="30" w:afterAutospacing="0" w:line="240" w:lineRule="auto"/>
                    <w:ind w:left="0"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地面硬化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tcBorders>
                    <w:top w:val="single" w:color="auto" w:sz="4" w:space="0"/>
                    <w:left w:val="single" w:color="auto" w:sz="4" w:space="0"/>
                    <w:bottom w:val="single" w:color="auto" w:sz="4" w:space="0"/>
                    <w:right w:val="single" w:color="auto" w:sz="4" w:space="0"/>
                  </w:tcBorders>
                  <w:vAlign w:val="center"/>
                </w:tcPr>
                <w:p>
                  <w:pPr>
                    <w:pStyle w:val="9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95" w:afterLines="30" w:afterAutospacing="0" w:line="240" w:lineRule="auto"/>
                    <w:ind w:left="0"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重点</w:t>
                  </w:r>
                  <w:r>
                    <w:rPr>
                      <w:rFonts w:hint="default" w:ascii="Times New Roman" w:hAnsi="Times New Roman" w:eastAsia="宋体" w:cs="Times New Roman"/>
                      <w:b w:val="0"/>
                      <w:bCs w:val="0"/>
                      <w:color w:val="auto"/>
                      <w:sz w:val="21"/>
                      <w:szCs w:val="21"/>
                      <w:vertAlign w:val="baseline"/>
                      <w:lang w:val="en-US" w:eastAsia="zh-CN"/>
                    </w:rPr>
                    <w:t>污染防治区</w:t>
                  </w:r>
                </w:p>
              </w:tc>
              <w:tc>
                <w:tcPr>
                  <w:tcW w:w="2336" w:type="dxa"/>
                  <w:tcBorders>
                    <w:top w:val="single" w:color="auto" w:sz="4" w:space="0"/>
                    <w:left w:val="single" w:color="auto" w:sz="4" w:space="0"/>
                    <w:bottom w:val="single" w:color="auto" w:sz="4" w:space="0"/>
                    <w:right w:val="single" w:color="auto" w:sz="4" w:space="0"/>
                  </w:tcBorders>
                  <w:vAlign w:val="center"/>
                </w:tcPr>
                <w:p>
                  <w:pPr>
                    <w:pStyle w:val="9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95" w:afterLines="30" w:afterAutospacing="0" w:line="240" w:lineRule="auto"/>
                    <w:ind w:left="0"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危险废物暂存间</w:t>
                  </w:r>
                </w:p>
              </w:tc>
              <w:tc>
                <w:tcPr>
                  <w:tcW w:w="5219" w:type="dxa"/>
                  <w:tcBorders>
                    <w:top w:val="single" w:color="auto" w:sz="4" w:space="0"/>
                    <w:left w:val="single" w:color="auto" w:sz="4" w:space="0"/>
                    <w:bottom w:val="single" w:color="auto" w:sz="4" w:space="0"/>
                    <w:right w:val="single" w:color="auto" w:sz="4" w:space="0"/>
                  </w:tcBorders>
                  <w:vAlign w:val="center"/>
                </w:tcPr>
                <w:p>
                  <w:pPr>
                    <w:pStyle w:val="95"/>
                    <w:keepNext w:val="0"/>
                    <w:keepLines w:val="0"/>
                    <w:pageBreakBefore w:val="0"/>
                    <w:widowControl w:val="0"/>
                    <w:suppressLineNumbers w:val="0"/>
                    <w:kinsoku/>
                    <w:wordWrap/>
                    <w:overflowPunct/>
                    <w:topLinePunct w:val="0"/>
                    <w:autoSpaceDE/>
                    <w:autoSpaceDN/>
                    <w:bidi w:val="0"/>
                    <w:adjustRightInd/>
                    <w:snapToGrid/>
                    <w:spacing w:before="95" w:beforeLines="30" w:beforeAutospacing="0" w:after="95" w:afterLines="30" w:afterAutospacing="0" w:line="240" w:lineRule="auto"/>
                    <w:ind w:left="0"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参照</w:t>
                  </w:r>
                  <w:r>
                    <w:rPr>
                      <w:rFonts w:hint="eastAsia" w:ascii="Times New Roman" w:hAnsi="Times New Roman" w:eastAsia="宋体" w:cs="Times New Roman"/>
                      <w:b w:val="0"/>
                      <w:bCs w:val="0"/>
                      <w:color w:val="auto"/>
                      <w:sz w:val="21"/>
                      <w:szCs w:val="21"/>
                      <w:vertAlign w:val="baseline"/>
                      <w:lang w:val="en-US" w:eastAsia="zh-CN"/>
                    </w:rPr>
                    <w:t>《危险废物贮存污染控制标准》（GB18597-2023），危废储存库地面基础应采取防渗，地基采用3:7灰土垫层300mm厚，地面采用C30防渗砼200mm厚，面层用防渗砂浆抹面30mm厚，防渗系数能够达到10</w:t>
                  </w:r>
                  <w:r>
                    <w:rPr>
                      <w:rFonts w:hint="eastAsia" w:ascii="Times New Roman" w:hAnsi="Times New Roman" w:eastAsia="宋体" w:cs="Times New Roman"/>
                      <w:b w:val="0"/>
                      <w:bCs w:val="0"/>
                      <w:color w:val="auto"/>
                      <w:sz w:val="21"/>
                      <w:szCs w:val="21"/>
                      <w:vertAlign w:val="superscript"/>
                      <w:lang w:val="en-US" w:eastAsia="zh-CN"/>
                    </w:rPr>
                    <w:t>-10</w:t>
                  </w:r>
                  <w:r>
                    <w:rPr>
                      <w:rFonts w:hint="eastAsia" w:ascii="Times New Roman" w:hAnsi="Times New Roman" w:eastAsia="宋体" w:cs="Times New Roman"/>
                      <w:b w:val="0"/>
                      <w:bCs w:val="0"/>
                      <w:color w:val="auto"/>
                      <w:sz w:val="21"/>
                      <w:szCs w:val="21"/>
                      <w:vertAlign w:val="baseline"/>
                      <w:lang w:val="en-US" w:eastAsia="zh-CN"/>
                    </w:rPr>
                    <w:t>cm/s。</w:t>
                  </w:r>
                </w:p>
              </w:tc>
            </w:tr>
          </w:tbl>
          <w:p>
            <w:pPr>
              <w:pStyle w:val="6"/>
              <w:keepNext w:val="0"/>
              <w:keepLines w:val="0"/>
              <w:suppressLineNumbers w:val="0"/>
              <w:spacing w:before="0" w:beforeAutospacing="0" w:after="0" w:afterAutospacing="0" w:line="360" w:lineRule="auto"/>
              <w:ind w:left="0" w:right="0" w:firstLine="482"/>
              <w:rPr>
                <w:rFonts w:hint="eastAsia"/>
                <w:b/>
                <w:bCs/>
                <w:color w:val="auto"/>
                <w:sz w:val="24"/>
                <w:u w:val="none"/>
                <w:lang w:val="en-US" w:eastAsia="zh-CN"/>
              </w:rPr>
            </w:pPr>
          </w:p>
          <w:p>
            <w:pPr>
              <w:pStyle w:val="6"/>
              <w:keepNext w:val="0"/>
              <w:keepLines w:val="0"/>
              <w:suppressLineNumbers w:val="0"/>
              <w:spacing w:before="0" w:beforeAutospacing="0" w:after="0" w:afterAutospacing="0" w:line="360" w:lineRule="auto"/>
              <w:ind w:left="0" w:right="0" w:firstLine="482"/>
              <w:rPr>
                <w:rFonts w:hint="eastAsia"/>
                <w:b/>
                <w:bCs/>
                <w:color w:val="auto"/>
                <w:sz w:val="24"/>
                <w:u w:val="none"/>
                <w:lang w:val="en-US" w:eastAsia="zh-CN"/>
              </w:rPr>
            </w:pPr>
          </w:p>
          <w:p>
            <w:pPr>
              <w:pStyle w:val="6"/>
              <w:keepNext w:val="0"/>
              <w:keepLines w:val="0"/>
              <w:suppressLineNumbers w:val="0"/>
              <w:spacing w:before="0" w:beforeAutospacing="0" w:after="0" w:afterAutospacing="0" w:line="360" w:lineRule="auto"/>
              <w:ind w:left="0" w:right="0" w:firstLine="482"/>
              <w:rPr>
                <w:rFonts w:hint="eastAsia"/>
                <w:b/>
                <w:bCs/>
                <w:color w:val="auto"/>
                <w:sz w:val="24"/>
                <w:u w:val="none"/>
                <w:lang w:val="en-US" w:eastAsia="zh-CN"/>
              </w:rPr>
            </w:pPr>
          </w:p>
          <w:p>
            <w:pPr>
              <w:pStyle w:val="6"/>
              <w:keepNext w:val="0"/>
              <w:keepLines w:val="0"/>
              <w:suppressLineNumbers w:val="0"/>
              <w:spacing w:before="0" w:beforeAutospacing="0" w:after="0" w:afterAutospacing="0" w:line="360" w:lineRule="auto"/>
              <w:ind w:left="0" w:right="0" w:firstLine="482"/>
              <w:rPr>
                <w:rFonts w:hint="eastAsia"/>
                <w:b/>
                <w:bCs/>
                <w:color w:val="auto"/>
                <w:sz w:val="24"/>
                <w:u w:val="none"/>
                <w:lang w:val="en-US" w:eastAsia="zh-CN"/>
              </w:rPr>
            </w:pPr>
          </w:p>
          <w:p>
            <w:pPr>
              <w:pStyle w:val="6"/>
              <w:keepNext w:val="0"/>
              <w:keepLines w:val="0"/>
              <w:suppressLineNumbers w:val="0"/>
              <w:spacing w:before="0" w:beforeAutospacing="0" w:after="0" w:afterAutospacing="0" w:line="360" w:lineRule="auto"/>
              <w:ind w:left="0" w:right="0" w:firstLine="482"/>
              <w:rPr>
                <w:rFonts w:hint="eastAsia"/>
                <w:b/>
                <w:bCs/>
                <w:color w:val="auto"/>
                <w:sz w:val="24"/>
                <w:u w:val="none"/>
                <w:lang w:val="en-US" w:eastAsia="zh-CN"/>
              </w:rPr>
            </w:pPr>
          </w:p>
          <w:p>
            <w:pPr>
              <w:pStyle w:val="6"/>
              <w:keepNext w:val="0"/>
              <w:keepLines w:val="0"/>
              <w:suppressLineNumbers w:val="0"/>
              <w:spacing w:before="0" w:beforeAutospacing="0" w:after="0" w:afterAutospacing="0" w:line="360" w:lineRule="auto"/>
              <w:ind w:left="0" w:right="0" w:firstLine="482"/>
              <w:rPr>
                <w:rFonts w:hint="eastAsia"/>
                <w:b/>
                <w:bCs/>
                <w:color w:val="auto"/>
                <w:sz w:val="24"/>
                <w:u w:val="none"/>
                <w:lang w:val="en-US" w:eastAsia="zh-CN"/>
              </w:rPr>
            </w:pPr>
          </w:p>
          <w:p>
            <w:pPr>
              <w:pStyle w:val="6"/>
              <w:keepNext w:val="0"/>
              <w:keepLines w:val="0"/>
              <w:suppressLineNumbers w:val="0"/>
              <w:spacing w:before="0" w:beforeAutospacing="0" w:after="0" w:afterAutospacing="0" w:line="360" w:lineRule="auto"/>
              <w:ind w:left="0" w:right="0" w:firstLine="482"/>
              <w:rPr>
                <w:rFonts w:hint="eastAsia"/>
                <w:b/>
                <w:bCs/>
                <w:color w:val="auto"/>
                <w:sz w:val="24"/>
                <w:u w:val="none"/>
                <w:lang w:val="en-US" w:eastAsia="zh-CN"/>
              </w:rPr>
            </w:pPr>
          </w:p>
          <w:p>
            <w:pPr>
              <w:pStyle w:val="6"/>
              <w:keepNext w:val="0"/>
              <w:keepLines w:val="0"/>
              <w:suppressLineNumbers w:val="0"/>
              <w:spacing w:before="0" w:beforeAutospacing="0" w:after="0" w:afterAutospacing="0" w:line="360" w:lineRule="auto"/>
              <w:ind w:left="0" w:right="0" w:firstLine="482"/>
              <w:rPr>
                <w:rFonts w:hint="eastAsia"/>
                <w:b/>
                <w:bCs/>
                <w:color w:val="auto"/>
                <w:sz w:val="24"/>
                <w:u w:val="none"/>
              </w:rPr>
            </w:pPr>
            <w:r>
              <w:rPr>
                <w:rFonts w:hint="eastAsia"/>
                <w:b/>
                <w:bCs/>
                <w:color w:val="auto"/>
                <w:sz w:val="24"/>
                <w:u w:val="none"/>
                <w:lang w:val="en-US" w:eastAsia="zh-CN"/>
              </w:rPr>
              <w:t>六</w:t>
            </w:r>
            <w:r>
              <w:rPr>
                <w:rFonts w:hint="eastAsia"/>
                <w:b/>
                <w:bCs/>
                <w:color w:val="auto"/>
                <w:sz w:val="24"/>
                <w:u w:val="none"/>
              </w:rPr>
              <w:t>、环境风险分析</w:t>
            </w:r>
          </w:p>
          <w:p>
            <w:pPr>
              <w:pStyle w:val="6"/>
              <w:keepNext w:val="0"/>
              <w:keepLines w:val="0"/>
              <w:suppressLineNumbers w:val="0"/>
              <w:spacing w:before="0" w:beforeAutospacing="0" w:after="0" w:afterAutospacing="0" w:line="360" w:lineRule="auto"/>
              <w:ind w:left="0" w:right="0" w:firstLine="482"/>
              <w:rPr>
                <w:rFonts w:hint="eastAsia"/>
                <w:b/>
                <w:bCs/>
                <w:color w:val="auto"/>
                <w:sz w:val="24"/>
                <w:u w:val="single"/>
              </w:rPr>
            </w:pPr>
            <w:r>
              <w:rPr>
                <w:rFonts w:hint="default"/>
                <w:b/>
                <w:bCs/>
                <w:color w:val="auto"/>
                <w:sz w:val="24"/>
                <w:u w:val="single"/>
              </w:rPr>
              <w:t>1</w:t>
            </w:r>
            <w:r>
              <w:rPr>
                <w:rFonts w:hint="eastAsia"/>
                <w:b/>
                <w:bCs/>
                <w:color w:val="auto"/>
                <w:sz w:val="24"/>
                <w:u w:val="single"/>
              </w:rPr>
              <w:t>、风险调查</w:t>
            </w:r>
          </w:p>
          <w:p>
            <w:pPr>
              <w:pStyle w:val="6"/>
              <w:keepNext w:val="0"/>
              <w:keepLines w:val="0"/>
              <w:suppressLineNumbers w:val="0"/>
              <w:spacing w:before="0" w:beforeAutospacing="0" w:after="0" w:afterAutospacing="0" w:line="360" w:lineRule="auto"/>
              <w:ind w:left="0" w:right="0" w:firstLine="480"/>
              <w:rPr>
                <w:rFonts w:hint="eastAsia"/>
                <w:color w:val="auto"/>
                <w:sz w:val="24"/>
                <w:u w:val="single"/>
              </w:rPr>
            </w:pPr>
            <w:r>
              <w:rPr>
                <w:rFonts w:hint="eastAsia"/>
                <w:color w:val="auto"/>
                <w:sz w:val="24"/>
                <w:u w:val="single"/>
              </w:rPr>
              <w:t>根据《建设项目环境风险评价技术导则》（HJ169-2018）建设项目风险源调查，调查建设项目危险物质数量和分布情况，生产工艺特点，收集风险物质安全技术说书等基础资料。</w:t>
            </w:r>
          </w:p>
          <w:p>
            <w:pPr>
              <w:pStyle w:val="6"/>
              <w:keepNext w:val="0"/>
              <w:keepLines w:val="0"/>
              <w:suppressLineNumbers w:val="0"/>
              <w:spacing w:before="0" w:beforeAutospacing="0" w:after="0" w:afterAutospacing="0" w:line="360" w:lineRule="auto"/>
              <w:ind w:left="0" w:right="0" w:firstLine="480"/>
              <w:rPr>
                <w:rFonts w:hint="eastAsia"/>
                <w:color w:val="auto"/>
                <w:sz w:val="24"/>
                <w:u w:val="single"/>
                <w:lang w:eastAsia="zh-CN"/>
              </w:rPr>
            </w:pPr>
            <w:r>
              <w:rPr>
                <w:rFonts w:hint="eastAsia"/>
                <w:color w:val="auto"/>
                <w:sz w:val="24"/>
                <w:u w:val="single"/>
              </w:rPr>
              <w:t>对照《建设项目环境风险评价技术导则》（HJ169-2018）附录B，根据本项目生产工艺和原辅材料的使用，项目营运过程中涉及到的危险物质为废润滑油，主要成分为矿物油。根据调查识别，对照建设项目，项目运营期涉及到的危险物质数量和分布详见下表</w:t>
            </w:r>
            <w:r>
              <w:rPr>
                <w:rFonts w:hint="eastAsia"/>
                <w:color w:val="auto"/>
                <w:sz w:val="24"/>
                <w:u w:val="single"/>
                <w:lang w:eastAsia="zh-CN"/>
              </w:rPr>
              <w:t>：</w:t>
            </w:r>
          </w:p>
          <w:p>
            <w:pPr>
              <w:pStyle w:val="10"/>
              <w:keepNext w:val="0"/>
              <w:keepLines w:val="0"/>
              <w:suppressLineNumbers w:val="0"/>
              <w:kinsoku w:val="0"/>
              <w:overflowPunct w:val="0"/>
              <w:autoSpaceDE w:val="0"/>
              <w:autoSpaceDN w:val="0"/>
              <w:spacing w:beforeAutospacing="0" w:after="0" w:afterAutospacing="0" w:line="240" w:lineRule="auto"/>
              <w:ind w:left="0" w:firstLine="422"/>
              <w:jc w:val="center"/>
              <w:rPr>
                <w:rFonts w:hint="default"/>
                <w:b/>
                <w:bCs/>
                <w:color w:val="auto"/>
                <w:sz w:val="21"/>
                <w:szCs w:val="21"/>
                <w:u w:val="single"/>
              </w:rPr>
            </w:pPr>
            <w:r>
              <w:rPr>
                <w:rFonts w:hint="default"/>
                <w:b/>
                <w:bCs/>
                <w:color w:val="auto"/>
                <w:sz w:val="21"/>
                <w:szCs w:val="21"/>
                <w:u w:val="single"/>
              </w:rPr>
              <w:t>表</w:t>
            </w:r>
            <w:r>
              <w:rPr>
                <w:rFonts w:hint="eastAsia"/>
                <w:b/>
                <w:bCs/>
                <w:color w:val="auto"/>
                <w:sz w:val="21"/>
                <w:szCs w:val="21"/>
                <w:u w:val="single"/>
              </w:rPr>
              <w:t>4</w:t>
            </w:r>
            <w:r>
              <w:rPr>
                <w:rFonts w:hint="default"/>
                <w:b/>
                <w:bCs/>
                <w:color w:val="auto"/>
                <w:sz w:val="21"/>
                <w:szCs w:val="21"/>
                <w:u w:val="single"/>
              </w:rPr>
              <w:t>-1</w:t>
            </w:r>
            <w:r>
              <w:rPr>
                <w:rFonts w:hint="eastAsia"/>
                <w:b/>
                <w:bCs/>
                <w:color w:val="auto"/>
                <w:sz w:val="21"/>
                <w:szCs w:val="21"/>
                <w:u w:val="single"/>
                <w:lang w:val="en-US" w:eastAsia="zh-CN"/>
              </w:rPr>
              <w:t>1</w:t>
            </w:r>
            <w:r>
              <w:rPr>
                <w:rFonts w:hint="eastAsia"/>
                <w:b/>
                <w:bCs/>
                <w:color w:val="auto"/>
                <w:sz w:val="21"/>
                <w:szCs w:val="21"/>
                <w:u w:val="single"/>
              </w:rPr>
              <w:t xml:space="preserve"> </w:t>
            </w:r>
            <w:r>
              <w:rPr>
                <w:rFonts w:hint="default"/>
                <w:b/>
                <w:bCs/>
                <w:color w:val="auto"/>
                <w:sz w:val="21"/>
                <w:szCs w:val="21"/>
                <w:u w:val="single"/>
              </w:rPr>
              <w:t xml:space="preserve"> </w:t>
            </w:r>
            <w:r>
              <w:rPr>
                <w:rFonts w:hint="eastAsia"/>
                <w:b/>
                <w:bCs/>
                <w:color w:val="auto"/>
                <w:sz w:val="21"/>
                <w:szCs w:val="21"/>
                <w:u w:val="single"/>
              </w:rPr>
              <w:t>本项目所涉及到风险物质使用与储存情况</w:t>
            </w:r>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1297"/>
              <w:gridCol w:w="1298"/>
              <w:gridCol w:w="1488"/>
              <w:gridCol w:w="1125"/>
              <w:gridCol w:w="690"/>
              <w:gridCol w:w="15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eastAsia="宋体"/>
                      <w:color w:val="auto"/>
                      <w:sz w:val="18"/>
                      <w:szCs w:val="21"/>
                      <w:u w:val="single"/>
                      <w:lang w:val="en-US" w:eastAsia="zh-CN"/>
                    </w:rPr>
                  </w:pPr>
                  <w:r>
                    <w:rPr>
                      <w:rFonts w:hint="eastAsia"/>
                      <w:color w:val="auto"/>
                      <w:sz w:val="18"/>
                      <w:szCs w:val="21"/>
                      <w:u w:val="single"/>
                      <w:lang w:val="en-US" w:eastAsia="zh-CN"/>
                    </w:rPr>
                    <w:t>序号</w:t>
                  </w:r>
                </w:p>
              </w:tc>
              <w:tc>
                <w:tcPr>
                  <w:tcW w:w="1297"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eastAsia="宋体"/>
                      <w:color w:val="auto"/>
                      <w:sz w:val="18"/>
                      <w:szCs w:val="21"/>
                      <w:u w:val="single"/>
                      <w:lang w:val="en-US" w:eastAsia="zh-CN"/>
                    </w:rPr>
                  </w:pPr>
                  <w:r>
                    <w:rPr>
                      <w:rFonts w:hint="eastAsia"/>
                      <w:color w:val="auto"/>
                      <w:sz w:val="18"/>
                      <w:szCs w:val="21"/>
                      <w:u w:val="single"/>
                      <w:lang w:val="en-US" w:eastAsia="zh-CN"/>
                    </w:rPr>
                    <w:t>名称</w:t>
                  </w:r>
                </w:p>
              </w:tc>
              <w:tc>
                <w:tcPr>
                  <w:tcW w:w="1298"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eastAsia="宋体"/>
                      <w:color w:val="auto"/>
                      <w:sz w:val="18"/>
                      <w:szCs w:val="21"/>
                      <w:u w:val="single"/>
                      <w:lang w:val="en-US" w:eastAsia="zh-CN"/>
                    </w:rPr>
                  </w:pPr>
                  <w:r>
                    <w:rPr>
                      <w:rFonts w:hint="eastAsia"/>
                      <w:color w:val="auto"/>
                      <w:sz w:val="18"/>
                      <w:szCs w:val="21"/>
                      <w:u w:val="single"/>
                      <w:lang w:val="en-US" w:eastAsia="zh-CN"/>
                    </w:rPr>
                    <w:t>主要成分</w:t>
                  </w:r>
                </w:p>
              </w:tc>
              <w:tc>
                <w:tcPr>
                  <w:tcW w:w="1488"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eastAsia="宋体"/>
                      <w:color w:val="auto"/>
                      <w:sz w:val="18"/>
                      <w:szCs w:val="21"/>
                      <w:u w:val="single"/>
                      <w:lang w:val="en-US" w:eastAsia="zh-CN"/>
                    </w:rPr>
                  </w:pPr>
                  <w:r>
                    <w:rPr>
                      <w:rFonts w:hint="eastAsia"/>
                      <w:color w:val="auto"/>
                      <w:sz w:val="18"/>
                      <w:szCs w:val="21"/>
                      <w:u w:val="single"/>
                      <w:lang w:val="en-US" w:eastAsia="zh-CN"/>
                    </w:rPr>
                    <w:t>最大储存量（t）</w:t>
                  </w:r>
                </w:p>
              </w:tc>
              <w:tc>
                <w:tcPr>
                  <w:tcW w:w="1125"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eastAsia="宋体"/>
                      <w:color w:val="auto"/>
                      <w:sz w:val="18"/>
                      <w:szCs w:val="21"/>
                      <w:u w:val="single"/>
                      <w:lang w:val="en-US" w:eastAsia="zh-CN"/>
                    </w:rPr>
                  </w:pPr>
                  <w:r>
                    <w:rPr>
                      <w:rFonts w:hint="eastAsia"/>
                      <w:color w:val="auto"/>
                      <w:sz w:val="18"/>
                      <w:szCs w:val="21"/>
                      <w:u w:val="single"/>
                      <w:lang w:val="en-US" w:eastAsia="zh-CN"/>
                    </w:rPr>
                    <w:t>临界量（t）</w:t>
                  </w:r>
                </w:p>
              </w:tc>
              <w:tc>
                <w:tcPr>
                  <w:tcW w:w="69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eastAsia="宋体"/>
                      <w:color w:val="auto"/>
                      <w:sz w:val="18"/>
                      <w:szCs w:val="21"/>
                      <w:u w:val="single"/>
                      <w:lang w:val="en-US" w:eastAsia="zh-CN"/>
                    </w:rPr>
                  </w:pPr>
                  <w:r>
                    <w:rPr>
                      <w:rFonts w:hint="eastAsia"/>
                      <w:color w:val="auto"/>
                      <w:sz w:val="18"/>
                      <w:szCs w:val="21"/>
                      <w:u w:val="single"/>
                      <w:lang w:val="en-US" w:eastAsia="zh-CN"/>
                    </w:rPr>
                    <w:t>形态</w:t>
                  </w:r>
                </w:p>
              </w:tc>
              <w:tc>
                <w:tcPr>
                  <w:tcW w:w="153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eastAsia="宋体"/>
                      <w:color w:val="auto"/>
                      <w:sz w:val="18"/>
                      <w:szCs w:val="21"/>
                      <w:u w:val="single"/>
                      <w:lang w:val="en-US" w:eastAsia="zh-CN"/>
                    </w:rPr>
                  </w:pPr>
                  <w:r>
                    <w:rPr>
                      <w:rFonts w:hint="eastAsia"/>
                      <w:color w:val="auto"/>
                      <w:sz w:val="18"/>
                      <w:szCs w:val="21"/>
                      <w:u w:val="single"/>
                      <w:lang w:val="en-US" w:eastAsia="zh-CN"/>
                    </w:rPr>
                    <w:t>储存地点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eastAsia="宋体"/>
                      <w:color w:val="auto"/>
                      <w:sz w:val="18"/>
                      <w:szCs w:val="21"/>
                      <w:u w:val="single"/>
                      <w:lang w:val="en-US" w:eastAsia="zh-CN"/>
                    </w:rPr>
                  </w:pPr>
                  <w:r>
                    <w:rPr>
                      <w:rFonts w:hint="eastAsia"/>
                      <w:color w:val="auto"/>
                      <w:sz w:val="18"/>
                      <w:szCs w:val="21"/>
                      <w:u w:val="single"/>
                      <w:lang w:val="en-US" w:eastAsia="zh-CN"/>
                    </w:rPr>
                    <w:t>1</w:t>
                  </w:r>
                </w:p>
              </w:tc>
              <w:tc>
                <w:tcPr>
                  <w:tcW w:w="1297"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18"/>
                      <w:szCs w:val="21"/>
                      <w:u w:val="single"/>
                      <w:lang w:val="en-US" w:eastAsia="zh-CN"/>
                    </w:rPr>
                  </w:pPr>
                  <w:r>
                    <w:rPr>
                      <w:rFonts w:hint="eastAsia"/>
                      <w:color w:val="auto"/>
                      <w:sz w:val="18"/>
                      <w:szCs w:val="21"/>
                      <w:u w:val="single"/>
                      <w:lang w:val="en-US" w:eastAsia="zh-CN"/>
                    </w:rPr>
                    <w:t>废润滑油</w:t>
                  </w:r>
                </w:p>
              </w:tc>
              <w:tc>
                <w:tcPr>
                  <w:tcW w:w="1298"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18"/>
                      <w:szCs w:val="21"/>
                      <w:u w:val="single"/>
                      <w:lang w:val="en-US" w:eastAsia="zh-CN"/>
                    </w:rPr>
                  </w:pPr>
                  <w:r>
                    <w:rPr>
                      <w:rFonts w:hint="eastAsia"/>
                      <w:color w:val="auto"/>
                      <w:sz w:val="18"/>
                      <w:szCs w:val="21"/>
                      <w:u w:val="single"/>
                      <w:lang w:val="en-US" w:eastAsia="zh-CN"/>
                    </w:rPr>
                    <w:t>矿物油</w:t>
                  </w:r>
                </w:p>
              </w:tc>
              <w:tc>
                <w:tcPr>
                  <w:tcW w:w="1488"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eastAsia="宋体"/>
                      <w:color w:val="auto"/>
                      <w:sz w:val="18"/>
                      <w:szCs w:val="21"/>
                      <w:u w:val="single"/>
                      <w:lang w:val="en-US" w:eastAsia="zh-CN"/>
                    </w:rPr>
                  </w:pPr>
                  <w:r>
                    <w:rPr>
                      <w:rFonts w:hint="eastAsia"/>
                      <w:color w:val="auto"/>
                      <w:sz w:val="18"/>
                      <w:szCs w:val="21"/>
                      <w:u w:val="single"/>
                      <w:lang w:val="en-US" w:eastAsia="zh-CN"/>
                    </w:rPr>
                    <w:t>0.02</w:t>
                  </w:r>
                </w:p>
              </w:tc>
              <w:tc>
                <w:tcPr>
                  <w:tcW w:w="112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eastAsia="宋体"/>
                      <w:color w:val="auto"/>
                      <w:sz w:val="18"/>
                      <w:szCs w:val="21"/>
                      <w:u w:val="single"/>
                      <w:lang w:val="en-US" w:eastAsia="zh-CN"/>
                    </w:rPr>
                  </w:pPr>
                  <w:r>
                    <w:rPr>
                      <w:rFonts w:hint="eastAsia"/>
                      <w:color w:val="auto"/>
                      <w:sz w:val="18"/>
                      <w:szCs w:val="21"/>
                      <w:u w:val="single"/>
                      <w:lang w:val="en-US" w:eastAsia="zh-CN"/>
                    </w:rPr>
                    <w:t>50</w:t>
                  </w:r>
                </w:p>
              </w:tc>
              <w:tc>
                <w:tcPr>
                  <w:tcW w:w="690"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18"/>
                      <w:szCs w:val="21"/>
                      <w:u w:val="single"/>
                      <w:lang w:val="en-US" w:eastAsia="zh-CN"/>
                    </w:rPr>
                  </w:pPr>
                  <w:r>
                    <w:rPr>
                      <w:rFonts w:hint="eastAsia"/>
                      <w:color w:val="auto"/>
                      <w:sz w:val="18"/>
                      <w:szCs w:val="21"/>
                      <w:u w:val="single"/>
                      <w:lang w:val="en-US" w:eastAsia="zh-CN"/>
                    </w:rPr>
                    <w:t>液态</w:t>
                  </w:r>
                </w:p>
              </w:tc>
              <w:tc>
                <w:tcPr>
                  <w:tcW w:w="1532"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eastAsia="宋体"/>
                      <w:color w:val="auto"/>
                      <w:sz w:val="18"/>
                      <w:szCs w:val="21"/>
                      <w:u w:val="single"/>
                      <w:lang w:val="en-US" w:eastAsia="zh-CN"/>
                    </w:rPr>
                  </w:pPr>
                  <w:r>
                    <w:rPr>
                      <w:rFonts w:hint="eastAsia"/>
                      <w:color w:val="auto"/>
                      <w:sz w:val="18"/>
                      <w:szCs w:val="21"/>
                      <w:u w:val="single"/>
                      <w:lang w:val="en-US" w:eastAsia="zh-CN"/>
                    </w:rPr>
                    <w:t>危废暂存间</w:t>
                  </w:r>
                </w:p>
              </w:tc>
            </w:tr>
          </w:tbl>
          <w:p>
            <w:pPr>
              <w:pStyle w:val="6"/>
              <w:keepNext w:val="0"/>
              <w:keepLines w:val="0"/>
              <w:suppressLineNumbers w:val="0"/>
              <w:spacing w:before="0" w:beforeAutospacing="0" w:after="0" w:afterAutospacing="0" w:line="360" w:lineRule="auto"/>
              <w:ind w:left="0" w:right="0" w:firstLine="482"/>
              <w:rPr>
                <w:rFonts w:hint="eastAsia" w:ascii="Times New Roman" w:hAnsi="Times New Roman" w:eastAsia="宋体" w:cs="Times New Roman"/>
                <w:b/>
                <w:bCs/>
                <w:color w:val="auto"/>
                <w:sz w:val="24"/>
                <w:u w:val="single"/>
                <w:lang w:eastAsia="zh-CN"/>
              </w:rPr>
            </w:pPr>
            <w:r>
              <w:rPr>
                <w:rFonts w:hint="eastAsia" w:ascii="Times New Roman" w:hAnsi="Times New Roman" w:eastAsia="宋体" w:cs="Times New Roman"/>
                <w:b/>
                <w:bCs/>
                <w:color w:val="auto"/>
                <w:sz w:val="24"/>
                <w:u w:val="single"/>
                <w:lang w:eastAsia="zh-CN"/>
              </w:rPr>
              <w:t>2、环境风险险潜势判定</w:t>
            </w:r>
          </w:p>
          <w:p>
            <w:pPr>
              <w:pStyle w:val="6"/>
              <w:keepNext w:val="0"/>
              <w:keepLines w:val="0"/>
              <w:suppressLineNumbers w:val="0"/>
              <w:spacing w:before="0" w:beforeAutospacing="0" w:after="0" w:afterAutospacing="0" w:line="360" w:lineRule="auto"/>
              <w:ind w:left="0" w:right="0" w:firstLine="480"/>
              <w:rPr>
                <w:rFonts w:hint="eastAsia"/>
                <w:color w:val="auto"/>
                <w:sz w:val="24"/>
                <w:u w:val="single"/>
                <w:lang w:eastAsia="zh-CN"/>
              </w:rPr>
            </w:pPr>
            <w:r>
              <w:rPr>
                <w:rFonts w:hint="eastAsia"/>
                <w:color w:val="auto"/>
                <w:sz w:val="24"/>
                <w:u w:val="single"/>
                <w:lang w:eastAsia="zh-CN"/>
              </w:rPr>
              <w:t>本项目项目涉及的风险物质主要为废润滑油，</w:t>
            </w:r>
            <w:r>
              <w:rPr>
                <w:rFonts w:hint="eastAsia"/>
                <w:color w:val="auto"/>
                <w:sz w:val="24"/>
                <w:u w:val="single"/>
                <w:lang w:val="en-US" w:eastAsia="zh-CN"/>
              </w:rPr>
              <w:t>废</w:t>
            </w:r>
            <w:r>
              <w:rPr>
                <w:rFonts w:hint="eastAsia"/>
                <w:color w:val="auto"/>
                <w:sz w:val="24"/>
                <w:u w:val="single"/>
                <w:lang w:eastAsia="zh-CN"/>
              </w:rPr>
              <w:t>润滑油最大暂存量约20kg。项目风险物质总量与其临界量比值（Q）为：0.02/50=0.000</w:t>
            </w:r>
            <w:r>
              <w:rPr>
                <w:rFonts w:hint="eastAsia"/>
                <w:color w:val="auto"/>
                <w:sz w:val="24"/>
                <w:u w:val="single"/>
                <w:lang w:val="en-US" w:eastAsia="zh-CN"/>
              </w:rPr>
              <w:t>4</w:t>
            </w:r>
            <w:r>
              <w:rPr>
                <w:rFonts w:hint="eastAsia"/>
                <w:color w:val="auto"/>
                <w:sz w:val="24"/>
                <w:u w:val="single"/>
                <w:lang w:eastAsia="zh-CN"/>
              </w:rPr>
              <w:t>＜1，故环境风险潜势为</w:t>
            </w:r>
            <w:r>
              <w:rPr>
                <w:rFonts w:hint="default" w:ascii="Times New Roman" w:hAnsi="Times New Roman" w:cs="Times New Roman"/>
                <w:color w:val="auto"/>
                <w:sz w:val="24"/>
                <w:u w:val="single"/>
                <w:lang w:eastAsia="zh-CN"/>
              </w:rPr>
              <w:t>Ⅰ</w:t>
            </w:r>
            <w:r>
              <w:rPr>
                <w:rFonts w:hint="eastAsia"/>
                <w:color w:val="auto"/>
                <w:sz w:val="24"/>
                <w:u w:val="single"/>
                <w:lang w:eastAsia="zh-CN"/>
              </w:rPr>
              <w:t>，本项目风险评价为开展简单分析。</w:t>
            </w:r>
          </w:p>
          <w:p>
            <w:pPr>
              <w:pStyle w:val="6"/>
              <w:keepNext w:val="0"/>
              <w:keepLines w:val="0"/>
              <w:numPr>
                <w:ilvl w:val="0"/>
                <w:numId w:val="4"/>
              </w:numPr>
              <w:suppressLineNumbers w:val="0"/>
              <w:spacing w:before="0" w:beforeAutospacing="0" w:after="0" w:afterAutospacing="0" w:line="360" w:lineRule="auto"/>
              <w:ind w:left="0" w:right="0" w:firstLine="482"/>
              <w:rPr>
                <w:rFonts w:hint="eastAsia" w:ascii="Times New Roman" w:hAnsi="Times New Roman" w:eastAsia="宋体" w:cs="Times New Roman"/>
                <w:b/>
                <w:bCs/>
                <w:color w:val="auto"/>
                <w:sz w:val="24"/>
                <w:u w:val="single"/>
                <w:lang w:eastAsia="zh-CN"/>
              </w:rPr>
            </w:pPr>
            <w:r>
              <w:rPr>
                <w:rFonts w:hint="eastAsia" w:ascii="Times New Roman" w:hAnsi="Times New Roman" w:eastAsia="宋体" w:cs="Times New Roman"/>
                <w:b/>
                <w:bCs/>
                <w:color w:val="auto"/>
                <w:sz w:val="24"/>
                <w:u w:val="single"/>
                <w:lang w:eastAsia="zh-CN"/>
              </w:rPr>
              <w:t>环境风险</w:t>
            </w:r>
            <w:r>
              <w:rPr>
                <w:rFonts w:hint="eastAsia" w:ascii="Times New Roman" w:hAnsi="Times New Roman" w:eastAsia="宋体" w:cs="Times New Roman"/>
                <w:b/>
                <w:bCs/>
                <w:color w:val="auto"/>
                <w:sz w:val="24"/>
                <w:u w:val="single"/>
                <w:lang w:val="en-US" w:eastAsia="zh-CN"/>
              </w:rPr>
              <w:t>分析</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ascii="Times New Roman" w:hAnsi="Times New Roman" w:eastAsia="宋体" w:cs="Times New Roman"/>
                <w:color w:val="auto"/>
                <w:sz w:val="24"/>
                <w:u w:val="single"/>
                <w:lang w:eastAsia="zh-CN"/>
              </w:rPr>
              <w:t>根据项目特点并调研同类型项目的事故发生情况，本项目的最大可信事故废润滑油泄漏。本项目贮存的废油虽然在线贮存量较小，然而当废润滑油存放处发生火灾时，将产生大量的燃烧烟气，对周围环境造成较大影响，同时局火灾还可能造成人员伤亡事故。</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ascii="Times New Roman" w:hAnsi="Times New Roman" w:eastAsia="宋体" w:cs="Times New Roman"/>
                <w:color w:val="auto"/>
                <w:sz w:val="24"/>
                <w:u w:val="single"/>
                <w:lang w:eastAsia="zh-CN"/>
              </w:rPr>
              <w:t>此外，废润滑油若因管理不慎，或操作失误，会出现泄漏事件，有可能对周边土壤和水体造成影响，进一步可能引发火灾。因此，本项目建议将废润滑油贮存场所按照危险废物暂存间要求做好防渗措施，并严格按照《危险废物贮存污染控制标准》（GB18597-20</w:t>
            </w:r>
            <w:r>
              <w:rPr>
                <w:rFonts w:hint="eastAsia" w:ascii="Times New Roman" w:hAnsi="Times New Roman" w:eastAsia="宋体" w:cs="Times New Roman"/>
                <w:color w:val="auto"/>
                <w:sz w:val="24"/>
                <w:u w:val="single"/>
                <w:lang w:val="en-US" w:eastAsia="zh-CN"/>
              </w:rPr>
              <w:t>23</w:t>
            </w:r>
            <w:r>
              <w:rPr>
                <w:rFonts w:hint="eastAsia" w:ascii="Times New Roman" w:hAnsi="Times New Roman" w:eastAsia="宋体" w:cs="Times New Roman"/>
                <w:color w:val="auto"/>
                <w:sz w:val="24"/>
                <w:u w:val="single"/>
                <w:lang w:eastAsia="zh-CN"/>
              </w:rPr>
              <w:t>）要求做好“防渗、防淋、防晒”和其它相应措施。废润滑油按照危化品管理要求分区、分防火等级进行储存。</w:t>
            </w:r>
          </w:p>
          <w:p>
            <w:pPr>
              <w:pStyle w:val="6"/>
              <w:keepNext w:val="0"/>
              <w:keepLines w:val="0"/>
              <w:numPr>
                <w:ilvl w:val="0"/>
                <w:numId w:val="4"/>
              </w:numPr>
              <w:suppressLineNumbers w:val="0"/>
              <w:spacing w:before="0" w:beforeAutospacing="0" w:after="0" w:afterAutospacing="0" w:line="360" w:lineRule="auto"/>
              <w:ind w:left="0" w:right="0" w:firstLine="482"/>
              <w:rPr>
                <w:rFonts w:hint="eastAsia" w:ascii="Times New Roman" w:hAnsi="Times New Roman" w:eastAsia="宋体" w:cs="Times New Roman"/>
                <w:b/>
                <w:bCs/>
                <w:color w:val="auto"/>
                <w:sz w:val="24"/>
                <w:u w:val="single"/>
                <w:lang w:eastAsia="zh-CN"/>
              </w:rPr>
            </w:pPr>
            <w:r>
              <w:rPr>
                <w:rFonts w:hint="eastAsia" w:ascii="Times New Roman" w:hAnsi="Times New Roman" w:eastAsia="宋体" w:cs="Times New Roman"/>
                <w:b/>
                <w:bCs/>
                <w:color w:val="auto"/>
                <w:sz w:val="24"/>
                <w:u w:val="single"/>
                <w:lang w:eastAsia="zh-CN"/>
              </w:rPr>
              <w:t>风险管理</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ascii="Times New Roman" w:hAnsi="Times New Roman" w:eastAsia="宋体" w:cs="Times New Roman"/>
                <w:color w:val="auto"/>
                <w:sz w:val="24"/>
                <w:u w:val="single"/>
                <w:lang w:eastAsia="zh-CN"/>
              </w:rPr>
              <w:t>1、火灾及爆炸防范措施</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ascii="Times New Roman" w:hAnsi="Times New Roman" w:eastAsia="宋体" w:cs="Times New Roman"/>
                <w:color w:val="auto"/>
                <w:sz w:val="24"/>
                <w:u w:val="single"/>
                <w:lang w:eastAsia="zh-CN"/>
              </w:rPr>
              <w:t>①贮存场所应阴凉、通风，远离火种热源。建立健全安全环境管理制度，落实各项规章制度，定期开展应急演练，提升厂内突发事件处置能力。</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ascii="Times New Roman" w:hAnsi="Times New Roman" w:eastAsia="宋体" w:cs="Times New Roman"/>
                <w:color w:val="auto"/>
                <w:sz w:val="24"/>
                <w:u w:val="single"/>
                <w:lang w:eastAsia="zh-CN"/>
              </w:rPr>
              <w:t>②安装避雷和防静电设施，保证报警设施完好无损，并定期检查接地电阻和避雷设施，以确保其完好性。</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ascii="Times New Roman" w:hAnsi="Times New Roman" w:eastAsia="宋体" w:cs="Times New Roman"/>
                <w:color w:val="auto"/>
                <w:sz w:val="24"/>
                <w:u w:val="single"/>
                <w:lang w:eastAsia="zh-CN"/>
              </w:rPr>
              <w:t>③对贮存场所周围可能的明火、电器火花和撞击火花进行控制管理；严禁危险区内吸烟和违章动用明火；操作人员应按规定穿戴劳保用品，防止静电火花的产生。</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ascii="Times New Roman" w:hAnsi="Times New Roman" w:eastAsia="宋体" w:cs="Times New Roman"/>
                <w:color w:val="auto"/>
                <w:sz w:val="24"/>
                <w:u w:val="single"/>
                <w:lang w:eastAsia="zh-CN"/>
              </w:rPr>
              <w:t>④移动式灭火设备按照</w:t>
            </w:r>
            <w:r>
              <w:rPr>
                <w:rFonts w:hint="eastAsia" w:ascii="Times New Roman" w:hAnsi="Times New Roman" w:eastAsia="宋体" w:cs="Times New Roman"/>
                <w:color w:val="auto"/>
                <w:sz w:val="24"/>
                <w:u w:val="single"/>
                <w:lang w:eastAsia="zh-CN"/>
              </w:rPr>
              <w:t>《建筑灭火器配置设计规范》（GB50140），</w:t>
            </w:r>
            <w:r>
              <w:rPr>
                <w:rFonts w:hint="eastAsia" w:ascii="Times New Roman" w:hAnsi="Times New Roman" w:eastAsia="宋体" w:cs="Times New Roman"/>
                <w:color w:val="auto"/>
                <w:sz w:val="24"/>
                <w:u w:val="single"/>
                <w:lang w:eastAsia="zh-CN"/>
              </w:rPr>
              <w:t>对项目区内可能发生火灾的各类场所、工艺装置区、主要建筑物等，根据其火灾危险性、区域大小等实际情况，分别配置一定数量不同类型、不同规格的移动式灭火器材，以便及时扑救初始零星火灾。</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ascii="Times New Roman" w:hAnsi="Times New Roman" w:eastAsia="宋体" w:cs="Times New Roman"/>
                <w:color w:val="auto"/>
                <w:sz w:val="24"/>
                <w:u w:val="single"/>
                <w:lang w:eastAsia="zh-CN"/>
              </w:rPr>
              <w:t>⑤提高员工素质，增强安全意识。建立严格的安全管理制度，杜绝违章动火、吸烟等现象，按规定配备劳动防护用品．经常向职工进行安全和健康防护方面的教育。</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ascii="Times New Roman" w:hAnsi="Times New Roman" w:eastAsia="宋体" w:cs="Times New Roman"/>
                <w:color w:val="auto"/>
                <w:sz w:val="24"/>
                <w:u w:val="single"/>
                <w:lang w:eastAsia="zh-CN"/>
              </w:rPr>
              <w:t>⑥项目区内危险区域内的电气设备选型、安装、电力线路敷设等，应符合现行国家标准《爆炸和火灾危险环境电力装置设计规范》GB 50058 的规定。</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ascii="Times New Roman" w:hAnsi="Times New Roman" w:eastAsia="宋体" w:cs="Times New Roman"/>
                <w:color w:val="auto"/>
                <w:sz w:val="24"/>
                <w:u w:val="single"/>
                <w:lang w:eastAsia="zh-CN"/>
              </w:rPr>
              <w:t>2、废润滑油储存室的要求</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ascii="Times New Roman" w:hAnsi="Times New Roman" w:eastAsia="宋体" w:cs="Times New Roman"/>
                <w:color w:val="auto"/>
                <w:sz w:val="24"/>
                <w:u w:val="single"/>
                <w:lang w:eastAsia="zh-CN"/>
              </w:rPr>
              <w:t>①按照危险废物贮存场要求建设，配套防火器材、做好防渗漏。</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ascii="Times New Roman" w:hAnsi="Times New Roman" w:eastAsia="宋体" w:cs="Times New Roman"/>
                <w:color w:val="auto"/>
                <w:sz w:val="24"/>
                <w:u w:val="single"/>
                <w:lang w:eastAsia="zh-CN"/>
              </w:rPr>
              <w:t>②储存室均需要设置照明措施。</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ascii="Times New Roman" w:hAnsi="Times New Roman" w:eastAsia="宋体" w:cs="Times New Roman"/>
                <w:color w:val="auto"/>
                <w:sz w:val="24"/>
                <w:u w:val="single"/>
                <w:lang w:eastAsia="zh-CN"/>
              </w:rPr>
              <w:t>③储存室周围设置导流沟或者渗滤液收集设施。</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ascii="Times New Roman" w:hAnsi="Times New Roman" w:eastAsia="宋体" w:cs="Times New Roman"/>
                <w:color w:val="auto"/>
                <w:sz w:val="24"/>
                <w:u w:val="single"/>
                <w:lang w:eastAsia="zh-CN"/>
              </w:rPr>
              <w:t>3、废润滑油储存容器的要求</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ascii="Times New Roman" w:hAnsi="Times New Roman" w:eastAsia="宋体" w:cs="Times New Roman"/>
                <w:color w:val="auto"/>
                <w:sz w:val="24"/>
                <w:u w:val="single"/>
                <w:lang w:eastAsia="zh-CN"/>
              </w:rPr>
              <w:t>①项目废润滑油收集桶需采用符合标准的专用收集桶。</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ascii="Times New Roman" w:hAnsi="Times New Roman" w:eastAsia="宋体" w:cs="Times New Roman"/>
                <w:color w:val="auto"/>
                <w:sz w:val="24"/>
                <w:u w:val="single"/>
                <w:lang w:eastAsia="zh-CN"/>
              </w:rPr>
              <w:t>②收集桶及材质要满足相应强度需求。</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ascii="Times New Roman" w:hAnsi="Times New Roman" w:eastAsia="宋体" w:cs="Times New Roman"/>
                <w:color w:val="auto"/>
                <w:sz w:val="24"/>
                <w:u w:val="single"/>
                <w:lang w:eastAsia="zh-CN"/>
              </w:rPr>
              <w:t>③收集桶必须完好无损桶内容器材质与要与机油互不相容。</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ascii="Times New Roman" w:hAnsi="Times New Roman" w:eastAsia="宋体" w:cs="Times New Roman"/>
                <w:color w:val="auto"/>
                <w:sz w:val="24"/>
                <w:u w:val="single"/>
                <w:lang w:eastAsia="zh-CN"/>
              </w:rPr>
              <w:t>④各收集桶均为封闭收集。</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ascii="Times New Roman" w:hAnsi="Times New Roman" w:eastAsia="宋体" w:cs="Times New Roman"/>
                <w:color w:val="auto"/>
                <w:sz w:val="24"/>
                <w:u w:val="single"/>
                <w:lang w:eastAsia="zh-CN"/>
              </w:rPr>
              <w:t>⑤收集桶内顶部与机油表面之间保留100mm以上空间。</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ascii="Times New Roman" w:hAnsi="Times New Roman" w:eastAsia="宋体" w:cs="Times New Roman"/>
                <w:color w:val="auto"/>
                <w:sz w:val="24"/>
                <w:u w:val="single"/>
                <w:lang w:eastAsia="zh-CN"/>
              </w:rPr>
              <w:t>⑥收集桶外必须贴上危险废物标签。</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ascii="Times New Roman" w:hAnsi="Times New Roman" w:eastAsia="宋体" w:cs="Times New Roman"/>
                <w:color w:val="auto"/>
                <w:sz w:val="24"/>
                <w:u w:val="single"/>
                <w:lang w:eastAsia="zh-CN"/>
              </w:rPr>
              <w:t>4、废润滑油储存措施要求：</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ascii="Times New Roman" w:hAnsi="Times New Roman" w:eastAsia="宋体" w:cs="Times New Roman"/>
                <w:color w:val="auto"/>
                <w:sz w:val="24"/>
                <w:u w:val="single"/>
                <w:lang w:eastAsia="zh-CN"/>
              </w:rPr>
              <w:t>①建设方应及时对废润滑油进行清单记录，及时掌握物料来源、数量、特性及应急物质配备情况。</w:t>
            </w:r>
          </w:p>
          <w:p>
            <w:pPr>
              <w:pStyle w:val="6"/>
              <w:keepNext w:val="0"/>
              <w:keepLines w:val="0"/>
              <w:suppressLineNumbers w:val="0"/>
              <w:spacing w:before="0" w:beforeAutospacing="0" w:after="0" w:afterAutospacing="0" w:line="360" w:lineRule="auto"/>
              <w:ind w:left="0" w:right="0" w:firstLine="480"/>
              <w:rPr>
                <w:rFonts w:hint="default" w:ascii="Times New Roman" w:hAnsi="Times New Roman" w:eastAsia="宋体" w:cs="Times New Roman"/>
                <w:color w:val="auto"/>
                <w:sz w:val="24"/>
                <w:u w:val="single"/>
                <w:lang w:val="en-US" w:eastAsia="zh-CN"/>
              </w:rPr>
            </w:pPr>
            <w:r>
              <w:rPr>
                <w:rFonts w:hint="eastAsia" w:ascii="Times New Roman" w:hAnsi="Times New Roman" w:eastAsia="宋体" w:cs="Times New Roman"/>
                <w:color w:val="auto"/>
                <w:sz w:val="24"/>
                <w:u w:val="single"/>
                <w:lang w:eastAsia="zh-CN"/>
              </w:rPr>
              <w:t>②定期检查收集桶有无破漏、渗漏和污染，发现破损，应及时采取措施清理更换</w:t>
            </w:r>
            <w:r>
              <w:rPr>
                <w:rFonts w:hint="eastAsia" w:cs="Times New Roman"/>
                <w:color w:val="auto"/>
                <w:sz w:val="24"/>
                <w:u w:val="single"/>
                <w:lang w:eastAsia="zh-CN"/>
              </w:rPr>
              <w:t>，</w:t>
            </w:r>
            <w:r>
              <w:rPr>
                <w:rFonts w:hint="eastAsia" w:cs="Times New Roman"/>
                <w:color w:val="auto"/>
                <w:sz w:val="24"/>
                <w:u w:val="single"/>
                <w:lang w:val="en-US" w:eastAsia="zh-CN"/>
              </w:rPr>
              <w:t>并且设置托盘等防泄露设施。</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cs="Times New Roman"/>
                <w:color w:val="auto"/>
                <w:sz w:val="24"/>
                <w:u w:val="single"/>
                <w:lang w:val="en-US" w:eastAsia="zh-CN"/>
              </w:rPr>
              <w:t>5、</w:t>
            </w:r>
            <w:r>
              <w:rPr>
                <w:rFonts w:hint="eastAsia" w:ascii="Times New Roman" w:hAnsi="Times New Roman" w:eastAsia="宋体" w:cs="Times New Roman"/>
                <w:color w:val="auto"/>
                <w:sz w:val="24"/>
                <w:u w:val="single"/>
                <w:lang w:eastAsia="zh-CN"/>
              </w:rPr>
              <w:t>突发环境事件应急预案</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ascii="Times New Roman" w:hAnsi="Times New Roman" w:eastAsia="宋体" w:cs="Times New Roman"/>
                <w:color w:val="auto"/>
                <w:sz w:val="24"/>
                <w:u w:val="single"/>
                <w:lang w:eastAsia="zh-CN"/>
              </w:rPr>
              <w:t>根据《国务院办公厅关于加强城市地下管线建设管理的指导意见》（国办发〔2014〕27号）、“关于印发《企业事业单位突发环境事件应急预案备案管理办法（试行）》的通知”（环发[2015]4号）的规定和要求，并参考《建设项目环境风险评价技术导则》提供的应急预案内容的框架，编制突发环境事件应急预案，同时注意编制的应急预案应与沿线各区域、各相关企业应急系统衔接。建设单位的突发环境事件应急预案的编制、评估、备案和实施等，应按环保部《突发环境事件应急管理办法》（部令 第34号）等相关规定执行。</w:t>
            </w:r>
          </w:p>
          <w:p>
            <w:pPr>
              <w:pStyle w:val="6"/>
              <w:keepNext w:val="0"/>
              <w:keepLines w:val="0"/>
              <w:numPr>
                <w:ilvl w:val="0"/>
                <w:numId w:val="4"/>
              </w:numPr>
              <w:suppressLineNumbers w:val="0"/>
              <w:spacing w:before="0" w:beforeAutospacing="0" w:after="0" w:afterAutospacing="0" w:line="360" w:lineRule="auto"/>
              <w:ind w:left="0" w:right="0" w:firstLine="482"/>
              <w:rPr>
                <w:rFonts w:hint="eastAsia" w:ascii="Times New Roman" w:hAnsi="Times New Roman" w:eastAsia="宋体" w:cs="Times New Roman"/>
                <w:b/>
                <w:bCs/>
                <w:color w:val="auto"/>
                <w:sz w:val="24"/>
                <w:u w:val="single"/>
                <w:lang w:eastAsia="zh-CN"/>
              </w:rPr>
            </w:pPr>
            <w:r>
              <w:rPr>
                <w:rFonts w:hint="eastAsia" w:ascii="Times New Roman" w:hAnsi="Times New Roman" w:eastAsia="宋体" w:cs="Times New Roman"/>
                <w:b/>
                <w:bCs/>
                <w:color w:val="auto"/>
                <w:sz w:val="24"/>
                <w:u w:val="single"/>
                <w:lang w:val="en-US" w:eastAsia="zh-CN"/>
              </w:rPr>
              <w:t>风险评价结论</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u w:val="single"/>
                <w:lang w:eastAsia="zh-CN"/>
              </w:rPr>
            </w:pPr>
            <w:r>
              <w:rPr>
                <w:rFonts w:hint="eastAsia" w:ascii="Times New Roman" w:hAnsi="Times New Roman" w:eastAsia="宋体" w:cs="Times New Roman"/>
                <w:color w:val="auto"/>
                <w:sz w:val="24"/>
                <w:u w:val="single"/>
                <w:lang w:eastAsia="zh-CN"/>
              </w:rPr>
              <w:t>综上所述，从环境保护角度来说，本项目在建设单位按照环评的建议落实本报告提出的风险措施，加强对员工的安全操作培训，人工做到按要求和规范操作，杜绝人为操作失误而引起的泄漏事故发生；同时制定完善、有效的环境应急预案，保证在发生事故时能采取有效的措施及时控制事故，防止事故蔓延，做好事后环境污染治理工作的前提下，项目的环境风险是可以接受的。</w:t>
            </w:r>
          </w:p>
          <w:p>
            <w:pPr>
              <w:pStyle w:val="44"/>
              <w:keepNext w:val="0"/>
              <w:keepLines w:val="0"/>
              <w:suppressLineNumbers w:val="0"/>
              <w:spacing w:before="0" w:beforeAutospacing="0" w:after="0" w:afterAutospacing="0"/>
              <w:ind w:left="0" w:right="0"/>
              <w:jc w:val="center"/>
              <w:rPr>
                <w:rFonts w:hint="default" w:ascii="Times New Roman" w:cs="Times New Roman"/>
                <w:color w:val="auto"/>
              </w:rPr>
            </w:pPr>
            <w:r>
              <w:rPr>
                <w:rFonts w:hint="default" w:ascii="Times New Roman" w:cs="Times New Roman"/>
                <w:b/>
                <w:bCs/>
                <w:color w:val="auto"/>
                <w:sz w:val="21"/>
                <w:szCs w:val="21"/>
              </w:rPr>
              <w:t>表4-</w:t>
            </w:r>
            <w:r>
              <w:rPr>
                <w:rFonts w:hint="eastAsia" w:ascii="Times New Roman" w:cs="Times New Roman"/>
                <w:b/>
                <w:bCs/>
                <w:color w:val="auto"/>
                <w:sz w:val="21"/>
                <w:szCs w:val="21"/>
              </w:rPr>
              <w:t>1</w:t>
            </w:r>
            <w:r>
              <w:rPr>
                <w:rFonts w:hint="eastAsia" w:ascii="Times New Roman" w:cs="Times New Roman"/>
                <w:b/>
                <w:bCs/>
                <w:color w:val="auto"/>
                <w:sz w:val="21"/>
                <w:szCs w:val="21"/>
                <w:lang w:val="en-US" w:eastAsia="zh-CN"/>
              </w:rPr>
              <w:t>2</w:t>
            </w:r>
            <w:r>
              <w:rPr>
                <w:rFonts w:hint="default" w:ascii="Times New Roman" w:cs="Times New Roman"/>
                <w:b/>
                <w:bCs/>
                <w:color w:val="auto"/>
                <w:sz w:val="21"/>
                <w:szCs w:val="21"/>
              </w:rPr>
              <w:t xml:space="preserve">  建设项目环境风险简单风险内容表</w:t>
            </w:r>
          </w:p>
          <w:tbl>
            <w:tblPr>
              <w:tblStyle w:val="29"/>
              <w:tblW w:w="795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415"/>
              <w:gridCol w:w="654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15" w:type="dxa"/>
                  <w:noWrap w:val="0"/>
                  <w:vAlign w:val="top"/>
                </w:tcPr>
                <w:p>
                  <w:pPr>
                    <w:pStyle w:val="46"/>
                    <w:keepLines w:val="0"/>
                    <w:suppressLineNumbers w:val="0"/>
                    <w:ind w:right="0"/>
                    <w:rPr>
                      <w:rFonts w:hint="default" w:eastAsia="宋体" w:cs="Times New Roman"/>
                      <w:color w:val="auto"/>
                      <w:szCs w:val="21"/>
                    </w:rPr>
                  </w:pPr>
                  <w:r>
                    <w:rPr>
                      <w:rFonts w:hint="default" w:eastAsia="宋体" w:cs="Times New Roman"/>
                      <w:color w:val="auto"/>
                      <w:szCs w:val="21"/>
                    </w:rPr>
                    <w:t>建设项目名称</w:t>
                  </w:r>
                </w:p>
              </w:tc>
              <w:tc>
                <w:tcPr>
                  <w:tcW w:w="6544" w:type="dxa"/>
                  <w:noWrap w:val="0"/>
                  <w:vAlign w:val="center"/>
                </w:tcPr>
                <w:p>
                  <w:pPr>
                    <w:pStyle w:val="46"/>
                    <w:keepLines w:val="0"/>
                    <w:suppressLineNumbers w:val="0"/>
                    <w:ind w:right="0"/>
                    <w:rPr>
                      <w:rFonts w:hint="eastAsia" w:eastAsia="宋体" w:cs="Times New Roman"/>
                      <w:color w:val="auto"/>
                      <w:szCs w:val="21"/>
                    </w:rPr>
                  </w:pPr>
                  <w:r>
                    <w:rPr>
                      <w:rFonts w:hint="eastAsia" w:eastAsia="宋体" w:cs="Times New Roman"/>
                      <w:color w:val="auto"/>
                      <w:szCs w:val="21"/>
                    </w:rPr>
                    <w:t>湖南鲁丽木业有限公司综合污水处理项目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15" w:type="dxa"/>
                  <w:noWrap w:val="0"/>
                  <w:vAlign w:val="top"/>
                </w:tcPr>
                <w:p>
                  <w:pPr>
                    <w:pStyle w:val="46"/>
                    <w:keepLines w:val="0"/>
                    <w:suppressLineNumbers w:val="0"/>
                    <w:ind w:right="0"/>
                    <w:rPr>
                      <w:rFonts w:hint="default" w:eastAsia="宋体" w:cs="Times New Roman"/>
                      <w:b w:val="0"/>
                      <w:bCs/>
                      <w:color w:val="auto"/>
                      <w:szCs w:val="21"/>
                    </w:rPr>
                  </w:pPr>
                  <w:r>
                    <w:rPr>
                      <w:rFonts w:hint="default" w:eastAsia="宋体" w:cs="Times New Roman"/>
                      <w:b w:val="0"/>
                      <w:bCs/>
                      <w:color w:val="auto"/>
                      <w:szCs w:val="21"/>
                    </w:rPr>
                    <w:t>建设地点</w:t>
                  </w:r>
                </w:p>
              </w:tc>
              <w:tc>
                <w:tcPr>
                  <w:tcW w:w="6544" w:type="dxa"/>
                  <w:noWrap w:val="0"/>
                  <w:vAlign w:val="top"/>
                </w:tcPr>
                <w:p>
                  <w:pPr>
                    <w:pStyle w:val="46"/>
                    <w:keepLines w:val="0"/>
                    <w:suppressLineNumbers w:val="0"/>
                    <w:ind w:right="0"/>
                    <w:rPr>
                      <w:rFonts w:hint="eastAsia" w:eastAsia="宋体" w:cs="Times New Roman"/>
                      <w:b w:val="0"/>
                      <w:bCs/>
                      <w:color w:val="auto"/>
                      <w:szCs w:val="21"/>
                    </w:rPr>
                  </w:pPr>
                  <w:r>
                    <w:rPr>
                      <w:rFonts w:hint="eastAsia" w:eastAsia="宋体" w:cs="Times New Roman"/>
                      <w:b w:val="0"/>
                      <w:bCs/>
                      <w:color w:val="auto"/>
                      <w:szCs w:val="21"/>
                    </w:rPr>
                    <w:t>湖南省永州市新田县龙泉街道工业集中区工业南园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15" w:type="dxa"/>
                  <w:noWrap w:val="0"/>
                  <w:vAlign w:val="top"/>
                </w:tcPr>
                <w:p>
                  <w:pPr>
                    <w:pStyle w:val="46"/>
                    <w:keepLines w:val="0"/>
                    <w:suppressLineNumbers w:val="0"/>
                    <w:ind w:right="0"/>
                    <w:rPr>
                      <w:rFonts w:hint="default" w:eastAsia="宋体" w:cs="Times New Roman"/>
                      <w:b w:val="0"/>
                      <w:bCs/>
                      <w:color w:val="auto"/>
                      <w:szCs w:val="21"/>
                    </w:rPr>
                  </w:pPr>
                  <w:r>
                    <w:rPr>
                      <w:rFonts w:hint="default" w:eastAsia="宋体" w:cs="Times New Roman"/>
                      <w:b w:val="0"/>
                      <w:bCs/>
                      <w:color w:val="auto"/>
                      <w:szCs w:val="21"/>
                    </w:rPr>
                    <w:t>地理坐标</w:t>
                  </w:r>
                </w:p>
              </w:tc>
              <w:tc>
                <w:tcPr>
                  <w:tcW w:w="6544" w:type="dxa"/>
                  <w:noWrap w:val="0"/>
                  <w:vAlign w:val="top"/>
                </w:tcPr>
                <w:p>
                  <w:pPr>
                    <w:pStyle w:val="46"/>
                    <w:keepLines w:val="0"/>
                    <w:suppressLineNumbers w:val="0"/>
                    <w:ind w:right="0"/>
                    <w:rPr>
                      <w:rFonts w:hint="default" w:eastAsia="宋体" w:cs="Times New Roman"/>
                      <w:b w:val="0"/>
                      <w:bCs/>
                      <w:color w:val="auto"/>
                      <w:szCs w:val="21"/>
                    </w:rPr>
                  </w:pPr>
                  <w:r>
                    <w:rPr>
                      <w:rFonts w:hint="default"/>
                      <w:b w:val="0"/>
                      <w:bCs/>
                      <w:color w:val="auto"/>
                      <w:szCs w:val="21"/>
                    </w:rPr>
                    <w:t>E</w:t>
                  </w:r>
                  <w:r>
                    <w:rPr>
                      <w:rFonts w:hint="eastAsia"/>
                      <w:b w:val="0"/>
                      <w:bCs/>
                      <w:color w:val="auto"/>
                      <w:szCs w:val="21"/>
                    </w:rPr>
                    <w:t>112.191989</w:t>
                  </w:r>
                  <w:r>
                    <w:rPr>
                      <w:rFonts w:hint="default"/>
                      <w:b w:val="0"/>
                      <w:bCs/>
                      <w:color w:val="auto"/>
                      <w:szCs w:val="21"/>
                    </w:rPr>
                    <w:t>"，N</w:t>
                  </w:r>
                  <w:r>
                    <w:rPr>
                      <w:rFonts w:hint="eastAsia"/>
                      <w:b w:val="0"/>
                      <w:bCs/>
                      <w:color w:val="auto"/>
                      <w:szCs w:val="21"/>
                    </w:rPr>
                    <w:t>25.884015</w:t>
                  </w:r>
                  <w:r>
                    <w:rPr>
                      <w:rFonts w:hint="default"/>
                      <w:b w:val="0"/>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15" w:type="dxa"/>
                  <w:noWrap w:val="0"/>
                  <w:vAlign w:val="top"/>
                </w:tcPr>
                <w:p>
                  <w:pPr>
                    <w:pStyle w:val="46"/>
                    <w:keepLines w:val="0"/>
                    <w:suppressLineNumbers w:val="0"/>
                    <w:ind w:right="0"/>
                    <w:rPr>
                      <w:rFonts w:hint="default" w:eastAsia="宋体" w:cs="Times New Roman"/>
                      <w:b w:val="0"/>
                      <w:bCs/>
                      <w:color w:val="auto"/>
                      <w:szCs w:val="21"/>
                    </w:rPr>
                  </w:pPr>
                  <w:r>
                    <w:rPr>
                      <w:rFonts w:hint="default" w:eastAsia="宋体" w:cs="Times New Roman"/>
                      <w:b w:val="0"/>
                      <w:bCs/>
                      <w:color w:val="auto"/>
                      <w:szCs w:val="21"/>
                    </w:rPr>
                    <w:t>主要危险物质及分布</w:t>
                  </w:r>
                </w:p>
              </w:tc>
              <w:tc>
                <w:tcPr>
                  <w:tcW w:w="6544" w:type="dxa"/>
                  <w:noWrap w:val="0"/>
                  <w:vAlign w:val="center"/>
                </w:tcPr>
                <w:p>
                  <w:pPr>
                    <w:pStyle w:val="46"/>
                    <w:keepLines w:val="0"/>
                    <w:suppressLineNumbers w:val="0"/>
                    <w:ind w:right="0"/>
                    <w:rPr>
                      <w:rFonts w:hint="default" w:eastAsia="宋体" w:cs="Times New Roman"/>
                      <w:b w:val="0"/>
                      <w:bCs/>
                      <w:color w:val="auto"/>
                      <w:szCs w:val="21"/>
                      <w:lang w:val="en-US" w:eastAsia="zh-CN"/>
                    </w:rPr>
                  </w:pPr>
                  <w:r>
                    <w:rPr>
                      <w:rFonts w:hint="eastAsia" w:cs="Times New Roman"/>
                      <w:b w:val="0"/>
                      <w:bCs/>
                      <w:color w:val="auto"/>
                      <w:szCs w:val="21"/>
                      <w:lang w:val="en-US" w:eastAsia="zh-CN"/>
                    </w:rPr>
                    <w:t>废润滑油/危废暂存间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15" w:type="dxa"/>
                  <w:noWrap w:val="0"/>
                  <w:vAlign w:val="center"/>
                </w:tcPr>
                <w:p>
                  <w:pPr>
                    <w:pStyle w:val="46"/>
                    <w:keepLines w:val="0"/>
                    <w:suppressLineNumbers w:val="0"/>
                    <w:ind w:right="0"/>
                    <w:rPr>
                      <w:rFonts w:hint="default" w:eastAsia="宋体" w:cs="Times New Roman"/>
                      <w:b w:val="0"/>
                      <w:bCs/>
                      <w:color w:val="auto"/>
                      <w:szCs w:val="21"/>
                    </w:rPr>
                  </w:pPr>
                  <w:r>
                    <w:rPr>
                      <w:rFonts w:hint="default" w:eastAsia="宋体" w:cs="Times New Roman"/>
                      <w:b w:val="0"/>
                      <w:bCs/>
                      <w:color w:val="auto"/>
                      <w:szCs w:val="21"/>
                    </w:rPr>
                    <w:t>环境影响途径及危害后果</w:t>
                  </w:r>
                </w:p>
              </w:tc>
              <w:tc>
                <w:tcPr>
                  <w:tcW w:w="6544" w:type="dxa"/>
                  <w:noWrap w:val="0"/>
                  <w:vAlign w:val="center"/>
                </w:tcPr>
                <w:p>
                  <w:pPr>
                    <w:pStyle w:val="46"/>
                    <w:keepLines w:val="0"/>
                    <w:suppressLineNumbers w:val="0"/>
                    <w:ind w:right="0"/>
                    <w:rPr>
                      <w:rFonts w:hint="default" w:eastAsia="宋体" w:cs="Times New Roman"/>
                      <w:b w:val="0"/>
                      <w:bCs/>
                      <w:color w:val="auto"/>
                      <w:szCs w:val="21"/>
                    </w:rPr>
                  </w:pPr>
                  <w:r>
                    <w:rPr>
                      <w:rFonts w:hint="eastAsia" w:eastAsia="宋体" w:cs="Times New Roman"/>
                      <w:b w:val="0"/>
                      <w:bCs/>
                      <w:color w:val="auto"/>
                      <w:szCs w:val="21"/>
                    </w:rPr>
                    <w:t>泄漏造成的水环境污染；遇明火发生火灾，废气对周边大气环境产生影响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15" w:type="dxa"/>
                  <w:noWrap w:val="0"/>
                  <w:vAlign w:val="center"/>
                </w:tcPr>
                <w:p>
                  <w:pPr>
                    <w:pStyle w:val="46"/>
                    <w:keepLines w:val="0"/>
                    <w:suppressLineNumbers w:val="0"/>
                    <w:ind w:right="0"/>
                    <w:rPr>
                      <w:rFonts w:hint="default" w:eastAsia="宋体" w:cs="Times New Roman"/>
                      <w:b w:val="0"/>
                      <w:bCs/>
                      <w:color w:val="auto"/>
                      <w:szCs w:val="21"/>
                    </w:rPr>
                  </w:pPr>
                  <w:r>
                    <w:rPr>
                      <w:rFonts w:hint="default" w:eastAsia="宋体" w:cs="Times New Roman"/>
                      <w:b w:val="0"/>
                      <w:bCs/>
                      <w:color w:val="auto"/>
                      <w:szCs w:val="21"/>
                    </w:rPr>
                    <w:t>风险防范措施要求</w:t>
                  </w:r>
                </w:p>
              </w:tc>
              <w:tc>
                <w:tcPr>
                  <w:tcW w:w="6544" w:type="dxa"/>
                  <w:noWrap w:val="0"/>
                  <w:vAlign w:val="top"/>
                </w:tcPr>
                <w:p>
                  <w:pPr>
                    <w:pStyle w:val="46"/>
                    <w:keepLines w:val="0"/>
                    <w:widowControl/>
                    <w:suppressLineNumbers w:val="0"/>
                    <w:ind w:right="0" w:firstLine="420" w:firstLineChars="200"/>
                    <w:jc w:val="left"/>
                    <w:rPr>
                      <w:rFonts w:hint="default" w:eastAsia="宋体" w:cs="Times New Roman"/>
                      <w:b w:val="0"/>
                      <w:bCs/>
                      <w:color w:val="auto"/>
                      <w:szCs w:val="21"/>
                      <w:lang w:val="en-US" w:eastAsia="zh-CN"/>
                    </w:rPr>
                  </w:pPr>
                  <w:r>
                    <w:rPr>
                      <w:rFonts w:hint="eastAsia" w:eastAsia="宋体" w:cs="Times New Roman"/>
                      <w:b w:val="0"/>
                      <w:bCs/>
                      <w:color w:val="auto"/>
                      <w:szCs w:val="21"/>
                    </w:rPr>
                    <w:t>建立、完善安全管理制度；严格执行安全规章制度和操作规程；加强对操作工人的培训，培养员工的安全和环境意识；设立事故救援指挥决策系统</w:t>
                  </w:r>
                  <w:r>
                    <w:rPr>
                      <w:rFonts w:hint="eastAsia" w:cs="Times New Roman"/>
                      <w:b w:val="0"/>
                      <w:bCs/>
                      <w:color w:val="auto"/>
                      <w:szCs w:val="21"/>
                      <w:lang w:eastAsia="zh-CN"/>
                    </w:rPr>
                    <w:t>。</w:t>
                  </w:r>
                  <w:r>
                    <w:rPr>
                      <w:rFonts w:hint="eastAsia" w:eastAsia="宋体" w:cs="Times New Roman"/>
                      <w:b w:val="0"/>
                      <w:bCs/>
                      <w:color w:val="auto"/>
                      <w:szCs w:val="21"/>
                    </w:rPr>
                    <w:t>危险废物暂存间贮存场所设置托盘或其它防泄漏、泄漏物收集设施。</w:t>
                  </w:r>
                  <w:r>
                    <w:rPr>
                      <w:rFonts w:hint="eastAsia" w:cs="Times New Roman"/>
                      <w:b w:val="0"/>
                      <w:bCs/>
                      <w:color w:val="auto"/>
                      <w:szCs w:val="21"/>
                      <w:lang w:val="en-US" w:eastAsia="zh-CN"/>
                    </w:rPr>
                    <w:t>企业应编制突发环境事件应急预案。</w:t>
                  </w:r>
                </w:p>
              </w:tc>
            </w:tr>
          </w:tbl>
          <w:p>
            <w:pPr>
              <w:pStyle w:val="10"/>
              <w:keepNext w:val="0"/>
              <w:keepLines w:val="0"/>
              <w:numPr>
                <w:ilvl w:val="0"/>
                <w:numId w:val="5"/>
              </w:numPr>
              <w:suppressLineNumbers w:val="0"/>
              <w:snapToGrid/>
              <w:spacing w:before="0" w:beforeAutospacing="0" w:after="0" w:afterAutospacing="0" w:line="360" w:lineRule="auto"/>
              <w:ind w:left="0" w:right="0"/>
              <w:rPr>
                <w:rFonts w:hint="eastAsia"/>
                <w:b/>
                <w:bCs/>
                <w:color w:val="auto"/>
                <w:sz w:val="24"/>
                <w:szCs w:val="24"/>
                <w:u w:val="single"/>
                <w:lang w:val="en-US" w:eastAsia="zh-CN"/>
              </w:rPr>
            </w:pPr>
            <w:r>
              <w:rPr>
                <w:rFonts w:hint="eastAsia"/>
                <w:b/>
                <w:bCs/>
                <w:color w:val="auto"/>
                <w:sz w:val="24"/>
                <w:szCs w:val="24"/>
                <w:u w:val="single"/>
                <w:lang w:val="en-US" w:eastAsia="zh-CN"/>
              </w:rPr>
              <w:t>生态影响</w:t>
            </w:r>
          </w:p>
          <w:p>
            <w:pPr>
              <w:pStyle w:val="87"/>
              <w:keepNext w:val="0"/>
              <w:keepLines w:val="0"/>
              <w:suppressLineNumbers w:val="0"/>
              <w:spacing w:before="0" w:beforeAutospacing="0" w:after="0" w:afterAutospacing="0" w:line="360" w:lineRule="auto"/>
              <w:ind w:left="0" w:right="0" w:firstLine="480"/>
              <w:rPr>
                <w:rFonts w:hint="default"/>
                <w:color w:val="auto"/>
                <w:lang w:val="en-US" w:eastAsia="zh-CN"/>
              </w:rPr>
            </w:pPr>
            <w:r>
              <w:rPr>
                <w:rFonts w:hint="default"/>
                <w:color w:val="auto"/>
                <w:lang w:val="en-US" w:eastAsia="zh-CN"/>
              </w:rPr>
              <w:t>本项目位于新田县龙泉街道工业集中区工业南园，项目周边动植物物种简单，无国家重点保护植物，无古树名木，无国家珍稀保护动物，无生态环境保护目标。项目建设对周边的生态环境不会产生明显的影响。</w:t>
            </w:r>
          </w:p>
          <w:p>
            <w:pPr>
              <w:pStyle w:val="87"/>
              <w:keepNext w:val="0"/>
              <w:keepLines w:val="0"/>
              <w:suppressLineNumbers w:val="0"/>
              <w:spacing w:before="0" w:beforeAutospacing="0" w:after="0" w:afterAutospacing="0" w:line="360" w:lineRule="auto"/>
              <w:ind w:left="0" w:right="0" w:firstLine="480"/>
              <w:rPr>
                <w:rFonts w:hint="default"/>
                <w:color w:val="auto"/>
                <w:lang w:val="en-US" w:eastAsia="zh-CN"/>
              </w:rPr>
            </w:pPr>
          </w:p>
          <w:p>
            <w:pPr>
              <w:pStyle w:val="87"/>
              <w:keepNext w:val="0"/>
              <w:keepLines w:val="0"/>
              <w:suppressLineNumbers w:val="0"/>
              <w:spacing w:before="0" w:beforeAutospacing="0" w:after="0" w:afterAutospacing="0" w:line="360" w:lineRule="auto"/>
              <w:ind w:left="0" w:right="0" w:firstLine="480"/>
              <w:rPr>
                <w:rFonts w:hint="default"/>
                <w:color w:val="auto"/>
                <w:lang w:val="en-US" w:eastAsia="zh-CN"/>
              </w:rPr>
            </w:pPr>
          </w:p>
          <w:p>
            <w:pPr>
              <w:pStyle w:val="10"/>
              <w:keepNext w:val="0"/>
              <w:keepLines w:val="0"/>
              <w:suppressLineNumbers w:val="0"/>
              <w:snapToGrid/>
              <w:spacing w:before="0" w:beforeAutospacing="0" w:after="0" w:afterAutospacing="0" w:line="360" w:lineRule="auto"/>
              <w:ind w:left="0" w:right="0"/>
              <w:rPr>
                <w:rFonts w:hint="eastAsia"/>
                <w:b/>
                <w:bCs/>
                <w:color w:val="auto"/>
                <w:sz w:val="24"/>
                <w:szCs w:val="24"/>
                <w:u w:val="single"/>
              </w:rPr>
            </w:pPr>
            <w:r>
              <w:rPr>
                <w:rFonts w:hint="eastAsia"/>
                <w:b/>
                <w:bCs/>
                <w:color w:val="auto"/>
                <w:sz w:val="24"/>
                <w:szCs w:val="24"/>
                <w:u w:val="single"/>
                <w:lang w:val="en-US" w:eastAsia="zh-CN"/>
              </w:rPr>
              <w:t>八</w:t>
            </w:r>
            <w:r>
              <w:rPr>
                <w:rFonts w:hint="default"/>
                <w:b/>
                <w:bCs/>
                <w:color w:val="auto"/>
                <w:sz w:val="24"/>
                <w:szCs w:val="24"/>
                <w:u w:val="single"/>
              </w:rPr>
              <w:t>、</w:t>
            </w:r>
            <w:r>
              <w:rPr>
                <w:rFonts w:hint="eastAsia"/>
                <w:b/>
                <w:bCs/>
                <w:color w:val="auto"/>
                <w:sz w:val="24"/>
                <w:szCs w:val="24"/>
                <w:u w:val="single"/>
              </w:rPr>
              <w:t>环境管理</w:t>
            </w:r>
          </w:p>
          <w:p>
            <w:pPr>
              <w:pStyle w:val="87"/>
              <w:keepNext w:val="0"/>
              <w:keepLines w:val="0"/>
              <w:suppressLineNumbers w:val="0"/>
              <w:spacing w:before="0" w:beforeAutospacing="0" w:after="0" w:afterAutospacing="0" w:line="360" w:lineRule="auto"/>
              <w:ind w:left="0" w:right="0" w:firstLine="480"/>
              <w:rPr>
                <w:rFonts w:hint="eastAsia"/>
                <w:color w:val="auto"/>
              </w:rPr>
            </w:pPr>
            <w:r>
              <w:rPr>
                <w:rFonts w:hint="eastAsia"/>
                <w:color w:val="auto"/>
              </w:rPr>
              <w:t>为了更好贯彻执行国家环境保护法律、法规、政策与标准，及时掌握和了解工程污染治理措施的效果，以及工程所在区域环境质量状况，更好地监控环保设施的运行情况，协调公司与地方环保职能部门的工作，同时保证企业生产管理和环境管理的正常运作，建立环境管理体系与监测制度是非常必要和重要的。</w:t>
            </w:r>
          </w:p>
          <w:p>
            <w:pPr>
              <w:pStyle w:val="87"/>
              <w:keepNext w:val="0"/>
              <w:keepLines w:val="0"/>
              <w:suppressLineNumbers w:val="0"/>
              <w:spacing w:before="0" w:beforeAutospacing="0" w:after="0" w:afterAutospacing="0" w:line="360" w:lineRule="auto"/>
              <w:ind w:left="0" w:right="0" w:firstLine="480"/>
              <w:rPr>
                <w:rFonts w:hint="eastAsia"/>
                <w:color w:val="auto"/>
              </w:rPr>
            </w:pPr>
            <w:r>
              <w:rPr>
                <w:rFonts w:hint="eastAsia"/>
                <w:color w:val="auto"/>
              </w:rPr>
              <w:t>环境管理体系与监测机构的建立能够帮助企业及早发现问题，使企业在发展生产的同时节约能源、降低原材料的消耗，控制污染物排放量，减轻污染物排放对环境产生的影响，避免污染事故的发生，为企业创造更好的经济效益和环境效益，树立良好的社会形象。</w:t>
            </w:r>
          </w:p>
          <w:p>
            <w:pPr>
              <w:pStyle w:val="87"/>
              <w:keepNext w:val="0"/>
              <w:keepLines w:val="0"/>
              <w:suppressLineNumbers w:val="0"/>
              <w:spacing w:before="0" w:beforeAutospacing="0" w:after="0" w:afterAutospacing="0" w:line="360" w:lineRule="auto"/>
              <w:ind w:left="0" w:right="0" w:firstLine="480"/>
              <w:rPr>
                <w:rFonts w:hint="eastAsia"/>
                <w:color w:val="auto"/>
              </w:rPr>
            </w:pPr>
            <w:r>
              <w:rPr>
                <w:rFonts w:hint="eastAsia"/>
                <w:color w:val="auto"/>
              </w:rPr>
              <w:t>具体负责工程从前期工作、施工至运行后的一系列有关环境保护管理工作，落实环境保护工作经费，对施工期和运行期环境保护工作进行监督和管理，并负责与政府环境保护行政主管部门联系和协调环境管理事宜。其具体工作内容为：运行期应负责制定年度环境保护工作计划；落实环境保护工作经费；监督生态环境保护措施的实施情况；委托有资质的单位开展环境监测工作；编写年度环境保护工作阶段报告等工作。</w:t>
            </w:r>
          </w:p>
          <w:p>
            <w:pPr>
              <w:pStyle w:val="87"/>
              <w:keepNext w:val="0"/>
              <w:keepLines w:val="0"/>
              <w:suppressLineNumbers w:val="0"/>
              <w:spacing w:before="0" w:beforeAutospacing="0" w:after="0" w:afterAutospacing="0" w:line="360" w:lineRule="auto"/>
              <w:ind w:left="0" w:right="0" w:firstLine="482"/>
              <w:rPr>
                <w:rFonts w:hint="eastAsia" w:eastAsia="宋体"/>
                <w:b/>
                <w:bCs/>
                <w:color w:val="auto"/>
                <w:u w:val="none"/>
                <w:lang w:val="en-US" w:eastAsia="zh-CN"/>
              </w:rPr>
            </w:pPr>
            <w:r>
              <w:rPr>
                <w:rFonts w:hint="eastAsia"/>
                <w:b/>
                <w:bCs/>
                <w:color w:val="auto"/>
                <w:u w:val="none"/>
                <w:lang w:val="en-US" w:eastAsia="zh-CN"/>
              </w:rPr>
              <w:t>九</w:t>
            </w:r>
            <w:r>
              <w:rPr>
                <w:rFonts w:hint="default"/>
                <w:b/>
                <w:bCs/>
                <w:color w:val="auto"/>
                <w:u w:val="none"/>
              </w:rPr>
              <w:t>、环保及环保投资</w:t>
            </w:r>
            <w:r>
              <w:rPr>
                <w:rFonts w:hint="eastAsia"/>
                <w:b/>
                <w:bCs/>
                <w:color w:val="auto"/>
                <w:u w:val="none"/>
                <w:lang w:val="en-US" w:eastAsia="zh-CN"/>
              </w:rPr>
              <w:t>及</w:t>
            </w:r>
            <w:r>
              <w:rPr>
                <w:rFonts w:hint="eastAsia"/>
                <w:b/>
                <w:bCs/>
                <w:color w:val="auto"/>
                <w:u w:val="none"/>
              </w:rPr>
              <w:t>环境管理</w:t>
            </w:r>
          </w:p>
          <w:p>
            <w:pPr>
              <w:pStyle w:val="87"/>
              <w:keepNext w:val="0"/>
              <w:keepLines w:val="0"/>
              <w:suppressLineNumbers w:val="0"/>
              <w:spacing w:before="0" w:beforeAutospacing="0" w:after="0" w:afterAutospacing="0" w:line="360" w:lineRule="auto"/>
              <w:ind w:left="0" w:right="0" w:firstLine="482"/>
              <w:rPr>
                <w:rFonts w:hint="default"/>
                <w:b/>
                <w:bCs/>
                <w:color w:val="auto"/>
                <w:u w:val="none"/>
              </w:rPr>
            </w:pPr>
            <w:r>
              <w:rPr>
                <w:rFonts w:hint="eastAsia"/>
                <w:b/>
                <w:bCs/>
                <w:color w:val="auto"/>
                <w:u w:val="none"/>
              </w:rPr>
              <w:t>1、环境管理</w:t>
            </w:r>
          </w:p>
          <w:p>
            <w:pPr>
              <w:pStyle w:val="87"/>
              <w:keepNext w:val="0"/>
              <w:keepLines w:val="0"/>
              <w:suppressLineNumbers w:val="0"/>
              <w:spacing w:before="0" w:beforeAutospacing="0" w:after="0" w:afterAutospacing="0" w:line="360" w:lineRule="auto"/>
              <w:ind w:left="0" w:right="0" w:firstLine="480"/>
              <w:rPr>
                <w:rFonts w:hint="default" w:eastAsia="宋体"/>
                <w:color w:val="auto"/>
                <w:u w:val="none"/>
                <w:lang w:val="en-US" w:eastAsia="zh-CN"/>
              </w:rPr>
            </w:pPr>
            <w:r>
              <w:rPr>
                <w:rFonts w:hint="eastAsia"/>
                <w:color w:val="auto"/>
                <w:u w:val="none"/>
                <w:lang w:eastAsia="zh-CN"/>
              </w:rPr>
              <w:t>（</w:t>
            </w:r>
            <w:r>
              <w:rPr>
                <w:rFonts w:hint="eastAsia"/>
                <w:color w:val="auto"/>
                <w:u w:val="none"/>
                <w:lang w:val="en-US" w:eastAsia="zh-CN"/>
              </w:rPr>
              <w:t>1</w:t>
            </w:r>
            <w:r>
              <w:rPr>
                <w:rFonts w:hint="eastAsia"/>
                <w:color w:val="auto"/>
                <w:u w:val="none"/>
                <w:lang w:eastAsia="zh-CN"/>
              </w:rPr>
              <w:t>）</w:t>
            </w:r>
            <w:r>
              <w:rPr>
                <w:rFonts w:hint="eastAsia"/>
                <w:color w:val="auto"/>
                <w:u w:val="none"/>
                <w:lang w:val="en-US" w:eastAsia="zh-CN"/>
              </w:rPr>
              <w:t>环境管理体系</w:t>
            </w:r>
          </w:p>
          <w:p>
            <w:pPr>
              <w:pStyle w:val="87"/>
              <w:keepNext w:val="0"/>
              <w:keepLines w:val="0"/>
              <w:suppressLineNumbers w:val="0"/>
              <w:spacing w:before="0" w:beforeAutospacing="0" w:after="0" w:afterAutospacing="0" w:line="360" w:lineRule="auto"/>
              <w:ind w:left="0" w:right="0" w:firstLine="480"/>
              <w:rPr>
                <w:rFonts w:hint="eastAsia"/>
                <w:color w:val="auto"/>
                <w:u w:val="none"/>
              </w:rPr>
            </w:pPr>
            <w:r>
              <w:rPr>
                <w:rFonts w:hint="eastAsia"/>
                <w:color w:val="auto"/>
                <w:u w:val="none"/>
              </w:rPr>
              <w:t>为做好环境管理工作，公司建立环境管理体系，将环境管理工作贯穿到公司的生产管理中，具体环境管理体系如下：</w:t>
            </w:r>
          </w:p>
          <w:p>
            <w:pPr>
              <w:pStyle w:val="87"/>
              <w:keepNext w:val="0"/>
              <w:keepLines w:val="0"/>
              <w:suppressLineNumbers w:val="0"/>
              <w:spacing w:before="0" w:beforeAutospacing="0" w:after="0" w:afterAutospacing="0" w:line="360" w:lineRule="auto"/>
              <w:ind w:left="0" w:right="0" w:firstLine="480"/>
              <w:rPr>
                <w:rFonts w:hint="eastAsia"/>
                <w:color w:val="auto"/>
                <w:u w:val="none"/>
              </w:rPr>
            </w:pPr>
            <w:r>
              <w:rPr>
                <w:rFonts w:hint="eastAsia"/>
                <w:color w:val="auto"/>
                <w:u w:val="none"/>
              </w:rPr>
              <w:t>①公司的环境管理工作实行公司主要负责人负责制，以便在制定环保方针、制度、规划，协调人力、物力和财力等方面，将环境管理和生产管理结合起来。</w:t>
            </w:r>
          </w:p>
          <w:p>
            <w:pPr>
              <w:pStyle w:val="87"/>
              <w:keepNext w:val="0"/>
              <w:keepLines w:val="0"/>
              <w:suppressLineNumbers w:val="0"/>
              <w:spacing w:before="0" w:beforeAutospacing="0" w:after="0" w:afterAutospacing="0" w:line="360" w:lineRule="auto"/>
              <w:ind w:left="0" w:right="0" w:firstLine="480"/>
              <w:rPr>
                <w:rFonts w:hint="eastAsia"/>
                <w:color w:val="auto"/>
                <w:u w:val="none"/>
              </w:rPr>
            </w:pPr>
            <w:r>
              <w:rPr>
                <w:rFonts w:hint="eastAsia"/>
                <w:color w:val="auto"/>
                <w:u w:val="none"/>
              </w:rPr>
              <w:t>②建立专职环境管理机构，配备专职环保管理人员以及兼职管理人员若干名，具体制定环境管理方案并实施运行；负责与政府环保主管部门的联系与协调工作。</w:t>
            </w:r>
          </w:p>
          <w:p>
            <w:pPr>
              <w:pStyle w:val="87"/>
              <w:keepNext w:val="0"/>
              <w:keepLines w:val="0"/>
              <w:suppressLineNumbers w:val="0"/>
              <w:spacing w:before="0" w:beforeAutospacing="0" w:after="0" w:afterAutospacing="0" w:line="360" w:lineRule="auto"/>
              <w:ind w:left="0" w:right="0" w:firstLine="480"/>
              <w:rPr>
                <w:rFonts w:hint="eastAsia"/>
                <w:color w:val="auto"/>
                <w:u w:val="none"/>
              </w:rPr>
            </w:pPr>
            <w:r>
              <w:rPr>
                <w:rFonts w:hint="eastAsia"/>
                <w:color w:val="auto"/>
                <w:u w:val="none"/>
              </w:rPr>
              <w:t>③以水、气、声等环境要素的保护和改善作为推动企业环境保护工作的基础，并在生产工作中检查环境管理的成效。</w:t>
            </w:r>
          </w:p>
          <w:p>
            <w:pPr>
              <w:pStyle w:val="87"/>
              <w:keepNext w:val="0"/>
              <w:keepLines w:val="0"/>
              <w:suppressLineNumbers w:val="0"/>
              <w:spacing w:before="0" w:beforeAutospacing="0" w:after="0" w:afterAutospacing="0" w:line="360" w:lineRule="auto"/>
              <w:ind w:left="0" w:right="0" w:firstLine="480"/>
              <w:rPr>
                <w:rFonts w:hint="eastAsia"/>
                <w:color w:val="auto"/>
                <w:u w:val="none"/>
              </w:rPr>
            </w:pPr>
            <w:r>
              <w:rPr>
                <w:rFonts w:hint="eastAsia"/>
                <w:color w:val="auto"/>
                <w:u w:val="none"/>
              </w:rPr>
              <w:t>④按照所制定的环保方针和环境管理方案，将环境管理目标和指标层层分解，落实到各生产部门和人，签订责任书，定期考核。</w:t>
            </w:r>
          </w:p>
          <w:p>
            <w:pPr>
              <w:pStyle w:val="87"/>
              <w:keepNext w:val="0"/>
              <w:keepLines w:val="0"/>
              <w:suppressLineNumbers w:val="0"/>
              <w:spacing w:before="0" w:beforeAutospacing="0" w:after="0" w:afterAutospacing="0" w:line="360" w:lineRule="auto"/>
              <w:ind w:left="0" w:right="0" w:firstLine="480"/>
              <w:rPr>
                <w:rFonts w:hint="eastAsia"/>
                <w:color w:val="auto"/>
                <w:u w:val="none"/>
              </w:rPr>
            </w:pPr>
            <w:r>
              <w:rPr>
                <w:rFonts w:hint="eastAsia"/>
                <w:color w:val="auto"/>
                <w:u w:val="none"/>
              </w:rPr>
              <w:t>⑤按照环境管理的要求，将计划实现的目标和过程编制成文件，有关指标制成目标管理图表，标明工作内容和进度，以便与目标对比，及时掌握环保工作的进展情况。</w:t>
            </w:r>
          </w:p>
          <w:p>
            <w:pPr>
              <w:pStyle w:val="87"/>
              <w:keepNext w:val="0"/>
              <w:keepLines w:val="0"/>
              <w:suppressLineNumbers w:val="0"/>
              <w:spacing w:before="0" w:beforeAutospacing="0" w:after="0" w:afterAutospacing="0" w:line="360" w:lineRule="auto"/>
              <w:ind w:left="0" w:right="0" w:firstLine="480"/>
              <w:rPr>
                <w:rFonts w:hint="eastAsia" w:eastAsia="宋体"/>
                <w:color w:val="auto"/>
                <w:u w:val="none"/>
                <w:lang w:val="en-US" w:eastAsia="zh-CN"/>
              </w:rPr>
            </w:pPr>
            <w:r>
              <w:rPr>
                <w:rFonts w:hint="eastAsia"/>
                <w:color w:val="auto"/>
                <w:u w:val="none"/>
              </w:rPr>
              <w:t>环保管理机构的管理层次见</w:t>
            </w:r>
            <w:r>
              <w:rPr>
                <w:rFonts w:hint="eastAsia"/>
                <w:color w:val="auto"/>
                <w:u w:val="none"/>
                <w:lang w:val="en-US" w:eastAsia="zh-CN"/>
              </w:rPr>
              <w:t>下图：</w:t>
            </w:r>
          </w:p>
          <w:p>
            <w:pPr>
              <w:pStyle w:val="87"/>
              <w:keepNext w:val="0"/>
              <w:keepLines w:val="0"/>
              <w:suppressLineNumbers w:val="0"/>
              <w:spacing w:before="0" w:beforeAutospacing="0" w:after="0" w:afterAutospacing="0" w:line="360" w:lineRule="auto"/>
              <w:ind w:left="0" w:leftChars="0" w:right="0" w:firstLine="0" w:firstLineChars="0"/>
              <w:jc w:val="center"/>
              <w:rPr>
                <w:rFonts w:hint="default"/>
                <w:color w:val="auto"/>
                <w:u w:val="none"/>
              </w:rPr>
            </w:pPr>
            <w:r>
              <w:rPr>
                <w:rFonts w:hint="default"/>
                <w:color w:val="auto"/>
                <w:u w:val="none"/>
              </w:rPr>
              <w:drawing>
                <wp:inline distT="0" distB="0" distL="114300" distR="114300">
                  <wp:extent cx="4841240" cy="3279140"/>
                  <wp:effectExtent l="0" t="0" r="16510" b="16510"/>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pic:cNvPicPr>
                            <a:picLocks noChangeAspect="1"/>
                          </pic:cNvPicPr>
                        </pic:nvPicPr>
                        <pic:blipFill>
                          <a:blip r:embed="rId15"/>
                          <a:stretch>
                            <a:fillRect/>
                          </a:stretch>
                        </pic:blipFill>
                        <pic:spPr>
                          <a:xfrm>
                            <a:off x="0" y="0"/>
                            <a:ext cx="4841240" cy="3279140"/>
                          </a:xfrm>
                          <a:prstGeom prst="rect">
                            <a:avLst/>
                          </a:prstGeom>
                          <a:noFill/>
                          <a:ln>
                            <a:noFill/>
                          </a:ln>
                        </pic:spPr>
                      </pic:pic>
                    </a:graphicData>
                  </a:graphic>
                </wp:inline>
              </w:drawing>
            </w:r>
          </w:p>
          <w:p>
            <w:pPr>
              <w:pStyle w:val="87"/>
              <w:keepNext w:val="0"/>
              <w:keepLines w:val="0"/>
              <w:suppressLineNumbers w:val="0"/>
              <w:spacing w:before="0" w:beforeAutospacing="0" w:after="0" w:afterAutospacing="0" w:line="360" w:lineRule="auto"/>
              <w:ind w:left="0" w:leftChars="0" w:right="0" w:firstLine="0" w:firstLineChars="0"/>
              <w:jc w:val="center"/>
              <w:rPr>
                <w:rFonts w:hint="default" w:eastAsia="宋体"/>
                <w:b/>
                <w:bCs/>
                <w:color w:val="auto"/>
                <w:sz w:val="21"/>
                <w:szCs w:val="21"/>
                <w:u w:val="none"/>
                <w:lang w:val="en-US" w:eastAsia="zh-CN"/>
              </w:rPr>
            </w:pPr>
            <w:r>
              <w:rPr>
                <w:rFonts w:hint="eastAsia"/>
                <w:b/>
                <w:bCs/>
                <w:color w:val="auto"/>
                <w:sz w:val="21"/>
                <w:szCs w:val="21"/>
                <w:u w:val="none"/>
                <w:lang w:val="en-US" w:eastAsia="zh-CN"/>
              </w:rPr>
              <w:t>图4-1项目环保管理体系图</w:t>
            </w:r>
          </w:p>
          <w:p>
            <w:pPr>
              <w:pStyle w:val="87"/>
              <w:keepNext w:val="0"/>
              <w:keepLines w:val="0"/>
              <w:suppressLineNumbers w:val="0"/>
              <w:spacing w:before="0" w:beforeAutospacing="0" w:after="0" w:afterAutospacing="0" w:line="360" w:lineRule="auto"/>
              <w:ind w:left="0" w:right="0" w:firstLine="480"/>
              <w:rPr>
                <w:rFonts w:hint="eastAsia"/>
                <w:color w:val="auto"/>
                <w:u w:val="none"/>
              </w:rPr>
            </w:pPr>
            <w:r>
              <w:rPr>
                <w:rFonts w:hint="eastAsia"/>
                <w:color w:val="auto"/>
                <w:u w:val="none"/>
              </w:rPr>
              <w:t>（</w:t>
            </w:r>
            <w:r>
              <w:rPr>
                <w:rFonts w:hint="eastAsia"/>
                <w:color w:val="auto"/>
                <w:u w:val="none"/>
                <w:lang w:val="en-US" w:eastAsia="zh-CN"/>
              </w:rPr>
              <w:t>2</w:t>
            </w:r>
            <w:r>
              <w:rPr>
                <w:rFonts w:hint="eastAsia"/>
                <w:color w:val="auto"/>
                <w:u w:val="none"/>
              </w:rPr>
              <w:t>）环保管理规章制度</w:t>
            </w:r>
          </w:p>
          <w:p>
            <w:pPr>
              <w:pStyle w:val="87"/>
              <w:keepNext w:val="0"/>
              <w:keepLines w:val="0"/>
              <w:suppressLineNumbers w:val="0"/>
              <w:spacing w:before="0" w:beforeAutospacing="0" w:after="0" w:afterAutospacing="0" w:line="360" w:lineRule="auto"/>
              <w:ind w:left="0" w:right="0" w:firstLine="480"/>
              <w:rPr>
                <w:rFonts w:hint="default"/>
                <w:color w:val="auto"/>
                <w:u w:val="none"/>
              </w:rPr>
            </w:pPr>
            <w:r>
              <w:rPr>
                <w:rFonts w:hint="eastAsia"/>
                <w:color w:val="auto"/>
                <w:u w:val="none"/>
              </w:rPr>
              <w:t>建立和完善环境管理制度，是公司环境管理体系的重要组成部分，环境管理制度主要有：①环境管理岗位责任制；②环保设施运行和管理制度；③环境污染物排放和监测制度；④原材料的管理和使用、节约制度；⑤环境污染事故应急和处理制度；⑥生产环境管理制度；⑦厂区绿化和管理制度。</w:t>
            </w:r>
          </w:p>
          <w:p>
            <w:pPr>
              <w:pStyle w:val="87"/>
              <w:keepNext w:val="0"/>
              <w:keepLines w:val="0"/>
              <w:suppressLineNumbers w:val="0"/>
              <w:spacing w:before="0" w:beforeAutospacing="0" w:after="0" w:afterAutospacing="0" w:line="360" w:lineRule="auto"/>
              <w:ind w:left="0" w:right="0" w:firstLine="480"/>
              <w:rPr>
                <w:rFonts w:hint="default"/>
                <w:color w:val="auto"/>
                <w:u w:val="none"/>
              </w:rPr>
            </w:pPr>
            <w:r>
              <w:rPr>
                <w:rFonts w:hint="eastAsia"/>
                <w:color w:val="auto"/>
                <w:u w:val="none"/>
              </w:rPr>
              <w:t>（</w:t>
            </w:r>
            <w:r>
              <w:rPr>
                <w:rFonts w:hint="eastAsia"/>
                <w:color w:val="auto"/>
                <w:u w:val="none"/>
                <w:lang w:val="en-US" w:eastAsia="zh-CN"/>
              </w:rPr>
              <w:t>3</w:t>
            </w:r>
            <w:r>
              <w:rPr>
                <w:rFonts w:hint="eastAsia"/>
                <w:color w:val="auto"/>
                <w:u w:val="none"/>
              </w:rPr>
              <w:t>）环境管理机构的职责</w:t>
            </w:r>
          </w:p>
          <w:p>
            <w:pPr>
              <w:pStyle w:val="87"/>
              <w:keepNext w:val="0"/>
              <w:keepLines w:val="0"/>
              <w:suppressLineNumbers w:val="0"/>
              <w:spacing w:before="0" w:beforeAutospacing="0" w:after="0" w:afterAutospacing="0" w:line="360" w:lineRule="auto"/>
              <w:ind w:left="0" w:right="0" w:firstLine="480"/>
              <w:rPr>
                <w:rFonts w:hint="default"/>
                <w:color w:val="auto"/>
                <w:u w:val="none"/>
              </w:rPr>
            </w:pPr>
            <w:r>
              <w:rPr>
                <w:rFonts w:hint="eastAsia"/>
                <w:color w:val="auto"/>
                <w:u w:val="none"/>
              </w:rPr>
              <w:t>①贯彻执行国家与地方制定的有关环境保护法律与政策，协调项目运营与保护环境的关系，处理运营中发生的环境问题，制定可操作的环保管理制度和责任制，并对实施情况进行监督、检查。</w:t>
            </w:r>
          </w:p>
          <w:p>
            <w:pPr>
              <w:pStyle w:val="87"/>
              <w:keepNext w:val="0"/>
              <w:keepLines w:val="0"/>
              <w:suppressLineNumbers w:val="0"/>
              <w:spacing w:before="0" w:beforeAutospacing="0" w:after="0" w:afterAutospacing="0" w:line="360" w:lineRule="auto"/>
              <w:ind w:left="0" w:right="0" w:firstLine="480"/>
              <w:rPr>
                <w:rFonts w:hint="default"/>
                <w:color w:val="auto"/>
                <w:u w:val="none"/>
              </w:rPr>
            </w:pPr>
            <w:r>
              <w:rPr>
                <w:rFonts w:hint="eastAsia"/>
                <w:color w:val="auto"/>
                <w:u w:val="none"/>
              </w:rPr>
              <w:t>②建立各污染源档案和环保设施的运行记录。负责企业环保报表的编制，统计上报及污染源档案、监测资料的档案管理工作。</w:t>
            </w:r>
          </w:p>
          <w:p>
            <w:pPr>
              <w:pStyle w:val="87"/>
              <w:keepNext w:val="0"/>
              <w:keepLines w:val="0"/>
              <w:suppressLineNumbers w:val="0"/>
              <w:spacing w:before="0" w:beforeAutospacing="0" w:after="0" w:afterAutospacing="0" w:line="360" w:lineRule="auto"/>
              <w:ind w:left="0" w:right="0" w:firstLine="480"/>
              <w:rPr>
                <w:rFonts w:hint="default"/>
                <w:color w:val="auto"/>
                <w:u w:val="none"/>
              </w:rPr>
            </w:pPr>
            <w:r>
              <w:rPr>
                <w:rFonts w:hint="eastAsia"/>
                <w:color w:val="auto"/>
                <w:u w:val="none"/>
              </w:rPr>
              <w:t>③负责监督检查环保设施的运行状况、治理效果、存在问题，安排落实环保设施的日常维修。</w:t>
            </w:r>
          </w:p>
          <w:p>
            <w:pPr>
              <w:pStyle w:val="87"/>
              <w:keepNext w:val="0"/>
              <w:keepLines w:val="0"/>
              <w:suppressLineNumbers w:val="0"/>
              <w:spacing w:before="0" w:beforeAutospacing="0" w:after="0" w:afterAutospacing="0" w:line="360" w:lineRule="auto"/>
              <w:ind w:left="0" w:right="0" w:firstLine="480"/>
              <w:rPr>
                <w:rFonts w:hint="default"/>
                <w:color w:val="auto"/>
                <w:u w:val="none"/>
              </w:rPr>
            </w:pPr>
            <w:r>
              <w:rPr>
                <w:rFonts w:hint="eastAsia"/>
                <w:color w:val="auto"/>
                <w:u w:val="none"/>
              </w:rPr>
              <w:t>④负责组织制定突发环境事故应急预案，定期组织危险废物环境管理和环境事故应急救援方面的培训。</w:t>
            </w:r>
          </w:p>
          <w:p>
            <w:pPr>
              <w:pStyle w:val="87"/>
              <w:keepNext w:val="0"/>
              <w:keepLines w:val="0"/>
              <w:suppressLineNumbers w:val="0"/>
              <w:spacing w:before="0" w:beforeAutospacing="0" w:after="0" w:afterAutospacing="0" w:line="360" w:lineRule="auto"/>
              <w:ind w:left="0" w:right="0" w:firstLine="480"/>
              <w:rPr>
                <w:rFonts w:hint="default"/>
                <w:color w:val="auto"/>
                <w:u w:val="none"/>
              </w:rPr>
            </w:pPr>
            <w:r>
              <w:rPr>
                <w:rFonts w:hint="eastAsia"/>
                <w:color w:val="auto"/>
                <w:u w:val="none"/>
              </w:rPr>
              <w:t>⑤定期进行环境保护知识的宣传工作和环保技能的培训工作，提高工作人员的环保意识和能力，保证各项环保措施的正常有效实施。</w:t>
            </w:r>
          </w:p>
          <w:p>
            <w:pPr>
              <w:pStyle w:val="87"/>
              <w:keepNext w:val="0"/>
              <w:keepLines w:val="0"/>
              <w:suppressLineNumbers w:val="0"/>
              <w:spacing w:before="0" w:beforeAutospacing="0" w:after="0" w:afterAutospacing="0" w:line="360" w:lineRule="auto"/>
              <w:ind w:left="0" w:right="0" w:firstLine="480"/>
              <w:rPr>
                <w:rFonts w:hint="default"/>
                <w:color w:val="auto"/>
                <w:u w:val="none"/>
              </w:rPr>
            </w:pPr>
            <w:r>
              <w:rPr>
                <w:rFonts w:hint="eastAsia"/>
                <w:color w:val="auto"/>
                <w:u w:val="none"/>
              </w:rPr>
              <w:t>⑥掌握项目各工序的污染状况，领导并组织实施项目的环境监测工作，制定环境监测方案，安排各污染源的监测工作。建立监控档案，</w:t>
            </w:r>
          </w:p>
          <w:p>
            <w:pPr>
              <w:pStyle w:val="87"/>
              <w:keepNext w:val="0"/>
              <w:keepLines w:val="0"/>
              <w:suppressLineNumbers w:val="0"/>
              <w:spacing w:before="0" w:beforeAutospacing="0" w:after="0" w:afterAutospacing="0" w:line="360" w:lineRule="auto"/>
              <w:ind w:left="0" w:right="0" w:firstLine="482"/>
              <w:rPr>
                <w:rFonts w:hint="default"/>
                <w:b/>
                <w:bCs/>
                <w:color w:val="auto"/>
                <w:u w:val="none"/>
              </w:rPr>
            </w:pPr>
            <w:r>
              <w:rPr>
                <w:rFonts w:hint="eastAsia"/>
                <w:b/>
                <w:bCs/>
                <w:color w:val="auto"/>
                <w:u w:val="none"/>
              </w:rPr>
              <w:t>2、环保投资</w:t>
            </w:r>
          </w:p>
          <w:p>
            <w:pPr>
              <w:pStyle w:val="10"/>
              <w:keepNext w:val="0"/>
              <w:keepLines w:val="0"/>
              <w:suppressLineNumbers w:val="0"/>
              <w:snapToGrid/>
              <w:spacing w:before="0" w:beforeAutospacing="0" w:after="0" w:afterAutospacing="0" w:line="360" w:lineRule="auto"/>
              <w:ind w:left="0" w:right="0" w:firstLine="480" w:firstLineChars="200"/>
              <w:rPr>
                <w:rFonts w:hint="default"/>
                <w:color w:val="auto"/>
                <w:sz w:val="24"/>
                <w:szCs w:val="24"/>
              </w:rPr>
            </w:pPr>
            <w:r>
              <w:rPr>
                <w:rFonts w:hint="default"/>
                <w:color w:val="auto"/>
                <w:sz w:val="24"/>
                <w:szCs w:val="24"/>
              </w:rPr>
              <w:t>本项目总投资</w:t>
            </w:r>
            <w:r>
              <w:rPr>
                <w:rFonts w:hint="eastAsia"/>
                <w:color w:val="auto"/>
                <w:sz w:val="24"/>
                <w:szCs w:val="24"/>
                <w:lang w:val="en-US" w:eastAsia="zh-CN"/>
              </w:rPr>
              <w:t>3000</w:t>
            </w:r>
            <w:r>
              <w:rPr>
                <w:rFonts w:hint="default"/>
                <w:color w:val="auto"/>
                <w:sz w:val="24"/>
                <w:szCs w:val="24"/>
              </w:rPr>
              <w:t>万元，环保投资约</w:t>
            </w:r>
            <w:r>
              <w:rPr>
                <w:rFonts w:hint="eastAsia"/>
                <w:color w:val="auto"/>
                <w:sz w:val="24"/>
                <w:szCs w:val="24"/>
                <w:lang w:val="en-US" w:eastAsia="zh-CN"/>
              </w:rPr>
              <w:t>6</w:t>
            </w:r>
            <w:r>
              <w:rPr>
                <w:rFonts w:hint="eastAsia"/>
                <w:color w:val="auto"/>
                <w:sz w:val="24"/>
                <w:szCs w:val="24"/>
              </w:rPr>
              <w:t>6</w:t>
            </w:r>
            <w:r>
              <w:rPr>
                <w:rFonts w:hint="default"/>
                <w:color w:val="auto"/>
                <w:sz w:val="24"/>
                <w:szCs w:val="24"/>
              </w:rPr>
              <w:t>万元，占总投资的</w:t>
            </w:r>
            <w:r>
              <w:rPr>
                <w:rFonts w:hint="eastAsia"/>
                <w:color w:val="auto"/>
                <w:sz w:val="24"/>
                <w:szCs w:val="24"/>
                <w:lang w:val="en-US" w:eastAsia="zh-CN"/>
              </w:rPr>
              <w:t>2.2</w:t>
            </w:r>
            <w:r>
              <w:rPr>
                <w:rFonts w:hint="default"/>
                <w:color w:val="auto"/>
                <w:sz w:val="24"/>
                <w:szCs w:val="24"/>
              </w:rPr>
              <w:t>%，项目环保投资情况具体见下表。</w:t>
            </w:r>
          </w:p>
          <w:p>
            <w:pPr>
              <w:keepNext w:val="0"/>
              <w:keepLines w:val="0"/>
              <w:suppressLineNumbers w:val="0"/>
              <w:spacing w:before="0" w:beforeAutospacing="0" w:after="0" w:afterAutospacing="0"/>
              <w:ind w:left="0" w:right="0"/>
              <w:jc w:val="center"/>
              <w:rPr>
                <w:rFonts w:hint="default"/>
                <w:b/>
                <w:bCs/>
                <w:color w:val="auto"/>
              </w:rPr>
            </w:pPr>
            <w:r>
              <w:rPr>
                <w:rFonts w:hint="default"/>
                <w:b/>
                <w:bCs/>
                <w:color w:val="auto"/>
              </w:rPr>
              <w:t>表4-1</w:t>
            </w:r>
            <w:r>
              <w:rPr>
                <w:rFonts w:hint="eastAsia"/>
                <w:b/>
                <w:bCs/>
                <w:color w:val="auto"/>
                <w:lang w:val="en-US" w:eastAsia="zh-CN"/>
              </w:rPr>
              <w:t xml:space="preserve">4 </w:t>
            </w:r>
            <w:r>
              <w:rPr>
                <w:rFonts w:hint="default"/>
                <w:b/>
                <w:bCs/>
                <w:color w:val="auto"/>
              </w:rPr>
              <w:t>环保投资一览表</w:t>
            </w:r>
          </w:p>
          <w:tbl>
            <w:tblPr>
              <w:tblStyle w:val="29"/>
              <w:tblW w:w="8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676"/>
              <w:gridCol w:w="2039"/>
              <w:gridCol w:w="3841"/>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426" w:type="dxa"/>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时期</w:t>
                  </w:r>
                </w:p>
              </w:tc>
              <w:tc>
                <w:tcPr>
                  <w:tcW w:w="676" w:type="dxa"/>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内容分类</w:t>
                  </w:r>
                </w:p>
              </w:tc>
              <w:tc>
                <w:tcPr>
                  <w:tcW w:w="2039" w:type="dxa"/>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污染源</w:t>
                  </w:r>
                </w:p>
              </w:tc>
              <w:tc>
                <w:tcPr>
                  <w:tcW w:w="3841" w:type="dxa"/>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环保措施</w:t>
                  </w:r>
                </w:p>
              </w:tc>
              <w:tc>
                <w:tcPr>
                  <w:tcW w:w="1075" w:type="dxa"/>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环保投资（万元）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426" w:type="dxa"/>
                  <w:vMerge w:val="restart"/>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运营期</w:t>
                  </w:r>
                </w:p>
              </w:tc>
              <w:tc>
                <w:tcPr>
                  <w:tcW w:w="676" w:type="dxa"/>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废气</w:t>
                  </w:r>
                </w:p>
              </w:tc>
              <w:tc>
                <w:tcPr>
                  <w:tcW w:w="2039" w:type="dxa"/>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恶臭气体</w:t>
                  </w:r>
                </w:p>
              </w:tc>
              <w:tc>
                <w:tcPr>
                  <w:tcW w:w="3841" w:type="dxa"/>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eastAsia"/>
                      <w:color w:val="auto"/>
                    </w:rPr>
                    <w:t>加盖或密闭等</w:t>
                  </w:r>
                </w:p>
              </w:tc>
              <w:tc>
                <w:tcPr>
                  <w:tcW w:w="1075" w:type="dxa"/>
                  <w:noWrap w:val="0"/>
                  <w:vAlign w:val="center"/>
                </w:tcPr>
                <w:p>
                  <w:pPr>
                    <w:keepNext w:val="0"/>
                    <w:keepLines w:val="0"/>
                    <w:suppressLineNumbers w:val="0"/>
                    <w:spacing w:before="0" w:beforeAutospacing="0" w:after="0" w:afterAutospacing="0"/>
                    <w:ind w:left="0" w:right="0"/>
                    <w:jc w:val="center"/>
                    <w:rPr>
                      <w:rFonts w:hint="default" w:eastAsia="宋体"/>
                      <w:color w:val="auto"/>
                      <w:lang w:val="en-US" w:eastAsia="zh-CN"/>
                    </w:rPr>
                  </w:pPr>
                  <w:r>
                    <w:rPr>
                      <w:rFonts w:hint="eastAsia"/>
                      <w:color w:va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426"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rPr>
                  </w:pPr>
                </w:p>
              </w:tc>
              <w:tc>
                <w:tcPr>
                  <w:tcW w:w="676" w:type="dxa"/>
                  <w:vMerge w:val="restart"/>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废水</w:t>
                  </w:r>
                </w:p>
              </w:tc>
              <w:tc>
                <w:tcPr>
                  <w:tcW w:w="2039" w:type="dxa"/>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污泥脱水废水、职工生活废水</w:t>
                  </w:r>
                </w:p>
              </w:tc>
              <w:tc>
                <w:tcPr>
                  <w:tcW w:w="3841" w:type="dxa"/>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生活污水经化粪池处理后进入污水处理厂进水口再次处理；污泥脱水废水经收集后进入进水口</w:t>
                  </w:r>
                </w:p>
              </w:tc>
              <w:tc>
                <w:tcPr>
                  <w:tcW w:w="1075" w:type="dxa"/>
                  <w:noWrap w:val="0"/>
                  <w:vAlign w:val="center"/>
                </w:tcPr>
                <w:p>
                  <w:pPr>
                    <w:keepNext w:val="0"/>
                    <w:keepLines w:val="0"/>
                    <w:suppressLineNumbers w:val="0"/>
                    <w:spacing w:before="0" w:beforeAutospacing="0" w:after="0" w:afterAutospacing="0"/>
                    <w:ind w:left="0" w:right="0"/>
                    <w:jc w:val="center"/>
                    <w:rPr>
                      <w:rFonts w:hint="eastAsia" w:eastAsia="宋体"/>
                      <w:color w:val="auto"/>
                      <w:lang w:eastAsia="zh-CN"/>
                    </w:rPr>
                  </w:pPr>
                  <w:r>
                    <w:rPr>
                      <w:rFonts w:hint="eastAsia"/>
                      <w:color w:val="auto"/>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426"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rPr>
                  </w:pPr>
                </w:p>
              </w:tc>
              <w:tc>
                <w:tcPr>
                  <w:tcW w:w="676"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rPr>
                  </w:pPr>
                </w:p>
              </w:tc>
              <w:tc>
                <w:tcPr>
                  <w:tcW w:w="2039" w:type="dxa"/>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进水、出水</w:t>
                  </w:r>
                </w:p>
              </w:tc>
              <w:tc>
                <w:tcPr>
                  <w:tcW w:w="3841" w:type="dxa"/>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在线监测系统</w:t>
                  </w:r>
                </w:p>
              </w:tc>
              <w:tc>
                <w:tcPr>
                  <w:tcW w:w="1075" w:type="dxa"/>
                  <w:noWrap w:val="0"/>
                  <w:vAlign w:val="center"/>
                </w:tcPr>
                <w:p>
                  <w:pPr>
                    <w:keepNext w:val="0"/>
                    <w:keepLines w:val="0"/>
                    <w:suppressLineNumbers w:val="0"/>
                    <w:spacing w:before="0" w:beforeAutospacing="0" w:after="0" w:afterAutospacing="0"/>
                    <w:ind w:left="0" w:right="0"/>
                    <w:jc w:val="center"/>
                    <w:rPr>
                      <w:rFonts w:hint="default" w:eastAsia="宋体"/>
                      <w:color w:val="auto"/>
                      <w:lang w:val="en-US" w:eastAsia="zh-CN"/>
                    </w:rPr>
                  </w:pPr>
                  <w:r>
                    <w:rPr>
                      <w:rFonts w:hint="eastAsia"/>
                      <w:color w:val="auto"/>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426"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rPr>
                  </w:pPr>
                </w:p>
              </w:tc>
              <w:tc>
                <w:tcPr>
                  <w:tcW w:w="676"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rPr>
                  </w:pPr>
                </w:p>
              </w:tc>
              <w:tc>
                <w:tcPr>
                  <w:tcW w:w="2039" w:type="dxa"/>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地下水污染防治措施</w:t>
                  </w:r>
                </w:p>
              </w:tc>
              <w:tc>
                <w:tcPr>
                  <w:tcW w:w="3841" w:type="dxa"/>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地面硬化，污水池、排水沟防腐防渗，配套管网防腐防渗</w:t>
                  </w:r>
                </w:p>
              </w:tc>
              <w:tc>
                <w:tcPr>
                  <w:tcW w:w="1075" w:type="dxa"/>
                  <w:noWrap w:val="0"/>
                  <w:vAlign w:val="center"/>
                </w:tcPr>
                <w:p>
                  <w:pPr>
                    <w:keepNext w:val="0"/>
                    <w:keepLines w:val="0"/>
                    <w:suppressLineNumbers w:val="0"/>
                    <w:spacing w:before="0" w:beforeAutospacing="0" w:after="0" w:afterAutospacing="0"/>
                    <w:ind w:left="0" w:right="0"/>
                    <w:jc w:val="center"/>
                    <w:rPr>
                      <w:rFonts w:hint="default" w:eastAsia="宋体"/>
                      <w:color w:val="auto"/>
                      <w:lang w:val="en-US" w:eastAsia="zh-CN"/>
                    </w:rPr>
                  </w:pPr>
                  <w:r>
                    <w:rPr>
                      <w:rFonts w:hint="eastAsia"/>
                      <w:color w:val="auto"/>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426"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rPr>
                  </w:pPr>
                </w:p>
              </w:tc>
              <w:tc>
                <w:tcPr>
                  <w:tcW w:w="676" w:type="dxa"/>
                  <w:vMerge w:val="restart"/>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固废</w:t>
                  </w:r>
                </w:p>
              </w:tc>
              <w:tc>
                <w:tcPr>
                  <w:tcW w:w="2039" w:type="dxa"/>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格栅渣、职工生活垃圾</w:t>
                  </w:r>
                </w:p>
              </w:tc>
              <w:tc>
                <w:tcPr>
                  <w:tcW w:w="3841" w:type="dxa"/>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栅渣经收集后外运垃圾填埋场处理；生活垃圾等交由环卫部门处理；</w:t>
                  </w:r>
                </w:p>
              </w:tc>
              <w:tc>
                <w:tcPr>
                  <w:tcW w:w="1075" w:type="dxa"/>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eastAsia"/>
                      <w:color w:val="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426"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rPr>
                  </w:pPr>
                </w:p>
              </w:tc>
              <w:tc>
                <w:tcPr>
                  <w:tcW w:w="676"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rPr>
                  </w:pPr>
                </w:p>
              </w:tc>
              <w:tc>
                <w:tcPr>
                  <w:tcW w:w="2039" w:type="dxa"/>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污泥</w:t>
                  </w:r>
                </w:p>
              </w:tc>
              <w:tc>
                <w:tcPr>
                  <w:tcW w:w="3841" w:type="dxa"/>
                  <w:noWrap w:val="0"/>
                  <w:vAlign w:val="center"/>
                </w:tcPr>
                <w:p>
                  <w:pPr>
                    <w:keepNext w:val="0"/>
                    <w:keepLines w:val="0"/>
                    <w:suppressLineNumbers w:val="0"/>
                    <w:spacing w:before="0" w:beforeAutospacing="0" w:after="0" w:afterAutospacing="0"/>
                    <w:ind w:left="0" w:right="0"/>
                    <w:jc w:val="center"/>
                    <w:rPr>
                      <w:rFonts w:hint="eastAsia" w:eastAsia="宋体"/>
                      <w:color w:val="auto"/>
                      <w:lang w:eastAsia="zh-CN"/>
                    </w:rPr>
                  </w:pPr>
                  <w:r>
                    <w:rPr>
                      <w:rFonts w:hint="eastAsia" w:ascii="Times New Roman" w:hAnsi="Times New Roman" w:cs="Times New Roman"/>
                      <w:color w:val="auto"/>
                      <w:sz w:val="21"/>
                      <w:szCs w:val="21"/>
                      <w:vertAlign w:val="baseline"/>
                      <w:lang w:val="en-US" w:eastAsia="zh-CN"/>
                    </w:rPr>
                    <w:t>设置一个一般固废暂存间</w:t>
                  </w:r>
                </w:p>
              </w:tc>
              <w:tc>
                <w:tcPr>
                  <w:tcW w:w="1075" w:type="dxa"/>
                  <w:noWrap w:val="0"/>
                  <w:vAlign w:val="center"/>
                </w:tcPr>
                <w:p>
                  <w:pPr>
                    <w:keepNext w:val="0"/>
                    <w:keepLines w:val="0"/>
                    <w:suppressLineNumbers w:val="0"/>
                    <w:spacing w:before="0" w:beforeAutospacing="0" w:after="0" w:afterAutospacing="0"/>
                    <w:ind w:left="0" w:right="0"/>
                    <w:jc w:val="center"/>
                    <w:rPr>
                      <w:rFonts w:hint="eastAsia" w:eastAsia="宋体"/>
                      <w:color w:val="auto"/>
                      <w:lang w:eastAsia="zh-CN"/>
                    </w:rPr>
                  </w:pPr>
                  <w:r>
                    <w:rPr>
                      <w:rFonts w:hint="eastAsia"/>
                      <w:color w:val="auto"/>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426"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rPr>
                  </w:pPr>
                </w:p>
              </w:tc>
              <w:tc>
                <w:tcPr>
                  <w:tcW w:w="676"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rPr>
                  </w:pPr>
                </w:p>
              </w:tc>
              <w:tc>
                <w:tcPr>
                  <w:tcW w:w="2039" w:type="dxa"/>
                  <w:noWrap w:val="0"/>
                  <w:vAlign w:val="center"/>
                </w:tcPr>
                <w:p>
                  <w:pPr>
                    <w:keepNext w:val="0"/>
                    <w:keepLines w:val="0"/>
                    <w:suppressLineNumbers w:val="0"/>
                    <w:spacing w:before="0" w:beforeAutospacing="0" w:after="0" w:afterAutospacing="0"/>
                    <w:ind w:left="0" w:right="0"/>
                    <w:jc w:val="center"/>
                    <w:rPr>
                      <w:rFonts w:hint="eastAsia" w:eastAsia="宋体"/>
                      <w:color w:val="auto"/>
                      <w:lang w:val="en-US" w:eastAsia="zh-CN"/>
                    </w:rPr>
                  </w:pPr>
                  <w:r>
                    <w:rPr>
                      <w:rFonts w:hint="eastAsia"/>
                      <w:color w:val="auto"/>
                      <w:lang w:val="en-US" w:eastAsia="zh-CN"/>
                    </w:rPr>
                    <w:t>危废</w:t>
                  </w:r>
                </w:p>
              </w:tc>
              <w:tc>
                <w:tcPr>
                  <w:tcW w:w="3841" w:type="dxa"/>
                  <w:noWrap w:val="0"/>
                  <w:vAlign w:val="center"/>
                </w:tcPr>
                <w:p>
                  <w:pPr>
                    <w:keepNext w:val="0"/>
                    <w:keepLines w:val="0"/>
                    <w:suppressLineNumbers w:val="0"/>
                    <w:spacing w:before="0" w:beforeAutospacing="0" w:after="0" w:afterAutospacing="0"/>
                    <w:ind w:left="0" w:right="0"/>
                    <w:jc w:val="center"/>
                    <w:rPr>
                      <w:rFonts w:hint="default"/>
                      <w:color w:val="auto"/>
                      <w:lang w:val="en-US" w:eastAsia="zh-CN"/>
                    </w:rPr>
                  </w:pPr>
                  <w:r>
                    <w:rPr>
                      <w:rFonts w:hint="eastAsia"/>
                      <w:color w:val="auto"/>
                      <w:lang w:val="en-US" w:eastAsia="zh-CN"/>
                    </w:rPr>
                    <w:t>危废暂存间</w:t>
                  </w:r>
                </w:p>
              </w:tc>
              <w:tc>
                <w:tcPr>
                  <w:tcW w:w="1075" w:type="dxa"/>
                  <w:noWrap w:val="0"/>
                  <w:vAlign w:val="center"/>
                </w:tcPr>
                <w:p>
                  <w:pPr>
                    <w:keepNext w:val="0"/>
                    <w:keepLines w:val="0"/>
                    <w:suppressLineNumbers w:val="0"/>
                    <w:spacing w:before="0" w:beforeAutospacing="0" w:after="0" w:afterAutospacing="0"/>
                    <w:ind w:left="0" w:right="0"/>
                    <w:jc w:val="center"/>
                    <w:rPr>
                      <w:rFonts w:hint="default"/>
                      <w:color w:val="auto"/>
                      <w:lang w:val="en-US" w:eastAsia="zh-CN"/>
                    </w:rPr>
                  </w:pPr>
                  <w:r>
                    <w:rPr>
                      <w:rFonts w:hint="eastAsia"/>
                      <w:color w:val="auto"/>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426"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rPr>
                  </w:pPr>
                </w:p>
              </w:tc>
              <w:tc>
                <w:tcPr>
                  <w:tcW w:w="676" w:type="dxa"/>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噪声</w:t>
                  </w:r>
                </w:p>
              </w:tc>
              <w:tc>
                <w:tcPr>
                  <w:tcW w:w="2039" w:type="dxa"/>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风机、搅拌机、泵等设备噪声</w:t>
                  </w:r>
                </w:p>
              </w:tc>
              <w:tc>
                <w:tcPr>
                  <w:tcW w:w="3841" w:type="dxa"/>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基础减振、厂房隔声、消声降噪</w:t>
                  </w:r>
                </w:p>
              </w:tc>
              <w:tc>
                <w:tcPr>
                  <w:tcW w:w="1075" w:type="dxa"/>
                  <w:noWrap w:val="0"/>
                  <w:vAlign w:val="center"/>
                </w:tcPr>
                <w:p>
                  <w:pPr>
                    <w:keepNext w:val="0"/>
                    <w:keepLines w:val="0"/>
                    <w:suppressLineNumbers w:val="0"/>
                    <w:spacing w:before="0" w:beforeAutospacing="0" w:after="0" w:afterAutospacing="0"/>
                    <w:ind w:left="0" w:right="0"/>
                    <w:jc w:val="center"/>
                    <w:rPr>
                      <w:rFonts w:hint="eastAsia" w:eastAsia="宋体"/>
                      <w:color w:val="auto"/>
                      <w:lang w:eastAsia="zh-CN"/>
                    </w:rPr>
                  </w:pPr>
                  <w:r>
                    <w:rPr>
                      <w:rFonts w:hint="eastAsia"/>
                      <w:color w:val="auto"/>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141" w:type="dxa"/>
                  <w:gridSpan w:val="3"/>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绿化</w:t>
                  </w:r>
                </w:p>
              </w:tc>
              <w:tc>
                <w:tcPr>
                  <w:tcW w:w="3841" w:type="dxa"/>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厂区绿化及周边防护林带、管线周围植被恢复</w:t>
                  </w:r>
                </w:p>
              </w:tc>
              <w:tc>
                <w:tcPr>
                  <w:tcW w:w="1075" w:type="dxa"/>
                  <w:noWrap w:val="0"/>
                  <w:vAlign w:val="center"/>
                </w:tcPr>
                <w:p>
                  <w:pPr>
                    <w:keepNext w:val="0"/>
                    <w:keepLines w:val="0"/>
                    <w:suppressLineNumbers w:val="0"/>
                    <w:spacing w:before="0" w:beforeAutospacing="0" w:after="0" w:afterAutospacing="0"/>
                    <w:ind w:left="0" w:right="0"/>
                    <w:jc w:val="center"/>
                    <w:rPr>
                      <w:rFonts w:hint="eastAsia" w:eastAsia="宋体"/>
                      <w:color w:val="auto"/>
                      <w:lang w:eastAsia="zh-CN"/>
                    </w:rPr>
                  </w:pPr>
                  <w:r>
                    <w:rPr>
                      <w:rFonts w:hint="eastAsia"/>
                      <w:color w:val="auto"/>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982" w:type="dxa"/>
                  <w:gridSpan w:val="4"/>
                  <w:noWrap w:val="0"/>
                  <w:vAlign w:val="center"/>
                </w:tcPr>
                <w:p>
                  <w:pPr>
                    <w:keepNext w:val="0"/>
                    <w:keepLines w:val="0"/>
                    <w:suppressLineNumbers w:val="0"/>
                    <w:spacing w:before="0" w:beforeAutospacing="0" w:after="0" w:afterAutospacing="0"/>
                    <w:ind w:left="0" w:right="0"/>
                    <w:jc w:val="center"/>
                    <w:rPr>
                      <w:rFonts w:hint="default"/>
                      <w:color w:val="auto"/>
                    </w:rPr>
                  </w:pPr>
                  <w:r>
                    <w:rPr>
                      <w:rFonts w:hint="default"/>
                      <w:color w:val="auto"/>
                    </w:rPr>
                    <w:t>合计</w:t>
                  </w:r>
                </w:p>
              </w:tc>
              <w:tc>
                <w:tcPr>
                  <w:tcW w:w="1075" w:type="dxa"/>
                  <w:noWrap w:val="0"/>
                  <w:vAlign w:val="center"/>
                </w:tcPr>
                <w:p>
                  <w:pPr>
                    <w:keepNext w:val="0"/>
                    <w:keepLines w:val="0"/>
                    <w:suppressLineNumbers w:val="0"/>
                    <w:spacing w:before="0" w:beforeAutospacing="0" w:after="0" w:afterAutospacing="0"/>
                    <w:ind w:left="0" w:right="0"/>
                    <w:jc w:val="center"/>
                    <w:rPr>
                      <w:rFonts w:hint="default" w:eastAsia="宋体"/>
                      <w:color w:val="auto"/>
                      <w:lang w:val="en-US" w:eastAsia="zh-CN"/>
                    </w:rPr>
                  </w:pPr>
                  <w:r>
                    <w:rPr>
                      <w:rFonts w:hint="eastAsia"/>
                      <w:color w:val="auto"/>
                      <w:lang w:val="en-US" w:eastAsia="zh-CN"/>
                    </w:rPr>
                    <w:t>66</w:t>
                  </w:r>
                </w:p>
              </w:tc>
            </w:tr>
          </w:tbl>
          <w:p>
            <w:pPr>
              <w:keepNext w:val="0"/>
              <w:keepLines w:val="0"/>
              <w:suppressLineNumbers w:val="0"/>
              <w:adjustRightInd w:val="0"/>
              <w:snapToGrid w:val="0"/>
              <w:spacing w:before="0" w:beforeAutospacing="0" w:after="0" w:afterAutospacing="0" w:line="360" w:lineRule="auto"/>
              <w:ind w:left="0" w:right="0"/>
              <w:rPr>
                <w:rFonts w:hint="default" w:eastAsia="宋体" w:cs="宋体"/>
                <w:bCs/>
                <w:color w:val="auto"/>
                <w:spacing w:val="-10"/>
                <w:sz w:val="18"/>
                <w:szCs w:val="18"/>
                <w:lang w:val="en-US" w:eastAsia="zh-CN"/>
              </w:rPr>
            </w:pPr>
          </w:p>
        </w:tc>
      </w:tr>
    </w:tbl>
    <w:p>
      <w:pPr>
        <w:adjustRightInd w:val="0"/>
        <w:snapToGrid w:val="0"/>
        <w:spacing w:line="360" w:lineRule="auto"/>
        <w:rPr>
          <w:rFonts w:hint="eastAsia" w:cs="宋体"/>
          <w:b/>
          <w:color w:val="auto"/>
          <w:kern w:val="0"/>
          <w:sz w:val="28"/>
          <w:szCs w:val="28"/>
        </w:rPr>
        <w:sectPr>
          <w:pgSz w:w="11907" w:h="16840"/>
          <w:pgMar w:top="1440" w:right="1417" w:bottom="1440" w:left="1417" w:header="851" w:footer="850" w:gutter="0"/>
          <w:pgBorders>
            <w:top w:val="none" w:sz="0" w:space="0"/>
            <w:left w:val="none" w:sz="0" w:space="0"/>
            <w:bottom w:val="none" w:sz="0" w:space="0"/>
            <w:right w:val="none" w:sz="0" w:space="0"/>
          </w:pgBorders>
          <w:cols w:space="720" w:num="1"/>
          <w:docGrid w:type="lines" w:linePitch="312" w:charSpace="0"/>
        </w:sectPr>
      </w:pPr>
    </w:p>
    <w:p>
      <w:pPr>
        <w:pStyle w:val="25"/>
        <w:spacing w:before="0" w:beforeAutospacing="0" w:after="0" w:afterAutospacing="0"/>
        <w:jc w:val="center"/>
        <w:outlineLvl w:val="0"/>
        <w:rPr>
          <w:rFonts w:ascii="Times New Roman" w:hAnsi="Times New Roman" w:eastAsia="黑体"/>
          <w:snapToGrid w:val="0"/>
          <w:color w:val="auto"/>
          <w:sz w:val="30"/>
          <w:szCs w:val="30"/>
        </w:rPr>
      </w:pPr>
      <w:bookmarkStart w:id="8" w:name="_Toc8229"/>
      <w:r>
        <w:rPr>
          <w:rFonts w:hint="eastAsia" w:ascii="Times New Roman" w:hAnsi="Times New Roman" w:eastAsia="黑体"/>
          <w:snapToGrid w:val="0"/>
          <w:color w:val="auto"/>
          <w:sz w:val="30"/>
          <w:szCs w:val="30"/>
        </w:rPr>
        <w:t>五、</w:t>
      </w:r>
      <w:bookmarkStart w:id="9" w:name="_Hlk54167917"/>
      <w:r>
        <w:rPr>
          <w:rFonts w:hint="eastAsia" w:ascii="Times New Roman" w:hAnsi="Times New Roman" w:eastAsia="黑体"/>
          <w:snapToGrid w:val="0"/>
          <w:color w:val="auto"/>
          <w:sz w:val="30"/>
          <w:szCs w:val="30"/>
        </w:rPr>
        <w:t>环境保护措施监督检查清单</w:t>
      </w:r>
      <w:bookmarkEnd w:id="8"/>
      <w:bookmarkEnd w:id="9"/>
    </w:p>
    <w:tbl>
      <w:tblPr>
        <w:tblStyle w:val="29"/>
        <w:tblW w:w="8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396"/>
        <w:gridCol w:w="1559"/>
        <w:gridCol w:w="1559"/>
        <w:gridCol w:w="1985"/>
        <w:gridCol w:w="23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396" w:type="dxa"/>
            <w:tcBorders>
              <w:tl2br w:val="single" w:color="auto" w:sz="4" w:space="0"/>
            </w:tcBorders>
            <w:noWrap w:val="0"/>
            <w:vAlign w:val="top"/>
          </w:tcPr>
          <w:p>
            <w:pPr>
              <w:keepNext w:val="0"/>
              <w:keepLines w:val="0"/>
              <w:suppressLineNumbers w:val="0"/>
              <w:adjustRightInd w:val="0"/>
              <w:snapToGrid w:val="0"/>
              <w:spacing w:before="0" w:beforeAutospacing="0" w:after="0" w:afterAutospacing="0"/>
              <w:ind w:left="0" w:right="0" w:firstLine="735" w:firstLineChars="350"/>
              <w:rPr>
                <w:rFonts w:hint="default"/>
                <w:color w:val="auto"/>
                <w:sz w:val="21"/>
                <w:szCs w:val="21"/>
              </w:rPr>
            </w:pPr>
            <w:r>
              <w:rPr>
                <w:rFonts w:hint="default"/>
                <w:color w:val="auto"/>
                <w:sz w:val="21"/>
                <w:szCs w:val="21"/>
              </w:rPr>
              <w:t>内容</w:t>
            </w:r>
          </w:p>
          <w:p>
            <w:pPr>
              <w:keepNext w:val="0"/>
              <w:keepLines w:val="0"/>
              <w:suppressLineNumbers w:val="0"/>
              <w:adjustRightInd w:val="0"/>
              <w:snapToGrid w:val="0"/>
              <w:spacing w:before="0" w:beforeAutospacing="0" w:after="0" w:afterAutospacing="0"/>
              <w:ind w:left="0" w:right="0"/>
              <w:rPr>
                <w:rFonts w:hint="default"/>
                <w:color w:val="auto"/>
                <w:sz w:val="21"/>
                <w:szCs w:val="21"/>
              </w:rPr>
            </w:pPr>
            <w:r>
              <w:rPr>
                <w:rFonts w:hint="default"/>
                <w:color w:val="auto"/>
                <w:sz w:val="21"/>
                <w:szCs w:val="21"/>
              </w:rPr>
              <w:t>要素</w:t>
            </w:r>
          </w:p>
        </w:tc>
        <w:tc>
          <w:tcPr>
            <w:tcW w:w="155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21"/>
                <w:szCs w:val="21"/>
              </w:rPr>
            </w:pPr>
            <w:r>
              <w:rPr>
                <w:rFonts w:hint="default"/>
                <w:color w:val="auto"/>
                <w:sz w:val="21"/>
                <w:szCs w:val="21"/>
              </w:rPr>
              <w:t>排放口(编号、</w:t>
            </w:r>
          </w:p>
          <w:p>
            <w:pPr>
              <w:keepNext w:val="0"/>
              <w:keepLines w:val="0"/>
              <w:suppressLineNumbers w:val="0"/>
              <w:adjustRightInd w:val="0"/>
              <w:snapToGrid w:val="0"/>
              <w:spacing w:before="0" w:beforeAutospacing="0" w:after="0" w:afterAutospacing="0"/>
              <w:ind w:left="0" w:right="0"/>
              <w:jc w:val="center"/>
              <w:rPr>
                <w:rFonts w:hint="default"/>
                <w:color w:val="auto"/>
                <w:sz w:val="21"/>
                <w:szCs w:val="21"/>
              </w:rPr>
            </w:pPr>
            <w:r>
              <w:rPr>
                <w:rFonts w:hint="default"/>
                <w:color w:val="auto"/>
                <w:sz w:val="21"/>
                <w:szCs w:val="21"/>
              </w:rPr>
              <w:t>名称)/污染源</w:t>
            </w:r>
          </w:p>
        </w:tc>
        <w:tc>
          <w:tcPr>
            <w:tcW w:w="155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21"/>
                <w:szCs w:val="21"/>
              </w:rPr>
            </w:pPr>
            <w:r>
              <w:rPr>
                <w:rFonts w:hint="default"/>
                <w:color w:val="auto"/>
                <w:sz w:val="21"/>
                <w:szCs w:val="21"/>
              </w:rPr>
              <w:t>污染物项目</w:t>
            </w:r>
          </w:p>
        </w:tc>
        <w:tc>
          <w:tcPr>
            <w:tcW w:w="198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21"/>
                <w:szCs w:val="21"/>
              </w:rPr>
            </w:pPr>
            <w:r>
              <w:rPr>
                <w:rFonts w:hint="default"/>
                <w:color w:val="auto"/>
                <w:sz w:val="21"/>
                <w:szCs w:val="21"/>
              </w:rPr>
              <w:t>环境保护措施</w:t>
            </w:r>
          </w:p>
        </w:tc>
        <w:tc>
          <w:tcPr>
            <w:tcW w:w="2301"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21"/>
                <w:szCs w:val="21"/>
              </w:rPr>
            </w:pPr>
            <w:r>
              <w:rPr>
                <w:rFonts w:hint="default"/>
                <w:color w:val="auto"/>
                <w:sz w:val="21"/>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995" w:hRule="atLeast"/>
          <w:jc w:val="center"/>
        </w:trPr>
        <w:tc>
          <w:tcPr>
            <w:tcW w:w="139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21"/>
                <w:szCs w:val="21"/>
              </w:rPr>
            </w:pPr>
            <w:r>
              <w:rPr>
                <w:rFonts w:hint="default"/>
                <w:color w:val="auto"/>
                <w:sz w:val="21"/>
                <w:szCs w:val="21"/>
              </w:rPr>
              <w:t>大气环境</w:t>
            </w:r>
          </w:p>
        </w:tc>
        <w:tc>
          <w:tcPr>
            <w:tcW w:w="155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21"/>
                <w:szCs w:val="21"/>
              </w:rPr>
            </w:pPr>
            <w:r>
              <w:rPr>
                <w:rFonts w:hint="default"/>
                <w:color w:val="auto"/>
                <w:sz w:val="21"/>
                <w:szCs w:val="21"/>
              </w:rPr>
              <w:t>废水处理</w:t>
            </w:r>
          </w:p>
        </w:tc>
        <w:tc>
          <w:tcPr>
            <w:tcW w:w="1559" w:type="dxa"/>
            <w:noWrap w:val="0"/>
            <w:vAlign w:val="center"/>
          </w:tcPr>
          <w:p>
            <w:pPr>
              <w:pStyle w:val="94"/>
              <w:keepNext w:val="0"/>
              <w:keepLines w:val="0"/>
              <w:suppressLineNumbers w:val="0"/>
              <w:spacing w:before="0" w:beforeAutospacing="0" w:after="0" w:afterAutospacing="0" w:line="240" w:lineRule="auto"/>
              <w:ind w:left="0" w:right="0"/>
              <w:jc w:val="center"/>
              <w:rPr>
                <w:rFonts w:hint="default" w:eastAsia="宋体"/>
                <w:color w:val="auto"/>
                <w:sz w:val="21"/>
                <w:szCs w:val="21"/>
                <w:lang w:val="en-US" w:eastAsia="zh-CN"/>
              </w:rPr>
            </w:pPr>
            <w:r>
              <w:rPr>
                <w:rFonts w:hint="default"/>
                <w:color w:val="auto"/>
                <w:sz w:val="21"/>
                <w:szCs w:val="21"/>
              </w:rPr>
              <w:t>NH</w:t>
            </w:r>
            <w:r>
              <w:rPr>
                <w:rFonts w:hint="default"/>
                <w:color w:val="auto"/>
                <w:sz w:val="21"/>
                <w:szCs w:val="21"/>
                <w:vertAlign w:val="subscript"/>
              </w:rPr>
              <w:t>3</w:t>
            </w:r>
            <w:r>
              <w:rPr>
                <w:rFonts w:hint="eastAsia"/>
                <w:color w:val="auto"/>
                <w:sz w:val="21"/>
                <w:szCs w:val="21"/>
                <w:vertAlign w:val="baseline"/>
                <w:lang w:val="en-US" w:eastAsia="zh-CN"/>
              </w:rPr>
              <w:t>、</w:t>
            </w:r>
            <w:r>
              <w:rPr>
                <w:rFonts w:hint="default"/>
                <w:color w:val="auto"/>
                <w:sz w:val="21"/>
                <w:szCs w:val="21"/>
              </w:rPr>
              <w:t>H</w:t>
            </w:r>
            <w:r>
              <w:rPr>
                <w:rFonts w:hint="default"/>
                <w:color w:val="auto"/>
                <w:sz w:val="21"/>
                <w:szCs w:val="21"/>
                <w:vertAlign w:val="subscript"/>
              </w:rPr>
              <w:t>2</w:t>
            </w:r>
            <w:r>
              <w:rPr>
                <w:rFonts w:hint="default"/>
                <w:color w:val="auto"/>
                <w:sz w:val="21"/>
                <w:szCs w:val="21"/>
              </w:rPr>
              <w:t>S</w:t>
            </w:r>
            <w:r>
              <w:rPr>
                <w:rFonts w:hint="eastAsia"/>
                <w:color w:val="auto"/>
                <w:sz w:val="21"/>
                <w:szCs w:val="21"/>
                <w:lang w:val="en-US" w:eastAsia="zh-CN"/>
              </w:rPr>
              <w:t>、臭气浓度</w:t>
            </w:r>
          </w:p>
        </w:tc>
        <w:tc>
          <w:tcPr>
            <w:tcW w:w="198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21"/>
                <w:szCs w:val="21"/>
              </w:rPr>
            </w:pPr>
            <w:r>
              <w:rPr>
                <w:rFonts w:hint="eastAsia"/>
                <w:color w:val="auto"/>
                <w:sz w:val="21"/>
                <w:szCs w:val="21"/>
              </w:rPr>
              <w:t>加盖或密闭等</w:t>
            </w:r>
          </w:p>
        </w:tc>
        <w:tc>
          <w:tcPr>
            <w:tcW w:w="2301"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21"/>
                <w:szCs w:val="21"/>
              </w:rPr>
            </w:pPr>
            <w:r>
              <w:rPr>
                <w:rFonts w:hint="default"/>
                <w:color w:val="auto"/>
                <w:sz w:val="21"/>
                <w:szCs w:val="21"/>
              </w:rPr>
              <w:t>《城镇污水处理厂污染物排放标准》（GB18918-2002）</w:t>
            </w:r>
            <w:r>
              <w:rPr>
                <w:rFonts w:hint="default"/>
                <w:bCs/>
                <w:color w:val="auto"/>
                <w:sz w:val="21"/>
                <w:szCs w:val="21"/>
              </w:rPr>
              <w:t>中相应标准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39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21"/>
                <w:szCs w:val="21"/>
              </w:rPr>
            </w:pPr>
            <w:r>
              <w:rPr>
                <w:rFonts w:hint="default"/>
                <w:color w:val="auto"/>
                <w:sz w:val="21"/>
                <w:szCs w:val="21"/>
              </w:rPr>
              <w:t>地表水环境</w:t>
            </w:r>
          </w:p>
        </w:tc>
        <w:tc>
          <w:tcPr>
            <w:tcW w:w="155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21"/>
                <w:szCs w:val="21"/>
              </w:rPr>
            </w:pPr>
            <w:r>
              <w:rPr>
                <w:rFonts w:hint="default"/>
                <w:color w:val="auto"/>
                <w:sz w:val="21"/>
                <w:szCs w:val="21"/>
              </w:rPr>
              <w:t>废水处理</w:t>
            </w:r>
          </w:p>
        </w:tc>
        <w:tc>
          <w:tcPr>
            <w:tcW w:w="155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21"/>
                <w:szCs w:val="21"/>
              </w:rPr>
            </w:pPr>
            <w:r>
              <w:rPr>
                <w:rFonts w:hint="default"/>
                <w:color w:val="auto"/>
                <w:sz w:val="21"/>
                <w:szCs w:val="21"/>
              </w:rPr>
              <w:t>COD、NH</w:t>
            </w:r>
            <w:r>
              <w:rPr>
                <w:rFonts w:hint="default"/>
                <w:color w:val="auto"/>
                <w:sz w:val="21"/>
                <w:szCs w:val="21"/>
                <w:vertAlign w:val="subscript"/>
              </w:rPr>
              <w:t>3</w:t>
            </w:r>
            <w:r>
              <w:rPr>
                <w:rFonts w:hint="default"/>
                <w:color w:val="auto"/>
                <w:sz w:val="21"/>
                <w:szCs w:val="21"/>
              </w:rPr>
              <w:t>-N、BOD</w:t>
            </w:r>
            <w:r>
              <w:rPr>
                <w:rFonts w:hint="default"/>
                <w:color w:val="auto"/>
                <w:sz w:val="21"/>
                <w:szCs w:val="21"/>
                <w:vertAlign w:val="subscript"/>
              </w:rPr>
              <w:t>5</w:t>
            </w:r>
            <w:r>
              <w:rPr>
                <w:rFonts w:hint="default"/>
                <w:color w:val="auto"/>
                <w:sz w:val="21"/>
                <w:szCs w:val="21"/>
              </w:rPr>
              <w:t>、TP、TN、SS</w:t>
            </w:r>
          </w:p>
        </w:tc>
        <w:tc>
          <w:tcPr>
            <w:tcW w:w="198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eastAsia="宋体"/>
                <w:color w:val="auto"/>
                <w:sz w:val="21"/>
                <w:szCs w:val="21"/>
                <w:lang w:val="en-US" w:eastAsia="zh-CN"/>
              </w:rPr>
            </w:pPr>
            <w:r>
              <w:rPr>
                <w:rFonts w:hint="eastAsia"/>
                <w:color w:val="auto"/>
                <w:sz w:val="21"/>
                <w:szCs w:val="21"/>
                <w:lang w:val="en-US" w:eastAsia="zh-CN"/>
              </w:rPr>
              <w:t>废水处理站</w:t>
            </w:r>
          </w:p>
        </w:tc>
        <w:tc>
          <w:tcPr>
            <w:tcW w:w="2301"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eastAsia="宋体"/>
                <w:color w:val="auto"/>
                <w:sz w:val="21"/>
                <w:szCs w:val="21"/>
                <w:lang w:val="en-US" w:eastAsia="zh-CN"/>
              </w:rPr>
            </w:pPr>
            <w:r>
              <w:rPr>
                <w:rFonts w:hint="default"/>
                <w:color w:val="auto"/>
                <w:sz w:val="21"/>
                <w:szCs w:val="21"/>
              </w:rPr>
              <w:t>《城镇污水处理厂污染物排放标准》（GB18918-2002）表1中一级标准的A标准</w:t>
            </w:r>
            <w:r>
              <w:rPr>
                <w:rFonts w:hint="eastAsia"/>
                <w:color w:val="auto"/>
                <w:sz w:val="21"/>
                <w:szCs w:val="21"/>
                <w:lang w:eastAsia="zh-CN"/>
              </w:rPr>
              <w:t>，</w:t>
            </w:r>
            <w:r>
              <w:rPr>
                <w:rFonts w:hint="eastAsia"/>
                <w:color w:val="auto"/>
                <w:sz w:val="21"/>
                <w:szCs w:val="21"/>
                <w:lang w:val="en-US" w:eastAsia="zh-CN"/>
              </w:rPr>
              <w:t>全部回用不外排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39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21"/>
                <w:szCs w:val="21"/>
              </w:rPr>
            </w:pPr>
            <w:r>
              <w:rPr>
                <w:rFonts w:hint="default"/>
                <w:color w:val="auto"/>
                <w:sz w:val="21"/>
                <w:szCs w:val="21"/>
              </w:rPr>
              <w:t>声环境</w:t>
            </w:r>
          </w:p>
        </w:tc>
        <w:tc>
          <w:tcPr>
            <w:tcW w:w="155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21"/>
                <w:szCs w:val="21"/>
              </w:rPr>
            </w:pPr>
            <w:r>
              <w:rPr>
                <w:rFonts w:hint="default"/>
                <w:color w:val="auto"/>
                <w:sz w:val="21"/>
                <w:szCs w:val="21"/>
              </w:rPr>
              <w:t>营运期厂界噪声</w:t>
            </w:r>
          </w:p>
        </w:tc>
        <w:tc>
          <w:tcPr>
            <w:tcW w:w="155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21"/>
                <w:szCs w:val="21"/>
              </w:rPr>
            </w:pPr>
            <w:r>
              <w:rPr>
                <w:rFonts w:hint="default"/>
                <w:color w:val="auto"/>
                <w:sz w:val="21"/>
                <w:szCs w:val="21"/>
              </w:rPr>
              <w:t>等效连续A声级</w:t>
            </w:r>
          </w:p>
        </w:tc>
        <w:tc>
          <w:tcPr>
            <w:tcW w:w="198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21"/>
                <w:szCs w:val="21"/>
              </w:rPr>
            </w:pPr>
            <w:r>
              <w:rPr>
                <w:rFonts w:hint="default"/>
                <w:color w:val="auto"/>
                <w:sz w:val="21"/>
                <w:szCs w:val="21"/>
              </w:rPr>
              <w:t>高噪声设备消声、隔声、减震，绿化带</w:t>
            </w:r>
          </w:p>
        </w:tc>
        <w:tc>
          <w:tcPr>
            <w:tcW w:w="2301"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21"/>
                <w:szCs w:val="21"/>
              </w:rPr>
            </w:pPr>
            <w:r>
              <w:rPr>
                <w:rFonts w:hint="default"/>
                <w:color w:val="auto"/>
                <w:sz w:val="21"/>
                <w:szCs w:val="21"/>
              </w:rPr>
              <w:t>《工业企业厂界噪声排放标准》（GB12348-2008）中</w:t>
            </w:r>
            <w:r>
              <w:rPr>
                <w:rFonts w:hint="eastAsia"/>
                <w:color w:val="auto"/>
                <w:sz w:val="21"/>
                <w:szCs w:val="21"/>
                <w:lang w:val="en-US" w:eastAsia="zh-CN"/>
              </w:rPr>
              <w:t>3</w:t>
            </w:r>
            <w:r>
              <w:rPr>
                <w:rFonts w:hint="default"/>
                <w:color w:val="auto"/>
                <w:sz w:val="21"/>
                <w:szCs w:val="21"/>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39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21"/>
                <w:szCs w:val="21"/>
              </w:rPr>
            </w:pPr>
            <w:r>
              <w:rPr>
                <w:rFonts w:hint="default"/>
                <w:color w:val="auto"/>
                <w:sz w:val="21"/>
                <w:szCs w:val="21"/>
              </w:rPr>
              <w:t>电磁辐射</w:t>
            </w:r>
          </w:p>
        </w:tc>
        <w:tc>
          <w:tcPr>
            <w:tcW w:w="155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21"/>
                <w:szCs w:val="21"/>
              </w:rPr>
            </w:pPr>
            <w:r>
              <w:rPr>
                <w:rFonts w:hint="default"/>
                <w:color w:val="auto"/>
                <w:sz w:val="21"/>
                <w:szCs w:val="21"/>
              </w:rPr>
              <w:t>/</w:t>
            </w:r>
          </w:p>
        </w:tc>
        <w:tc>
          <w:tcPr>
            <w:tcW w:w="155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21"/>
                <w:szCs w:val="21"/>
              </w:rPr>
            </w:pPr>
            <w:r>
              <w:rPr>
                <w:rFonts w:hint="default"/>
                <w:color w:val="auto"/>
                <w:sz w:val="21"/>
                <w:szCs w:val="21"/>
              </w:rPr>
              <w:t>/</w:t>
            </w:r>
          </w:p>
        </w:tc>
        <w:tc>
          <w:tcPr>
            <w:tcW w:w="198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21"/>
                <w:szCs w:val="21"/>
              </w:rPr>
            </w:pPr>
            <w:r>
              <w:rPr>
                <w:rFonts w:hint="default"/>
                <w:color w:val="auto"/>
                <w:sz w:val="21"/>
                <w:szCs w:val="21"/>
              </w:rPr>
              <w:t>/</w:t>
            </w:r>
          </w:p>
        </w:tc>
        <w:tc>
          <w:tcPr>
            <w:tcW w:w="2301"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 w:val="21"/>
                <w:szCs w:val="21"/>
              </w:rPr>
            </w:pPr>
            <w:r>
              <w:rPr>
                <w:rFonts w:hint="default"/>
                <w:color w:val="auto"/>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198" w:hRule="atLeast"/>
          <w:jc w:val="center"/>
        </w:trPr>
        <w:tc>
          <w:tcPr>
            <w:tcW w:w="1396"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color w:val="auto"/>
                <w:sz w:val="21"/>
                <w:szCs w:val="21"/>
              </w:rPr>
            </w:pPr>
            <w:r>
              <w:rPr>
                <w:rFonts w:hint="default"/>
                <w:color w:val="auto"/>
                <w:sz w:val="21"/>
                <w:szCs w:val="21"/>
              </w:rPr>
              <w:t>固体废物</w:t>
            </w:r>
          </w:p>
        </w:tc>
        <w:tc>
          <w:tcPr>
            <w:tcW w:w="7404" w:type="dxa"/>
            <w:gridSpan w:val="4"/>
            <w:noWrap w:val="0"/>
            <w:vAlign w:val="center"/>
          </w:tcPr>
          <w:p>
            <w:pPr>
              <w:keepNext w:val="0"/>
              <w:keepLines w:val="0"/>
              <w:suppressLineNumbers w:val="0"/>
              <w:adjustRightInd w:val="0"/>
              <w:snapToGrid w:val="0"/>
              <w:spacing w:before="0" w:beforeAutospacing="0" w:after="0" w:afterAutospacing="0"/>
              <w:ind w:left="0" w:right="0" w:firstLine="420" w:firstLineChars="200"/>
              <w:rPr>
                <w:rFonts w:hint="default"/>
                <w:color w:val="auto"/>
                <w:sz w:val="21"/>
                <w:szCs w:val="21"/>
              </w:rPr>
            </w:pPr>
            <w:r>
              <w:rPr>
                <w:rFonts w:hint="eastAsia" w:ascii="Times New Roman" w:hAnsi="Times New Roman" w:cs="Times New Roman"/>
                <w:color w:val="auto"/>
                <w:sz w:val="21"/>
                <w:szCs w:val="21"/>
                <w:vertAlign w:val="baseline"/>
                <w:lang w:val="en-US" w:eastAsia="zh-CN"/>
              </w:rPr>
              <w:t>设置一个一般固废暂存间。</w:t>
            </w:r>
            <w:r>
              <w:rPr>
                <w:rFonts w:hint="default"/>
                <w:color w:val="auto"/>
                <w:sz w:val="21"/>
                <w:szCs w:val="21"/>
              </w:rPr>
              <w:t>污水处理过程中产生的污泥、格栅沉渣</w:t>
            </w:r>
            <w:r>
              <w:rPr>
                <w:rFonts w:hint="eastAsia"/>
                <w:color w:val="auto"/>
                <w:sz w:val="21"/>
                <w:szCs w:val="21"/>
                <w:lang w:val="en-US" w:eastAsia="zh-CN"/>
              </w:rPr>
              <w:t>定期</w:t>
            </w:r>
            <w:r>
              <w:rPr>
                <w:rFonts w:hint="default"/>
                <w:color w:val="auto"/>
                <w:sz w:val="21"/>
                <w:szCs w:val="21"/>
              </w:rPr>
              <w:t>外运至</w:t>
            </w:r>
            <w:r>
              <w:rPr>
                <w:rFonts w:hint="eastAsia"/>
                <w:color w:val="auto"/>
                <w:sz w:val="21"/>
                <w:szCs w:val="21"/>
                <w:lang w:val="en-US" w:eastAsia="zh-CN"/>
              </w:rPr>
              <w:t>新田县</w:t>
            </w:r>
            <w:r>
              <w:rPr>
                <w:rFonts w:hint="default"/>
                <w:color w:val="auto"/>
                <w:sz w:val="21"/>
                <w:szCs w:val="21"/>
              </w:rPr>
              <w:t>填埋场进行填埋处理；</w:t>
            </w:r>
            <w:r>
              <w:rPr>
                <w:rFonts w:hint="eastAsia"/>
                <w:color w:val="auto"/>
                <w:sz w:val="21"/>
                <w:szCs w:val="21"/>
                <w:lang w:val="en-US" w:eastAsia="zh-CN"/>
              </w:rPr>
              <w:t>员工生活垃圾定期由环卫部门进行收集处置；</w:t>
            </w:r>
            <w:r>
              <w:rPr>
                <w:rFonts w:hint="eastAsia"/>
                <w:color w:val="auto"/>
                <w:sz w:val="21"/>
                <w:szCs w:val="21"/>
              </w:rPr>
              <w:t>废</w:t>
            </w:r>
            <w:r>
              <w:rPr>
                <w:rFonts w:hint="eastAsia"/>
                <w:color w:val="auto"/>
                <w:sz w:val="21"/>
                <w:szCs w:val="21"/>
                <w:lang w:val="en-US" w:eastAsia="zh-CN"/>
              </w:rPr>
              <w:t>润滑油</w:t>
            </w:r>
            <w:r>
              <w:rPr>
                <w:rFonts w:hint="eastAsia"/>
                <w:color w:val="auto"/>
                <w:sz w:val="21"/>
                <w:szCs w:val="21"/>
              </w:rPr>
              <w:t>等</w:t>
            </w:r>
            <w:r>
              <w:rPr>
                <w:rFonts w:hint="default"/>
                <w:color w:val="auto"/>
                <w:sz w:val="21"/>
                <w:szCs w:val="21"/>
              </w:rPr>
              <w:t>少量危废暂存于危废暂存间，委托有资质单位进行处置</w:t>
            </w:r>
            <w:r>
              <w:rPr>
                <w:rFonts w:hint="eastAsia"/>
                <w:color w:val="auto"/>
                <w:sz w:val="21"/>
                <w:szCs w:val="21"/>
              </w:rPr>
              <w:t>；危废暂存按照《危险废物贮存污染控制标准》（GB18597-20</w:t>
            </w:r>
            <w:r>
              <w:rPr>
                <w:rFonts w:hint="eastAsia"/>
                <w:color w:val="auto"/>
                <w:sz w:val="21"/>
                <w:szCs w:val="21"/>
                <w:lang w:val="en-US" w:eastAsia="zh-CN"/>
              </w:rPr>
              <w:t>23</w:t>
            </w:r>
            <w:r>
              <w:rPr>
                <w:rFonts w:hint="eastAsia"/>
                <w:color w:val="auto"/>
                <w:sz w:val="21"/>
                <w:szCs w:val="21"/>
              </w:rPr>
              <w:t>）实现规范化暂存，暂存区修建堵截泄漏的裙脚，地面与裙脚要用坚固的防渗材料建造，作好相应的防风、防雨、防渗漏、防盗及防流失措施，并设置明显标志。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1396"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color w:val="auto"/>
                <w:sz w:val="21"/>
                <w:szCs w:val="21"/>
              </w:rPr>
            </w:pPr>
            <w:r>
              <w:rPr>
                <w:rFonts w:hint="default"/>
                <w:color w:val="auto"/>
                <w:sz w:val="21"/>
                <w:szCs w:val="21"/>
              </w:rPr>
              <w:t>土壤及地下水</w:t>
            </w:r>
          </w:p>
          <w:p>
            <w:pPr>
              <w:keepNext w:val="0"/>
              <w:keepLines w:val="0"/>
              <w:suppressLineNumbers w:val="0"/>
              <w:adjustRightInd w:val="0"/>
              <w:snapToGrid w:val="0"/>
              <w:spacing w:before="0" w:beforeAutospacing="0" w:after="0" w:afterAutospacing="0" w:line="360" w:lineRule="auto"/>
              <w:ind w:left="0" w:right="0"/>
              <w:jc w:val="center"/>
              <w:rPr>
                <w:rFonts w:hint="default"/>
                <w:color w:val="auto"/>
                <w:sz w:val="21"/>
                <w:szCs w:val="21"/>
              </w:rPr>
            </w:pPr>
            <w:r>
              <w:rPr>
                <w:rFonts w:hint="default"/>
                <w:color w:val="auto"/>
                <w:sz w:val="21"/>
                <w:szCs w:val="21"/>
              </w:rPr>
              <w:t>污染防治措施</w:t>
            </w:r>
          </w:p>
        </w:tc>
        <w:tc>
          <w:tcPr>
            <w:tcW w:w="7404" w:type="dxa"/>
            <w:gridSpan w:val="4"/>
            <w:noWrap w:val="0"/>
            <w:vAlign w:val="center"/>
          </w:tcPr>
          <w:p>
            <w:pPr>
              <w:keepNext w:val="0"/>
              <w:keepLines w:val="0"/>
              <w:suppressLineNumbers w:val="0"/>
              <w:adjustRightInd w:val="0"/>
              <w:snapToGrid w:val="0"/>
              <w:spacing w:before="0" w:beforeAutospacing="0" w:after="0" w:afterAutospacing="0"/>
              <w:ind w:left="0" w:right="0" w:firstLine="420" w:firstLineChars="200"/>
              <w:rPr>
                <w:rFonts w:hint="default"/>
                <w:color w:val="auto"/>
                <w:sz w:val="21"/>
                <w:szCs w:val="21"/>
              </w:rPr>
            </w:pPr>
            <w:r>
              <w:rPr>
                <w:rFonts w:hint="default"/>
                <w:color w:val="auto"/>
                <w:sz w:val="21"/>
                <w:szCs w:val="21"/>
              </w:rPr>
              <w:t>建议建设单位在建设过程中，采取分区防渗的措施，将全厂构（建）筑物划分为重点防渗区、一般防渗区以及简单防渗区。防渗区采取的工程措施包括：</w:t>
            </w:r>
          </w:p>
          <w:p>
            <w:pPr>
              <w:keepNext w:val="0"/>
              <w:keepLines w:val="0"/>
              <w:suppressLineNumbers w:val="0"/>
              <w:adjustRightInd w:val="0"/>
              <w:snapToGrid w:val="0"/>
              <w:spacing w:before="0" w:beforeAutospacing="0" w:after="0" w:afterAutospacing="0"/>
              <w:ind w:left="0" w:right="0" w:firstLine="420" w:firstLineChars="200"/>
              <w:rPr>
                <w:rFonts w:hint="default"/>
                <w:color w:val="auto"/>
                <w:sz w:val="21"/>
                <w:szCs w:val="21"/>
              </w:rPr>
            </w:pPr>
            <w:r>
              <w:rPr>
                <w:rFonts w:hint="eastAsia" w:ascii="宋体" w:hAnsi="宋体" w:cs="宋体"/>
                <w:color w:val="auto"/>
                <w:sz w:val="21"/>
                <w:szCs w:val="21"/>
              </w:rPr>
              <w:t>①</w:t>
            </w:r>
            <w:r>
              <w:rPr>
                <w:rFonts w:hint="default"/>
                <w:color w:val="auto"/>
                <w:sz w:val="21"/>
                <w:szCs w:val="21"/>
              </w:rPr>
              <w:t>所有污水、污泥处理构筑物池体混凝土抗压强度、抗渗、抗冻性能必须达到设计要求底板混凝土高程和坡度要满足设计要求；池壁要垂直、表面平整，相临湿接缝部位的混凝土应紧密，保护层厚度符合规定：浇注池壁混凝土前，混凝土施工缝应凿毛并冲洗干净，混凝土要衔接紧密不得渗漏；预埋管件、止水带和填缝板要安装牢固，位置准确；每座水池必须做满水实验，确保质量合格。</w:t>
            </w:r>
          </w:p>
          <w:p>
            <w:pPr>
              <w:keepNext w:val="0"/>
              <w:keepLines w:val="0"/>
              <w:suppressLineNumbers w:val="0"/>
              <w:adjustRightInd w:val="0"/>
              <w:snapToGrid w:val="0"/>
              <w:spacing w:before="0" w:beforeAutospacing="0" w:after="0" w:afterAutospacing="0"/>
              <w:ind w:left="0" w:right="0" w:firstLine="420" w:firstLineChars="200"/>
              <w:rPr>
                <w:rFonts w:hint="default"/>
                <w:color w:val="auto"/>
                <w:sz w:val="21"/>
                <w:szCs w:val="21"/>
              </w:rPr>
            </w:pPr>
            <w:r>
              <w:rPr>
                <w:rFonts w:hint="eastAsia" w:ascii="宋体" w:hAnsi="宋体" w:cs="宋体"/>
                <w:color w:val="auto"/>
                <w:sz w:val="21"/>
                <w:szCs w:val="21"/>
              </w:rPr>
              <w:t>②</w:t>
            </w:r>
            <w:r>
              <w:rPr>
                <w:rFonts w:hint="default"/>
                <w:color w:val="auto"/>
                <w:sz w:val="21"/>
                <w:szCs w:val="21"/>
              </w:rPr>
              <w:t>污水输送采用管道输送，排水管道必须具有足够的强度，以承受外部荷载和内部水压排水管道除具有抗污水中杂质的冲刷和磨损的作用外，还应该具有一定的抗腐蚀性能，以免受污水或地下水的侵蚀作用而损坏：排水管道应具有良好的防渗漏性能，以防止污水渗出或地下水渗入；排水管道的内壁应光滑，以尽量减小管道输水的阻力损失。</w:t>
            </w:r>
          </w:p>
          <w:p>
            <w:pPr>
              <w:keepNext w:val="0"/>
              <w:keepLines w:val="0"/>
              <w:suppressLineNumbers w:val="0"/>
              <w:adjustRightInd w:val="0"/>
              <w:snapToGrid w:val="0"/>
              <w:spacing w:before="0" w:beforeAutospacing="0" w:after="0" w:afterAutospacing="0"/>
              <w:ind w:left="0" w:right="0" w:firstLine="420" w:firstLineChars="200"/>
              <w:rPr>
                <w:rFonts w:hint="default"/>
                <w:color w:val="auto"/>
                <w:sz w:val="21"/>
                <w:szCs w:val="21"/>
              </w:rPr>
            </w:pPr>
            <w:r>
              <w:rPr>
                <w:rFonts w:hint="eastAsia" w:ascii="宋体" w:hAnsi="宋体" w:cs="宋体"/>
                <w:color w:val="auto"/>
                <w:sz w:val="21"/>
                <w:szCs w:val="21"/>
              </w:rPr>
              <w:t>③</w:t>
            </w:r>
            <w:r>
              <w:rPr>
                <w:rFonts w:hint="default"/>
                <w:color w:val="auto"/>
                <w:sz w:val="21"/>
                <w:szCs w:val="21"/>
              </w:rPr>
              <w:t>防渗区地面采取粘土铺底，再在上层水泥进行硬化，各建构筑物应按照要求进行“防渗、防腐”处理。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46" w:hRule="atLeast"/>
          <w:jc w:val="center"/>
        </w:trPr>
        <w:tc>
          <w:tcPr>
            <w:tcW w:w="1396"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color w:val="auto"/>
                <w:sz w:val="21"/>
                <w:szCs w:val="21"/>
              </w:rPr>
            </w:pPr>
            <w:r>
              <w:rPr>
                <w:rFonts w:hint="default"/>
                <w:color w:val="auto"/>
                <w:sz w:val="21"/>
                <w:szCs w:val="21"/>
              </w:rPr>
              <w:t>生态保护措施</w:t>
            </w:r>
          </w:p>
        </w:tc>
        <w:tc>
          <w:tcPr>
            <w:tcW w:w="7404" w:type="dxa"/>
            <w:gridSpan w:val="4"/>
            <w:noWrap w:val="0"/>
            <w:vAlign w:val="center"/>
          </w:tcPr>
          <w:p>
            <w:pPr>
              <w:keepNext w:val="0"/>
              <w:keepLines w:val="0"/>
              <w:suppressLineNumbers w:val="0"/>
              <w:spacing w:before="0" w:beforeAutospacing="0" w:after="0" w:afterAutospacing="0"/>
              <w:ind w:left="0" w:right="0" w:firstLine="420" w:firstLineChars="200"/>
              <w:rPr>
                <w:rFonts w:hint="default"/>
                <w:color w:val="auto"/>
                <w:sz w:val="21"/>
                <w:szCs w:val="21"/>
              </w:rPr>
            </w:pPr>
            <w:r>
              <w:rPr>
                <w:rFonts w:hint="default"/>
                <w:color w:val="auto"/>
                <w:sz w:val="21"/>
                <w:szCs w:val="21"/>
              </w:rPr>
              <w:t>在管道工程施工过程中，应加强施工管理，不刻意破坏路两边的树木和花草，在施工结束后，对施工场地进行生态恢复、绿化。绿化对生态环境起到一定的改善作用；还可以净化厂区内环境空气，降低本项目对外环境所产生的影响。在管线走向及施工便道建设中，尽可能避开成片树林、果园等地段。合理进行施工布置，精心组织施工管理，严格将工程施工区控制在直接受影响的范围内。施工后进行地貌、植被恢复，以植被护土，防止或减轻水土流失。</w:t>
            </w:r>
          </w:p>
          <w:p>
            <w:pPr>
              <w:keepNext w:val="0"/>
              <w:keepLines w:val="0"/>
              <w:suppressLineNumbers w:val="0"/>
              <w:spacing w:before="0" w:beforeAutospacing="0" w:after="0" w:afterAutospacing="0"/>
              <w:ind w:left="0" w:right="0" w:firstLine="420" w:firstLineChars="200"/>
              <w:rPr>
                <w:rFonts w:hint="default"/>
                <w:color w:val="auto"/>
                <w:sz w:val="21"/>
                <w:szCs w:val="21"/>
              </w:rPr>
            </w:pPr>
            <w:r>
              <w:rPr>
                <w:rFonts w:hint="default"/>
                <w:color w:val="auto"/>
                <w:sz w:val="21"/>
                <w:szCs w:val="21"/>
              </w:rPr>
              <w:t>通过采取上述生态保护措施，可最大程度的降低本项目建设对生态环境的影响和破坏，恢复项目区域的生态环境。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602" w:hRule="atLeast"/>
          <w:jc w:val="center"/>
        </w:trPr>
        <w:tc>
          <w:tcPr>
            <w:tcW w:w="1396"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color w:val="auto"/>
                <w:spacing w:val="-8"/>
                <w:sz w:val="21"/>
                <w:szCs w:val="21"/>
              </w:rPr>
            </w:pPr>
            <w:r>
              <w:rPr>
                <w:rFonts w:hint="default"/>
                <w:color w:val="auto"/>
                <w:spacing w:val="-8"/>
                <w:sz w:val="21"/>
                <w:szCs w:val="21"/>
              </w:rPr>
              <w:t>环境风险</w:t>
            </w:r>
          </w:p>
          <w:p>
            <w:pPr>
              <w:keepNext w:val="0"/>
              <w:keepLines w:val="0"/>
              <w:suppressLineNumbers w:val="0"/>
              <w:adjustRightInd w:val="0"/>
              <w:snapToGrid w:val="0"/>
              <w:spacing w:before="0" w:beforeAutospacing="0" w:after="0" w:afterAutospacing="0" w:line="360" w:lineRule="auto"/>
              <w:ind w:left="0" w:right="0"/>
              <w:jc w:val="center"/>
              <w:rPr>
                <w:rFonts w:hint="default"/>
                <w:color w:val="auto"/>
                <w:spacing w:val="-8"/>
                <w:sz w:val="21"/>
                <w:szCs w:val="21"/>
              </w:rPr>
            </w:pPr>
            <w:r>
              <w:rPr>
                <w:rFonts w:hint="default"/>
                <w:color w:val="auto"/>
                <w:spacing w:val="-8"/>
                <w:sz w:val="21"/>
                <w:szCs w:val="21"/>
              </w:rPr>
              <w:t>防范措施</w:t>
            </w:r>
          </w:p>
        </w:tc>
        <w:tc>
          <w:tcPr>
            <w:tcW w:w="7404" w:type="dxa"/>
            <w:gridSpan w:val="4"/>
            <w:noWrap w:val="0"/>
            <w:vAlign w:val="center"/>
          </w:tcPr>
          <w:p>
            <w:pPr>
              <w:pStyle w:val="96"/>
              <w:keepNext w:val="0"/>
              <w:keepLines w:val="0"/>
              <w:suppressLineNumbers w:val="0"/>
              <w:spacing w:before="0" w:beforeAutospacing="0" w:after="0" w:afterAutospacing="0" w:line="240" w:lineRule="auto"/>
              <w:ind w:left="0" w:right="0" w:firstLine="480"/>
              <w:rPr>
                <w:rFonts w:hint="eastAsia" w:eastAsia="宋体"/>
                <w:color w:val="auto"/>
                <w:sz w:val="21"/>
                <w:szCs w:val="21"/>
                <w:lang w:eastAsia="zh-CN"/>
              </w:rPr>
            </w:pPr>
            <w:r>
              <w:rPr>
                <w:rFonts w:hint="eastAsia"/>
                <w:color w:val="auto"/>
                <w:sz w:val="21"/>
                <w:szCs w:val="21"/>
              </w:rPr>
              <w:t>建立、完善安全管理制度；严格执行安全规章制度和操作规程；加强对操作工人的培训，培养员工的安全和环境意识；设立事故救援指挥决策系统</w:t>
            </w:r>
            <w:r>
              <w:rPr>
                <w:rFonts w:hint="eastAsia"/>
                <w:color w:val="auto"/>
                <w:sz w:val="21"/>
                <w:szCs w:val="21"/>
                <w:lang w:eastAsia="zh-CN"/>
              </w:rPr>
              <w:t>。</w:t>
            </w:r>
            <w:r>
              <w:rPr>
                <w:rFonts w:hint="eastAsia" w:ascii="宋体" w:hAnsi="Times New Roman" w:eastAsia="宋体" w:cs="Times New Roman"/>
                <w:color w:val="auto"/>
                <w:sz w:val="21"/>
                <w:szCs w:val="21"/>
              </w:rPr>
              <w:t>危险废物暂存间贮存场所设置托盘或其它防泄漏、泄漏物收集设施。</w:t>
            </w:r>
            <w:r>
              <w:rPr>
                <w:rFonts w:hint="eastAsia" w:ascii="宋体" w:hAnsi="Times New Roman" w:eastAsia="宋体" w:cs="Times New Roman"/>
                <w:color w:val="auto"/>
                <w:sz w:val="21"/>
                <w:szCs w:val="21"/>
                <w:lang w:val="en-US" w:eastAsia="zh-CN"/>
              </w:rPr>
              <w:t>企业应编制突发环境事件应急预案。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91" w:hRule="atLeast"/>
          <w:jc w:val="center"/>
        </w:trPr>
        <w:tc>
          <w:tcPr>
            <w:tcW w:w="1396"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color w:val="auto"/>
                <w:spacing w:val="-8"/>
                <w:sz w:val="21"/>
                <w:szCs w:val="21"/>
              </w:rPr>
            </w:pPr>
            <w:r>
              <w:rPr>
                <w:rFonts w:hint="default"/>
                <w:color w:val="auto"/>
                <w:spacing w:val="-8"/>
                <w:sz w:val="21"/>
                <w:szCs w:val="21"/>
              </w:rPr>
              <w:t>其他环境</w:t>
            </w:r>
          </w:p>
          <w:p>
            <w:pPr>
              <w:keepNext w:val="0"/>
              <w:keepLines w:val="0"/>
              <w:suppressLineNumbers w:val="0"/>
              <w:adjustRightInd w:val="0"/>
              <w:snapToGrid w:val="0"/>
              <w:spacing w:before="0" w:beforeAutospacing="0" w:after="0" w:afterAutospacing="0" w:line="360" w:lineRule="auto"/>
              <w:ind w:left="0" w:right="0"/>
              <w:jc w:val="center"/>
              <w:rPr>
                <w:rFonts w:hint="default"/>
                <w:color w:val="auto"/>
                <w:spacing w:val="-8"/>
                <w:sz w:val="21"/>
                <w:szCs w:val="21"/>
              </w:rPr>
            </w:pPr>
            <w:r>
              <w:rPr>
                <w:rFonts w:hint="default"/>
                <w:color w:val="auto"/>
                <w:spacing w:val="-8"/>
                <w:sz w:val="21"/>
                <w:szCs w:val="21"/>
              </w:rPr>
              <w:t>管理要求</w:t>
            </w:r>
          </w:p>
        </w:tc>
        <w:tc>
          <w:tcPr>
            <w:tcW w:w="7404" w:type="dxa"/>
            <w:gridSpan w:val="4"/>
            <w:noWrap w:val="0"/>
            <w:vAlign w:val="center"/>
          </w:tcPr>
          <w:p>
            <w:pPr>
              <w:keepNext w:val="0"/>
              <w:keepLines w:val="0"/>
              <w:suppressLineNumbers w:val="0"/>
              <w:adjustRightInd w:val="0"/>
              <w:snapToGrid w:val="0"/>
              <w:spacing w:before="0" w:beforeAutospacing="0" w:after="0" w:afterAutospacing="0"/>
              <w:ind w:left="0" w:right="0" w:firstLine="420" w:firstLineChars="200"/>
              <w:rPr>
                <w:rFonts w:hint="default"/>
                <w:color w:val="auto"/>
                <w:sz w:val="21"/>
                <w:szCs w:val="21"/>
              </w:rPr>
            </w:pPr>
            <w:r>
              <w:rPr>
                <w:rFonts w:hint="default"/>
                <w:color w:val="auto"/>
                <w:sz w:val="21"/>
                <w:szCs w:val="21"/>
              </w:rPr>
              <w:t>设立专门的环保机构，配备环保专业人员，专司本厂环保监督工作。</w:t>
            </w:r>
          </w:p>
          <w:p>
            <w:pPr>
              <w:keepNext w:val="0"/>
              <w:keepLines w:val="0"/>
              <w:suppressLineNumbers w:val="0"/>
              <w:adjustRightInd w:val="0"/>
              <w:snapToGrid w:val="0"/>
              <w:spacing w:before="0" w:beforeAutospacing="0" w:after="0" w:afterAutospacing="0"/>
              <w:ind w:left="0" w:right="0" w:firstLine="420" w:firstLineChars="200"/>
              <w:rPr>
                <w:rFonts w:hint="default"/>
                <w:color w:val="auto"/>
                <w:sz w:val="21"/>
                <w:szCs w:val="21"/>
              </w:rPr>
            </w:pPr>
            <w:r>
              <w:rPr>
                <w:rFonts w:hint="default"/>
                <w:color w:val="auto"/>
                <w:sz w:val="21"/>
                <w:szCs w:val="21"/>
              </w:rPr>
              <w:t>污水处理是技术性工艺过程，故职工必须经过严格的培训，达到相应的污水处理操作工等级才准上岗。还应加强职工的思想道德教育，搞好本职工作。制定严格的操作规程，在分析化验、操作管理、污泥清运等工艺，编制作业指导书。</w:t>
            </w:r>
          </w:p>
          <w:p>
            <w:pPr>
              <w:keepNext w:val="0"/>
              <w:keepLines w:val="0"/>
              <w:suppressLineNumbers w:val="0"/>
              <w:adjustRightInd w:val="0"/>
              <w:snapToGrid w:val="0"/>
              <w:spacing w:before="0" w:beforeAutospacing="0" w:after="0" w:afterAutospacing="0"/>
              <w:ind w:left="0" w:right="0" w:firstLine="420" w:firstLineChars="200"/>
              <w:rPr>
                <w:rFonts w:hint="default"/>
                <w:color w:val="auto"/>
                <w:sz w:val="21"/>
                <w:szCs w:val="21"/>
              </w:rPr>
            </w:pPr>
            <w:r>
              <w:rPr>
                <w:rFonts w:hint="default"/>
                <w:color w:val="auto"/>
                <w:sz w:val="21"/>
                <w:szCs w:val="21"/>
              </w:rPr>
              <w:t>污水厂的工作性质决定了卫生、绿化管理工作的极端重要性。厂区应加大管理力度，对于删渣、污泥及生活垃圾等应即产即清，严禁随意堆放，防止蚊蝇孳生，经常进行卫生大扫除，保持厂区清洁卫生。</w:t>
            </w:r>
          </w:p>
        </w:tc>
      </w:tr>
    </w:tbl>
    <w:p>
      <w:pPr>
        <w:pStyle w:val="25"/>
        <w:spacing w:before="0" w:beforeAutospacing="0" w:after="0" w:afterAutospacing="0"/>
        <w:jc w:val="center"/>
        <w:outlineLvl w:val="0"/>
        <w:rPr>
          <w:rFonts w:ascii="Times New Roman" w:hAnsi="Times New Roman" w:eastAsia="黑体"/>
          <w:snapToGrid w:val="0"/>
          <w:color w:val="auto"/>
          <w:sz w:val="30"/>
          <w:szCs w:val="30"/>
        </w:rPr>
      </w:pPr>
      <w:r>
        <w:rPr>
          <w:rFonts w:ascii="Times New Roman" w:hAnsi="Times New Roman"/>
          <w:snapToGrid w:val="0"/>
          <w:color w:val="auto"/>
        </w:rPr>
        <w:br w:type="page"/>
      </w:r>
      <w:bookmarkStart w:id="10" w:name="_Toc29415"/>
      <w:r>
        <w:rPr>
          <w:rFonts w:hint="eastAsia" w:ascii="Times New Roman" w:hAnsi="Times New Roman" w:eastAsia="黑体"/>
          <w:snapToGrid w:val="0"/>
          <w:color w:val="auto"/>
          <w:sz w:val="30"/>
          <w:szCs w:val="30"/>
        </w:rPr>
        <w:t>六、结论</w:t>
      </w:r>
      <w:bookmarkEnd w:id="10"/>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9071" w:type="dxa"/>
            <w:noWrap w:val="0"/>
            <w:vAlign w:val="center"/>
          </w:tcPr>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经分析，本建设项目符合国家相关产业政策，项目对废气、废水、噪声和固体废物等污染物采取了妥善的处理处置措施，污染物排放总量较小，在落实各项规定的污染防治措施后，各污染物能达标排放，对周围的环境影响可控制在允许的范围内，周围环境质量能满足功能区划要求。在全面落实各项污染防范措施、"三同时"制度、保证安全生产的前提下，项目的建设整体上符合环境保护和社会可持续发展的要求，从环境保护角度分析，本项目是可行的。</w:t>
            </w:r>
          </w:p>
          <w:p>
            <w:pPr>
              <w:keepNext w:val="0"/>
              <w:keepLines w:val="0"/>
              <w:suppressLineNumbers w:val="0"/>
              <w:spacing w:before="0" w:beforeAutospacing="0" w:after="0" w:afterAutospacing="0" w:line="360" w:lineRule="auto"/>
              <w:ind w:left="0" w:right="0" w:firstLine="480" w:firstLineChars="200"/>
              <w:rPr>
                <w:rFonts w:hint="default"/>
                <w:color w:val="auto"/>
                <w:sz w:val="24"/>
              </w:rPr>
            </w:pPr>
            <w:r>
              <w:rPr>
                <w:rFonts w:hint="eastAsia"/>
                <w:color w:val="auto"/>
                <w:sz w:val="24"/>
              </w:rPr>
              <w:t>鉴于项目建设会对环境造成一定的影响，除在报告中提出的各项污染处理措施及建议外，从环境保护的角度考虑，本环评提出以下几点建议：</w:t>
            </w:r>
          </w:p>
          <w:p>
            <w:pPr>
              <w:keepNext w:val="0"/>
              <w:keepLines w:val="0"/>
              <w:suppressLineNumbers w:val="0"/>
              <w:spacing w:before="0" w:beforeAutospacing="0" w:after="0" w:afterAutospacing="0" w:line="360" w:lineRule="auto"/>
              <w:ind w:left="0" w:right="0" w:firstLine="480" w:firstLineChars="200"/>
              <w:rPr>
                <w:rFonts w:hint="default"/>
                <w:color w:val="auto"/>
                <w:sz w:val="24"/>
              </w:rPr>
            </w:pPr>
            <w:r>
              <w:rPr>
                <w:rFonts w:hint="eastAsia"/>
                <w:color w:val="auto"/>
                <w:sz w:val="24"/>
              </w:rPr>
              <w:t>（1）根据环评要求，落实“三废治理”费用，做到专款专用，项目实施后应保证足够的环保资金，确保污染防治措施有效地运行，保证污染物达标排放；</w:t>
            </w:r>
          </w:p>
          <w:p>
            <w:pPr>
              <w:keepNext w:val="0"/>
              <w:keepLines w:val="0"/>
              <w:suppressLineNumbers w:val="0"/>
              <w:spacing w:before="0" w:beforeAutospacing="0" w:after="0" w:afterAutospacing="0" w:line="360" w:lineRule="auto"/>
              <w:ind w:left="0" w:right="0" w:firstLine="480" w:firstLineChars="200"/>
              <w:rPr>
                <w:rFonts w:hint="default"/>
                <w:color w:val="auto"/>
                <w:sz w:val="24"/>
              </w:rPr>
            </w:pPr>
            <w:r>
              <w:rPr>
                <w:rFonts w:hint="eastAsia"/>
                <w:color w:val="auto"/>
                <w:sz w:val="24"/>
              </w:rPr>
              <w:t>（2）加强职工安全生产及教育，提高职工环保意识，加强环境管理，定期对设备进行检修，保证各设备正常运行；</w:t>
            </w:r>
          </w:p>
          <w:p>
            <w:pPr>
              <w:keepNext w:val="0"/>
              <w:keepLines w:val="0"/>
              <w:suppressLineNumbers w:val="0"/>
              <w:spacing w:before="0" w:beforeAutospacing="0" w:after="0" w:afterAutospacing="0" w:line="360" w:lineRule="auto"/>
              <w:ind w:left="0" w:right="0" w:firstLine="480" w:firstLineChars="200"/>
              <w:rPr>
                <w:rFonts w:hint="default"/>
                <w:color w:val="auto"/>
                <w:sz w:val="24"/>
              </w:rPr>
            </w:pPr>
            <w:r>
              <w:rPr>
                <w:rFonts w:hint="eastAsia"/>
                <w:color w:val="auto"/>
                <w:sz w:val="24"/>
              </w:rPr>
              <w:t>（3）设置强有力的环境管理机构和环境监测机构，建立健全一套完善的环境管理制度，并严格按管理制度执行；</w:t>
            </w:r>
          </w:p>
          <w:p>
            <w:pPr>
              <w:pStyle w:val="6"/>
              <w:keepNext w:val="0"/>
              <w:keepLines w:val="0"/>
              <w:suppressLineNumbers w:val="0"/>
              <w:spacing w:before="0" w:beforeAutospacing="0" w:after="0" w:afterAutospacing="0" w:line="360" w:lineRule="auto"/>
              <w:ind w:left="0" w:right="0" w:firstLine="480"/>
              <w:rPr>
                <w:rFonts w:hint="eastAsia"/>
                <w:color w:val="auto"/>
                <w:sz w:val="24"/>
              </w:rPr>
            </w:pPr>
            <w:r>
              <w:rPr>
                <w:rFonts w:hint="eastAsia"/>
                <w:color w:val="auto"/>
                <w:sz w:val="24"/>
              </w:rPr>
              <w:t>（4）定期向当地环保部门汇报项目环境保护工作的情况，同时接受当地环境保护部门的监督和管理。</w:t>
            </w:r>
          </w:p>
          <w:p>
            <w:pPr>
              <w:pStyle w:val="6"/>
              <w:keepNext w:val="0"/>
              <w:keepLines w:val="0"/>
              <w:suppressLineNumbers w:val="0"/>
              <w:spacing w:before="0" w:beforeAutospacing="0" w:after="0" w:afterAutospacing="0" w:line="360" w:lineRule="auto"/>
              <w:ind w:left="0" w:right="0" w:firstLine="480"/>
              <w:rPr>
                <w:rFonts w:hint="eastAsia" w:ascii="Times New Roman" w:hAnsi="Times New Roman" w:eastAsia="宋体" w:cs="Times New Roman"/>
                <w:color w:val="auto"/>
                <w:sz w:val="24"/>
                <w:lang w:eastAsia="zh-CN"/>
              </w:rPr>
            </w:pPr>
            <w:r>
              <w:rPr>
                <w:rFonts w:hint="eastAsia"/>
                <w:color w:val="auto"/>
                <w:sz w:val="24"/>
              </w:rPr>
              <w:t>（5）固体废物要及时收集、清理外运，减少厂内堆积</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rPr>
              <w:t>危险废物暂存间贮存场所设置托盘或其它防泄漏、泄漏物收集设施。</w:t>
            </w:r>
            <w:r>
              <w:rPr>
                <w:rFonts w:hint="eastAsia" w:ascii="Times New Roman" w:hAnsi="Times New Roman" w:eastAsia="宋体" w:cs="Times New Roman"/>
                <w:color w:val="auto"/>
                <w:sz w:val="24"/>
                <w:lang w:val="en-US" w:eastAsia="zh-CN"/>
              </w:rPr>
              <w:t>企业应编制突发环境事件应急预案。</w:t>
            </w:r>
          </w:p>
          <w:p>
            <w:pPr>
              <w:pStyle w:val="6"/>
              <w:keepNext w:val="0"/>
              <w:keepLines w:val="0"/>
              <w:suppressLineNumbers w:val="0"/>
              <w:spacing w:before="0" w:beforeAutospacing="0" w:after="0" w:afterAutospacing="0" w:line="360" w:lineRule="auto"/>
              <w:ind w:left="0" w:right="0" w:firstLine="480"/>
              <w:rPr>
                <w:rFonts w:hint="eastAsia"/>
                <w:color w:val="auto"/>
                <w:sz w:val="24"/>
              </w:rPr>
            </w:pPr>
          </w:p>
          <w:p>
            <w:pPr>
              <w:pStyle w:val="6"/>
              <w:keepNext w:val="0"/>
              <w:keepLines w:val="0"/>
              <w:suppressLineNumbers w:val="0"/>
              <w:spacing w:before="0" w:beforeAutospacing="0" w:after="0" w:afterAutospacing="0" w:line="360" w:lineRule="auto"/>
              <w:ind w:left="0" w:right="0" w:firstLine="480"/>
              <w:rPr>
                <w:rFonts w:hint="eastAsia"/>
                <w:color w:val="auto"/>
                <w:sz w:val="24"/>
              </w:rPr>
            </w:pPr>
          </w:p>
          <w:p>
            <w:pPr>
              <w:pStyle w:val="6"/>
              <w:keepNext w:val="0"/>
              <w:keepLines w:val="0"/>
              <w:suppressLineNumbers w:val="0"/>
              <w:spacing w:before="0" w:beforeAutospacing="0" w:after="0" w:afterAutospacing="0" w:line="360" w:lineRule="auto"/>
              <w:ind w:left="0" w:right="0" w:firstLine="480"/>
              <w:rPr>
                <w:rFonts w:hint="eastAsia"/>
                <w:color w:val="auto"/>
                <w:sz w:val="24"/>
              </w:rPr>
            </w:pPr>
          </w:p>
          <w:p>
            <w:pPr>
              <w:pStyle w:val="6"/>
              <w:keepNext w:val="0"/>
              <w:keepLines w:val="0"/>
              <w:suppressLineNumbers w:val="0"/>
              <w:spacing w:before="0" w:beforeAutospacing="0" w:after="0" w:afterAutospacing="0" w:line="360" w:lineRule="auto"/>
              <w:ind w:left="0" w:right="0" w:firstLine="480"/>
              <w:rPr>
                <w:rFonts w:hint="eastAsia"/>
                <w:color w:val="auto"/>
                <w:sz w:val="24"/>
              </w:rPr>
            </w:pPr>
          </w:p>
          <w:p>
            <w:pPr>
              <w:pStyle w:val="6"/>
              <w:keepNext w:val="0"/>
              <w:keepLines w:val="0"/>
              <w:suppressLineNumbers w:val="0"/>
              <w:spacing w:before="0" w:beforeAutospacing="0" w:after="0" w:afterAutospacing="0" w:line="360" w:lineRule="auto"/>
              <w:ind w:left="0" w:right="0" w:firstLine="480"/>
              <w:rPr>
                <w:rFonts w:hint="eastAsia"/>
                <w:color w:val="auto"/>
                <w:sz w:val="24"/>
              </w:rPr>
            </w:pPr>
          </w:p>
          <w:p>
            <w:pPr>
              <w:pStyle w:val="6"/>
              <w:keepNext w:val="0"/>
              <w:keepLines w:val="0"/>
              <w:suppressLineNumbers w:val="0"/>
              <w:spacing w:before="0" w:beforeAutospacing="0" w:after="0" w:afterAutospacing="0" w:line="360" w:lineRule="auto"/>
              <w:ind w:left="0" w:right="0" w:firstLine="480"/>
              <w:rPr>
                <w:rFonts w:hint="eastAsia"/>
                <w:color w:val="auto"/>
                <w:sz w:val="24"/>
              </w:rPr>
            </w:pPr>
          </w:p>
          <w:p>
            <w:pPr>
              <w:pStyle w:val="6"/>
              <w:keepNext w:val="0"/>
              <w:keepLines w:val="0"/>
              <w:suppressLineNumbers w:val="0"/>
              <w:spacing w:before="0" w:beforeAutospacing="0" w:after="0" w:afterAutospacing="0" w:line="360" w:lineRule="auto"/>
              <w:ind w:left="0" w:right="0" w:firstLine="480"/>
              <w:rPr>
                <w:rFonts w:hint="eastAsia"/>
                <w:color w:val="auto"/>
                <w:sz w:val="24"/>
              </w:rPr>
            </w:pPr>
          </w:p>
        </w:tc>
      </w:tr>
    </w:tbl>
    <w:p>
      <w:pPr>
        <w:rPr>
          <w:color w:val="auto"/>
        </w:rPr>
        <w:sectPr>
          <w:pgSz w:w="11906" w:h="16838"/>
          <w:pgMar w:top="1440" w:right="1417" w:bottom="1440" w:left="1417" w:header="851" w:footer="850" w:gutter="0"/>
          <w:pgBorders>
            <w:top w:val="none" w:sz="0" w:space="0"/>
            <w:left w:val="none" w:sz="0" w:space="0"/>
            <w:bottom w:val="none" w:sz="0" w:space="0"/>
            <w:right w:val="none" w:sz="0" w:space="0"/>
          </w:pgBorders>
          <w:cols w:space="0" w:num="1"/>
          <w:rtlGutter w:val="0"/>
          <w:docGrid w:type="lines" w:linePitch="312" w:charSpace="0"/>
        </w:sectPr>
      </w:pPr>
    </w:p>
    <w:p>
      <w:pPr>
        <w:pStyle w:val="25"/>
        <w:adjustRightInd w:val="0"/>
        <w:snapToGrid w:val="0"/>
        <w:spacing w:before="0" w:beforeAutospacing="0" w:after="0" w:afterAutospacing="0"/>
        <w:outlineLvl w:val="0"/>
        <w:rPr>
          <w:rFonts w:ascii="Times New Roman" w:hAnsi="Times New Roman" w:eastAsia="黑体"/>
          <w:snapToGrid w:val="0"/>
          <w:color w:val="auto"/>
          <w:sz w:val="32"/>
          <w:szCs w:val="32"/>
        </w:rPr>
      </w:pPr>
      <w:bookmarkStart w:id="11" w:name="_Toc24591"/>
      <w:r>
        <w:rPr>
          <w:rFonts w:hint="eastAsia" w:ascii="Times New Roman" w:hAnsi="Times New Roman" w:eastAsia="黑体"/>
          <w:snapToGrid w:val="0"/>
          <w:color w:val="auto"/>
          <w:sz w:val="32"/>
          <w:szCs w:val="32"/>
        </w:rPr>
        <w:t>附表</w:t>
      </w:r>
      <w:bookmarkEnd w:id="11"/>
    </w:p>
    <w:p>
      <w:pPr>
        <w:pStyle w:val="25"/>
        <w:adjustRightInd w:val="0"/>
        <w:snapToGrid w:val="0"/>
        <w:spacing w:before="0" w:beforeAutospacing="0" w:after="0" w:afterAutospacing="0"/>
        <w:jc w:val="center"/>
        <w:outlineLvl w:val="0"/>
        <w:rPr>
          <w:rFonts w:hint="eastAsia" w:ascii="Times New Roman" w:hAnsi="Times New Roman" w:eastAsia="方正小标宋_GBK"/>
          <w:snapToGrid w:val="0"/>
          <w:color w:val="auto"/>
          <w:sz w:val="38"/>
          <w:szCs w:val="38"/>
        </w:rPr>
      </w:pPr>
      <w:bookmarkStart w:id="12" w:name="_Toc895"/>
      <w:r>
        <w:rPr>
          <w:rFonts w:hint="eastAsia" w:ascii="Times New Roman" w:hAnsi="Times New Roman" w:eastAsia="方正小标宋_GBK"/>
          <w:snapToGrid w:val="0"/>
          <w:color w:val="auto"/>
          <w:sz w:val="38"/>
          <w:szCs w:val="38"/>
        </w:rPr>
        <w:t>建设项目污染物排放量汇总表</w:t>
      </w:r>
      <w:bookmarkEnd w:id="12"/>
    </w:p>
    <w:tbl>
      <w:tblPr>
        <w:tblStyle w:val="29"/>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500"/>
        <w:gridCol w:w="1650"/>
        <w:gridCol w:w="13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8" w:type="dxa"/>
            <w:tcBorders>
              <w:tl2br w:val="single" w:color="auto" w:sz="4" w:space="0"/>
            </w:tcBorders>
            <w:noWrap w:val="0"/>
            <w:tcMar>
              <w:left w:w="28" w:type="dxa"/>
              <w:right w:w="28" w:type="dxa"/>
            </w:tcMar>
            <w:vAlign w:val="center"/>
          </w:tcPr>
          <w:p>
            <w:pPr>
              <w:pStyle w:val="64"/>
              <w:keepNext w:val="0"/>
              <w:keepLines w:val="0"/>
              <w:suppressLineNumbers w:val="0"/>
              <w:spacing w:before="0" w:beforeLines="0" w:beforeAutospacing="0" w:after="0" w:afterLines="0" w:afterAutospacing="0" w:line="240" w:lineRule="auto"/>
              <w:ind w:left="396" w:right="0" w:hanging="396"/>
              <w:jc w:val="right"/>
              <w:rPr>
                <w:rFonts w:hint="eastAsia" w:ascii="Times New Roman" w:eastAsia="黑体" w:cs="宋体"/>
                <w:snapToGrid w:val="0"/>
                <w:color w:val="auto"/>
                <w:spacing w:val="-6"/>
                <w:kern w:val="21"/>
                <w:szCs w:val="21"/>
              </w:rPr>
            </w:pPr>
            <w:r>
              <w:rPr>
                <w:rFonts w:hint="eastAsia" w:ascii="Times New Roman" w:eastAsia="黑体" w:cs="宋体"/>
                <w:snapToGrid w:val="0"/>
                <w:color w:val="auto"/>
                <w:spacing w:val="-6"/>
                <w:kern w:val="21"/>
                <w:szCs w:val="21"/>
              </w:rPr>
              <w:t>项目</w:t>
            </w:r>
          </w:p>
          <w:p>
            <w:pPr>
              <w:pStyle w:val="64"/>
              <w:keepNext w:val="0"/>
              <w:keepLines w:val="0"/>
              <w:suppressLineNumbers w:val="0"/>
              <w:spacing w:before="0" w:beforeLines="0" w:beforeAutospacing="0" w:after="0" w:afterLines="0" w:afterAutospacing="0" w:line="240" w:lineRule="auto"/>
              <w:ind w:left="396" w:right="0" w:hanging="396"/>
              <w:jc w:val="left"/>
              <w:rPr>
                <w:rFonts w:hint="eastAsia" w:ascii="Times New Roman" w:eastAsia="黑体" w:cs="宋体"/>
                <w:snapToGrid w:val="0"/>
                <w:color w:val="auto"/>
                <w:spacing w:val="-6"/>
                <w:kern w:val="21"/>
                <w:szCs w:val="21"/>
              </w:rPr>
            </w:pPr>
            <w:r>
              <w:rPr>
                <w:rFonts w:hint="eastAsia" w:ascii="Times New Roman" w:eastAsia="黑体" w:cs="宋体"/>
                <w:snapToGrid w:val="0"/>
                <w:color w:val="auto"/>
                <w:spacing w:val="-6"/>
                <w:kern w:val="21"/>
                <w:szCs w:val="21"/>
              </w:rPr>
              <w:t>分类</w:t>
            </w:r>
          </w:p>
        </w:tc>
        <w:tc>
          <w:tcPr>
            <w:tcW w:w="1417" w:type="dxa"/>
            <w:noWrap w:val="0"/>
            <w:tcMar>
              <w:left w:w="28" w:type="dxa"/>
              <w:right w:w="28" w:type="dxa"/>
            </w:tcMar>
            <w:vAlign w:val="center"/>
          </w:tcPr>
          <w:p>
            <w:pPr>
              <w:pStyle w:val="64"/>
              <w:keepNext w:val="0"/>
              <w:keepLines w:val="0"/>
              <w:suppressLineNumbers w:val="0"/>
              <w:spacing w:before="0" w:beforeLines="0" w:beforeAutospacing="0" w:after="0" w:afterLines="0" w:afterAutospacing="0" w:line="240" w:lineRule="auto"/>
              <w:ind w:left="396" w:right="0" w:hanging="396"/>
              <w:rPr>
                <w:rFonts w:hint="eastAsia" w:ascii="Times New Roman" w:eastAsia="黑体" w:cs="宋体"/>
                <w:snapToGrid w:val="0"/>
                <w:color w:val="auto"/>
                <w:spacing w:val="-6"/>
                <w:kern w:val="21"/>
                <w:szCs w:val="21"/>
              </w:rPr>
            </w:pPr>
            <w:r>
              <w:rPr>
                <w:rFonts w:hint="eastAsia" w:ascii="Times New Roman" w:eastAsia="黑体" w:cs="宋体"/>
                <w:snapToGrid w:val="0"/>
                <w:color w:val="auto"/>
                <w:spacing w:val="-6"/>
                <w:kern w:val="21"/>
                <w:szCs w:val="21"/>
              </w:rPr>
              <w:t>污染物名称</w:t>
            </w:r>
          </w:p>
        </w:tc>
        <w:tc>
          <w:tcPr>
            <w:tcW w:w="1701" w:type="dxa"/>
            <w:noWrap w:val="0"/>
            <w:tcMar>
              <w:left w:w="28" w:type="dxa"/>
              <w:right w:w="28" w:type="dxa"/>
            </w:tcMar>
            <w:vAlign w:val="center"/>
          </w:tcPr>
          <w:p>
            <w:pPr>
              <w:pStyle w:val="64"/>
              <w:keepNext w:val="0"/>
              <w:keepLines w:val="0"/>
              <w:suppressLineNumbers w:val="0"/>
              <w:spacing w:before="0" w:beforeLines="0" w:beforeAutospacing="0" w:after="0" w:afterLines="0" w:afterAutospacing="0" w:line="240" w:lineRule="auto"/>
              <w:ind w:left="396" w:right="0" w:hanging="396"/>
              <w:rPr>
                <w:rFonts w:hint="eastAsia" w:ascii="Times New Roman" w:eastAsia="黑体"/>
                <w:snapToGrid w:val="0"/>
                <w:color w:val="auto"/>
                <w:spacing w:val="-6"/>
                <w:kern w:val="21"/>
                <w:szCs w:val="21"/>
              </w:rPr>
            </w:pPr>
            <w:r>
              <w:rPr>
                <w:rFonts w:hint="default" w:ascii="Times New Roman" w:eastAsia="黑体"/>
                <w:snapToGrid w:val="0"/>
                <w:color w:val="auto"/>
                <w:spacing w:val="-6"/>
                <w:kern w:val="21"/>
                <w:szCs w:val="21"/>
              </w:rPr>
              <w:t>现有工程</w:t>
            </w:r>
          </w:p>
          <w:p>
            <w:pPr>
              <w:pStyle w:val="64"/>
              <w:keepNext w:val="0"/>
              <w:keepLines w:val="0"/>
              <w:suppressLineNumbers w:val="0"/>
              <w:spacing w:before="0" w:beforeLines="0" w:beforeAutospacing="0" w:after="0" w:afterLines="0" w:afterAutospacing="0" w:line="240" w:lineRule="auto"/>
              <w:ind w:left="396" w:right="0" w:hanging="396"/>
              <w:rPr>
                <w:rFonts w:hint="default" w:ascii="Times New Roman" w:eastAsia="黑体"/>
                <w:snapToGrid w:val="0"/>
                <w:color w:val="auto"/>
                <w:spacing w:val="-6"/>
                <w:kern w:val="21"/>
                <w:szCs w:val="21"/>
              </w:rPr>
            </w:pPr>
            <w:r>
              <w:rPr>
                <w:rFonts w:hint="default" w:ascii="Times New Roman" w:eastAsia="黑体"/>
                <w:snapToGrid w:val="0"/>
                <w:color w:val="auto"/>
                <w:spacing w:val="-6"/>
                <w:kern w:val="21"/>
                <w:szCs w:val="21"/>
              </w:rPr>
              <w:t>排放量（固</w:t>
            </w:r>
            <w:r>
              <w:rPr>
                <w:rFonts w:hint="eastAsia" w:ascii="Times New Roman" w:eastAsia="黑体"/>
                <w:snapToGrid w:val="0"/>
                <w:color w:val="auto"/>
                <w:spacing w:val="-6"/>
                <w:kern w:val="21"/>
                <w:szCs w:val="21"/>
              </w:rPr>
              <w:t>体</w:t>
            </w:r>
            <w:r>
              <w:rPr>
                <w:rFonts w:hint="default" w:ascii="Times New Roman" w:eastAsia="黑体"/>
                <w:snapToGrid w:val="0"/>
                <w:color w:val="auto"/>
                <w:spacing w:val="-6"/>
                <w:kern w:val="21"/>
                <w:szCs w:val="21"/>
              </w:rPr>
              <w:t>废</w:t>
            </w:r>
            <w:r>
              <w:rPr>
                <w:rFonts w:hint="eastAsia" w:ascii="Times New Roman" w:eastAsia="黑体"/>
                <w:snapToGrid w:val="0"/>
                <w:color w:val="auto"/>
                <w:spacing w:val="-6"/>
                <w:kern w:val="21"/>
                <w:szCs w:val="21"/>
              </w:rPr>
              <w:t>物</w:t>
            </w:r>
            <w:r>
              <w:rPr>
                <w:rFonts w:hint="default" w:ascii="Times New Roman" w:eastAsia="黑体"/>
                <w:snapToGrid w:val="0"/>
                <w:color w:val="auto"/>
                <w:spacing w:val="-6"/>
                <w:kern w:val="21"/>
                <w:szCs w:val="21"/>
              </w:rPr>
              <w:t>产生量）</w:t>
            </w:r>
            <w:r>
              <w:rPr>
                <w:rFonts w:hint="default" w:ascii="Times New Roman" w:eastAsia="黑体"/>
                <w:snapToGrid w:val="0"/>
                <w:color w:val="auto"/>
                <w:spacing w:val="-6"/>
                <w:kern w:val="21"/>
                <w:szCs w:val="21"/>
              </w:rPr>
              <w:fldChar w:fldCharType="begin"/>
            </w:r>
            <w:r>
              <w:rPr>
                <w:rFonts w:hint="default" w:ascii="Times New Roman" w:eastAsia="黑体"/>
                <w:snapToGrid w:val="0"/>
                <w:color w:val="auto"/>
                <w:spacing w:val="-6"/>
                <w:kern w:val="21"/>
                <w:szCs w:val="21"/>
              </w:rPr>
              <w:instrText xml:space="preserve"> = 1 \* GB3 \* MERGEFORMAT </w:instrText>
            </w:r>
            <w:r>
              <w:rPr>
                <w:rFonts w:hint="default" w:ascii="Times New Roman" w:eastAsia="黑体"/>
                <w:snapToGrid w:val="0"/>
                <w:color w:val="auto"/>
                <w:spacing w:val="-6"/>
                <w:kern w:val="21"/>
                <w:szCs w:val="21"/>
              </w:rPr>
              <w:fldChar w:fldCharType="separate"/>
            </w:r>
            <w:r>
              <w:rPr>
                <w:rFonts w:hint="eastAsia" w:ascii="Times New Roman" w:eastAsia="黑体" w:cs="宋体"/>
                <w:color w:val="auto"/>
                <w:kern w:val="2"/>
                <w:szCs w:val="21"/>
              </w:rPr>
              <w:t>①</w:t>
            </w:r>
            <w:r>
              <w:rPr>
                <w:rFonts w:hint="default" w:ascii="Times New Roman" w:eastAsia="黑体"/>
                <w:snapToGrid w:val="0"/>
                <w:color w:val="auto"/>
                <w:spacing w:val="-6"/>
                <w:kern w:val="21"/>
                <w:szCs w:val="21"/>
              </w:rPr>
              <w:fldChar w:fldCharType="end"/>
            </w:r>
          </w:p>
        </w:tc>
        <w:tc>
          <w:tcPr>
            <w:tcW w:w="1276" w:type="dxa"/>
            <w:noWrap w:val="0"/>
            <w:tcMar>
              <w:left w:w="28" w:type="dxa"/>
              <w:right w:w="28" w:type="dxa"/>
            </w:tcMar>
            <w:vAlign w:val="center"/>
          </w:tcPr>
          <w:p>
            <w:pPr>
              <w:pStyle w:val="64"/>
              <w:keepNext w:val="0"/>
              <w:keepLines w:val="0"/>
              <w:suppressLineNumbers w:val="0"/>
              <w:spacing w:before="0" w:beforeLines="0" w:beforeAutospacing="0" w:after="0" w:afterLines="0" w:afterAutospacing="0" w:line="240" w:lineRule="auto"/>
              <w:ind w:left="396" w:right="0" w:hanging="396"/>
              <w:rPr>
                <w:rFonts w:hint="default" w:ascii="Times New Roman" w:eastAsia="黑体"/>
                <w:snapToGrid w:val="0"/>
                <w:color w:val="auto"/>
                <w:spacing w:val="-6"/>
                <w:kern w:val="21"/>
                <w:szCs w:val="21"/>
              </w:rPr>
            </w:pPr>
            <w:r>
              <w:rPr>
                <w:rFonts w:hint="default" w:ascii="Times New Roman" w:eastAsia="黑体"/>
                <w:snapToGrid w:val="0"/>
                <w:color w:val="auto"/>
                <w:spacing w:val="-6"/>
                <w:kern w:val="21"/>
                <w:szCs w:val="21"/>
              </w:rPr>
              <w:t>现有工程</w:t>
            </w:r>
          </w:p>
          <w:p>
            <w:pPr>
              <w:pStyle w:val="64"/>
              <w:keepNext w:val="0"/>
              <w:keepLines w:val="0"/>
              <w:suppressLineNumbers w:val="0"/>
              <w:spacing w:before="0" w:beforeLines="0" w:beforeAutospacing="0" w:after="0" w:afterLines="0" w:afterAutospacing="0" w:line="240" w:lineRule="auto"/>
              <w:ind w:left="396" w:right="0" w:hanging="396"/>
              <w:rPr>
                <w:rFonts w:hint="default" w:ascii="Times New Roman" w:eastAsia="黑体"/>
                <w:snapToGrid w:val="0"/>
                <w:color w:val="auto"/>
                <w:spacing w:val="-6"/>
                <w:kern w:val="21"/>
                <w:szCs w:val="21"/>
              </w:rPr>
            </w:pPr>
            <w:r>
              <w:rPr>
                <w:rFonts w:hint="default" w:ascii="Times New Roman" w:eastAsia="黑体"/>
                <w:snapToGrid w:val="0"/>
                <w:color w:val="auto"/>
                <w:spacing w:val="-6"/>
                <w:kern w:val="21"/>
                <w:szCs w:val="21"/>
              </w:rPr>
              <w:t>许可排放量</w:t>
            </w:r>
          </w:p>
          <w:p>
            <w:pPr>
              <w:pStyle w:val="64"/>
              <w:keepNext w:val="0"/>
              <w:keepLines w:val="0"/>
              <w:suppressLineNumbers w:val="0"/>
              <w:spacing w:before="0" w:beforeLines="0" w:beforeAutospacing="0" w:after="0" w:afterLines="0" w:afterAutospacing="0"/>
              <w:ind w:left="420" w:right="0" w:hanging="420"/>
              <w:rPr>
                <w:rFonts w:hint="default" w:ascii="Times New Roman" w:eastAsia="黑体"/>
                <w:snapToGrid w:val="0"/>
                <w:color w:val="auto"/>
                <w:spacing w:val="-6"/>
                <w:kern w:val="21"/>
                <w:szCs w:val="21"/>
              </w:rPr>
            </w:pPr>
            <w:r>
              <w:rPr>
                <w:rFonts w:hint="default" w:ascii="Times New Roman" w:eastAsia="黑体"/>
                <w:snapToGrid w:val="0"/>
                <w:color w:val="auto"/>
                <w:spacing w:val="-6"/>
                <w:kern w:val="21"/>
                <w:szCs w:val="21"/>
              </w:rPr>
              <w:fldChar w:fldCharType="begin"/>
            </w:r>
            <w:r>
              <w:rPr>
                <w:rFonts w:hint="default" w:ascii="Times New Roman" w:eastAsia="黑体"/>
                <w:snapToGrid w:val="0"/>
                <w:color w:val="auto"/>
                <w:spacing w:val="-6"/>
                <w:kern w:val="21"/>
                <w:szCs w:val="21"/>
              </w:rPr>
              <w:instrText xml:space="preserve"> = 2 \* GB3 \* MERGEFORMAT </w:instrText>
            </w:r>
            <w:r>
              <w:rPr>
                <w:rFonts w:hint="default" w:ascii="Times New Roman" w:eastAsia="黑体"/>
                <w:snapToGrid w:val="0"/>
                <w:color w:val="auto"/>
                <w:spacing w:val="-6"/>
                <w:kern w:val="21"/>
                <w:szCs w:val="21"/>
              </w:rPr>
              <w:fldChar w:fldCharType="separate"/>
            </w:r>
            <w:r>
              <w:rPr>
                <w:rFonts w:hint="eastAsia" w:ascii="Times New Roman" w:eastAsia="黑体" w:cs="宋体"/>
                <w:snapToGrid w:val="0"/>
                <w:color w:val="auto"/>
                <w:spacing w:val="-6"/>
                <w:kern w:val="21"/>
                <w:szCs w:val="21"/>
              </w:rPr>
              <w:t>②</w:t>
            </w:r>
            <w:r>
              <w:rPr>
                <w:rFonts w:hint="default" w:ascii="Times New Roman" w:eastAsia="黑体"/>
                <w:snapToGrid w:val="0"/>
                <w:color w:val="auto"/>
                <w:spacing w:val="-6"/>
                <w:kern w:val="21"/>
                <w:szCs w:val="21"/>
              </w:rPr>
              <w:fldChar w:fldCharType="end"/>
            </w:r>
          </w:p>
        </w:tc>
        <w:tc>
          <w:tcPr>
            <w:tcW w:w="1701" w:type="dxa"/>
            <w:noWrap w:val="0"/>
            <w:tcMar>
              <w:left w:w="28" w:type="dxa"/>
              <w:right w:w="28" w:type="dxa"/>
            </w:tcMar>
            <w:vAlign w:val="center"/>
          </w:tcPr>
          <w:p>
            <w:pPr>
              <w:pStyle w:val="64"/>
              <w:keepNext w:val="0"/>
              <w:keepLines w:val="0"/>
              <w:suppressLineNumbers w:val="0"/>
              <w:spacing w:before="0" w:beforeLines="0" w:beforeAutospacing="0" w:after="0" w:afterLines="0" w:afterAutospacing="0" w:line="240" w:lineRule="auto"/>
              <w:ind w:left="396" w:right="0" w:hanging="396"/>
              <w:rPr>
                <w:rFonts w:hint="eastAsia" w:ascii="Times New Roman" w:eastAsia="黑体"/>
                <w:snapToGrid w:val="0"/>
                <w:color w:val="auto"/>
                <w:spacing w:val="-6"/>
                <w:kern w:val="21"/>
                <w:szCs w:val="21"/>
              </w:rPr>
            </w:pPr>
            <w:r>
              <w:rPr>
                <w:rFonts w:hint="default" w:ascii="Times New Roman" w:eastAsia="黑体"/>
                <w:snapToGrid w:val="0"/>
                <w:color w:val="auto"/>
                <w:spacing w:val="-6"/>
                <w:kern w:val="21"/>
                <w:szCs w:val="21"/>
              </w:rPr>
              <w:t>在建工程</w:t>
            </w:r>
          </w:p>
          <w:p>
            <w:pPr>
              <w:pStyle w:val="64"/>
              <w:keepNext w:val="0"/>
              <w:keepLines w:val="0"/>
              <w:suppressLineNumbers w:val="0"/>
              <w:spacing w:before="0" w:beforeLines="0" w:beforeAutospacing="0" w:after="0" w:afterLines="0" w:afterAutospacing="0" w:line="240" w:lineRule="auto"/>
              <w:ind w:left="396" w:right="0" w:hanging="396"/>
              <w:rPr>
                <w:rFonts w:hint="default" w:ascii="Times New Roman" w:eastAsia="黑体"/>
                <w:snapToGrid w:val="0"/>
                <w:color w:val="auto"/>
                <w:spacing w:val="-6"/>
                <w:kern w:val="21"/>
                <w:szCs w:val="21"/>
              </w:rPr>
            </w:pPr>
            <w:r>
              <w:rPr>
                <w:rFonts w:hint="default" w:ascii="Times New Roman" w:eastAsia="黑体"/>
                <w:snapToGrid w:val="0"/>
                <w:color w:val="auto"/>
                <w:spacing w:val="-6"/>
                <w:kern w:val="21"/>
                <w:szCs w:val="21"/>
              </w:rPr>
              <w:t>排放量（固</w:t>
            </w:r>
            <w:r>
              <w:rPr>
                <w:rFonts w:hint="eastAsia" w:ascii="Times New Roman" w:eastAsia="黑体"/>
                <w:snapToGrid w:val="0"/>
                <w:color w:val="auto"/>
                <w:spacing w:val="-6"/>
                <w:kern w:val="21"/>
                <w:szCs w:val="21"/>
              </w:rPr>
              <w:t>体</w:t>
            </w:r>
            <w:r>
              <w:rPr>
                <w:rFonts w:hint="default" w:ascii="Times New Roman" w:eastAsia="黑体"/>
                <w:snapToGrid w:val="0"/>
                <w:color w:val="auto"/>
                <w:spacing w:val="-6"/>
                <w:kern w:val="21"/>
                <w:szCs w:val="21"/>
              </w:rPr>
              <w:t>废</w:t>
            </w:r>
            <w:r>
              <w:rPr>
                <w:rFonts w:hint="eastAsia" w:ascii="Times New Roman" w:eastAsia="黑体"/>
                <w:snapToGrid w:val="0"/>
                <w:color w:val="auto"/>
                <w:spacing w:val="-6"/>
                <w:kern w:val="21"/>
                <w:szCs w:val="21"/>
              </w:rPr>
              <w:t>物</w:t>
            </w:r>
            <w:r>
              <w:rPr>
                <w:rFonts w:hint="default" w:ascii="Times New Roman" w:eastAsia="黑体"/>
                <w:snapToGrid w:val="0"/>
                <w:color w:val="auto"/>
                <w:spacing w:val="-6"/>
                <w:kern w:val="21"/>
                <w:szCs w:val="21"/>
              </w:rPr>
              <w:t>产生量）</w:t>
            </w:r>
            <w:r>
              <w:rPr>
                <w:rFonts w:hint="default" w:ascii="Times New Roman" w:eastAsia="黑体"/>
                <w:snapToGrid w:val="0"/>
                <w:color w:val="auto"/>
                <w:spacing w:val="-6"/>
                <w:kern w:val="21"/>
                <w:szCs w:val="21"/>
              </w:rPr>
              <w:fldChar w:fldCharType="begin"/>
            </w:r>
            <w:r>
              <w:rPr>
                <w:rFonts w:hint="default" w:ascii="Times New Roman" w:eastAsia="黑体"/>
                <w:snapToGrid w:val="0"/>
                <w:color w:val="auto"/>
                <w:spacing w:val="-6"/>
                <w:kern w:val="21"/>
                <w:szCs w:val="21"/>
              </w:rPr>
              <w:instrText xml:space="preserve"> = 3 \* GB3 \* MERGEFORMAT </w:instrText>
            </w:r>
            <w:r>
              <w:rPr>
                <w:rFonts w:hint="default" w:ascii="Times New Roman" w:eastAsia="黑体"/>
                <w:snapToGrid w:val="0"/>
                <w:color w:val="auto"/>
                <w:spacing w:val="-6"/>
                <w:kern w:val="21"/>
                <w:szCs w:val="21"/>
              </w:rPr>
              <w:fldChar w:fldCharType="separate"/>
            </w:r>
            <w:r>
              <w:rPr>
                <w:rFonts w:hint="eastAsia" w:ascii="Times New Roman" w:eastAsia="黑体" w:cs="宋体"/>
                <w:color w:val="auto"/>
                <w:kern w:val="2"/>
                <w:szCs w:val="21"/>
              </w:rPr>
              <w:t>③</w:t>
            </w:r>
            <w:r>
              <w:rPr>
                <w:rFonts w:hint="default" w:ascii="Times New Roman" w:eastAsia="黑体"/>
                <w:snapToGrid w:val="0"/>
                <w:color w:val="auto"/>
                <w:spacing w:val="-6"/>
                <w:kern w:val="21"/>
                <w:szCs w:val="21"/>
              </w:rPr>
              <w:fldChar w:fldCharType="end"/>
            </w:r>
          </w:p>
        </w:tc>
        <w:tc>
          <w:tcPr>
            <w:tcW w:w="1559" w:type="dxa"/>
            <w:noWrap w:val="0"/>
            <w:tcMar>
              <w:left w:w="28" w:type="dxa"/>
              <w:right w:w="28" w:type="dxa"/>
            </w:tcMar>
            <w:vAlign w:val="center"/>
          </w:tcPr>
          <w:p>
            <w:pPr>
              <w:pStyle w:val="64"/>
              <w:keepNext w:val="0"/>
              <w:keepLines w:val="0"/>
              <w:suppressLineNumbers w:val="0"/>
              <w:spacing w:before="0" w:beforeLines="0" w:beforeAutospacing="0" w:after="0" w:afterLines="0" w:afterAutospacing="0" w:line="240" w:lineRule="auto"/>
              <w:ind w:left="396" w:right="0" w:hanging="396"/>
              <w:rPr>
                <w:rFonts w:hint="eastAsia" w:ascii="Times New Roman" w:eastAsia="黑体"/>
                <w:snapToGrid w:val="0"/>
                <w:color w:val="auto"/>
                <w:spacing w:val="-6"/>
                <w:kern w:val="21"/>
                <w:szCs w:val="21"/>
              </w:rPr>
            </w:pPr>
            <w:r>
              <w:rPr>
                <w:rFonts w:hint="default" w:ascii="Times New Roman" w:eastAsia="黑体"/>
                <w:snapToGrid w:val="0"/>
                <w:color w:val="auto"/>
                <w:spacing w:val="-6"/>
                <w:kern w:val="21"/>
                <w:szCs w:val="21"/>
              </w:rPr>
              <w:t>本项目</w:t>
            </w:r>
          </w:p>
          <w:p>
            <w:pPr>
              <w:pStyle w:val="64"/>
              <w:keepNext w:val="0"/>
              <w:keepLines w:val="0"/>
              <w:suppressLineNumbers w:val="0"/>
              <w:spacing w:before="0" w:beforeLines="0" w:beforeAutospacing="0" w:after="0" w:afterLines="0" w:afterAutospacing="0" w:line="240" w:lineRule="auto"/>
              <w:ind w:left="396" w:right="0" w:hanging="396"/>
              <w:rPr>
                <w:rFonts w:hint="default" w:ascii="Times New Roman" w:eastAsia="黑体"/>
                <w:snapToGrid w:val="0"/>
                <w:color w:val="auto"/>
                <w:spacing w:val="-6"/>
                <w:kern w:val="21"/>
                <w:szCs w:val="21"/>
              </w:rPr>
            </w:pPr>
            <w:r>
              <w:rPr>
                <w:rFonts w:hint="default" w:ascii="Times New Roman" w:eastAsia="黑体"/>
                <w:snapToGrid w:val="0"/>
                <w:color w:val="auto"/>
                <w:spacing w:val="-6"/>
                <w:kern w:val="21"/>
                <w:szCs w:val="21"/>
              </w:rPr>
              <w:t>排放量（固</w:t>
            </w:r>
            <w:r>
              <w:rPr>
                <w:rFonts w:hint="eastAsia" w:ascii="Times New Roman" w:eastAsia="黑体"/>
                <w:snapToGrid w:val="0"/>
                <w:color w:val="auto"/>
                <w:spacing w:val="-6"/>
                <w:kern w:val="21"/>
                <w:szCs w:val="21"/>
              </w:rPr>
              <w:t>体</w:t>
            </w:r>
            <w:r>
              <w:rPr>
                <w:rFonts w:hint="default" w:ascii="Times New Roman" w:eastAsia="黑体"/>
                <w:snapToGrid w:val="0"/>
                <w:color w:val="auto"/>
                <w:spacing w:val="-6"/>
                <w:kern w:val="21"/>
                <w:szCs w:val="21"/>
              </w:rPr>
              <w:t>废</w:t>
            </w:r>
            <w:r>
              <w:rPr>
                <w:rFonts w:hint="eastAsia" w:ascii="Times New Roman" w:eastAsia="黑体"/>
                <w:snapToGrid w:val="0"/>
                <w:color w:val="auto"/>
                <w:spacing w:val="-6"/>
                <w:kern w:val="21"/>
                <w:szCs w:val="21"/>
              </w:rPr>
              <w:t>物</w:t>
            </w:r>
            <w:r>
              <w:rPr>
                <w:rFonts w:hint="default" w:ascii="Times New Roman" w:eastAsia="黑体"/>
                <w:snapToGrid w:val="0"/>
                <w:color w:val="auto"/>
                <w:spacing w:val="-6"/>
                <w:kern w:val="21"/>
                <w:szCs w:val="21"/>
              </w:rPr>
              <w:t>产生量）</w:t>
            </w:r>
            <w:r>
              <w:rPr>
                <w:rFonts w:hint="default" w:ascii="Times New Roman" w:eastAsia="黑体"/>
                <w:snapToGrid w:val="0"/>
                <w:color w:val="auto"/>
                <w:spacing w:val="-6"/>
                <w:kern w:val="21"/>
                <w:szCs w:val="21"/>
              </w:rPr>
              <w:fldChar w:fldCharType="begin"/>
            </w:r>
            <w:r>
              <w:rPr>
                <w:rFonts w:hint="default" w:ascii="Times New Roman" w:eastAsia="黑体"/>
                <w:snapToGrid w:val="0"/>
                <w:color w:val="auto"/>
                <w:spacing w:val="-6"/>
                <w:kern w:val="21"/>
                <w:szCs w:val="21"/>
              </w:rPr>
              <w:instrText xml:space="preserve"> = 4 \* GB3 \* MERGEFORMAT </w:instrText>
            </w:r>
            <w:r>
              <w:rPr>
                <w:rFonts w:hint="default" w:ascii="Times New Roman" w:eastAsia="黑体"/>
                <w:snapToGrid w:val="0"/>
                <w:color w:val="auto"/>
                <w:spacing w:val="-6"/>
                <w:kern w:val="21"/>
                <w:szCs w:val="21"/>
              </w:rPr>
              <w:fldChar w:fldCharType="separate"/>
            </w:r>
            <w:r>
              <w:rPr>
                <w:rFonts w:hint="eastAsia" w:ascii="Times New Roman" w:eastAsia="黑体" w:cs="宋体"/>
                <w:color w:val="auto"/>
                <w:kern w:val="2"/>
                <w:szCs w:val="21"/>
              </w:rPr>
              <w:t>④</w:t>
            </w:r>
            <w:r>
              <w:rPr>
                <w:rFonts w:hint="default" w:ascii="Times New Roman" w:eastAsia="黑体"/>
                <w:snapToGrid w:val="0"/>
                <w:color w:val="auto"/>
                <w:spacing w:val="-6"/>
                <w:kern w:val="21"/>
                <w:szCs w:val="21"/>
              </w:rPr>
              <w:fldChar w:fldCharType="end"/>
            </w:r>
          </w:p>
        </w:tc>
        <w:tc>
          <w:tcPr>
            <w:tcW w:w="1500" w:type="dxa"/>
            <w:noWrap w:val="0"/>
            <w:tcMar>
              <w:left w:w="28" w:type="dxa"/>
              <w:right w:w="28" w:type="dxa"/>
            </w:tcMar>
            <w:vAlign w:val="center"/>
          </w:tcPr>
          <w:p>
            <w:pPr>
              <w:pStyle w:val="64"/>
              <w:keepNext w:val="0"/>
              <w:keepLines w:val="0"/>
              <w:suppressLineNumbers w:val="0"/>
              <w:spacing w:before="0" w:beforeLines="0" w:beforeAutospacing="0" w:after="0" w:afterLines="0" w:afterAutospacing="0" w:line="240" w:lineRule="auto"/>
              <w:ind w:left="356" w:right="0" w:hanging="356"/>
              <w:rPr>
                <w:rFonts w:hint="eastAsia" w:ascii="Times New Roman" w:eastAsia="黑体"/>
                <w:snapToGrid w:val="0"/>
                <w:color w:val="auto"/>
                <w:spacing w:val="-16"/>
                <w:kern w:val="21"/>
                <w:szCs w:val="21"/>
              </w:rPr>
            </w:pPr>
            <w:r>
              <w:rPr>
                <w:rFonts w:hint="default" w:ascii="Times New Roman" w:eastAsia="黑体"/>
                <w:snapToGrid w:val="0"/>
                <w:color w:val="auto"/>
                <w:spacing w:val="-16"/>
                <w:kern w:val="21"/>
                <w:szCs w:val="21"/>
              </w:rPr>
              <w:t>以新带老削减量</w:t>
            </w:r>
          </w:p>
          <w:p>
            <w:pPr>
              <w:pStyle w:val="64"/>
              <w:keepNext w:val="0"/>
              <w:keepLines w:val="0"/>
              <w:suppressLineNumbers w:val="0"/>
              <w:spacing w:before="0" w:beforeLines="0" w:beforeAutospacing="0" w:after="0" w:afterLines="0" w:afterAutospacing="0" w:line="240" w:lineRule="auto"/>
              <w:ind w:left="356" w:right="0" w:hanging="356"/>
              <w:rPr>
                <w:rFonts w:hint="default" w:ascii="Times New Roman" w:eastAsia="黑体"/>
                <w:snapToGrid w:val="0"/>
                <w:color w:val="auto"/>
                <w:spacing w:val="-16"/>
                <w:kern w:val="21"/>
                <w:szCs w:val="21"/>
              </w:rPr>
            </w:pPr>
            <w:r>
              <w:rPr>
                <w:rFonts w:hint="default" w:ascii="Times New Roman" w:eastAsia="黑体"/>
                <w:snapToGrid w:val="0"/>
                <w:color w:val="auto"/>
                <w:spacing w:val="-16"/>
                <w:kern w:val="21"/>
                <w:szCs w:val="21"/>
              </w:rPr>
              <w:t>（新建项目不填）</w:t>
            </w:r>
            <w:r>
              <w:rPr>
                <w:rFonts w:hint="default" w:ascii="Times New Roman" w:eastAsia="黑体"/>
                <w:snapToGrid w:val="0"/>
                <w:color w:val="auto"/>
                <w:spacing w:val="-16"/>
                <w:kern w:val="21"/>
                <w:szCs w:val="21"/>
              </w:rPr>
              <w:fldChar w:fldCharType="begin"/>
            </w:r>
            <w:r>
              <w:rPr>
                <w:rFonts w:hint="default" w:ascii="Times New Roman" w:eastAsia="黑体"/>
                <w:snapToGrid w:val="0"/>
                <w:color w:val="auto"/>
                <w:spacing w:val="-16"/>
                <w:kern w:val="21"/>
                <w:szCs w:val="21"/>
              </w:rPr>
              <w:instrText xml:space="preserve"> = 5 \* GB3 \* MERGEFORMAT </w:instrText>
            </w:r>
            <w:r>
              <w:rPr>
                <w:rFonts w:hint="default" w:ascii="Times New Roman" w:eastAsia="黑体"/>
                <w:snapToGrid w:val="0"/>
                <w:color w:val="auto"/>
                <w:spacing w:val="-16"/>
                <w:kern w:val="21"/>
                <w:szCs w:val="21"/>
              </w:rPr>
              <w:fldChar w:fldCharType="separate"/>
            </w:r>
            <w:r>
              <w:rPr>
                <w:rFonts w:hint="eastAsia" w:ascii="Times New Roman" w:eastAsia="黑体" w:cs="宋体"/>
                <w:color w:val="auto"/>
                <w:kern w:val="2"/>
                <w:szCs w:val="21"/>
              </w:rPr>
              <w:t>⑤</w:t>
            </w:r>
            <w:r>
              <w:rPr>
                <w:rFonts w:hint="default" w:ascii="Times New Roman" w:eastAsia="黑体"/>
                <w:snapToGrid w:val="0"/>
                <w:color w:val="auto"/>
                <w:spacing w:val="-16"/>
                <w:kern w:val="21"/>
                <w:szCs w:val="21"/>
              </w:rPr>
              <w:fldChar w:fldCharType="end"/>
            </w:r>
          </w:p>
        </w:tc>
        <w:tc>
          <w:tcPr>
            <w:tcW w:w="1650" w:type="dxa"/>
            <w:noWrap w:val="0"/>
            <w:tcMar>
              <w:left w:w="28" w:type="dxa"/>
              <w:right w:w="28" w:type="dxa"/>
            </w:tcMar>
            <w:vAlign w:val="center"/>
          </w:tcPr>
          <w:p>
            <w:pPr>
              <w:pStyle w:val="64"/>
              <w:keepNext w:val="0"/>
              <w:keepLines w:val="0"/>
              <w:suppressLineNumbers w:val="0"/>
              <w:spacing w:before="0" w:beforeLines="0" w:beforeAutospacing="0" w:after="0" w:afterLines="0" w:afterAutospacing="0" w:line="240" w:lineRule="auto"/>
              <w:ind w:left="356" w:right="0" w:hanging="356"/>
              <w:rPr>
                <w:rFonts w:hint="eastAsia" w:ascii="Times New Roman" w:eastAsia="黑体"/>
                <w:snapToGrid w:val="0"/>
                <w:color w:val="auto"/>
                <w:spacing w:val="-16"/>
                <w:kern w:val="21"/>
                <w:szCs w:val="21"/>
              </w:rPr>
            </w:pPr>
            <w:r>
              <w:rPr>
                <w:rFonts w:hint="default" w:ascii="Times New Roman" w:eastAsia="黑体"/>
                <w:snapToGrid w:val="0"/>
                <w:color w:val="auto"/>
                <w:spacing w:val="-16"/>
                <w:kern w:val="21"/>
                <w:szCs w:val="21"/>
              </w:rPr>
              <w:t>本项目建成后</w:t>
            </w:r>
          </w:p>
          <w:p>
            <w:pPr>
              <w:pStyle w:val="64"/>
              <w:keepNext w:val="0"/>
              <w:keepLines w:val="0"/>
              <w:suppressLineNumbers w:val="0"/>
              <w:spacing w:before="0" w:beforeLines="0" w:beforeAutospacing="0" w:after="0" w:afterLines="0" w:afterAutospacing="0" w:line="240" w:lineRule="auto"/>
              <w:ind w:left="356" w:right="0" w:hanging="356"/>
              <w:rPr>
                <w:rFonts w:hint="default" w:ascii="Times New Roman" w:eastAsia="黑体"/>
                <w:snapToGrid w:val="0"/>
                <w:color w:val="auto"/>
                <w:spacing w:val="-16"/>
                <w:kern w:val="21"/>
                <w:szCs w:val="21"/>
              </w:rPr>
            </w:pPr>
            <w:r>
              <w:rPr>
                <w:rFonts w:hint="eastAsia" w:ascii="Times New Roman" w:eastAsia="黑体"/>
                <w:snapToGrid w:val="0"/>
                <w:color w:val="auto"/>
                <w:spacing w:val="-16"/>
                <w:kern w:val="21"/>
                <w:szCs w:val="21"/>
              </w:rPr>
              <w:t>全厂</w:t>
            </w:r>
            <w:r>
              <w:rPr>
                <w:rFonts w:hint="default" w:ascii="Times New Roman" w:eastAsia="黑体"/>
                <w:snapToGrid w:val="0"/>
                <w:color w:val="auto"/>
                <w:spacing w:val="-16"/>
                <w:kern w:val="21"/>
                <w:szCs w:val="21"/>
              </w:rPr>
              <w:t>排放量（固</w:t>
            </w:r>
            <w:r>
              <w:rPr>
                <w:rFonts w:hint="eastAsia" w:ascii="Times New Roman" w:eastAsia="黑体"/>
                <w:snapToGrid w:val="0"/>
                <w:color w:val="auto"/>
                <w:spacing w:val="-16"/>
                <w:kern w:val="21"/>
                <w:szCs w:val="21"/>
              </w:rPr>
              <w:t>体</w:t>
            </w:r>
            <w:r>
              <w:rPr>
                <w:rFonts w:hint="default" w:ascii="Times New Roman" w:eastAsia="黑体"/>
                <w:snapToGrid w:val="0"/>
                <w:color w:val="auto"/>
                <w:spacing w:val="-16"/>
                <w:kern w:val="21"/>
                <w:szCs w:val="21"/>
              </w:rPr>
              <w:t>废</w:t>
            </w:r>
            <w:r>
              <w:rPr>
                <w:rFonts w:hint="eastAsia" w:ascii="Times New Roman" w:eastAsia="黑体"/>
                <w:snapToGrid w:val="0"/>
                <w:color w:val="auto"/>
                <w:spacing w:val="-16"/>
                <w:kern w:val="21"/>
                <w:szCs w:val="21"/>
              </w:rPr>
              <w:t>物</w:t>
            </w:r>
            <w:r>
              <w:rPr>
                <w:rFonts w:hint="default" w:ascii="Times New Roman" w:eastAsia="黑体"/>
                <w:snapToGrid w:val="0"/>
                <w:color w:val="auto"/>
                <w:spacing w:val="-16"/>
                <w:kern w:val="21"/>
                <w:szCs w:val="21"/>
              </w:rPr>
              <w:t>产生量）</w:t>
            </w:r>
            <w:r>
              <w:rPr>
                <w:rFonts w:hint="default" w:ascii="Times New Roman" w:eastAsia="黑体"/>
                <w:snapToGrid w:val="0"/>
                <w:color w:val="auto"/>
                <w:spacing w:val="-16"/>
                <w:kern w:val="21"/>
                <w:szCs w:val="21"/>
              </w:rPr>
              <w:fldChar w:fldCharType="begin"/>
            </w:r>
            <w:r>
              <w:rPr>
                <w:rFonts w:hint="default" w:ascii="Times New Roman" w:eastAsia="黑体"/>
                <w:snapToGrid w:val="0"/>
                <w:color w:val="auto"/>
                <w:spacing w:val="-16"/>
                <w:kern w:val="21"/>
                <w:szCs w:val="21"/>
              </w:rPr>
              <w:instrText xml:space="preserve"> = 6 \* GB3 \* MERGEFORMAT </w:instrText>
            </w:r>
            <w:r>
              <w:rPr>
                <w:rFonts w:hint="default" w:ascii="Times New Roman" w:eastAsia="黑体"/>
                <w:snapToGrid w:val="0"/>
                <w:color w:val="auto"/>
                <w:spacing w:val="-16"/>
                <w:kern w:val="21"/>
                <w:szCs w:val="21"/>
              </w:rPr>
              <w:fldChar w:fldCharType="separate"/>
            </w:r>
            <w:r>
              <w:rPr>
                <w:rFonts w:hint="eastAsia" w:ascii="Times New Roman" w:eastAsia="黑体" w:cs="宋体"/>
                <w:color w:val="auto"/>
                <w:kern w:val="2"/>
                <w:szCs w:val="21"/>
              </w:rPr>
              <w:t>⑥</w:t>
            </w:r>
            <w:r>
              <w:rPr>
                <w:rFonts w:hint="default" w:ascii="Times New Roman" w:eastAsia="黑体"/>
                <w:snapToGrid w:val="0"/>
                <w:color w:val="auto"/>
                <w:spacing w:val="-16"/>
                <w:kern w:val="21"/>
                <w:szCs w:val="21"/>
              </w:rPr>
              <w:fldChar w:fldCharType="end"/>
            </w:r>
          </w:p>
        </w:tc>
        <w:tc>
          <w:tcPr>
            <w:tcW w:w="1396" w:type="dxa"/>
            <w:noWrap w:val="0"/>
            <w:tcMar>
              <w:left w:w="28" w:type="dxa"/>
              <w:right w:w="28" w:type="dxa"/>
            </w:tcMar>
            <w:vAlign w:val="center"/>
          </w:tcPr>
          <w:p>
            <w:pPr>
              <w:pStyle w:val="64"/>
              <w:keepNext w:val="0"/>
              <w:keepLines w:val="0"/>
              <w:suppressLineNumbers w:val="0"/>
              <w:spacing w:before="0" w:beforeLines="0" w:beforeAutospacing="0" w:after="0" w:afterLines="0" w:afterAutospacing="0" w:line="240" w:lineRule="auto"/>
              <w:ind w:left="396" w:right="0" w:hanging="396"/>
              <w:rPr>
                <w:rFonts w:hint="default" w:ascii="Times New Roman" w:eastAsia="黑体"/>
                <w:snapToGrid w:val="0"/>
                <w:color w:val="auto"/>
                <w:spacing w:val="-6"/>
                <w:kern w:val="21"/>
                <w:szCs w:val="21"/>
              </w:rPr>
            </w:pPr>
            <w:r>
              <w:rPr>
                <w:rFonts w:hint="default" w:ascii="Times New Roman" w:eastAsia="黑体"/>
                <w:snapToGrid w:val="0"/>
                <w:color w:val="auto"/>
                <w:spacing w:val="-6"/>
                <w:kern w:val="21"/>
                <w:szCs w:val="21"/>
              </w:rPr>
              <w:t>变化量</w:t>
            </w:r>
          </w:p>
          <w:p>
            <w:pPr>
              <w:pStyle w:val="64"/>
              <w:keepNext w:val="0"/>
              <w:keepLines w:val="0"/>
              <w:suppressLineNumbers w:val="0"/>
              <w:spacing w:before="0" w:beforeLines="0" w:beforeAutospacing="0" w:after="0" w:afterLines="0" w:afterAutospacing="0" w:line="240" w:lineRule="auto"/>
              <w:ind w:left="420" w:right="0" w:hanging="420"/>
              <w:rPr>
                <w:rFonts w:hint="default" w:ascii="Times New Roman" w:eastAsia="黑体"/>
                <w:snapToGrid w:val="0"/>
                <w:color w:val="auto"/>
                <w:spacing w:val="-6"/>
                <w:kern w:val="21"/>
                <w:szCs w:val="21"/>
              </w:rPr>
            </w:pPr>
            <w:r>
              <w:rPr>
                <w:rFonts w:hint="default" w:ascii="Times New Roman" w:eastAsia="黑体"/>
                <w:snapToGrid w:val="0"/>
                <w:color w:val="auto"/>
                <w:spacing w:val="-6"/>
                <w:kern w:val="21"/>
                <w:szCs w:val="21"/>
              </w:rPr>
              <w:fldChar w:fldCharType="begin"/>
            </w:r>
            <w:r>
              <w:rPr>
                <w:rFonts w:hint="default" w:ascii="Times New Roman" w:eastAsia="黑体"/>
                <w:snapToGrid w:val="0"/>
                <w:color w:val="auto"/>
                <w:spacing w:val="-6"/>
                <w:kern w:val="21"/>
                <w:szCs w:val="21"/>
              </w:rPr>
              <w:instrText xml:space="preserve"> = 7 \* GB3 \* MERGEFORMAT </w:instrText>
            </w:r>
            <w:r>
              <w:rPr>
                <w:rFonts w:hint="default" w:ascii="Times New Roman" w:eastAsia="黑体"/>
                <w:snapToGrid w:val="0"/>
                <w:color w:val="auto"/>
                <w:spacing w:val="-6"/>
                <w:kern w:val="21"/>
                <w:szCs w:val="21"/>
              </w:rPr>
              <w:fldChar w:fldCharType="separate"/>
            </w:r>
            <w:r>
              <w:rPr>
                <w:rFonts w:hint="eastAsia" w:ascii="Times New Roman" w:eastAsia="黑体" w:cs="宋体"/>
                <w:color w:val="auto"/>
                <w:kern w:val="2"/>
                <w:szCs w:val="21"/>
              </w:rPr>
              <w:t>⑦</w:t>
            </w:r>
            <w:r>
              <w:rPr>
                <w:rFonts w:hint="default" w:ascii="Times New Roman" w:eastAsia="黑体"/>
                <w:snapToGrid w:val="0"/>
                <w:color w:val="auto"/>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8" w:type="dxa"/>
            <w:vMerge w:val="restart"/>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eastAsia" w:ascii="Times New Roman" w:cs="宋体"/>
                <w:snapToGrid w:val="0"/>
                <w:color w:val="auto"/>
                <w:kern w:val="21"/>
                <w:szCs w:val="21"/>
              </w:rPr>
            </w:pPr>
            <w:r>
              <w:rPr>
                <w:rFonts w:hint="eastAsia" w:ascii="Times New Roman" w:cs="宋体"/>
                <w:snapToGrid w:val="0"/>
                <w:color w:val="auto"/>
                <w:kern w:val="21"/>
                <w:szCs w:val="21"/>
              </w:rPr>
              <w:t>废气</w:t>
            </w:r>
          </w:p>
        </w:tc>
        <w:tc>
          <w:tcPr>
            <w:tcW w:w="1417" w:type="dxa"/>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default" w:ascii="Times New Roman" w:cs="宋体"/>
                <w:snapToGrid w:val="0"/>
                <w:color w:val="auto"/>
                <w:kern w:val="21"/>
                <w:szCs w:val="21"/>
              </w:rPr>
            </w:pPr>
            <w:r>
              <w:rPr>
                <w:rFonts w:hint="default" w:ascii="Times New Roman"/>
                <w:snapToGrid w:val="0"/>
                <w:color w:val="auto"/>
                <w:kern w:val="21"/>
                <w:szCs w:val="21"/>
              </w:rPr>
              <w:t>NH</w:t>
            </w:r>
            <w:r>
              <w:rPr>
                <w:rFonts w:hint="default" w:ascii="Times New Roman"/>
                <w:snapToGrid w:val="0"/>
                <w:color w:val="auto"/>
                <w:kern w:val="21"/>
                <w:szCs w:val="21"/>
                <w:vertAlign w:val="subscript"/>
              </w:rPr>
              <w:t>3</w:t>
            </w:r>
          </w:p>
        </w:tc>
        <w:tc>
          <w:tcPr>
            <w:tcW w:w="1701" w:type="dxa"/>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default" w:ascii="Times New Roman" w:eastAsia="宋体"/>
                <w:snapToGrid w:val="0"/>
                <w:color w:val="auto"/>
                <w:kern w:val="21"/>
                <w:szCs w:val="21"/>
                <w:lang w:val="en-US" w:eastAsia="zh-CN"/>
              </w:rPr>
            </w:pPr>
            <w:r>
              <w:rPr>
                <w:rFonts w:hint="eastAsia" w:ascii="Times New Roman"/>
                <w:snapToGrid w:val="0"/>
                <w:color w:val="auto"/>
                <w:kern w:val="21"/>
                <w:szCs w:val="21"/>
                <w:lang w:val="en-US" w:eastAsia="zh-CN"/>
              </w:rPr>
              <w:t>0</w:t>
            </w:r>
          </w:p>
        </w:tc>
        <w:tc>
          <w:tcPr>
            <w:tcW w:w="1276" w:type="dxa"/>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eastAsia" w:ascii="Times New Roman"/>
                <w:snapToGrid w:val="0"/>
                <w:color w:val="auto"/>
                <w:kern w:val="21"/>
                <w:szCs w:val="21"/>
              </w:rPr>
            </w:pPr>
            <w:r>
              <w:rPr>
                <w:rFonts w:hint="eastAsia" w:ascii="Times New Roman"/>
                <w:snapToGrid w:val="0"/>
                <w:color w:val="auto"/>
                <w:kern w:val="21"/>
                <w:szCs w:val="21"/>
              </w:rPr>
              <w:t>0</w:t>
            </w:r>
          </w:p>
        </w:tc>
        <w:tc>
          <w:tcPr>
            <w:tcW w:w="1701"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eastAsia" w:ascii="Times New Roman"/>
                <w:snapToGrid w:val="0"/>
                <w:color w:val="auto"/>
                <w:kern w:val="21"/>
                <w:szCs w:val="21"/>
              </w:rPr>
            </w:pPr>
            <w:r>
              <w:rPr>
                <w:rFonts w:hint="eastAsia" w:ascii="Times New Roman"/>
                <w:snapToGrid w:val="0"/>
                <w:color w:val="auto"/>
                <w:kern w:val="21"/>
                <w:szCs w:val="21"/>
                <w:lang w:val="en-US" w:eastAsia="zh-CN"/>
              </w:rPr>
              <w:t>0.0060t/a</w:t>
            </w:r>
          </w:p>
        </w:tc>
        <w:tc>
          <w:tcPr>
            <w:tcW w:w="1559"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default" w:ascii="Times New Roman" w:eastAsia="宋体"/>
                <w:snapToGrid w:val="0"/>
                <w:color w:val="auto"/>
                <w:kern w:val="21"/>
                <w:szCs w:val="21"/>
                <w:lang w:val="en-US" w:eastAsia="zh-CN"/>
              </w:rPr>
            </w:pPr>
            <w:r>
              <w:rPr>
                <w:rFonts w:hint="eastAsia" w:ascii="Times New Roman"/>
                <w:snapToGrid w:val="0"/>
                <w:color w:val="auto"/>
                <w:kern w:val="21"/>
                <w:szCs w:val="21"/>
                <w:lang w:val="en-US" w:eastAsia="zh-CN"/>
              </w:rPr>
              <w:t>0.0060t/a</w:t>
            </w:r>
          </w:p>
        </w:tc>
        <w:tc>
          <w:tcPr>
            <w:tcW w:w="1500" w:type="dxa"/>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eastAsia" w:ascii="Times New Roman"/>
                <w:snapToGrid w:val="0"/>
                <w:color w:val="auto"/>
                <w:kern w:val="21"/>
                <w:szCs w:val="21"/>
              </w:rPr>
            </w:pPr>
            <w:r>
              <w:rPr>
                <w:rFonts w:hint="eastAsia" w:ascii="Times New Roman"/>
                <w:snapToGrid w:val="0"/>
                <w:color w:val="auto"/>
                <w:kern w:val="21"/>
                <w:szCs w:val="21"/>
              </w:rPr>
              <w:t>0</w:t>
            </w:r>
          </w:p>
        </w:tc>
        <w:tc>
          <w:tcPr>
            <w:tcW w:w="1650"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eastAsia" w:ascii="Times New Roman" w:eastAsia="宋体"/>
                <w:snapToGrid w:val="0"/>
                <w:color w:val="auto"/>
                <w:kern w:val="21"/>
                <w:szCs w:val="21"/>
                <w:lang w:val="en-US" w:eastAsia="zh-CN"/>
              </w:rPr>
            </w:pPr>
            <w:r>
              <w:rPr>
                <w:rFonts w:hint="eastAsia" w:ascii="Times New Roman"/>
                <w:snapToGrid w:val="0"/>
                <w:color w:val="auto"/>
                <w:kern w:val="21"/>
                <w:szCs w:val="21"/>
                <w:lang w:val="en-US" w:eastAsia="zh-CN"/>
              </w:rPr>
              <w:t>0.0060t/a</w:t>
            </w:r>
          </w:p>
        </w:tc>
        <w:tc>
          <w:tcPr>
            <w:tcW w:w="1396"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eastAsia" w:ascii="Times New Roman" w:eastAsia="宋体"/>
                <w:snapToGrid w:val="0"/>
                <w:color w:val="auto"/>
                <w:kern w:val="21"/>
                <w:szCs w:val="21"/>
                <w:lang w:val="en-US" w:eastAsia="zh-CN"/>
              </w:rPr>
            </w:pPr>
            <w:r>
              <w:rPr>
                <w:rFonts w:hint="eastAsia" w:ascii="Times New Roman"/>
                <w:snapToGrid w:val="0"/>
                <w:color w:val="auto"/>
                <w:kern w:val="21"/>
                <w:szCs w:val="21"/>
                <w:lang w:val="en-US" w:eastAsia="zh-CN"/>
              </w:rPr>
              <w:t>+0.0060t/a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8" w:type="dxa"/>
            <w:vMerge w:val="continue"/>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eastAsia" w:ascii="Times New Roman" w:cs="宋体"/>
                <w:snapToGrid w:val="0"/>
                <w:color w:val="auto"/>
                <w:kern w:val="21"/>
                <w:szCs w:val="21"/>
              </w:rPr>
            </w:pPr>
          </w:p>
        </w:tc>
        <w:tc>
          <w:tcPr>
            <w:tcW w:w="1417" w:type="dxa"/>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default" w:ascii="Times New Roman" w:eastAsia="宋体"/>
                <w:snapToGrid w:val="0"/>
                <w:color w:val="auto"/>
                <w:kern w:val="21"/>
                <w:szCs w:val="21"/>
                <w:lang w:val="en-US" w:eastAsia="zh-CN"/>
              </w:rPr>
            </w:pPr>
            <w:r>
              <w:rPr>
                <w:rFonts w:hint="eastAsia" w:ascii="Times New Roman"/>
                <w:snapToGrid w:val="0"/>
                <w:color w:val="auto"/>
                <w:kern w:val="21"/>
                <w:szCs w:val="21"/>
                <w:lang w:val="en-US" w:eastAsia="zh-CN"/>
              </w:rPr>
              <w:t>H</w:t>
            </w:r>
            <w:r>
              <w:rPr>
                <w:rFonts w:hint="eastAsia" w:ascii="Times New Roman"/>
                <w:snapToGrid w:val="0"/>
                <w:color w:val="auto"/>
                <w:kern w:val="21"/>
                <w:szCs w:val="21"/>
                <w:vertAlign w:val="subscript"/>
                <w:lang w:val="en-US" w:eastAsia="zh-CN"/>
              </w:rPr>
              <w:t>2</w:t>
            </w:r>
            <w:r>
              <w:rPr>
                <w:rFonts w:hint="eastAsia" w:ascii="Times New Roman"/>
                <w:snapToGrid w:val="0"/>
                <w:color w:val="auto"/>
                <w:kern w:val="21"/>
                <w:szCs w:val="21"/>
                <w:lang w:val="en-US" w:eastAsia="zh-CN"/>
              </w:rPr>
              <w:t>S</w:t>
            </w:r>
          </w:p>
        </w:tc>
        <w:tc>
          <w:tcPr>
            <w:tcW w:w="1701" w:type="dxa"/>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default" w:ascii="Times New Roman" w:eastAsia="宋体"/>
                <w:snapToGrid w:val="0"/>
                <w:color w:val="auto"/>
                <w:kern w:val="21"/>
                <w:szCs w:val="21"/>
                <w:lang w:val="en-US" w:eastAsia="zh-CN"/>
              </w:rPr>
            </w:pPr>
            <w:r>
              <w:rPr>
                <w:rFonts w:hint="eastAsia" w:ascii="Times New Roman"/>
                <w:snapToGrid w:val="0"/>
                <w:color w:val="auto"/>
                <w:kern w:val="21"/>
                <w:szCs w:val="21"/>
                <w:lang w:val="en-US" w:eastAsia="zh-CN"/>
              </w:rPr>
              <w:t>0</w:t>
            </w:r>
          </w:p>
        </w:tc>
        <w:tc>
          <w:tcPr>
            <w:tcW w:w="1276" w:type="dxa"/>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eastAsia" w:ascii="Times New Roman"/>
                <w:snapToGrid w:val="0"/>
                <w:color w:val="auto"/>
                <w:kern w:val="21"/>
                <w:szCs w:val="21"/>
              </w:rPr>
            </w:pPr>
            <w:r>
              <w:rPr>
                <w:rFonts w:hint="eastAsia" w:ascii="Times New Roman"/>
                <w:snapToGrid w:val="0"/>
                <w:color w:val="auto"/>
                <w:kern w:val="21"/>
                <w:szCs w:val="21"/>
              </w:rPr>
              <w:t>0</w:t>
            </w:r>
          </w:p>
        </w:tc>
        <w:tc>
          <w:tcPr>
            <w:tcW w:w="1701"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eastAsia" w:ascii="Times New Roman"/>
                <w:snapToGrid w:val="0"/>
                <w:color w:val="auto"/>
                <w:kern w:val="21"/>
                <w:szCs w:val="21"/>
              </w:rPr>
            </w:pPr>
            <w:r>
              <w:rPr>
                <w:rFonts w:hint="eastAsia" w:ascii="Times New Roman"/>
                <w:snapToGrid w:val="0"/>
                <w:color w:val="auto"/>
                <w:kern w:val="21"/>
                <w:szCs w:val="21"/>
                <w:lang w:val="en-US" w:eastAsia="zh-CN"/>
              </w:rPr>
              <w:t>0.00061t/a</w:t>
            </w:r>
          </w:p>
        </w:tc>
        <w:tc>
          <w:tcPr>
            <w:tcW w:w="1559"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default" w:ascii="Times New Roman" w:eastAsia="宋体"/>
                <w:snapToGrid w:val="0"/>
                <w:color w:val="auto"/>
                <w:kern w:val="21"/>
                <w:szCs w:val="21"/>
                <w:lang w:val="en-US" w:eastAsia="zh-CN"/>
              </w:rPr>
            </w:pPr>
            <w:r>
              <w:rPr>
                <w:rFonts w:hint="eastAsia" w:ascii="Times New Roman"/>
                <w:snapToGrid w:val="0"/>
                <w:color w:val="auto"/>
                <w:kern w:val="21"/>
                <w:szCs w:val="21"/>
                <w:lang w:val="en-US" w:eastAsia="zh-CN"/>
              </w:rPr>
              <w:t>0.00061t/a</w:t>
            </w:r>
          </w:p>
        </w:tc>
        <w:tc>
          <w:tcPr>
            <w:tcW w:w="1500" w:type="dxa"/>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eastAsia" w:ascii="Times New Roman"/>
                <w:snapToGrid w:val="0"/>
                <w:color w:val="auto"/>
                <w:kern w:val="21"/>
                <w:szCs w:val="21"/>
              </w:rPr>
            </w:pPr>
            <w:r>
              <w:rPr>
                <w:rFonts w:hint="eastAsia" w:ascii="Times New Roman"/>
                <w:snapToGrid w:val="0"/>
                <w:color w:val="auto"/>
                <w:kern w:val="21"/>
                <w:szCs w:val="21"/>
              </w:rPr>
              <w:t>0</w:t>
            </w:r>
          </w:p>
        </w:tc>
        <w:tc>
          <w:tcPr>
            <w:tcW w:w="1650"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eastAsia" w:ascii="Times New Roman"/>
                <w:snapToGrid w:val="0"/>
                <w:color w:val="auto"/>
                <w:kern w:val="21"/>
                <w:szCs w:val="21"/>
              </w:rPr>
            </w:pPr>
            <w:r>
              <w:rPr>
                <w:rFonts w:hint="eastAsia" w:ascii="Times New Roman"/>
                <w:snapToGrid w:val="0"/>
                <w:color w:val="auto"/>
                <w:kern w:val="21"/>
                <w:szCs w:val="21"/>
                <w:lang w:val="en-US" w:eastAsia="zh-CN"/>
              </w:rPr>
              <w:t>0.00061t/a</w:t>
            </w:r>
          </w:p>
        </w:tc>
        <w:tc>
          <w:tcPr>
            <w:tcW w:w="1396"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eastAsia" w:ascii="Times New Roman"/>
                <w:snapToGrid w:val="0"/>
                <w:color w:val="auto"/>
                <w:kern w:val="21"/>
                <w:szCs w:val="21"/>
              </w:rPr>
            </w:pPr>
            <w:r>
              <w:rPr>
                <w:rFonts w:hint="eastAsia" w:ascii="Times New Roman"/>
                <w:snapToGrid w:val="0"/>
                <w:color w:val="auto"/>
                <w:kern w:val="21"/>
                <w:szCs w:val="21"/>
                <w:lang w:val="en-US" w:eastAsia="zh-CN"/>
              </w:rPr>
              <w:t>+0.00061t/a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8" w:type="dxa"/>
            <w:vMerge w:val="restart"/>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eastAsia" w:ascii="Times New Roman" w:cs="宋体"/>
                <w:snapToGrid w:val="0"/>
                <w:color w:val="auto"/>
                <w:kern w:val="21"/>
                <w:szCs w:val="21"/>
              </w:rPr>
            </w:pPr>
            <w:r>
              <w:rPr>
                <w:rFonts w:hint="eastAsia" w:ascii="Times New Roman" w:cs="宋体"/>
                <w:snapToGrid w:val="0"/>
                <w:color w:val="auto"/>
                <w:kern w:val="21"/>
                <w:szCs w:val="21"/>
              </w:rPr>
              <w:t>废水</w:t>
            </w:r>
          </w:p>
        </w:tc>
        <w:tc>
          <w:tcPr>
            <w:tcW w:w="1417" w:type="dxa"/>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default" w:ascii="Times New Roman"/>
                <w:snapToGrid w:val="0"/>
                <w:color w:val="auto"/>
                <w:kern w:val="21"/>
                <w:szCs w:val="21"/>
              </w:rPr>
            </w:pPr>
            <w:r>
              <w:rPr>
                <w:rFonts w:hint="default" w:ascii="Times New Roman"/>
                <w:snapToGrid w:val="0"/>
                <w:color w:val="auto"/>
                <w:kern w:val="21"/>
                <w:szCs w:val="21"/>
              </w:rPr>
              <w:t>COD</w:t>
            </w:r>
          </w:p>
        </w:tc>
        <w:tc>
          <w:tcPr>
            <w:tcW w:w="1701" w:type="dxa"/>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eastAsia" w:ascii="Times New Roman"/>
                <w:snapToGrid w:val="0"/>
                <w:color w:val="auto"/>
                <w:kern w:val="21"/>
                <w:szCs w:val="21"/>
              </w:rPr>
            </w:pPr>
            <w:r>
              <w:rPr>
                <w:rFonts w:hint="eastAsia" w:ascii="Times New Roman"/>
                <w:snapToGrid w:val="0"/>
                <w:color w:val="auto"/>
                <w:kern w:val="21"/>
                <w:szCs w:val="21"/>
              </w:rPr>
              <w:t>0</w:t>
            </w:r>
          </w:p>
        </w:tc>
        <w:tc>
          <w:tcPr>
            <w:tcW w:w="1276" w:type="dxa"/>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eastAsia" w:ascii="Times New Roman"/>
                <w:snapToGrid w:val="0"/>
                <w:color w:val="auto"/>
                <w:kern w:val="21"/>
                <w:szCs w:val="21"/>
              </w:rPr>
            </w:pPr>
            <w:r>
              <w:rPr>
                <w:rFonts w:hint="eastAsia" w:ascii="Times New Roman"/>
                <w:snapToGrid w:val="0"/>
                <w:color w:val="auto"/>
                <w:kern w:val="21"/>
                <w:szCs w:val="21"/>
              </w:rPr>
              <w:t>0</w:t>
            </w:r>
          </w:p>
        </w:tc>
        <w:tc>
          <w:tcPr>
            <w:tcW w:w="1701"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default" w:ascii="Times New Roman"/>
                <w:snapToGrid w:val="0"/>
                <w:color w:val="auto"/>
                <w:kern w:val="21"/>
                <w:szCs w:val="21"/>
                <w:lang w:val="en-US" w:eastAsia="zh-CN"/>
              </w:rPr>
            </w:pPr>
            <w:r>
              <w:rPr>
                <w:rFonts w:hint="default" w:ascii="Times New Roman"/>
                <w:snapToGrid w:val="0"/>
                <w:color w:val="auto"/>
                <w:kern w:val="21"/>
                <w:szCs w:val="21"/>
                <w:lang w:val="en-US" w:eastAsia="zh-CN"/>
              </w:rPr>
              <w:t>21.456</w:t>
            </w:r>
            <w:r>
              <w:rPr>
                <w:rFonts w:hint="eastAsia" w:ascii="Times New Roman"/>
                <w:snapToGrid w:val="0"/>
                <w:color w:val="auto"/>
                <w:kern w:val="21"/>
                <w:szCs w:val="21"/>
                <w:lang w:val="en-US" w:eastAsia="zh-CN"/>
              </w:rPr>
              <w:t>t/a</w:t>
            </w:r>
          </w:p>
        </w:tc>
        <w:tc>
          <w:tcPr>
            <w:tcW w:w="1559"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0</w:t>
            </w:r>
          </w:p>
        </w:tc>
        <w:tc>
          <w:tcPr>
            <w:tcW w:w="1500"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10.840t/a</w:t>
            </w:r>
          </w:p>
        </w:tc>
        <w:tc>
          <w:tcPr>
            <w:tcW w:w="1650"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10.616t/a</w:t>
            </w:r>
          </w:p>
        </w:tc>
        <w:tc>
          <w:tcPr>
            <w:tcW w:w="1396"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default" w:ascii="Times New Roman" w:eastAsia="宋体"/>
                <w:snapToGrid w:val="0"/>
                <w:color w:val="auto"/>
                <w:kern w:val="21"/>
                <w:szCs w:val="21"/>
                <w:lang w:val="en-US" w:eastAsia="zh-CN"/>
              </w:rPr>
            </w:pPr>
            <w:r>
              <w:rPr>
                <w:rFonts w:hint="eastAsia" w:ascii="Times New Roman"/>
                <w:snapToGrid w:val="0"/>
                <w:color w:val="auto"/>
                <w:kern w:val="21"/>
                <w:szCs w:val="21"/>
                <w:lang w:val="en-US" w:eastAsia="zh-CN"/>
              </w:rPr>
              <w:t>-10.840t/a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8" w:type="dxa"/>
            <w:vMerge w:val="continue"/>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eastAsia" w:ascii="Times New Roman" w:cs="宋体"/>
                <w:snapToGrid w:val="0"/>
                <w:color w:val="auto"/>
                <w:kern w:val="21"/>
                <w:szCs w:val="21"/>
              </w:rPr>
            </w:pPr>
          </w:p>
        </w:tc>
        <w:tc>
          <w:tcPr>
            <w:tcW w:w="1417" w:type="dxa"/>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default" w:ascii="Times New Roman"/>
                <w:snapToGrid w:val="0"/>
                <w:color w:val="auto"/>
                <w:kern w:val="21"/>
                <w:szCs w:val="21"/>
              </w:rPr>
            </w:pPr>
            <w:r>
              <w:rPr>
                <w:rFonts w:hint="default" w:ascii="Times New Roman"/>
                <w:snapToGrid w:val="0"/>
                <w:color w:val="auto"/>
                <w:kern w:val="21"/>
                <w:szCs w:val="21"/>
              </w:rPr>
              <w:t>NH</w:t>
            </w:r>
            <w:r>
              <w:rPr>
                <w:rFonts w:hint="default" w:ascii="Times New Roman"/>
                <w:snapToGrid w:val="0"/>
                <w:color w:val="auto"/>
                <w:kern w:val="21"/>
                <w:szCs w:val="21"/>
                <w:vertAlign w:val="subscript"/>
              </w:rPr>
              <w:t>3</w:t>
            </w:r>
            <w:r>
              <w:rPr>
                <w:rFonts w:hint="default" w:ascii="Times New Roman"/>
                <w:snapToGrid w:val="0"/>
                <w:color w:val="auto"/>
                <w:kern w:val="21"/>
                <w:szCs w:val="21"/>
              </w:rPr>
              <w:t>-N</w:t>
            </w:r>
          </w:p>
        </w:tc>
        <w:tc>
          <w:tcPr>
            <w:tcW w:w="1701" w:type="dxa"/>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eastAsia" w:ascii="Times New Roman"/>
                <w:snapToGrid w:val="0"/>
                <w:color w:val="auto"/>
                <w:kern w:val="21"/>
                <w:szCs w:val="21"/>
              </w:rPr>
            </w:pPr>
            <w:r>
              <w:rPr>
                <w:rFonts w:hint="eastAsia" w:ascii="Times New Roman"/>
                <w:snapToGrid w:val="0"/>
                <w:color w:val="auto"/>
                <w:kern w:val="21"/>
                <w:szCs w:val="21"/>
              </w:rPr>
              <w:t>0</w:t>
            </w:r>
          </w:p>
        </w:tc>
        <w:tc>
          <w:tcPr>
            <w:tcW w:w="1276" w:type="dxa"/>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eastAsia" w:ascii="Times New Roman"/>
                <w:snapToGrid w:val="0"/>
                <w:color w:val="auto"/>
                <w:kern w:val="21"/>
                <w:szCs w:val="21"/>
              </w:rPr>
            </w:pPr>
            <w:r>
              <w:rPr>
                <w:rFonts w:hint="eastAsia" w:ascii="Times New Roman"/>
                <w:snapToGrid w:val="0"/>
                <w:color w:val="auto"/>
                <w:kern w:val="21"/>
                <w:szCs w:val="21"/>
              </w:rPr>
              <w:t>0</w:t>
            </w:r>
          </w:p>
        </w:tc>
        <w:tc>
          <w:tcPr>
            <w:tcW w:w="1701"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default" w:ascii="Times New Roman"/>
                <w:snapToGrid w:val="0"/>
                <w:color w:val="auto"/>
                <w:kern w:val="21"/>
                <w:szCs w:val="21"/>
                <w:lang w:val="en-US" w:eastAsia="zh-CN"/>
              </w:rPr>
            </w:pPr>
            <w:r>
              <w:rPr>
                <w:rFonts w:hint="default" w:ascii="Times New Roman"/>
                <w:snapToGrid w:val="0"/>
                <w:color w:val="auto"/>
                <w:kern w:val="21"/>
                <w:szCs w:val="21"/>
                <w:lang w:val="en-US" w:eastAsia="zh-CN"/>
              </w:rPr>
              <w:t>1.536</w:t>
            </w:r>
            <w:r>
              <w:rPr>
                <w:rFonts w:hint="eastAsia" w:ascii="Times New Roman"/>
                <w:snapToGrid w:val="0"/>
                <w:color w:val="auto"/>
                <w:kern w:val="21"/>
                <w:szCs w:val="21"/>
                <w:lang w:val="en-US" w:eastAsia="zh-CN"/>
              </w:rPr>
              <w:t>t/a</w:t>
            </w:r>
          </w:p>
        </w:tc>
        <w:tc>
          <w:tcPr>
            <w:tcW w:w="1559"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0</w:t>
            </w:r>
          </w:p>
        </w:tc>
        <w:tc>
          <w:tcPr>
            <w:tcW w:w="1500"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1.084t/a</w:t>
            </w:r>
          </w:p>
        </w:tc>
        <w:tc>
          <w:tcPr>
            <w:tcW w:w="1650"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0.452</w:t>
            </w:r>
          </w:p>
        </w:tc>
        <w:tc>
          <w:tcPr>
            <w:tcW w:w="1396"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eastAsia" w:ascii="Times New Roman" w:eastAsia="宋体"/>
                <w:snapToGrid w:val="0"/>
                <w:color w:val="auto"/>
                <w:kern w:val="21"/>
                <w:szCs w:val="21"/>
                <w:lang w:eastAsia="zh-CN"/>
              </w:rPr>
            </w:pPr>
            <w:r>
              <w:rPr>
                <w:rFonts w:hint="eastAsia" w:ascii="Times New Roman"/>
                <w:snapToGrid w:val="0"/>
                <w:color w:val="auto"/>
                <w:kern w:val="21"/>
                <w:szCs w:val="21"/>
                <w:lang w:val="en-US" w:eastAsia="zh-CN"/>
              </w:rPr>
              <w:t>-1.084t/a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8" w:type="dxa"/>
            <w:vMerge w:val="restart"/>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eastAsia" w:ascii="Times New Roman" w:cs="宋体"/>
                <w:snapToGrid w:val="0"/>
                <w:color w:val="auto"/>
                <w:kern w:val="21"/>
                <w:szCs w:val="21"/>
              </w:rPr>
            </w:pPr>
            <w:r>
              <w:rPr>
                <w:rFonts w:hint="eastAsia" w:ascii="Times New Roman" w:cs="宋体"/>
                <w:snapToGrid w:val="0"/>
                <w:color w:val="auto"/>
                <w:kern w:val="21"/>
                <w:szCs w:val="21"/>
              </w:rPr>
              <w:t>固体废物</w:t>
            </w:r>
          </w:p>
        </w:tc>
        <w:tc>
          <w:tcPr>
            <w:tcW w:w="1417" w:type="dxa"/>
            <w:noWrap w:val="0"/>
            <w:vAlign w:val="center"/>
          </w:tcPr>
          <w:p>
            <w:pPr>
              <w:keepNext w:val="0"/>
              <w:keepLines w:val="0"/>
              <w:suppressLineNumbers w:val="0"/>
              <w:spacing w:before="0" w:beforeAutospacing="0" w:after="0" w:afterAutospacing="0"/>
              <w:ind w:left="-31" w:leftChars="-15" w:right="-31" w:rightChars="-15"/>
              <w:jc w:val="center"/>
              <w:rPr>
                <w:rFonts w:hint="default" w:ascii="Times New Roman"/>
                <w:snapToGrid w:val="0"/>
                <w:color w:val="auto"/>
                <w:kern w:val="21"/>
                <w:sz w:val="21"/>
                <w:szCs w:val="21"/>
                <w:lang w:val="en-US"/>
              </w:rPr>
            </w:pPr>
            <w:r>
              <w:rPr>
                <w:rFonts w:hint="eastAsia"/>
                <w:color w:val="auto"/>
                <w:sz w:val="21"/>
                <w:szCs w:val="21"/>
                <w:lang w:val="en-US" w:eastAsia="zh-CN"/>
              </w:rPr>
              <w:t>一般工业固废</w:t>
            </w:r>
          </w:p>
        </w:tc>
        <w:tc>
          <w:tcPr>
            <w:tcW w:w="1701" w:type="dxa"/>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eastAsia" w:ascii="Times New Roman"/>
                <w:snapToGrid w:val="0"/>
                <w:color w:val="auto"/>
                <w:kern w:val="21"/>
                <w:szCs w:val="21"/>
              </w:rPr>
            </w:pPr>
            <w:r>
              <w:rPr>
                <w:rFonts w:hint="eastAsia" w:ascii="Times New Roman"/>
                <w:snapToGrid w:val="0"/>
                <w:color w:val="auto"/>
                <w:kern w:val="21"/>
                <w:szCs w:val="21"/>
              </w:rPr>
              <w:t>0</w:t>
            </w:r>
          </w:p>
        </w:tc>
        <w:tc>
          <w:tcPr>
            <w:tcW w:w="1276" w:type="dxa"/>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eastAsia" w:ascii="Times New Roman"/>
                <w:snapToGrid w:val="0"/>
                <w:color w:val="auto"/>
                <w:kern w:val="21"/>
                <w:szCs w:val="21"/>
              </w:rPr>
            </w:pPr>
            <w:r>
              <w:rPr>
                <w:rFonts w:hint="eastAsia" w:ascii="Times New Roman"/>
                <w:snapToGrid w:val="0"/>
                <w:color w:val="auto"/>
                <w:kern w:val="21"/>
                <w:szCs w:val="21"/>
              </w:rPr>
              <w:t>0</w:t>
            </w:r>
          </w:p>
        </w:tc>
        <w:tc>
          <w:tcPr>
            <w:tcW w:w="1701"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1312855.624t/a</w:t>
            </w:r>
          </w:p>
        </w:tc>
        <w:tc>
          <w:tcPr>
            <w:tcW w:w="1559"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63.73t/a</w:t>
            </w:r>
          </w:p>
        </w:tc>
        <w:tc>
          <w:tcPr>
            <w:tcW w:w="1500"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0</w:t>
            </w:r>
          </w:p>
        </w:tc>
        <w:tc>
          <w:tcPr>
            <w:tcW w:w="1650"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1312919.354t/a</w:t>
            </w:r>
          </w:p>
        </w:tc>
        <w:tc>
          <w:tcPr>
            <w:tcW w:w="1396"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eastAsia" w:ascii="Times New Roman"/>
                <w:snapToGrid w:val="0"/>
                <w:color w:val="auto"/>
                <w:kern w:val="21"/>
                <w:szCs w:val="21"/>
              </w:rPr>
            </w:pPr>
            <w:r>
              <w:rPr>
                <w:rFonts w:hint="eastAsia" w:ascii="Times New Roman"/>
                <w:snapToGrid w:val="0"/>
                <w:color w:val="auto"/>
                <w:kern w:val="21"/>
                <w:szCs w:val="21"/>
                <w:lang w:val="en-US" w:eastAsia="zh-CN"/>
              </w:rPr>
              <w:t>63.73t/a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8" w:type="dxa"/>
            <w:vMerge w:val="continue"/>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eastAsia" w:ascii="Times New Roman" w:cs="宋体"/>
                <w:snapToGrid w:val="0"/>
                <w:color w:val="auto"/>
                <w:kern w:val="21"/>
                <w:szCs w:val="21"/>
              </w:rPr>
            </w:pPr>
          </w:p>
        </w:tc>
        <w:tc>
          <w:tcPr>
            <w:tcW w:w="1417" w:type="dxa"/>
            <w:noWrap w:val="0"/>
            <w:vAlign w:val="center"/>
          </w:tcPr>
          <w:p>
            <w:pPr>
              <w:keepNext w:val="0"/>
              <w:keepLines w:val="0"/>
              <w:suppressLineNumbers w:val="0"/>
              <w:spacing w:before="0" w:beforeAutospacing="0" w:after="0" w:afterAutospacing="0"/>
              <w:ind w:left="-31" w:leftChars="-15" w:right="-31" w:rightChars="-15"/>
              <w:jc w:val="center"/>
              <w:rPr>
                <w:rFonts w:hint="default" w:ascii="Times New Roman"/>
                <w:snapToGrid w:val="0"/>
                <w:color w:val="auto"/>
                <w:kern w:val="21"/>
                <w:sz w:val="21"/>
                <w:szCs w:val="21"/>
                <w:lang w:val="en-US"/>
              </w:rPr>
            </w:pPr>
            <w:r>
              <w:rPr>
                <w:rFonts w:hint="eastAsia"/>
                <w:color w:val="auto"/>
                <w:sz w:val="21"/>
                <w:szCs w:val="21"/>
                <w:lang w:val="en-US" w:eastAsia="zh-CN"/>
              </w:rPr>
              <w:t>危险废物</w:t>
            </w:r>
          </w:p>
        </w:tc>
        <w:tc>
          <w:tcPr>
            <w:tcW w:w="1701" w:type="dxa"/>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eastAsia" w:ascii="Times New Roman"/>
                <w:snapToGrid w:val="0"/>
                <w:color w:val="auto"/>
                <w:kern w:val="21"/>
                <w:szCs w:val="21"/>
              </w:rPr>
            </w:pPr>
            <w:r>
              <w:rPr>
                <w:rFonts w:hint="eastAsia" w:ascii="Times New Roman"/>
                <w:snapToGrid w:val="0"/>
                <w:color w:val="auto"/>
                <w:kern w:val="21"/>
                <w:szCs w:val="21"/>
              </w:rPr>
              <w:t>0</w:t>
            </w:r>
          </w:p>
        </w:tc>
        <w:tc>
          <w:tcPr>
            <w:tcW w:w="1276" w:type="dxa"/>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eastAsia" w:ascii="Times New Roman"/>
                <w:snapToGrid w:val="0"/>
                <w:color w:val="auto"/>
                <w:kern w:val="21"/>
                <w:szCs w:val="21"/>
              </w:rPr>
            </w:pPr>
            <w:r>
              <w:rPr>
                <w:rFonts w:hint="eastAsia" w:ascii="Times New Roman"/>
                <w:snapToGrid w:val="0"/>
                <w:color w:val="auto"/>
                <w:kern w:val="21"/>
                <w:szCs w:val="21"/>
              </w:rPr>
              <w:t>0</w:t>
            </w:r>
          </w:p>
        </w:tc>
        <w:tc>
          <w:tcPr>
            <w:tcW w:w="1701"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52.22t/a</w:t>
            </w:r>
          </w:p>
        </w:tc>
        <w:tc>
          <w:tcPr>
            <w:tcW w:w="1559"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0.020t/a</w:t>
            </w:r>
          </w:p>
        </w:tc>
        <w:tc>
          <w:tcPr>
            <w:tcW w:w="1500"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0</w:t>
            </w:r>
          </w:p>
        </w:tc>
        <w:tc>
          <w:tcPr>
            <w:tcW w:w="1650"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52.24t/a</w:t>
            </w:r>
          </w:p>
        </w:tc>
        <w:tc>
          <w:tcPr>
            <w:tcW w:w="1396"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eastAsia" w:ascii="Times New Roman"/>
                <w:snapToGrid w:val="0"/>
                <w:color w:val="auto"/>
                <w:kern w:val="21"/>
                <w:szCs w:val="21"/>
              </w:rPr>
            </w:pPr>
            <w:r>
              <w:rPr>
                <w:rFonts w:hint="eastAsia" w:ascii="Times New Roman"/>
                <w:snapToGrid w:val="0"/>
                <w:color w:val="auto"/>
                <w:kern w:val="21"/>
                <w:szCs w:val="21"/>
                <w:lang w:val="en-US" w:eastAsia="zh-CN"/>
              </w:rPr>
              <w:t>0.020t/a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88" w:type="dxa"/>
            <w:vMerge w:val="continue"/>
            <w:noWrap w:val="0"/>
            <w:vAlign w:val="center"/>
          </w:tcPr>
          <w:p>
            <w:pPr>
              <w:pStyle w:val="64"/>
              <w:keepNext w:val="0"/>
              <w:keepLines w:val="0"/>
              <w:suppressLineNumbers w:val="0"/>
              <w:spacing w:before="0" w:beforeLines="0" w:beforeAutospacing="0" w:after="0" w:afterLines="0" w:afterAutospacing="0" w:line="240" w:lineRule="auto"/>
              <w:ind w:left="420" w:right="0" w:hanging="420"/>
              <w:rPr>
                <w:rFonts w:hint="eastAsia" w:ascii="Times New Roman" w:cs="宋体"/>
                <w:snapToGrid w:val="0"/>
                <w:color w:val="auto"/>
                <w:kern w:val="21"/>
                <w:szCs w:val="21"/>
              </w:rPr>
            </w:pPr>
          </w:p>
        </w:tc>
        <w:tc>
          <w:tcPr>
            <w:tcW w:w="1417"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default" w:ascii="Times New Roman"/>
                <w:snapToGrid w:val="0"/>
                <w:color w:val="auto"/>
                <w:kern w:val="21"/>
                <w:szCs w:val="21"/>
              </w:rPr>
            </w:pPr>
            <w:r>
              <w:rPr>
                <w:rFonts w:hint="eastAsia" w:ascii="Times New Roman"/>
                <w:snapToGrid w:val="0"/>
                <w:color w:val="auto"/>
                <w:kern w:val="21"/>
                <w:szCs w:val="21"/>
              </w:rPr>
              <w:t>生活垃圾</w:t>
            </w:r>
          </w:p>
        </w:tc>
        <w:tc>
          <w:tcPr>
            <w:tcW w:w="1701"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eastAsia" w:ascii="Times New Roman"/>
                <w:snapToGrid w:val="0"/>
                <w:color w:val="auto"/>
                <w:kern w:val="21"/>
                <w:szCs w:val="21"/>
              </w:rPr>
            </w:pPr>
            <w:r>
              <w:rPr>
                <w:rFonts w:hint="eastAsia" w:ascii="Times New Roman"/>
                <w:snapToGrid w:val="0"/>
                <w:color w:val="auto"/>
                <w:kern w:val="21"/>
                <w:szCs w:val="21"/>
              </w:rPr>
              <w:t>0</w:t>
            </w:r>
          </w:p>
        </w:tc>
        <w:tc>
          <w:tcPr>
            <w:tcW w:w="1276"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eastAsia" w:ascii="Times New Roman"/>
                <w:snapToGrid w:val="0"/>
                <w:color w:val="auto"/>
                <w:kern w:val="21"/>
                <w:szCs w:val="21"/>
              </w:rPr>
            </w:pPr>
            <w:r>
              <w:rPr>
                <w:rFonts w:hint="eastAsia" w:ascii="Times New Roman"/>
                <w:snapToGrid w:val="0"/>
                <w:color w:val="auto"/>
                <w:kern w:val="21"/>
                <w:szCs w:val="21"/>
              </w:rPr>
              <w:t>0</w:t>
            </w:r>
          </w:p>
        </w:tc>
        <w:tc>
          <w:tcPr>
            <w:tcW w:w="1701"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210.75t/a</w:t>
            </w:r>
          </w:p>
        </w:tc>
        <w:tc>
          <w:tcPr>
            <w:tcW w:w="1559"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0.72t/a</w:t>
            </w:r>
          </w:p>
        </w:tc>
        <w:tc>
          <w:tcPr>
            <w:tcW w:w="1500"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0</w:t>
            </w:r>
          </w:p>
        </w:tc>
        <w:tc>
          <w:tcPr>
            <w:tcW w:w="1650"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211.45t/a</w:t>
            </w:r>
          </w:p>
        </w:tc>
        <w:tc>
          <w:tcPr>
            <w:tcW w:w="1396" w:type="dxa"/>
            <w:noWrap w:val="0"/>
            <w:vAlign w:val="center"/>
          </w:tcPr>
          <w:p>
            <w:pPr>
              <w:pStyle w:val="64"/>
              <w:keepNext w:val="0"/>
              <w:keepLines w:val="0"/>
              <w:suppressLineNumbers w:val="0"/>
              <w:spacing w:before="0" w:beforeLines="0" w:beforeAutospacing="0" w:after="0" w:afterLines="0" w:afterAutospacing="0" w:line="240" w:lineRule="auto"/>
              <w:ind w:left="420" w:leftChars="0" w:right="0" w:hanging="420" w:hangingChars="200"/>
              <w:rPr>
                <w:rFonts w:hint="eastAsia" w:ascii="Times New Roman"/>
                <w:snapToGrid w:val="0"/>
                <w:color w:val="auto"/>
                <w:kern w:val="21"/>
                <w:szCs w:val="21"/>
              </w:rPr>
            </w:pPr>
            <w:r>
              <w:rPr>
                <w:rFonts w:hint="eastAsia" w:ascii="Times New Roman"/>
                <w:snapToGrid w:val="0"/>
                <w:color w:val="auto"/>
                <w:kern w:val="21"/>
                <w:szCs w:val="21"/>
                <w:lang w:val="en-US" w:eastAsia="zh-CN"/>
              </w:rPr>
              <w:t>0.72t/a</w:t>
            </w:r>
          </w:p>
        </w:tc>
      </w:tr>
    </w:tbl>
    <w:p>
      <w:pPr>
        <w:pStyle w:val="64"/>
        <w:keepNext w:val="0"/>
        <w:keepLines w:val="0"/>
        <w:pageBreakBefore w:val="0"/>
        <w:widowControl w:val="0"/>
        <w:kinsoku/>
        <w:wordWrap/>
        <w:overflowPunct/>
        <w:topLinePunct w:val="0"/>
        <w:autoSpaceDE/>
        <w:autoSpaceDN/>
        <w:bidi w:val="0"/>
        <w:adjustRightInd w:val="0"/>
        <w:snapToGrid w:val="0"/>
        <w:spacing w:before="95" w:beforeLines="30" w:after="24" w:line="260" w:lineRule="auto"/>
        <w:ind w:left="0" w:hanging="420"/>
        <w:jc w:val="left"/>
        <w:textAlignment w:val="auto"/>
        <w:outlineLvl w:val="9"/>
        <w:rPr>
          <w:rFonts w:eastAsia="黑体"/>
          <w:color w:val="auto"/>
        </w:rPr>
      </w:pPr>
      <w:r>
        <w:rPr>
          <w:rFonts w:ascii="Times New Roman"/>
          <w:snapToGrid w:val="0"/>
          <w:color w:val="auto"/>
          <w:kern w:val="21"/>
          <w:szCs w:val="21"/>
        </w:rPr>
        <w:t>注：</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6 \* GB3 \* MERGEFORMAT </w:instrText>
      </w:r>
      <w:r>
        <w:rPr>
          <w:rFonts w:ascii="Times New Roman"/>
          <w:snapToGrid w:val="0"/>
          <w:color w:val="auto"/>
          <w:spacing w:val="-16"/>
          <w:kern w:val="21"/>
          <w:szCs w:val="21"/>
        </w:rPr>
        <w:fldChar w:fldCharType="separate"/>
      </w:r>
      <w:r>
        <w:rPr>
          <w:rFonts w:hint="eastAsia" w:ascii="Times New Roman"/>
          <w:color w:val="auto"/>
          <w:szCs w:val="21"/>
        </w:rPr>
        <w:t>⑥</w:t>
      </w:r>
      <w:r>
        <w:rPr>
          <w:rFonts w:ascii="Times New Roman"/>
          <w:snapToGrid w:val="0"/>
          <w:color w:val="auto"/>
          <w:spacing w:val="-16"/>
          <w:kern w:val="21"/>
          <w:szCs w:val="21"/>
        </w:rPr>
        <w:fldChar w:fldCharType="end"/>
      </w:r>
      <w:r>
        <w:rPr>
          <w:rFonts w:ascii="Times New Roman"/>
          <w:snapToGrid w:val="0"/>
          <w:color w:val="auto"/>
          <w:spacing w:val="-1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1 \* GB3 \* MERGEFORMAT </w:instrText>
      </w:r>
      <w:r>
        <w:rPr>
          <w:rFonts w:ascii="Times New Roman"/>
          <w:snapToGrid w:val="0"/>
          <w:color w:val="auto"/>
          <w:spacing w:val="-6"/>
          <w:kern w:val="21"/>
          <w:szCs w:val="21"/>
        </w:rPr>
        <w:fldChar w:fldCharType="separate"/>
      </w:r>
      <w:r>
        <w:rPr>
          <w:rFonts w:hint="eastAsia" w:ascii="Times New Roman"/>
          <w:color w:val="auto"/>
          <w:szCs w:val="21"/>
        </w:rPr>
        <w:t>①</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3 \* GB3 \* MERGEFORMAT </w:instrText>
      </w:r>
      <w:r>
        <w:rPr>
          <w:rFonts w:ascii="Times New Roman"/>
          <w:snapToGrid w:val="0"/>
          <w:color w:val="auto"/>
          <w:spacing w:val="-6"/>
          <w:kern w:val="21"/>
          <w:szCs w:val="21"/>
        </w:rPr>
        <w:fldChar w:fldCharType="separate"/>
      </w:r>
      <w:r>
        <w:rPr>
          <w:rFonts w:hint="eastAsia" w:ascii="Times New Roman"/>
          <w:color w:val="auto"/>
          <w:szCs w:val="21"/>
        </w:rPr>
        <w:t>③</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4 \* GB3 \* MERGEFORMAT </w:instrText>
      </w:r>
      <w:r>
        <w:rPr>
          <w:rFonts w:ascii="Times New Roman"/>
          <w:snapToGrid w:val="0"/>
          <w:color w:val="auto"/>
          <w:spacing w:val="-6"/>
          <w:kern w:val="21"/>
          <w:szCs w:val="21"/>
        </w:rPr>
        <w:fldChar w:fldCharType="separate"/>
      </w:r>
      <w:r>
        <w:rPr>
          <w:rFonts w:hint="eastAsia" w:ascii="Times New Roman"/>
          <w:color w:val="auto"/>
          <w:szCs w:val="21"/>
        </w:rPr>
        <w:t>④</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5 \* GB3 \* MERGEFORMAT </w:instrText>
      </w:r>
      <w:r>
        <w:rPr>
          <w:rFonts w:ascii="Times New Roman"/>
          <w:snapToGrid w:val="0"/>
          <w:color w:val="auto"/>
          <w:spacing w:val="-16"/>
          <w:kern w:val="21"/>
          <w:szCs w:val="21"/>
        </w:rPr>
        <w:fldChar w:fldCharType="separate"/>
      </w:r>
      <w:r>
        <w:rPr>
          <w:rFonts w:hint="eastAsia" w:ascii="Times New Roman"/>
          <w:color w:val="auto"/>
          <w:szCs w:val="21"/>
        </w:rPr>
        <w:t>⑤</w:t>
      </w:r>
      <w:r>
        <w:rPr>
          <w:rFonts w:ascii="Times New Roman"/>
          <w:snapToGrid w:val="0"/>
          <w:color w:val="auto"/>
          <w:spacing w:val="-16"/>
          <w:kern w:val="21"/>
          <w:szCs w:val="21"/>
        </w:rPr>
        <w:fldChar w:fldCharType="end"/>
      </w:r>
      <w:r>
        <w:rPr>
          <w:rFonts w:ascii="Times New Roman"/>
          <w:snapToGrid w:val="0"/>
          <w:color w:val="auto"/>
          <w:spacing w:val="-1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7 \* GB3 \* MERGEFORMAT </w:instrText>
      </w:r>
      <w:r>
        <w:rPr>
          <w:rFonts w:ascii="Times New Roman"/>
          <w:snapToGrid w:val="0"/>
          <w:color w:val="auto"/>
          <w:spacing w:val="-6"/>
          <w:kern w:val="21"/>
          <w:szCs w:val="21"/>
        </w:rPr>
        <w:fldChar w:fldCharType="separate"/>
      </w:r>
      <w:r>
        <w:rPr>
          <w:rFonts w:hint="eastAsia" w:ascii="Times New Roman"/>
          <w:color w:val="auto"/>
          <w:szCs w:val="21"/>
        </w:rPr>
        <w:t>⑦</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6 \* GB3 \* MERGEFORMAT </w:instrText>
      </w:r>
      <w:r>
        <w:rPr>
          <w:rFonts w:ascii="Times New Roman"/>
          <w:snapToGrid w:val="0"/>
          <w:color w:val="auto"/>
          <w:spacing w:val="-16"/>
          <w:kern w:val="21"/>
          <w:szCs w:val="21"/>
        </w:rPr>
        <w:fldChar w:fldCharType="separate"/>
      </w:r>
      <w:r>
        <w:rPr>
          <w:rFonts w:hint="eastAsia" w:ascii="Times New Roman"/>
          <w:color w:val="auto"/>
          <w:szCs w:val="21"/>
        </w:rPr>
        <w:t>⑥</w:t>
      </w:r>
      <w:r>
        <w:rPr>
          <w:rFonts w:ascii="Times New Roman"/>
          <w:snapToGrid w:val="0"/>
          <w:color w:val="auto"/>
          <w:spacing w:val="-16"/>
          <w:kern w:val="21"/>
          <w:szCs w:val="21"/>
        </w:rPr>
        <w:fldChar w:fldCharType="end"/>
      </w:r>
      <w:r>
        <w:rPr>
          <w:rFonts w:ascii="Times New Roman"/>
          <w:snapToGrid w:val="0"/>
          <w:color w:val="auto"/>
          <w:spacing w:val="-1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1 \* GB3 \* MERGEFORMAT </w:instrText>
      </w:r>
      <w:r>
        <w:rPr>
          <w:rFonts w:ascii="Times New Roman"/>
          <w:snapToGrid w:val="0"/>
          <w:color w:val="auto"/>
          <w:spacing w:val="-6"/>
          <w:kern w:val="21"/>
          <w:szCs w:val="21"/>
        </w:rPr>
        <w:fldChar w:fldCharType="separate"/>
      </w:r>
      <w:r>
        <w:rPr>
          <w:rFonts w:hint="eastAsia" w:ascii="Times New Roman"/>
          <w:color w:val="auto"/>
          <w:szCs w:val="21"/>
        </w:rPr>
        <w:t>①</w:t>
      </w:r>
      <w:r>
        <w:rPr>
          <w:rFonts w:ascii="Times New Roman"/>
          <w:snapToGrid w:val="0"/>
          <w:color w:val="auto"/>
          <w:spacing w:val="-6"/>
          <w:kern w:val="21"/>
          <w:szCs w:val="21"/>
        </w:rPr>
        <w:fldChar w:fldCharType="end"/>
      </w:r>
    </w:p>
    <w:sectPr>
      <w:footerReference r:id="rId5" w:type="default"/>
      <w:pgSz w:w="16838" w:h="11906" w:orient="landscape"/>
      <w:pgMar w:top="1701" w:right="1531" w:bottom="1701" w:left="1531" w:header="851" w:footer="850"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49</w:t>
                          </w:r>
                          <w:r>
                            <w:fldChar w:fldCharType="end"/>
                          </w:r>
                        </w:p>
                      </w:txbxContent>
                    </wps:txbx>
                    <wps:bodyPr wrap="none" lIns="0" tIns="0" rIns="0" bIns="0" upright="0">
                      <a:spAutoFit/>
                    </wps:bodyPr>
                  </wps:wsp>
                </a:graphicData>
              </a:graphic>
            </wp:anchor>
          </w:drawing>
        </mc:Choice>
        <mc:Fallback>
          <w:pict>
            <v:shape id="文本框 205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wsMh6zAEAAJ4DAAAOAAAAAAAAAAEAIAAAAB4BAABkcnMvZTJv&#10;RG9jLnhtbFBLBQYAAAAABgAGAFkBAABc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3" name="文本框 20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50</w:t>
                          </w:r>
                          <w:r>
                            <w:fldChar w:fldCharType="end"/>
                          </w:r>
                        </w:p>
                      </w:txbxContent>
                    </wps:txbx>
                    <wps:bodyPr wrap="none" lIns="0" tIns="0" rIns="0" bIns="0" upright="0">
                      <a:spAutoFit/>
                    </wps:bodyPr>
                  </wps:wsp>
                </a:graphicData>
              </a:graphic>
            </wp:anchor>
          </w:drawing>
        </mc:Choice>
        <mc:Fallback>
          <w:pict>
            <v:shape id="文本框 205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eXKm4c0BAACeAwAADgAAAAAAAAABACAAAAAeAQAAZHJzL2Uy&#10;b0RvYy54bWxQSwUGAAAAAAYABgBZAQAAXQ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50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2D0EDE"/>
    <w:multiLevelType w:val="singleLevel"/>
    <w:tmpl w:val="B12D0EDE"/>
    <w:lvl w:ilvl="0" w:tentative="0">
      <w:start w:val="7"/>
      <w:numFmt w:val="chineseCounting"/>
      <w:suff w:val="nothing"/>
      <w:lvlText w:val="%1、"/>
      <w:lvlJc w:val="left"/>
      <w:rPr>
        <w:rFonts w:hint="eastAsia"/>
      </w:rPr>
    </w:lvl>
  </w:abstractNum>
  <w:abstractNum w:abstractNumId="1">
    <w:nsid w:val="DAF0B4A0"/>
    <w:multiLevelType w:val="singleLevel"/>
    <w:tmpl w:val="DAF0B4A0"/>
    <w:lvl w:ilvl="0" w:tentative="0">
      <w:start w:val="2"/>
      <w:numFmt w:val="decimal"/>
      <w:suff w:val="nothing"/>
      <w:lvlText w:val="（%1）"/>
      <w:lvlJc w:val="left"/>
    </w:lvl>
  </w:abstractNum>
  <w:abstractNum w:abstractNumId="2">
    <w:nsid w:val="02A0F403"/>
    <w:multiLevelType w:val="singleLevel"/>
    <w:tmpl w:val="02A0F403"/>
    <w:lvl w:ilvl="0" w:tentative="0">
      <w:start w:val="6"/>
      <w:numFmt w:val="decimal"/>
      <w:suff w:val="nothing"/>
      <w:lvlText w:val="%1、"/>
      <w:lvlJc w:val="left"/>
    </w:lvl>
  </w:abstractNum>
  <w:abstractNum w:abstractNumId="3">
    <w:nsid w:val="2DCEA6E2"/>
    <w:multiLevelType w:val="singleLevel"/>
    <w:tmpl w:val="2DCEA6E2"/>
    <w:lvl w:ilvl="0" w:tentative="0">
      <w:start w:val="6"/>
      <w:numFmt w:val="decimal"/>
      <w:suff w:val="nothing"/>
      <w:lvlText w:val="（%1）"/>
      <w:lvlJc w:val="left"/>
    </w:lvl>
  </w:abstractNum>
  <w:abstractNum w:abstractNumId="4">
    <w:nsid w:val="2EF3780D"/>
    <w:multiLevelType w:val="singleLevel"/>
    <w:tmpl w:val="2EF3780D"/>
    <w:lvl w:ilvl="0" w:tentative="0">
      <w:start w:val="3"/>
      <w:numFmt w:val="decimal"/>
      <w:suff w:val="nothing"/>
      <w:lvlText w:val="%1、"/>
      <w:lvlJc w:val="left"/>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hyphenationZone w:val="360"/>
  <w:doNotHyphenateCaps/>
  <w:drawingGridHorizontalSpacing w:val="210"/>
  <w:drawingGridVerticalSpacing w:val="145"/>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1OGM4YTE5MmNjYmMwMmQxZTI1NWM3MTY4NWIxMjEifQ=="/>
  </w:docVars>
  <w:rsids>
    <w:rsidRoot w:val="00A14947"/>
    <w:rsid w:val="000060B3"/>
    <w:rsid w:val="0004364B"/>
    <w:rsid w:val="00061B1F"/>
    <w:rsid w:val="000733C4"/>
    <w:rsid w:val="00074783"/>
    <w:rsid w:val="0008070B"/>
    <w:rsid w:val="000810AC"/>
    <w:rsid w:val="00081A02"/>
    <w:rsid w:val="00082231"/>
    <w:rsid w:val="00092D38"/>
    <w:rsid w:val="0009377B"/>
    <w:rsid w:val="000A20C9"/>
    <w:rsid w:val="000B058F"/>
    <w:rsid w:val="000B4467"/>
    <w:rsid w:val="000B4DB9"/>
    <w:rsid w:val="000C09AC"/>
    <w:rsid w:val="000C75D7"/>
    <w:rsid w:val="000C767F"/>
    <w:rsid w:val="000D5A44"/>
    <w:rsid w:val="000E3ED2"/>
    <w:rsid w:val="00105214"/>
    <w:rsid w:val="00131F42"/>
    <w:rsid w:val="001357F1"/>
    <w:rsid w:val="00140FA8"/>
    <w:rsid w:val="00142FEB"/>
    <w:rsid w:val="00143A2D"/>
    <w:rsid w:val="00145A41"/>
    <w:rsid w:val="00151675"/>
    <w:rsid w:val="00157435"/>
    <w:rsid w:val="00166099"/>
    <w:rsid w:val="0017504D"/>
    <w:rsid w:val="0017671A"/>
    <w:rsid w:val="00177422"/>
    <w:rsid w:val="00184590"/>
    <w:rsid w:val="001870D1"/>
    <w:rsid w:val="0018781E"/>
    <w:rsid w:val="0019262D"/>
    <w:rsid w:val="001A1B35"/>
    <w:rsid w:val="001A4485"/>
    <w:rsid w:val="001A48A2"/>
    <w:rsid w:val="001A6F61"/>
    <w:rsid w:val="001B72B8"/>
    <w:rsid w:val="001C69B3"/>
    <w:rsid w:val="001D0519"/>
    <w:rsid w:val="001D5595"/>
    <w:rsid w:val="001D7874"/>
    <w:rsid w:val="001D7F22"/>
    <w:rsid w:val="001E0DF6"/>
    <w:rsid w:val="001F0F17"/>
    <w:rsid w:val="001F3347"/>
    <w:rsid w:val="001F69E4"/>
    <w:rsid w:val="002125B4"/>
    <w:rsid w:val="002155B8"/>
    <w:rsid w:val="00224839"/>
    <w:rsid w:val="002249B2"/>
    <w:rsid w:val="00226574"/>
    <w:rsid w:val="002278EC"/>
    <w:rsid w:val="0023280E"/>
    <w:rsid w:val="002377D1"/>
    <w:rsid w:val="002506BC"/>
    <w:rsid w:val="00254345"/>
    <w:rsid w:val="00264557"/>
    <w:rsid w:val="002764E3"/>
    <w:rsid w:val="002805AB"/>
    <w:rsid w:val="00284204"/>
    <w:rsid w:val="00291773"/>
    <w:rsid w:val="002A168C"/>
    <w:rsid w:val="002A3DC7"/>
    <w:rsid w:val="002B49E2"/>
    <w:rsid w:val="002B7B00"/>
    <w:rsid w:val="002B7C44"/>
    <w:rsid w:val="002C2B17"/>
    <w:rsid w:val="002C76C2"/>
    <w:rsid w:val="002D3DD0"/>
    <w:rsid w:val="002E1F3A"/>
    <w:rsid w:val="002E298A"/>
    <w:rsid w:val="002E307A"/>
    <w:rsid w:val="00301978"/>
    <w:rsid w:val="0030332C"/>
    <w:rsid w:val="003051C2"/>
    <w:rsid w:val="00312296"/>
    <w:rsid w:val="00314F0E"/>
    <w:rsid w:val="003202CB"/>
    <w:rsid w:val="00321D8E"/>
    <w:rsid w:val="00325928"/>
    <w:rsid w:val="00332863"/>
    <w:rsid w:val="0033684D"/>
    <w:rsid w:val="00337B42"/>
    <w:rsid w:val="00341B42"/>
    <w:rsid w:val="0034348F"/>
    <w:rsid w:val="0034373D"/>
    <w:rsid w:val="00346582"/>
    <w:rsid w:val="00356653"/>
    <w:rsid w:val="0035743F"/>
    <w:rsid w:val="00357BE2"/>
    <w:rsid w:val="0036170C"/>
    <w:rsid w:val="00366E0F"/>
    <w:rsid w:val="00381A72"/>
    <w:rsid w:val="00384676"/>
    <w:rsid w:val="00390857"/>
    <w:rsid w:val="003A4BF3"/>
    <w:rsid w:val="003B420D"/>
    <w:rsid w:val="003C2DE3"/>
    <w:rsid w:val="003C6C16"/>
    <w:rsid w:val="003D794D"/>
    <w:rsid w:val="003E3058"/>
    <w:rsid w:val="003E76A9"/>
    <w:rsid w:val="003F0809"/>
    <w:rsid w:val="003F6A8C"/>
    <w:rsid w:val="003F755C"/>
    <w:rsid w:val="00406F01"/>
    <w:rsid w:val="0040741A"/>
    <w:rsid w:val="00416D50"/>
    <w:rsid w:val="00416FD5"/>
    <w:rsid w:val="0041774B"/>
    <w:rsid w:val="00417772"/>
    <w:rsid w:val="00420E6A"/>
    <w:rsid w:val="00425A9E"/>
    <w:rsid w:val="00425EF2"/>
    <w:rsid w:val="00426D6B"/>
    <w:rsid w:val="00431E6C"/>
    <w:rsid w:val="00433CE7"/>
    <w:rsid w:val="00452738"/>
    <w:rsid w:val="00456091"/>
    <w:rsid w:val="00466321"/>
    <w:rsid w:val="004822C8"/>
    <w:rsid w:val="00484B9B"/>
    <w:rsid w:val="004855F6"/>
    <w:rsid w:val="0048661E"/>
    <w:rsid w:val="00494670"/>
    <w:rsid w:val="004979BA"/>
    <w:rsid w:val="004A0818"/>
    <w:rsid w:val="004A3823"/>
    <w:rsid w:val="004B3CBB"/>
    <w:rsid w:val="004E6946"/>
    <w:rsid w:val="004F1AD8"/>
    <w:rsid w:val="005039CB"/>
    <w:rsid w:val="0050558F"/>
    <w:rsid w:val="00506286"/>
    <w:rsid w:val="00510813"/>
    <w:rsid w:val="00511990"/>
    <w:rsid w:val="00511DE0"/>
    <w:rsid w:val="00514870"/>
    <w:rsid w:val="00514B9B"/>
    <w:rsid w:val="00517F02"/>
    <w:rsid w:val="00524303"/>
    <w:rsid w:val="005258A2"/>
    <w:rsid w:val="005401AE"/>
    <w:rsid w:val="00542E07"/>
    <w:rsid w:val="00545424"/>
    <w:rsid w:val="00554A7B"/>
    <w:rsid w:val="0055572C"/>
    <w:rsid w:val="0056106A"/>
    <w:rsid w:val="005705BF"/>
    <w:rsid w:val="005720AE"/>
    <w:rsid w:val="00581699"/>
    <w:rsid w:val="00594D77"/>
    <w:rsid w:val="005969E4"/>
    <w:rsid w:val="005A06B7"/>
    <w:rsid w:val="005A1759"/>
    <w:rsid w:val="005A68A7"/>
    <w:rsid w:val="005C07F9"/>
    <w:rsid w:val="005D36AB"/>
    <w:rsid w:val="00617CC3"/>
    <w:rsid w:val="006377A6"/>
    <w:rsid w:val="00637A3D"/>
    <w:rsid w:val="006411EF"/>
    <w:rsid w:val="006748B8"/>
    <w:rsid w:val="006775C3"/>
    <w:rsid w:val="0069290A"/>
    <w:rsid w:val="0069775A"/>
    <w:rsid w:val="00697813"/>
    <w:rsid w:val="006A15B0"/>
    <w:rsid w:val="006A3EE8"/>
    <w:rsid w:val="006A72BF"/>
    <w:rsid w:val="006A73A2"/>
    <w:rsid w:val="006B03F2"/>
    <w:rsid w:val="006B37DC"/>
    <w:rsid w:val="006B4F68"/>
    <w:rsid w:val="006C049A"/>
    <w:rsid w:val="006C0592"/>
    <w:rsid w:val="006C272E"/>
    <w:rsid w:val="006C5479"/>
    <w:rsid w:val="006D13B5"/>
    <w:rsid w:val="006E12FF"/>
    <w:rsid w:val="006E607E"/>
    <w:rsid w:val="00706C5D"/>
    <w:rsid w:val="00710BC8"/>
    <w:rsid w:val="00713458"/>
    <w:rsid w:val="00732922"/>
    <w:rsid w:val="007430C5"/>
    <w:rsid w:val="0075162E"/>
    <w:rsid w:val="00754034"/>
    <w:rsid w:val="00756556"/>
    <w:rsid w:val="007618C4"/>
    <w:rsid w:val="00767980"/>
    <w:rsid w:val="00770B19"/>
    <w:rsid w:val="0077463F"/>
    <w:rsid w:val="007836EA"/>
    <w:rsid w:val="00784CDA"/>
    <w:rsid w:val="007906C4"/>
    <w:rsid w:val="007940EA"/>
    <w:rsid w:val="007967E8"/>
    <w:rsid w:val="007A2170"/>
    <w:rsid w:val="007A22BF"/>
    <w:rsid w:val="007A3323"/>
    <w:rsid w:val="007A3DFC"/>
    <w:rsid w:val="007B72B8"/>
    <w:rsid w:val="007B7A58"/>
    <w:rsid w:val="007C21B5"/>
    <w:rsid w:val="007E4BD2"/>
    <w:rsid w:val="00801393"/>
    <w:rsid w:val="00802F88"/>
    <w:rsid w:val="0081293E"/>
    <w:rsid w:val="00815465"/>
    <w:rsid w:val="00817E9A"/>
    <w:rsid w:val="008306BD"/>
    <w:rsid w:val="00831A80"/>
    <w:rsid w:val="00833743"/>
    <w:rsid w:val="008340A4"/>
    <w:rsid w:val="0087135F"/>
    <w:rsid w:val="00872D94"/>
    <w:rsid w:val="00880364"/>
    <w:rsid w:val="00891592"/>
    <w:rsid w:val="00891E9E"/>
    <w:rsid w:val="00893036"/>
    <w:rsid w:val="008A2F68"/>
    <w:rsid w:val="008B4FA6"/>
    <w:rsid w:val="008B5282"/>
    <w:rsid w:val="008B7C17"/>
    <w:rsid w:val="008C2D01"/>
    <w:rsid w:val="008C40E6"/>
    <w:rsid w:val="008C65F0"/>
    <w:rsid w:val="008D0F7A"/>
    <w:rsid w:val="008D1C6A"/>
    <w:rsid w:val="008D5592"/>
    <w:rsid w:val="008D68E4"/>
    <w:rsid w:val="008E0506"/>
    <w:rsid w:val="008E0CFF"/>
    <w:rsid w:val="008E5D6B"/>
    <w:rsid w:val="008E76F0"/>
    <w:rsid w:val="008F15FE"/>
    <w:rsid w:val="008F2D29"/>
    <w:rsid w:val="008F5187"/>
    <w:rsid w:val="008F60D8"/>
    <w:rsid w:val="00902727"/>
    <w:rsid w:val="0090312B"/>
    <w:rsid w:val="0091736D"/>
    <w:rsid w:val="0093037A"/>
    <w:rsid w:val="0094154D"/>
    <w:rsid w:val="0095155F"/>
    <w:rsid w:val="00952DD1"/>
    <w:rsid w:val="00954429"/>
    <w:rsid w:val="009563CE"/>
    <w:rsid w:val="00976328"/>
    <w:rsid w:val="0097680D"/>
    <w:rsid w:val="00982438"/>
    <w:rsid w:val="0098404C"/>
    <w:rsid w:val="00985283"/>
    <w:rsid w:val="00995992"/>
    <w:rsid w:val="009A03E5"/>
    <w:rsid w:val="009A0F3B"/>
    <w:rsid w:val="009A1BB4"/>
    <w:rsid w:val="009A2628"/>
    <w:rsid w:val="009A3200"/>
    <w:rsid w:val="009B0897"/>
    <w:rsid w:val="009B7BD9"/>
    <w:rsid w:val="009C7DD5"/>
    <w:rsid w:val="009D2141"/>
    <w:rsid w:val="009E227D"/>
    <w:rsid w:val="009E5019"/>
    <w:rsid w:val="00A04F1B"/>
    <w:rsid w:val="00A0501B"/>
    <w:rsid w:val="00A14947"/>
    <w:rsid w:val="00A1520A"/>
    <w:rsid w:val="00A153CD"/>
    <w:rsid w:val="00A32A83"/>
    <w:rsid w:val="00A368DB"/>
    <w:rsid w:val="00A423AA"/>
    <w:rsid w:val="00A53EC6"/>
    <w:rsid w:val="00A55C0F"/>
    <w:rsid w:val="00A8713F"/>
    <w:rsid w:val="00A90BA1"/>
    <w:rsid w:val="00A97A9A"/>
    <w:rsid w:val="00AA0671"/>
    <w:rsid w:val="00AA2531"/>
    <w:rsid w:val="00AB1E09"/>
    <w:rsid w:val="00AB5330"/>
    <w:rsid w:val="00AB7719"/>
    <w:rsid w:val="00AB7747"/>
    <w:rsid w:val="00AC14CE"/>
    <w:rsid w:val="00AC2A56"/>
    <w:rsid w:val="00AD055E"/>
    <w:rsid w:val="00AD47A7"/>
    <w:rsid w:val="00AF0CBF"/>
    <w:rsid w:val="00AF2403"/>
    <w:rsid w:val="00AF257F"/>
    <w:rsid w:val="00AF33CF"/>
    <w:rsid w:val="00AF4D50"/>
    <w:rsid w:val="00AF6179"/>
    <w:rsid w:val="00B1295A"/>
    <w:rsid w:val="00B20A45"/>
    <w:rsid w:val="00B22C5C"/>
    <w:rsid w:val="00B23693"/>
    <w:rsid w:val="00B24F30"/>
    <w:rsid w:val="00B2585E"/>
    <w:rsid w:val="00B31ABF"/>
    <w:rsid w:val="00B33BE3"/>
    <w:rsid w:val="00B53B5D"/>
    <w:rsid w:val="00B6055E"/>
    <w:rsid w:val="00B6317D"/>
    <w:rsid w:val="00B7723F"/>
    <w:rsid w:val="00B80534"/>
    <w:rsid w:val="00B8433C"/>
    <w:rsid w:val="00B87491"/>
    <w:rsid w:val="00BA29E9"/>
    <w:rsid w:val="00BA7142"/>
    <w:rsid w:val="00BB237C"/>
    <w:rsid w:val="00BB41A3"/>
    <w:rsid w:val="00BC32DC"/>
    <w:rsid w:val="00BC35B6"/>
    <w:rsid w:val="00BD1B51"/>
    <w:rsid w:val="00BD4596"/>
    <w:rsid w:val="00BE1405"/>
    <w:rsid w:val="00BE2C53"/>
    <w:rsid w:val="00BE312D"/>
    <w:rsid w:val="00BF1C20"/>
    <w:rsid w:val="00C0471A"/>
    <w:rsid w:val="00C074B1"/>
    <w:rsid w:val="00C10578"/>
    <w:rsid w:val="00C135BC"/>
    <w:rsid w:val="00C15C95"/>
    <w:rsid w:val="00C2596A"/>
    <w:rsid w:val="00C27537"/>
    <w:rsid w:val="00C31B9E"/>
    <w:rsid w:val="00C328FE"/>
    <w:rsid w:val="00C33507"/>
    <w:rsid w:val="00C4409D"/>
    <w:rsid w:val="00C44E72"/>
    <w:rsid w:val="00C45A06"/>
    <w:rsid w:val="00C47E5B"/>
    <w:rsid w:val="00C55B82"/>
    <w:rsid w:val="00C61E4B"/>
    <w:rsid w:val="00C64BFF"/>
    <w:rsid w:val="00C704E9"/>
    <w:rsid w:val="00C763C9"/>
    <w:rsid w:val="00C80057"/>
    <w:rsid w:val="00C82232"/>
    <w:rsid w:val="00C82913"/>
    <w:rsid w:val="00C972B1"/>
    <w:rsid w:val="00CA2CCE"/>
    <w:rsid w:val="00CA43FD"/>
    <w:rsid w:val="00CA7EF8"/>
    <w:rsid w:val="00CC489B"/>
    <w:rsid w:val="00CD2BCD"/>
    <w:rsid w:val="00CD3A4C"/>
    <w:rsid w:val="00CE10E9"/>
    <w:rsid w:val="00CE2910"/>
    <w:rsid w:val="00CE5393"/>
    <w:rsid w:val="00CF36BE"/>
    <w:rsid w:val="00CF6000"/>
    <w:rsid w:val="00CF7EC1"/>
    <w:rsid w:val="00D003F3"/>
    <w:rsid w:val="00D0364F"/>
    <w:rsid w:val="00D06834"/>
    <w:rsid w:val="00D1366D"/>
    <w:rsid w:val="00D308ED"/>
    <w:rsid w:val="00D36D86"/>
    <w:rsid w:val="00D36DA4"/>
    <w:rsid w:val="00D428AA"/>
    <w:rsid w:val="00D50A34"/>
    <w:rsid w:val="00D53EFA"/>
    <w:rsid w:val="00D94A7C"/>
    <w:rsid w:val="00D95896"/>
    <w:rsid w:val="00DB2983"/>
    <w:rsid w:val="00DC1257"/>
    <w:rsid w:val="00DC3DC0"/>
    <w:rsid w:val="00DC5B2B"/>
    <w:rsid w:val="00DD318D"/>
    <w:rsid w:val="00DF2E12"/>
    <w:rsid w:val="00DF514A"/>
    <w:rsid w:val="00DF6690"/>
    <w:rsid w:val="00DF6804"/>
    <w:rsid w:val="00E00D45"/>
    <w:rsid w:val="00E0358D"/>
    <w:rsid w:val="00E04323"/>
    <w:rsid w:val="00E04EC5"/>
    <w:rsid w:val="00E070A2"/>
    <w:rsid w:val="00E2656A"/>
    <w:rsid w:val="00E412D0"/>
    <w:rsid w:val="00E56322"/>
    <w:rsid w:val="00E60982"/>
    <w:rsid w:val="00E62C62"/>
    <w:rsid w:val="00E654C1"/>
    <w:rsid w:val="00E65D97"/>
    <w:rsid w:val="00E72A5A"/>
    <w:rsid w:val="00E73354"/>
    <w:rsid w:val="00E9242D"/>
    <w:rsid w:val="00EB5255"/>
    <w:rsid w:val="00EB5C47"/>
    <w:rsid w:val="00ED0639"/>
    <w:rsid w:val="00EF3C6C"/>
    <w:rsid w:val="00EF4755"/>
    <w:rsid w:val="00EF7135"/>
    <w:rsid w:val="00F027DB"/>
    <w:rsid w:val="00F03659"/>
    <w:rsid w:val="00F14A7A"/>
    <w:rsid w:val="00F22985"/>
    <w:rsid w:val="00F2493B"/>
    <w:rsid w:val="00F3383E"/>
    <w:rsid w:val="00F3614B"/>
    <w:rsid w:val="00F41421"/>
    <w:rsid w:val="00F465A7"/>
    <w:rsid w:val="00F50B7C"/>
    <w:rsid w:val="00F550E6"/>
    <w:rsid w:val="00F67E1E"/>
    <w:rsid w:val="00F74345"/>
    <w:rsid w:val="00F80A0A"/>
    <w:rsid w:val="00F82B19"/>
    <w:rsid w:val="00F9212D"/>
    <w:rsid w:val="00F965DA"/>
    <w:rsid w:val="00FA406A"/>
    <w:rsid w:val="00FA6C0C"/>
    <w:rsid w:val="00FB503A"/>
    <w:rsid w:val="00FB516C"/>
    <w:rsid w:val="00FC6869"/>
    <w:rsid w:val="00FD0236"/>
    <w:rsid w:val="00FD18F4"/>
    <w:rsid w:val="00FD54DB"/>
    <w:rsid w:val="00FD619F"/>
    <w:rsid w:val="00FF3531"/>
    <w:rsid w:val="01290F7E"/>
    <w:rsid w:val="015D1E09"/>
    <w:rsid w:val="01635371"/>
    <w:rsid w:val="01A30638"/>
    <w:rsid w:val="01C76DE7"/>
    <w:rsid w:val="02697903"/>
    <w:rsid w:val="02C36C06"/>
    <w:rsid w:val="02C72DBA"/>
    <w:rsid w:val="02F96569"/>
    <w:rsid w:val="030D40BE"/>
    <w:rsid w:val="032A3173"/>
    <w:rsid w:val="032C3FB3"/>
    <w:rsid w:val="0383651D"/>
    <w:rsid w:val="03953B81"/>
    <w:rsid w:val="03EA7B21"/>
    <w:rsid w:val="03F65E01"/>
    <w:rsid w:val="041D1575"/>
    <w:rsid w:val="0475016D"/>
    <w:rsid w:val="04C410F4"/>
    <w:rsid w:val="04D0491C"/>
    <w:rsid w:val="052134F9"/>
    <w:rsid w:val="054D3C19"/>
    <w:rsid w:val="05763678"/>
    <w:rsid w:val="05F83EAE"/>
    <w:rsid w:val="063E7D85"/>
    <w:rsid w:val="06884199"/>
    <w:rsid w:val="06CA5DD4"/>
    <w:rsid w:val="07293586"/>
    <w:rsid w:val="07295285"/>
    <w:rsid w:val="07636392"/>
    <w:rsid w:val="07770C56"/>
    <w:rsid w:val="083141FD"/>
    <w:rsid w:val="088F5575"/>
    <w:rsid w:val="08AE6B0E"/>
    <w:rsid w:val="09091F18"/>
    <w:rsid w:val="092217DD"/>
    <w:rsid w:val="093A7294"/>
    <w:rsid w:val="09D420B0"/>
    <w:rsid w:val="0A263993"/>
    <w:rsid w:val="0A2D3AC2"/>
    <w:rsid w:val="0AA755DF"/>
    <w:rsid w:val="0AEE1D1F"/>
    <w:rsid w:val="0B120D44"/>
    <w:rsid w:val="0BC8771C"/>
    <w:rsid w:val="0BD27BF6"/>
    <w:rsid w:val="0C3B3C7D"/>
    <w:rsid w:val="0CAB2EAE"/>
    <w:rsid w:val="0D621C7D"/>
    <w:rsid w:val="0D764F62"/>
    <w:rsid w:val="0DB77280"/>
    <w:rsid w:val="0DD8410E"/>
    <w:rsid w:val="0DDE5161"/>
    <w:rsid w:val="0E73034D"/>
    <w:rsid w:val="0F13775A"/>
    <w:rsid w:val="0F3B3B64"/>
    <w:rsid w:val="0F5F45FE"/>
    <w:rsid w:val="0F9A112B"/>
    <w:rsid w:val="0FA83896"/>
    <w:rsid w:val="0FF266B4"/>
    <w:rsid w:val="10366ED2"/>
    <w:rsid w:val="106D2F64"/>
    <w:rsid w:val="10924D2E"/>
    <w:rsid w:val="10B63710"/>
    <w:rsid w:val="10DD77C5"/>
    <w:rsid w:val="10F10820"/>
    <w:rsid w:val="10FF0A2C"/>
    <w:rsid w:val="111C2F7A"/>
    <w:rsid w:val="11665CA1"/>
    <w:rsid w:val="11EA1061"/>
    <w:rsid w:val="123445AD"/>
    <w:rsid w:val="13225009"/>
    <w:rsid w:val="136C6BDF"/>
    <w:rsid w:val="13951726"/>
    <w:rsid w:val="13C7249A"/>
    <w:rsid w:val="14396509"/>
    <w:rsid w:val="149707FB"/>
    <w:rsid w:val="149B2B34"/>
    <w:rsid w:val="14DD2C3C"/>
    <w:rsid w:val="16087E1D"/>
    <w:rsid w:val="16771274"/>
    <w:rsid w:val="167A3644"/>
    <w:rsid w:val="167A6170"/>
    <w:rsid w:val="17090F11"/>
    <w:rsid w:val="17392216"/>
    <w:rsid w:val="17520DDB"/>
    <w:rsid w:val="176F0B5F"/>
    <w:rsid w:val="17701D14"/>
    <w:rsid w:val="17735226"/>
    <w:rsid w:val="182B736E"/>
    <w:rsid w:val="189F624C"/>
    <w:rsid w:val="19640CF9"/>
    <w:rsid w:val="197C4BE2"/>
    <w:rsid w:val="19E37355"/>
    <w:rsid w:val="1A1C66C0"/>
    <w:rsid w:val="1A42393B"/>
    <w:rsid w:val="1AAD45DE"/>
    <w:rsid w:val="1AE74856"/>
    <w:rsid w:val="1B046F80"/>
    <w:rsid w:val="1B316513"/>
    <w:rsid w:val="1B3267B5"/>
    <w:rsid w:val="1B40161D"/>
    <w:rsid w:val="1B441859"/>
    <w:rsid w:val="1B6606B1"/>
    <w:rsid w:val="1C083711"/>
    <w:rsid w:val="1C5E7925"/>
    <w:rsid w:val="1C7B376C"/>
    <w:rsid w:val="1CFD070F"/>
    <w:rsid w:val="1D5F6196"/>
    <w:rsid w:val="1D6132A5"/>
    <w:rsid w:val="1D74500E"/>
    <w:rsid w:val="1D8E56D5"/>
    <w:rsid w:val="1DCF6103"/>
    <w:rsid w:val="1E7A43DA"/>
    <w:rsid w:val="1FE7539E"/>
    <w:rsid w:val="205B6AA2"/>
    <w:rsid w:val="20671BE0"/>
    <w:rsid w:val="20787D38"/>
    <w:rsid w:val="20963CB8"/>
    <w:rsid w:val="20A81A1B"/>
    <w:rsid w:val="20B07FB6"/>
    <w:rsid w:val="20B646FB"/>
    <w:rsid w:val="213B74B1"/>
    <w:rsid w:val="215A2310"/>
    <w:rsid w:val="21DE318A"/>
    <w:rsid w:val="21EF5B80"/>
    <w:rsid w:val="22576990"/>
    <w:rsid w:val="22C47A64"/>
    <w:rsid w:val="22F47480"/>
    <w:rsid w:val="23DE1C48"/>
    <w:rsid w:val="240210CD"/>
    <w:rsid w:val="243614F6"/>
    <w:rsid w:val="247424A3"/>
    <w:rsid w:val="2484551A"/>
    <w:rsid w:val="24BF09F7"/>
    <w:rsid w:val="252D53FE"/>
    <w:rsid w:val="257801A0"/>
    <w:rsid w:val="25EC2D81"/>
    <w:rsid w:val="26181C91"/>
    <w:rsid w:val="2662341C"/>
    <w:rsid w:val="266B71CA"/>
    <w:rsid w:val="26A9388E"/>
    <w:rsid w:val="277057A2"/>
    <w:rsid w:val="285F3229"/>
    <w:rsid w:val="28AD6EC7"/>
    <w:rsid w:val="28B416AF"/>
    <w:rsid w:val="28D92B11"/>
    <w:rsid w:val="28E3079D"/>
    <w:rsid w:val="29206EB8"/>
    <w:rsid w:val="29444D09"/>
    <w:rsid w:val="29595666"/>
    <w:rsid w:val="296C0591"/>
    <w:rsid w:val="29874881"/>
    <w:rsid w:val="29D77100"/>
    <w:rsid w:val="29E325E0"/>
    <w:rsid w:val="2A452503"/>
    <w:rsid w:val="2A767BBF"/>
    <w:rsid w:val="2AE17561"/>
    <w:rsid w:val="2BA936A8"/>
    <w:rsid w:val="2BB4111B"/>
    <w:rsid w:val="2C315A5A"/>
    <w:rsid w:val="2C4B1C25"/>
    <w:rsid w:val="2D5C43A3"/>
    <w:rsid w:val="2D9E56F5"/>
    <w:rsid w:val="2DE54774"/>
    <w:rsid w:val="2E1173C9"/>
    <w:rsid w:val="2E232138"/>
    <w:rsid w:val="2E3802BA"/>
    <w:rsid w:val="2E667F96"/>
    <w:rsid w:val="2E6C7610"/>
    <w:rsid w:val="2E8226AB"/>
    <w:rsid w:val="2F10090E"/>
    <w:rsid w:val="2F214065"/>
    <w:rsid w:val="2FD065E6"/>
    <w:rsid w:val="2FD96870"/>
    <w:rsid w:val="30580BC9"/>
    <w:rsid w:val="30A61F9B"/>
    <w:rsid w:val="30AF2417"/>
    <w:rsid w:val="30F130FB"/>
    <w:rsid w:val="311E2ED7"/>
    <w:rsid w:val="315619EE"/>
    <w:rsid w:val="315B5CC1"/>
    <w:rsid w:val="315C449C"/>
    <w:rsid w:val="31611AE7"/>
    <w:rsid w:val="31B47F8E"/>
    <w:rsid w:val="31B82709"/>
    <w:rsid w:val="31D05482"/>
    <w:rsid w:val="31E442C7"/>
    <w:rsid w:val="32400B34"/>
    <w:rsid w:val="329E6876"/>
    <w:rsid w:val="32B37AFC"/>
    <w:rsid w:val="32D96091"/>
    <w:rsid w:val="333015F2"/>
    <w:rsid w:val="33410FD9"/>
    <w:rsid w:val="334B6320"/>
    <w:rsid w:val="3386121B"/>
    <w:rsid w:val="33D934D4"/>
    <w:rsid w:val="33D9451C"/>
    <w:rsid w:val="33E1448C"/>
    <w:rsid w:val="33F218D8"/>
    <w:rsid w:val="33FE2F6A"/>
    <w:rsid w:val="340E07E5"/>
    <w:rsid w:val="34217A40"/>
    <w:rsid w:val="34235BF7"/>
    <w:rsid w:val="34594A7B"/>
    <w:rsid w:val="348030EA"/>
    <w:rsid w:val="34DF1F8B"/>
    <w:rsid w:val="3567565A"/>
    <w:rsid w:val="358C5FA8"/>
    <w:rsid w:val="358F1C45"/>
    <w:rsid w:val="35A957B6"/>
    <w:rsid w:val="35C15DF1"/>
    <w:rsid w:val="36062A6B"/>
    <w:rsid w:val="36074A7F"/>
    <w:rsid w:val="3621006E"/>
    <w:rsid w:val="36923549"/>
    <w:rsid w:val="36B75FBF"/>
    <w:rsid w:val="36BD0C45"/>
    <w:rsid w:val="36BF7C9C"/>
    <w:rsid w:val="372E666F"/>
    <w:rsid w:val="37AE777C"/>
    <w:rsid w:val="37D3697D"/>
    <w:rsid w:val="37E00298"/>
    <w:rsid w:val="381E74A9"/>
    <w:rsid w:val="385D0A0D"/>
    <w:rsid w:val="388C7258"/>
    <w:rsid w:val="38B302F9"/>
    <w:rsid w:val="38F12CD3"/>
    <w:rsid w:val="38F61338"/>
    <w:rsid w:val="38F94775"/>
    <w:rsid w:val="39142160"/>
    <w:rsid w:val="392971ED"/>
    <w:rsid w:val="39325651"/>
    <w:rsid w:val="398C2B82"/>
    <w:rsid w:val="39F11656"/>
    <w:rsid w:val="3A60140C"/>
    <w:rsid w:val="3A872856"/>
    <w:rsid w:val="3A8A0300"/>
    <w:rsid w:val="3AF26D26"/>
    <w:rsid w:val="3B056B09"/>
    <w:rsid w:val="3B3763D1"/>
    <w:rsid w:val="3BC136BC"/>
    <w:rsid w:val="3BCD02B3"/>
    <w:rsid w:val="3C2F6E1E"/>
    <w:rsid w:val="3C4F64BA"/>
    <w:rsid w:val="3CDA245A"/>
    <w:rsid w:val="3CDA31AF"/>
    <w:rsid w:val="3D1E06B7"/>
    <w:rsid w:val="3D816213"/>
    <w:rsid w:val="3DB360A8"/>
    <w:rsid w:val="3DC65122"/>
    <w:rsid w:val="3EAD44FE"/>
    <w:rsid w:val="3ED929CE"/>
    <w:rsid w:val="3EDA0523"/>
    <w:rsid w:val="3F226FC9"/>
    <w:rsid w:val="4047317F"/>
    <w:rsid w:val="407A6407"/>
    <w:rsid w:val="408C7182"/>
    <w:rsid w:val="40E336A3"/>
    <w:rsid w:val="40F90688"/>
    <w:rsid w:val="4104636D"/>
    <w:rsid w:val="4144171C"/>
    <w:rsid w:val="41942069"/>
    <w:rsid w:val="4200449D"/>
    <w:rsid w:val="423A3BCC"/>
    <w:rsid w:val="424E57D2"/>
    <w:rsid w:val="42B26C49"/>
    <w:rsid w:val="433A6FE6"/>
    <w:rsid w:val="43480868"/>
    <w:rsid w:val="4350713C"/>
    <w:rsid w:val="436653E0"/>
    <w:rsid w:val="439E43DE"/>
    <w:rsid w:val="43C4431A"/>
    <w:rsid w:val="44745A44"/>
    <w:rsid w:val="44B77423"/>
    <w:rsid w:val="44B951CC"/>
    <w:rsid w:val="44CD14E0"/>
    <w:rsid w:val="44F20B0B"/>
    <w:rsid w:val="452E5F4C"/>
    <w:rsid w:val="4543315C"/>
    <w:rsid w:val="45612018"/>
    <w:rsid w:val="458946E9"/>
    <w:rsid w:val="45A47C0E"/>
    <w:rsid w:val="46004125"/>
    <w:rsid w:val="46577FD6"/>
    <w:rsid w:val="46695753"/>
    <w:rsid w:val="466E7C1D"/>
    <w:rsid w:val="469841AF"/>
    <w:rsid w:val="46D955A7"/>
    <w:rsid w:val="47133957"/>
    <w:rsid w:val="4733695A"/>
    <w:rsid w:val="47442235"/>
    <w:rsid w:val="47A07E0C"/>
    <w:rsid w:val="48045FEC"/>
    <w:rsid w:val="4870272E"/>
    <w:rsid w:val="48A32547"/>
    <w:rsid w:val="48C76A1E"/>
    <w:rsid w:val="48E269CE"/>
    <w:rsid w:val="49612E66"/>
    <w:rsid w:val="49CF1CB9"/>
    <w:rsid w:val="49DC7715"/>
    <w:rsid w:val="4A023139"/>
    <w:rsid w:val="4A7B576F"/>
    <w:rsid w:val="4AF561A9"/>
    <w:rsid w:val="4B92526E"/>
    <w:rsid w:val="4C060FB7"/>
    <w:rsid w:val="4C4A0649"/>
    <w:rsid w:val="4C7E5ECA"/>
    <w:rsid w:val="4C876AA5"/>
    <w:rsid w:val="4C8D5BBC"/>
    <w:rsid w:val="4D0E00FB"/>
    <w:rsid w:val="4D176606"/>
    <w:rsid w:val="4DD70872"/>
    <w:rsid w:val="4DEC4FB0"/>
    <w:rsid w:val="4E075D8A"/>
    <w:rsid w:val="4E300A02"/>
    <w:rsid w:val="4E7007C5"/>
    <w:rsid w:val="4E945913"/>
    <w:rsid w:val="4EC00FAD"/>
    <w:rsid w:val="4F9843DC"/>
    <w:rsid w:val="4FC62A8C"/>
    <w:rsid w:val="4FE20F0D"/>
    <w:rsid w:val="4FE51552"/>
    <w:rsid w:val="50504C4B"/>
    <w:rsid w:val="509C6E7C"/>
    <w:rsid w:val="509D6246"/>
    <w:rsid w:val="50CA461C"/>
    <w:rsid w:val="50E9598B"/>
    <w:rsid w:val="51087240"/>
    <w:rsid w:val="5162104E"/>
    <w:rsid w:val="53780AA4"/>
    <w:rsid w:val="53A039CC"/>
    <w:rsid w:val="53A1505A"/>
    <w:rsid w:val="53BC4307"/>
    <w:rsid w:val="54063E08"/>
    <w:rsid w:val="543437E8"/>
    <w:rsid w:val="54922A84"/>
    <w:rsid w:val="54F73313"/>
    <w:rsid w:val="54F80955"/>
    <w:rsid w:val="55347358"/>
    <w:rsid w:val="554112CF"/>
    <w:rsid w:val="555170A7"/>
    <w:rsid w:val="555756CB"/>
    <w:rsid w:val="5587536D"/>
    <w:rsid w:val="559B174B"/>
    <w:rsid w:val="55CE0CF4"/>
    <w:rsid w:val="55DA7547"/>
    <w:rsid w:val="56403DD6"/>
    <w:rsid w:val="564730E1"/>
    <w:rsid w:val="56B22A9C"/>
    <w:rsid w:val="56DE7119"/>
    <w:rsid w:val="576D42A0"/>
    <w:rsid w:val="578B3930"/>
    <w:rsid w:val="57B72A76"/>
    <w:rsid w:val="57C3426C"/>
    <w:rsid w:val="57CE1F93"/>
    <w:rsid w:val="582C401E"/>
    <w:rsid w:val="584D3EDD"/>
    <w:rsid w:val="588743D1"/>
    <w:rsid w:val="5887701A"/>
    <w:rsid w:val="591135A4"/>
    <w:rsid w:val="59276C6A"/>
    <w:rsid w:val="592E0DCE"/>
    <w:rsid w:val="59653AB3"/>
    <w:rsid w:val="59AD3226"/>
    <w:rsid w:val="59C0439F"/>
    <w:rsid w:val="5A772C19"/>
    <w:rsid w:val="5ABE2233"/>
    <w:rsid w:val="5AD66B43"/>
    <w:rsid w:val="5BDF5D95"/>
    <w:rsid w:val="5BFE7528"/>
    <w:rsid w:val="5C2073CD"/>
    <w:rsid w:val="5C25549D"/>
    <w:rsid w:val="5CA57EB8"/>
    <w:rsid w:val="5CCE124D"/>
    <w:rsid w:val="5D2A7E12"/>
    <w:rsid w:val="5DA94A12"/>
    <w:rsid w:val="5E0D63B3"/>
    <w:rsid w:val="5E2467F1"/>
    <w:rsid w:val="5EC20A17"/>
    <w:rsid w:val="5F1A2B43"/>
    <w:rsid w:val="5F7436C1"/>
    <w:rsid w:val="5FA6034F"/>
    <w:rsid w:val="5FB837BB"/>
    <w:rsid w:val="5FD90EC5"/>
    <w:rsid w:val="5FE77D21"/>
    <w:rsid w:val="60203616"/>
    <w:rsid w:val="60322961"/>
    <w:rsid w:val="60682B13"/>
    <w:rsid w:val="607A007B"/>
    <w:rsid w:val="60CC405A"/>
    <w:rsid w:val="61CC3008"/>
    <w:rsid w:val="61E215D8"/>
    <w:rsid w:val="621B3775"/>
    <w:rsid w:val="62364782"/>
    <w:rsid w:val="6394356A"/>
    <w:rsid w:val="63AE257A"/>
    <w:rsid w:val="63C61B2C"/>
    <w:rsid w:val="63D40BE9"/>
    <w:rsid w:val="64102431"/>
    <w:rsid w:val="648D2167"/>
    <w:rsid w:val="64A5243A"/>
    <w:rsid w:val="64F531DE"/>
    <w:rsid w:val="65373578"/>
    <w:rsid w:val="65DB5F64"/>
    <w:rsid w:val="660D7FB1"/>
    <w:rsid w:val="66223293"/>
    <w:rsid w:val="662C5110"/>
    <w:rsid w:val="66597A30"/>
    <w:rsid w:val="671F124A"/>
    <w:rsid w:val="674F1B70"/>
    <w:rsid w:val="677A33C6"/>
    <w:rsid w:val="680C2071"/>
    <w:rsid w:val="681F6961"/>
    <w:rsid w:val="68610A2F"/>
    <w:rsid w:val="68805514"/>
    <w:rsid w:val="689C6793"/>
    <w:rsid w:val="68BF1C67"/>
    <w:rsid w:val="69316E2F"/>
    <w:rsid w:val="694E2071"/>
    <w:rsid w:val="69766163"/>
    <w:rsid w:val="697A3B33"/>
    <w:rsid w:val="69856367"/>
    <w:rsid w:val="69C72550"/>
    <w:rsid w:val="69D44760"/>
    <w:rsid w:val="6A362767"/>
    <w:rsid w:val="6A520EC7"/>
    <w:rsid w:val="6AF87E20"/>
    <w:rsid w:val="6B18319A"/>
    <w:rsid w:val="6B322639"/>
    <w:rsid w:val="6B4C3722"/>
    <w:rsid w:val="6B8D0052"/>
    <w:rsid w:val="6C5C2EE4"/>
    <w:rsid w:val="6C636C38"/>
    <w:rsid w:val="6C9F5BAF"/>
    <w:rsid w:val="6CA013B2"/>
    <w:rsid w:val="6D3D5EDC"/>
    <w:rsid w:val="6D961336"/>
    <w:rsid w:val="6DB34098"/>
    <w:rsid w:val="6DB545B6"/>
    <w:rsid w:val="6DE02FB4"/>
    <w:rsid w:val="6E4C0C5C"/>
    <w:rsid w:val="6E514CED"/>
    <w:rsid w:val="6EA23185"/>
    <w:rsid w:val="6EB563D5"/>
    <w:rsid w:val="6ED92677"/>
    <w:rsid w:val="6EEA6333"/>
    <w:rsid w:val="6F225983"/>
    <w:rsid w:val="6F6C5C3D"/>
    <w:rsid w:val="6FDC6AF3"/>
    <w:rsid w:val="6FDE3B35"/>
    <w:rsid w:val="6FFC5590"/>
    <w:rsid w:val="701C3CF7"/>
    <w:rsid w:val="706D1DD0"/>
    <w:rsid w:val="70856B87"/>
    <w:rsid w:val="709E1A02"/>
    <w:rsid w:val="70D527EE"/>
    <w:rsid w:val="70FA5D12"/>
    <w:rsid w:val="715073C5"/>
    <w:rsid w:val="715B5300"/>
    <w:rsid w:val="718324DB"/>
    <w:rsid w:val="718B2892"/>
    <w:rsid w:val="71CE6DA5"/>
    <w:rsid w:val="71D27F8A"/>
    <w:rsid w:val="71FD762F"/>
    <w:rsid w:val="72553024"/>
    <w:rsid w:val="727B032C"/>
    <w:rsid w:val="72EF4664"/>
    <w:rsid w:val="72F571CC"/>
    <w:rsid w:val="73122968"/>
    <w:rsid w:val="731F5D5E"/>
    <w:rsid w:val="73261AA2"/>
    <w:rsid w:val="73C51AD5"/>
    <w:rsid w:val="741E793C"/>
    <w:rsid w:val="745E3944"/>
    <w:rsid w:val="74CF5FA2"/>
    <w:rsid w:val="75D54892"/>
    <w:rsid w:val="76081B15"/>
    <w:rsid w:val="761818FB"/>
    <w:rsid w:val="7635099D"/>
    <w:rsid w:val="769D3E02"/>
    <w:rsid w:val="76C14FF3"/>
    <w:rsid w:val="77762421"/>
    <w:rsid w:val="77901D8B"/>
    <w:rsid w:val="77B54BE6"/>
    <w:rsid w:val="77B56B1F"/>
    <w:rsid w:val="780F09F4"/>
    <w:rsid w:val="78414D59"/>
    <w:rsid w:val="78A23E2E"/>
    <w:rsid w:val="78A643C9"/>
    <w:rsid w:val="78A90480"/>
    <w:rsid w:val="78CA5EFC"/>
    <w:rsid w:val="797572B9"/>
    <w:rsid w:val="7A364017"/>
    <w:rsid w:val="7A7E7848"/>
    <w:rsid w:val="7A8265E1"/>
    <w:rsid w:val="7AE91469"/>
    <w:rsid w:val="7B686D42"/>
    <w:rsid w:val="7B841746"/>
    <w:rsid w:val="7B870A41"/>
    <w:rsid w:val="7C4E5079"/>
    <w:rsid w:val="7C6C5AC7"/>
    <w:rsid w:val="7CC6544B"/>
    <w:rsid w:val="7D0239FF"/>
    <w:rsid w:val="7D043B10"/>
    <w:rsid w:val="7D5E40CD"/>
    <w:rsid w:val="7DCD56F2"/>
    <w:rsid w:val="7E907353"/>
    <w:rsid w:val="7ECF684C"/>
    <w:rsid w:val="7F001CE7"/>
    <w:rsid w:val="7F155B6A"/>
    <w:rsid w:val="7F9D31FE"/>
    <w:rsid w:val="7FE47E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0"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qFormat="1" w:unhideWhenUsed="0" w:uiPriority="99" w:semiHidden="0" w:name="index heading" w:locked="1"/>
    <w:lsdException w:qFormat="1" w:unhideWhenUsed="0" w:uiPriority="0" w:semiHidden="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qFormat="1" w:unhideWhenUsed="0" w:uiPriority="0" w:semiHidden="0" w:name="Body Text Indent 2" w:locked="1"/>
    <w:lsdException w:qFormat="1" w:unhideWhenUsed="0" w:uiPriority="0" w:semiHidden="0" w:name="Body Text Indent 3" w:locked="1"/>
    <w:lsdException w:unhideWhenUsed="0" w:uiPriority="0" w:semiHidden="0" w:name="Block Text" w:locked="1"/>
    <w:lsdException w:qFormat="1" w:unhideWhenUsed="0" w:uiPriority="0" w:semiHidden="0" w:name="Hyperlink" w:locked="1"/>
    <w:lsdException w:qFormat="1" w:unhideWhenUsed="0" w:uiPriority="0" w:semiHidden="0" w:name="FollowedHyperlink" w:locked="1"/>
    <w:lsdException w:qFormat="1" w:unhideWhenUsed="0" w:uiPriority="0" w:semiHidden="0" w:name="Strong" w:locked="1"/>
    <w:lsdException w:qFormat="1" w:unhideWhenUsed="0" w:uiPriority="0" w:semiHidden="0" w:name="Emphasis" w:locked="1"/>
    <w:lsdException w:qFormat="1"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qFormat="1" w:unhideWhenUsed="0" w:uiPriority="0" w:semiHidden="0" w:name="HTML Cite" w:locked="1"/>
    <w:lsdException w:qFormat="1" w:unhideWhenUsed="0" w:uiPriority="0" w:semiHidden="0" w:name="HTML Code" w:locked="1"/>
    <w:lsdException w:qFormat="1" w:unhideWhenUsed="0" w:uiPriority="0" w:semiHidden="0" w:name="HTML Definition" w:locked="1"/>
    <w:lsdException w:qFormat="1" w:unhideWhenUsed="0" w:uiPriority="0" w:semiHidden="0" w:name="HTML Keyboard" w:locked="1"/>
    <w:lsdException w:unhideWhenUsed="0" w:uiPriority="0" w:semiHidden="0" w:name="HTML Preformatted" w:locked="1"/>
    <w:lsdException w:qFormat="1" w:unhideWhenUsed="0" w:uiPriority="0" w:semiHidden="0" w:name="HTML Sample" w:locked="1"/>
    <w:lsdException w:unhideWhenUsed="0" w:uiPriority="0" w:semiHidden="0" w:name="HTML Typewriter" w:locked="1"/>
    <w:lsdException w:qFormat="1" w:unhideWhenUsed="0" w:uiPriority="0" w:semiHidden="0" w:name="HTML Variable" w:locked="1"/>
    <w:lsdException w:qFormat="1" w:unhideWhenUsed="0" w:uiPriority="0"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3">
    <w:name w:val="heading 2"/>
    <w:basedOn w:val="1"/>
    <w:next w:val="1"/>
    <w:autoRedefine/>
    <w:qFormat/>
    <w:locked/>
    <w:uiPriority w:val="0"/>
    <w:pPr>
      <w:keepNext/>
      <w:keepLines/>
      <w:spacing w:line="360" w:lineRule="auto"/>
      <w:ind w:firstLine="640" w:firstLineChars="200"/>
      <w:outlineLvl w:val="1"/>
    </w:pPr>
    <w:rPr>
      <w:rFonts w:ascii="Arial" w:hAnsi="Arial" w:eastAsia="宋体"/>
      <w:b/>
    </w:rPr>
  </w:style>
  <w:style w:type="paragraph" w:styleId="4">
    <w:name w:val="heading 3"/>
    <w:basedOn w:val="1"/>
    <w:next w:val="1"/>
    <w:autoRedefine/>
    <w:qFormat/>
    <w:locked/>
    <w:uiPriority w:val="0"/>
    <w:pPr>
      <w:keepNext/>
      <w:keepLines/>
      <w:spacing w:before="260" w:after="260" w:line="416" w:lineRule="auto"/>
      <w:outlineLvl w:val="2"/>
    </w:pPr>
    <w:rPr>
      <w:b/>
      <w:bCs/>
      <w:sz w:val="32"/>
      <w:szCs w:val="32"/>
    </w:rPr>
  </w:style>
  <w:style w:type="paragraph" w:styleId="5">
    <w:name w:val="heading 4"/>
    <w:basedOn w:val="1"/>
    <w:next w:val="1"/>
    <w:autoRedefine/>
    <w:qFormat/>
    <w:locked/>
    <w:uiPriority w:val="0"/>
    <w:pPr>
      <w:keepNext/>
      <w:keepLines/>
      <w:spacing w:beforeLines="0" w:beforeAutospacing="0" w:afterLines="0" w:afterAutospacing="0" w:line="360" w:lineRule="auto"/>
      <w:outlineLvl w:val="3"/>
    </w:pPr>
    <w:rPr>
      <w:rFonts w:ascii="Arial" w:hAnsi="Arial" w:eastAsia="宋体"/>
      <w:b/>
      <w:sz w:val="24"/>
    </w:rPr>
  </w:style>
  <w:style w:type="character" w:default="1" w:styleId="31">
    <w:name w:val="Default Paragraph Font"/>
    <w:autoRedefine/>
    <w:semiHidden/>
    <w:qFormat/>
    <w:uiPriority w:val="0"/>
  </w:style>
  <w:style w:type="table" w:default="1" w:styleId="29">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Normal Indent"/>
    <w:basedOn w:val="1"/>
    <w:autoRedefine/>
    <w:qFormat/>
    <w:locked/>
    <w:uiPriority w:val="0"/>
    <w:pPr>
      <w:ind w:firstLine="420" w:firstLineChars="200"/>
    </w:pPr>
  </w:style>
  <w:style w:type="paragraph" w:styleId="7">
    <w:name w:val="caption"/>
    <w:basedOn w:val="1"/>
    <w:next w:val="1"/>
    <w:autoRedefine/>
    <w:qFormat/>
    <w:locked/>
    <w:uiPriority w:val="0"/>
    <w:rPr>
      <w:rFonts w:ascii="Arial" w:hAnsi="Arial" w:eastAsia="黑体"/>
      <w:sz w:val="20"/>
      <w:szCs w:val="20"/>
    </w:rPr>
  </w:style>
  <w:style w:type="paragraph" w:styleId="8">
    <w:name w:val="Document Map"/>
    <w:basedOn w:val="1"/>
    <w:link w:val="48"/>
    <w:autoRedefine/>
    <w:qFormat/>
    <w:locked/>
    <w:uiPriority w:val="0"/>
    <w:rPr>
      <w:rFonts w:ascii="宋体"/>
      <w:sz w:val="18"/>
      <w:szCs w:val="18"/>
    </w:rPr>
  </w:style>
  <w:style w:type="paragraph" w:styleId="9">
    <w:name w:val="annotation text"/>
    <w:basedOn w:val="1"/>
    <w:link w:val="49"/>
    <w:autoRedefine/>
    <w:semiHidden/>
    <w:qFormat/>
    <w:uiPriority w:val="0"/>
    <w:pPr>
      <w:jc w:val="left"/>
    </w:pPr>
    <w:rPr>
      <w:kern w:val="0"/>
      <w:sz w:val="24"/>
      <w:szCs w:val="20"/>
    </w:rPr>
  </w:style>
  <w:style w:type="paragraph" w:styleId="10">
    <w:name w:val="Body Text"/>
    <w:basedOn w:val="1"/>
    <w:next w:val="11"/>
    <w:link w:val="50"/>
    <w:autoRedefine/>
    <w:qFormat/>
    <w:uiPriority w:val="0"/>
    <w:pPr>
      <w:widowControl/>
      <w:snapToGrid w:val="0"/>
      <w:spacing w:before="60" w:after="160" w:line="259" w:lineRule="auto"/>
      <w:ind w:right="113"/>
    </w:pPr>
    <w:rPr>
      <w:kern w:val="0"/>
      <w:sz w:val="18"/>
      <w:szCs w:val="20"/>
    </w:rPr>
  </w:style>
  <w:style w:type="paragraph" w:customStyle="1" w:styleId="11">
    <w:name w:val="xl27"/>
    <w:basedOn w:val="1"/>
    <w:autoRedefine/>
    <w:qFormat/>
    <w:uiPriority w:val="0"/>
    <w:pPr>
      <w:widowControl/>
      <w:pBdr>
        <w:bottom w:val="single" w:color="auto" w:sz="12" w:space="0"/>
      </w:pBdr>
      <w:spacing w:before="100" w:after="100"/>
      <w:jc w:val="center"/>
    </w:pPr>
    <w:rPr>
      <w:rFonts w:ascii="宋体" w:hAnsi="宋体"/>
      <w:kern w:val="0"/>
      <w:szCs w:val="20"/>
    </w:rPr>
  </w:style>
  <w:style w:type="paragraph" w:styleId="12">
    <w:name w:val="Body Text Indent"/>
    <w:basedOn w:val="1"/>
    <w:link w:val="51"/>
    <w:autoRedefine/>
    <w:qFormat/>
    <w:uiPriority w:val="0"/>
    <w:pPr>
      <w:spacing w:after="120"/>
      <w:ind w:left="420" w:leftChars="200"/>
    </w:pPr>
    <w:rPr>
      <w:kern w:val="0"/>
      <w:sz w:val="24"/>
      <w:szCs w:val="20"/>
    </w:rPr>
  </w:style>
  <w:style w:type="paragraph" w:styleId="13">
    <w:name w:val="Plain Text"/>
    <w:basedOn w:val="1"/>
    <w:autoRedefine/>
    <w:qFormat/>
    <w:locked/>
    <w:uiPriority w:val="0"/>
    <w:rPr>
      <w:rFonts w:ascii="宋体" w:hAnsi="Courier New"/>
      <w:sz w:val="20"/>
      <w:szCs w:val="20"/>
      <w:lang w:bidi="ar-SA"/>
    </w:rPr>
  </w:style>
  <w:style w:type="paragraph" w:styleId="14">
    <w:name w:val="Date"/>
    <w:basedOn w:val="1"/>
    <w:next w:val="1"/>
    <w:link w:val="52"/>
    <w:autoRedefine/>
    <w:qFormat/>
    <w:uiPriority w:val="0"/>
    <w:pPr>
      <w:ind w:left="100" w:leftChars="2500"/>
    </w:pPr>
    <w:rPr>
      <w:kern w:val="0"/>
      <w:sz w:val="24"/>
      <w:szCs w:val="20"/>
    </w:rPr>
  </w:style>
  <w:style w:type="paragraph" w:styleId="15">
    <w:name w:val="Body Text Indent 2"/>
    <w:basedOn w:val="1"/>
    <w:autoRedefine/>
    <w:qFormat/>
    <w:locked/>
    <w:uiPriority w:val="0"/>
    <w:pPr>
      <w:spacing w:after="120" w:afterLines="0" w:line="480" w:lineRule="auto"/>
      <w:ind w:left="420" w:leftChars="200"/>
    </w:pPr>
  </w:style>
  <w:style w:type="paragraph" w:styleId="16">
    <w:name w:val="Balloon Text"/>
    <w:basedOn w:val="1"/>
    <w:link w:val="53"/>
    <w:autoRedefine/>
    <w:semiHidden/>
    <w:qFormat/>
    <w:uiPriority w:val="0"/>
    <w:rPr>
      <w:kern w:val="0"/>
      <w:sz w:val="18"/>
      <w:szCs w:val="20"/>
    </w:rPr>
  </w:style>
  <w:style w:type="paragraph" w:styleId="17">
    <w:name w:val="footer"/>
    <w:basedOn w:val="1"/>
    <w:link w:val="54"/>
    <w:autoRedefine/>
    <w:qFormat/>
    <w:uiPriority w:val="99"/>
    <w:pPr>
      <w:tabs>
        <w:tab w:val="center" w:pos="4153"/>
        <w:tab w:val="right" w:pos="8306"/>
      </w:tabs>
      <w:snapToGrid w:val="0"/>
      <w:jc w:val="left"/>
    </w:pPr>
    <w:rPr>
      <w:kern w:val="0"/>
      <w:sz w:val="18"/>
      <w:szCs w:val="20"/>
    </w:rPr>
  </w:style>
  <w:style w:type="paragraph" w:styleId="18">
    <w:name w:val="header"/>
    <w:basedOn w:val="1"/>
    <w:link w:val="55"/>
    <w:autoRedefine/>
    <w:qFormat/>
    <w:uiPriority w:val="0"/>
    <w:pPr>
      <w:pBdr>
        <w:bottom w:val="single" w:color="auto" w:sz="6" w:space="1"/>
      </w:pBdr>
      <w:tabs>
        <w:tab w:val="center" w:pos="4153"/>
        <w:tab w:val="right" w:pos="8306"/>
      </w:tabs>
      <w:snapToGrid w:val="0"/>
      <w:jc w:val="center"/>
    </w:pPr>
    <w:rPr>
      <w:kern w:val="0"/>
      <w:sz w:val="18"/>
      <w:szCs w:val="20"/>
    </w:rPr>
  </w:style>
  <w:style w:type="paragraph" w:styleId="19">
    <w:name w:val="toc 1"/>
    <w:basedOn w:val="1"/>
    <w:next w:val="1"/>
    <w:autoRedefine/>
    <w:qFormat/>
    <w:locked/>
    <w:uiPriority w:val="0"/>
  </w:style>
  <w:style w:type="paragraph" w:styleId="20">
    <w:name w:val="index heading"/>
    <w:basedOn w:val="1"/>
    <w:next w:val="21"/>
    <w:autoRedefine/>
    <w:qFormat/>
    <w:locked/>
    <w:uiPriority w:val="99"/>
    <w:rPr>
      <w:szCs w:val="20"/>
    </w:rPr>
  </w:style>
  <w:style w:type="paragraph" w:styleId="21">
    <w:name w:val="index 1"/>
    <w:basedOn w:val="1"/>
    <w:next w:val="1"/>
    <w:autoRedefine/>
    <w:unhideWhenUsed/>
    <w:qFormat/>
    <w:locked/>
    <w:uiPriority w:val="0"/>
  </w:style>
  <w:style w:type="paragraph" w:styleId="22">
    <w:name w:val="List"/>
    <w:basedOn w:val="1"/>
    <w:autoRedefine/>
    <w:qFormat/>
    <w:locked/>
    <w:uiPriority w:val="0"/>
    <w:pPr>
      <w:ind w:left="200" w:hanging="200" w:hangingChars="200"/>
      <w:jc w:val="center"/>
    </w:pPr>
  </w:style>
  <w:style w:type="paragraph" w:styleId="23">
    <w:name w:val="Body Text Indent 3"/>
    <w:basedOn w:val="1"/>
    <w:autoRedefine/>
    <w:qFormat/>
    <w:locked/>
    <w:uiPriority w:val="0"/>
    <w:pPr>
      <w:spacing w:after="120" w:afterLines="0"/>
      <w:ind w:left="420" w:leftChars="200"/>
    </w:pPr>
    <w:rPr>
      <w:sz w:val="16"/>
      <w:szCs w:val="16"/>
    </w:rPr>
  </w:style>
  <w:style w:type="paragraph" w:styleId="24">
    <w:name w:val="toc 2"/>
    <w:basedOn w:val="1"/>
    <w:next w:val="1"/>
    <w:autoRedefine/>
    <w:qFormat/>
    <w:locked/>
    <w:uiPriority w:val="39"/>
    <w:pPr>
      <w:ind w:left="420" w:leftChars="200"/>
    </w:pPr>
  </w:style>
  <w:style w:type="paragraph" w:styleId="25">
    <w:name w:val="Normal (Web)"/>
    <w:basedOn w:val="1"/>
    <w:link w:val="56"/>
    <w:autoRedefine/>
    <w:qFormat/>
    <w:uiPriority w:val="0"/>
    <w:pPr>
      <w:widowControl/>
      <w:spacing w:before="100" w:beforeAutospacing="1" w:after="100" w:afterAutospacing="1"/>
      <w:jc w:val="left"/>
    </w:pPr>
    <w:rPr>
      <w:rFonts w:ascii="宋体" w:hAnsi="宋体"/>
      <w:kern w:val="0"/>
      <w:sz w:val="24"/>
      <w:szCs w:val="20"/>
    </w:rPr>
  </w:style>
  <w:style w:type="paragraph" w:styleId="26">
    <w:name w:val="annotation subject"/>
    <w:basedOn w:val="9"/>
    <w:next w:val="9"/>
    <w:link w:val="57"/>
    <w:autoRedefine/>
    <w:semiHidden/>
    <w:qFormat/>
    <w:uiPriority w:val="0"/>
    <w:rPr>
      <w:b/>
      <w:kern w:val="2"/>
    </w:rPr>
  </w:style>
  <w:style w:type="paragraph" w:styleId="27">
    <w:name w:val="Body Text First Indent"/>
    <w:basedOn w:val="10"/>
    <w:next w:val="1"/>
    <w:autoRedefine/>
    <w:qFormat/>
    <w:locked/>
    <w:uiPriority w:val="0"/>
    <w:pPr>
      <w:widowControl w:val="0"/>
      <w:snapToGrid/>
      <w:spacing w:before="0" w:after="120" w:line="360" w:lineRule="auto"/>
      <w:ind w:right="0" w:firstLine="420" w:firstLineChars="100"/>
    </w:pPr>
    <w:rPr>
      <w:kern w:val="2"/>
      <w:sz w:val="24"/>
      <w:szCs w:val="24"/>
    </w:rPr>
  </w:style>
  <w:style w:type="paragraph" w:styleId="28">
    <w:name w:val="Body Text First Indent 2"/>
    <w:basedOn w:val="12"/>
    <w:next w:val="1"/>
    <w:autoRedefine/>
    <w:qFormat/>
    <w:locked/>
    <w:uiPriority w:val="0"/>
    <w:pPr>
      <w:tabs>
        <w:tab w:val="left" w:pos="540"/>
      </w:tabs>
      <w:spacing w:after="120" w:afterLines="0"/>
      <w:ind w:left="420" w:leftChars="200" w:firstLine="420" w:firstLineChars="200"/>
    </w:pPr>
    <w:rPr>
      <w:sz w:val="21"/>
    </w:rPr>
  </w:style>
  <w:style w:type="table" w:styleId="30">
    <w:name w:val="Table Grid"/>
    <w:basedOn w:val="29"/>
    <w:autoRedefine/>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autoRedefine/>
    <w:qFormat/>
    <w:locked/>
    <w:uiPriority w:val="0"/>
    <w:rPr>
      <w:b/>
      <w:bCs/>
    </w:rPr>
  </w:style>
  <w:style w:type="character" w:styleId="33">
    <w:name w:val="page number"/>
    <w:autoRedefine/>
    <w:qFormat/>
    <w:locked/>
    <w:uiPriority w:val="0"/>
  </w:style>
  <w:style w:type="character" w:styleId="34">
    <w:name w:val="FollowedHyperlink"/>
    <w:autoRedefine/>
    <w:qFormat/>
    <w:locked/>
    <w:uiPriority w:val="0"/>
    <w:rPr>
      <w:color w:val="338DE6"/>
      <w:u w:val="none"/>
    </w:rPr>
  </w:style>
  <w:style w:type="character" w:styleId="35">
    <w:name w:val="Emphasis"/>
    <w:autoRedefine/>
    <w:qFormat/>
    <w:locked/>
    <w:uiPriority w:val="0"/>
  </w:style>
  <w:style w:type="character" w:styleId="36">
    <w:name w:val="HTML Definition"/>
    <w:autoRedefine/>
    <w:qFormat/>
    <w:locked/>
    <w:uiPriority w:val="0"/>
  </w:style>
  <w:style w:type="character" w:styleId="37">
    <w:name w:val="HTML Variable"/>
    <w:autoRedefine/>
    <w:qFormat/>
    <w:locked/>
    <w:uiPriority w:val="0"/>
  </w:style>
  <w:style w:type="character" w:styleId="38">
    <w:name w:val="Hyperlink"/>
    <w:autoRedefine/>
    <w:qFormat/>
    <w:locked/>
    <w:uiPriority w:val="0"/>
    <w:rPr>
      <w:color w:val="338DE6"/>
      <w:u w:val="none"/>
    </w:rPr>
  </w:style>
  <w:style w:type="character" w:styleId="39">
    <w:name w:val="HTML Code"/>
    <w:autoRedefine/>
    <w:qFormat/>
    <w:locked/>
    <w:uiPriority w:val="0"/>
    <w:rPr>
      <w:rFonts w:hint="default" w:ascii="serif" w:hAnsi="serif" w:eastAsia="serif" w:cs="serif"/>
      <w:sz w:val="21"/>
      <w:szCs w:val="21"/>
    </w:rPr>
  </w:style>
  <w:style w:type="character" w:styleId="40">
    <w:name w:val="annotation reference"/>
    <w:autoRedefine/>
    <w:semiHidden/>
    <w:qFormat/>
    <w:uiPriority w:val="0"/>
    <w:rPr>
      <w:sz w:val="21"/>
    </w:rPr>
  </w:style>
  <w:style w:type="character" w:styleId="41">
    <w:name w:val="HTML Cite"/>
    <w:autoRedefine/>
    <w:qFormat/>
    <w:locked/>
    <w:uiPriority w:val="0"/>
  </w:style>
  <w:style w:type="character" w:styleId="42">
    <w:name w:val="HTML Keyboard"/>
    <w:autoRedefine/>
    <w:qFormat/>
    <w:locked/>
    <w:uiPriority w:val="0"/>
    <w:rPr>
      <w:rFonts w:hint="default" w:ascii="serif" w:hAnsi="serif" w:eastAsia="serif" w:cs="serif"/>
      <w:sz w:val="21"/>
      <w:szCs w:val="21"/>
    </w:rPr>
  </w:style>
  <w:style w:type="character" w:styleId="43">
    <w:name w:val="HTML Sample"/>
    <w:autoRedefine/>
    <w:qFormat/>
    <w:locked/>
    <w:uiPriority w:val="0"/>
    <w:rPr>
      <w:rFonts w:ascii="serif" w:hAnsi="serif" w:eastAsia="serif" w:cs="serif"/>
      <w:sz w:val="21"/>
      <w:szCs w:val="21"/>
    </w:rPr>
  </w:style>
  <w:style w:type="paragraph" w:customStyle="1" w:styleId="44">
    <w:name w:val="Default"/>
    <w:basedOn w:val="10"/>
    <w:next w:val="1"/>
    <w:autoRedefine/>
    <w:qFormat/>
    <w:uiPriority w:val="0"/>
    <w:pPr>
      <w:widowControl w:val="0"/>
      <w:autoSpaceDE w:val="0"/>
      <w:autoSpaceDN w:val="0"/>
      <w:adjustRightInd w:val="0"/>
    </w:pPr>
    <w:rPr>
      <w:rFonts w:ascii="宋体" w:hAnsi="宋体"/>
      <w:color w:val="000000"/>
      <w:sz w:val="24"/>
      <w:lang w:val="en-US" w:eastAsia="zh-CN" w:bidi="ar-SA"/>
    </w:rPr>
  </w:style>
  <w:style w:type="paragraph" w:customStyle="1" w:styleId="45">
    <w:name w:val="表格标题"/>
    <w:basedOn w:val="7"/>
    <w:autoRedefine/>
    <w:qFormat/>
    <w:uiPriority w:val="0"/>
    <w:pPr>
      <w:keepNext/>
      <w:widowControl/>
      <w:jc w:val="center"/>
    </w:pPr>
    <w:rPr>
      <w:rFonts w:ascii="Times New Roman" w:hAnsi="Times New Roman" w:eastAsia="宋体" w:cs="Times New Roman"/>
      <w:b/>
      <w:kern w:val="0"/>
      <w:sz w:val="21"/>
      <w:szCs w:val="24"/>
    </w:rPr>
  </w:style>
  <w:style w:type="paragraph" w:customStyle="1" w:styleId="46">
    <w:name w:val="表格内容"/>
    <w:basedOn w:val="45"/>
    <w:autoRedefine/>
    <w:qFormat/>
    <w:uiPriority w:val="0"/>
    <w:pPr>
      <w:spacing w:before="0" w:beforeAutospacing="0" w:after="0" w:afterAutospacing="0"/>
      <w:ind w:left="0"/>
      <w:jc w:val="center"/>
    </w:pPr>
    <w:rPr>
      <w:rFonts w:ascii="Times New Roman" w:hAnsi="Times New Roman" w:cs="宋体"/>
      <w:spacing w:val="0"/>
      <w:szCs w:val="20"/>
    </w:rPr>
  </w:style>
  <w:style w:type="paragraph" w:customStyle="1" w:styleId="47">
    <w:name w:val="纯文本1"/>
    <w:basedOn w:val="1"/>
    <w:autoRedefine/>
    <w:qFormat/>
    <w:uiPriority w:val="0"/>
    <w:rPr>
      <w:rFonts w:hint="eastAsia" w:ascii="宋体" w:hAnsi="Courier New"/>
      <w:szCs w:val="24"/>
    </w:rPr>
  </w:style>
  <w:style w:type="character" w:customStyle="1" w:styleId="48">
    <w:name w:val="文档结构图 字符"/>
    <w:link w:val="8"/>
    <w:autoRedefine/>
    <w:qFormat/>
    <w:uiPriority w:val="0"/>
    <w:rPr>
      <w:rFonts w:ascii="宋体"/>
      <w:kern w:val="2"/>
      <w:sz w:val="18"/>
      <w:szCs w:val="18"/>
    </w:rPr>
  </w:style>
  <w:style w:type="character" w:customStyle="1" w:styleId="49">
    <w:name w:val="批注文字 字符"/>
    <w:link w:val="9"/>
    <w:autoRedefine/>
    <w:qFormat/>
    <w:locked/>
    <w:uiPriority w:val="0"/>
    <w:rPr>
      <w:rFonts w:ascii="Times New Roman" w:hAnsi="Times New Roman" w:eastAsia="宋体"/>
      <w:sz w:val="24"/>
    </w:rPr>
  </w:style>
  <w:style w:type="character" w:customStyle="1" w:styleId="50">
    <w:name w:val="正文文本 字符"/>
    <w:link w:val="10"/>
    <w:autoRedefine/>
    <w:qFormat/>
    <w:locked/>
    <w:uiPriority w:val="0"/>
    <w:rPr>
      <w:sz w:val="18"/>
    </w:rPr>
  </w:style>
  <w:style w:type="character" w:customStyle="1" w:styleId="51">
    <w:name w:val="正文文本缩进 字符"/>
    <w:link w:val="12"/>
    <w:autoRedefine/>
    <w:semiHidden/>
    <w:qFormat/>
    <w:locked/>
    <w:uiPriority w:val="0"/>
    <w:rPr>
      <w:rFonts w:ascii="Times New Roman" w:hAnsi="Times New Roman" w:eastAsia="宋体"/>
      <w:sz w:val="24"/>
    </w:rPr>
  </w:style>
  <w:style w:type="character" w:customStyle="1" w:styleId="52">
    <w:name w:val="日期 字符1"/>
    <w:link w:val="14"/>
    <w:autoRedefine/>
    <w:qFormat/>
    <w:locked/>
    <w:uiPriority w:val="0"/>
    <w:rPr>
      <w:rFonts w:ascii="Times New Roman" w:hAnsi="Times New Roman" w:eastAsia="宋体"/>
      <w:sz w:val="24"/>
    </w:rPr>
  </w:style>
  <w:style w:type="character" w:customStyle="1" w:styleId="53">
    <w:name w:val="批注框文本 字符"/>
    <w:link w:val="16"/>
    <w:autoRedefine/>
    <w:semiHidden/>
    <w:qFormat/>
    <w:locked/>
    <w:uiPriority w:val="0"/>
    <w:rPr>
      <w:rFonts w:ascii="Times New Roman" w:hAnsi="Times New Roman" w:eastAsia="宋体"/>
      <w:sz w:val="18"/>
    </w:rPr>
  </w:style>
  <w:style w:type="character" w:customStyle="1" w:styleId="54">
    <w:name w:val="页脚 字符1"/>
    <w:link w:val="17"/>
    <w:autoRedefine/>
    <w:qFormat/>
    <w:locked/>
    <w:uiPriority w:val="99"/>
    <w:rPr>
      <w:sz w:val="18"/>
    </w:rPr>
  </w:style>
  <w:style w:type="character" w:customStyle="1" w:styleId="55">
    <w:name w:val="页眉 字符"/>
    <w:link w:val="18"/>
    <w:autoRedefine/>
    <w:qFormat/>
    <w:locked/>
    <w:uiPriority w:val="0"/>
    <w:rPr>
      <w:sz w:val="18"/>
    </w:rPr>
  </w:style>
  <w:style w:type="character" w:customStyle="1" w:styleId="56">
    <w:name w:val="普通(网站) 字符"/>
    <w:link w:val="25"/>
    <w:autoRedefine/>
    <w:qFormat/>
    <w:locked/>
    <w:uiPriority w:val="0"/>
    <w:rPr>
      <w:rFonts w:ascii="宋体" w:hAnsi="宋体" w:eastAsia="宋体"/>
      <w:sz w:val="24"/>
    </w:rPr>
  </w:style>
  <w:style w:type="character" w:customStyle="1" w:styleId="57">
    <w:name w:val="批注主题 字符"/>
    <w:link w:val="26"/>
    <w:autoRedefine/>
    <w:semiHidden/>
    <w:qFormat/>
    <w:locked/>
    <w:uiPriority w:val="0"/>
    <w:rPr>
      <w:rFonts w:ascii="Times New Roman" w:hAnsi="Times New Roman" w:eastAsia="宋体"/>
      <w:b/>
      <w:kern w:val="2"/>
      <w:sz w:val="24"/>
    </w:rPr>
  </w:style>
  <w:style w:type="character" w:customStyle="1" w:styleId="58">
    <w:name w:val="页脚 字符"/>
    <w:autoRedefine/>
    <w:qFormat/>
    <w:uiPriority w:val="99"/>
  </w:style>
  <w:style w:type="character" w:customStyle="1" w:styleId="59">
    <w:name w:val="日期 字符"/>
    <w:autoRedefine/>
    <w:semiHidden/>
    <w:qFormat/>
    <w:uiPriority w:val="0"/>
    <w:rPr>
      <w:rFonts w:ascii="Times New Roman" w:hAnsi="Times New Roman" w:eastAsia="宋体"/>
      <w:sz w:val="24"/>
    </w:rPr>
  </w:style>
  <w:style w:type="character" w:customStyle="1" w:styleId="60">
    <w:name w:val="fontstyle01"/>
    <w:autoRedefine/>
    <w:qFormat/>
    <w:uiPriority w:val="0"/>
    <w:rPr>
      <w:rFonts w:ascii="宋体" w:hAnsi="宋体" w:eastAsia="宋体" w:cs="宋体"/>
      <w:color w:val="000000"/>
      <w:sz w:val="24"/>
      <w:szCs w:val="24"/>
    </w:rPr>
  </w:style>
  <w:style w:type="character" w:customStyle="1" w:styleId="61">
    <w:name w:val="批注文字 字符1"/>
    <w:autoRedefine/>
    <w:semiHidden/>
    <w:qFormat/>
    <w:uiPriority w:val="0"/>
    <w:rPr>
      <w:rFonts w:ascii="Times New Roman" w:hAnsi="Times New Roman" w:eastAsia="宋体"/>
      <w:sz w:val="24"/>
    </w:rPr>
  </w:style>
  <w:style w:type="character" w:customStyle="1" w:styleId="62">
    <w:name w:val="正文文本 字符1"/>
    <w:autoRedefine/>
    <w:semiHidden/>
    <w:qFormat/>
    <w:uiPriority w:val="0"/>
    <w:rPr>
      <w:rFonts w:ascii="Times New Roman" w:hAnsi="Times New Roman" w:eastAsia="宋体"/>
      <w:sz w:val="24"/>
    </w:rPr>
  </w:style>
  <w:style w:type="character" w:customStyle="1" w:styleId="63">
    <w:name w:val="表格 Char"/>
    <w:link w:val="64"/>
    <w:autoRedefine/>
    <w:qFormat/>
    <w:locked/>
    <w:uiPriority w:val="0"/>
    <w:rPr>
      <w:rFonts w:ascii="宋体"/>
      <w:sz w:val="21"/>
    </w:rPr>
  </w:style>
  <w:style w:type="paragraph" w:customStyle="1" w:styleId="64">
    <w:name w:val="表格"/>
    <w:basedOn w:val="22"/>
    <w:next w:val="1"/>
    <w:link w:val="63"/>
    <w:autoRedefine/>
    <w:qFormat/>
    <w:uiPriority w:val="0"/>
    <w:pPr>
      <w:adjustRightInd w:val="0"/>
      <w:snapToGrid w:val="0"/>
      <w:spacing w:beforeLines="10" w:afterLines="10" w:line="259" w:lineRule="auto"/>
      <w:jc w:val="center"/>
    </w:pPr>
    <w:rPr>
      <w:rFonts w:ascii="宋体"/>
      <w:kern w:val="0"/>
      <w:szCs w:val="20"/>
    </w:rPr>
  </w:style>
  <w:style w:type="character" w:customStyle="1" w:styleId="65">
    <w:name w:val="fontstrikethrough"/>
    <w:autoRedefine/>
    <w:qFormat/>
    <w:uiPriority w:val="0"/>
    <w:rPr>
      <w:strike/>
    </w:rPr>
  </w:style>
  <w:style w:type="character" w:customStyle="1" w:styleId="66">
    <w:name w:val="fontborder"/>
    <w:autoRedefine/>
    <w:qFormat/>
    <w:uiPriority w:val="0"/>
    <w:rPr>
      <w:bdr w:val="single" w:color="000000" w:sz="6" w:space="0"/>
    </w:rPr>
  </w:style>
  <w:style w:type="paragraph" w:customStyle="1" w:styleId="67">
    <w:name w:val="标题 段落4级"/>
    <w:autoRedefine/>
    <w:qFormat/>
    <w:uiPriority w:val="0"/>
    <w:pPr>
      <w:spacing w:line="500" w:lineRule="exact"/>
      <w:outlineLvl w:val="3"/>
    </w:pPr>
    <w:rPr>
      <w:rFonts w:ascii="Times New Roman" w:hAnsi="Times New Roman" w:eastAsia="仿宋_GB2312" w:cs="Calibri"/>
      <w:b/>
      <w:kern w:val="2"/>
      <w:sz w:val="28"/>
      <w:szCs w:val="24"/>
      <w:lang w:val="en-US" w:eastAsia="zh-CN" w:bidi="ar-SA"/>
    </w:rPr>
  </w:style>
  <w:style w:type="paragraph" w:customStyle="1" w:styleId="68">
    <w:name w:val="acee正文"/>
    <w:basedOn w:val="1"/>
    <w:autoRedefine/>
    <w:qFormat/>
    <w:uiPriority w:val="0"/>
    <w:pPr>
      <w:spacing w:line="480" w:lineRule="exact"/>
      <w:ind w:firstLine="640" w:firstLineChars="200"/>
    </w:pPr>
    <w:rPr>
      <w:rFonts w:ascii="仿宋_GB2312" w:hAnsi="宋体" w:eastAsia="仿宋_GB2312"/>
      <w:sz w:val="32"/>
    </w:rPr>
  </w:style>
  <w:style w:type="paragraph" w:customStyle="1" w:styleId="69">
    <w:name w:val="表 图 单位"/>
    <w:basedOn w:val="1"/>
    <w:autoRedefine/>
    <w:qFormat/>
    <w:uiPriority w:val="0"/>
    <w:pPr>
      <w:jc w:val="right"/>
    </w:pPr>
    <w:rPr>
      <w:sz w:val="18"/>
      <w:szCs w:val="21"/>
    </w:rPr>
  </w:style>
  <w:style w:type="paragraph" w:customStyle="1" w:styleId="70">
    <w:name w:val="样式 标题 1 + 四号 段前: 0 磅 段后: 0 磅 行距: 1.5 倍行距"/>
    <w:basedOn w:val="71"/>
    <w:next w:val="72"/>
    <w:autoRedefine/>
    <w:qFormat/>
    <w:uiPriority w:val="0"/>
    <w:pPr>
      <w:spacing w:line="360" w:lineRule="auto"/>
      <w:jc w:val="center"/>
    </w:pPr>
    <w:rPr>
      <w:rFonts w:hAnsi="黑体" w:eastAsia="宋体"/>
      <w:sz w:val="21"/>
    </w:rPr>
  </w:style>
  <w:style w:type="paragraph" w:customStyle="1" w:styleId="71">
    <w:name w:val="1正文"/>
    <w:basedOn w:val="1"/>
    <w:autoRedefine/>
    <w:qFormat/>
    <w:uiPriority w:val="0"/>
    <w:pPr>
      <w:spacing w:line="500" w:lineRule="exact"/>
      <w:ind w:firstLine="588" w:firstLineChars="196"/>
    </w:pPr>
    <w:rPr>
      <w:rFonts w:eastAsia="楷体_GB2312"/>
      <w:sz w:val="30"/>
      <w:szCs w:val="30"/>
    </w:rPr>
  </w:style>
  <w:style w:type="paragraph" w:customStyle="1" w:styleId="72">
    <w:name w:val="文本正文"/>
    <w:basedOn w:val="1"/>
    <w:autoRedefine/>
    <w:qFormat/>
    <w:uiPriority w:val="0"/>
    <w:pPr>
      <w:snapToGrid w:val="0"/>
      <w:spacing w:line="360" w:lineRule="auto"/>
      <w:ind w:firstLine="510"/>
      <w:jc w:val="left"/>
    </w:pPr>
    <w:rPr>
      <w:spacing w:val="4"/>
      <w:kern w:val="24"/>
      <w:szCs w:val="24"/>
      <w:lang w:val="zh-CN"/>
    </w:rPr>
  </w:style>
  <w:style w:type="paragraph" w:customStyle="1" w:styleId="73">
    <w:name w:val="xl44"/>
    <w:basedOn w:val="1"/>
    <w:autoRedefine/>
    <w:qFormat/>
    <w:uiPriority w:val="0"/>
    <w:pPr>
      <w:widowControl/>
      <w:pBdr>
        <w:top w:val="single" w:color="auto" w:sz="8" w:space="0"/>
        <w:left w:val="single" w:color="auto" w:sz="4" w:space="0"/>
        <w:right w:val="single" w:color="auto" w:sz="8" w:space="0"/>
      </w:pBdr>
      <w:spacing w:before="100" w:beforeAutospacing="1" w:after="100" w:afterAutospacing="1"/>
      <w:jc w:val="center"/>
      <w:textAlignment w:val="center"/>
    </w:pPr>
    <w:rPr>
      <w:rFonts w:ascii="宋体"/>
      <w:kern w:val="0"/>
      <w:sz w:val="20"/>
      <w:szCs w:val="20"/>
    </w:rPr>
  </w:style>
  <w:style w:type="paragraph" w:customStyle="1" w:styleId="74">
    <w:name w:val="正文1"/>
    <w:basedOn w:val="1"/>
    <w:next w:val="1"/>
    <w:autoRedefine/>
    <w:qFormat/>
    <w:uiPriority w:val="0"/>
    <w:pPr>
      <w:spacing w:line="360" w:lineRule="auto"/>
      <w:ind w:firstLine="723" w:firstLineChars="200"/>
    </w:pPr>
    <w:rPr>
      <w:kern w:val="0"/>
      <w:szCs w:val="20"/>
    </w:rPr>
  </w:style>
  <w:style w:type="paragraph" w:customStyle="1" w:styleId="75">
    <w:name w:val="标准正文"/>
    <w:basedOn w:val="1"/>
    <w:autoRedefine/>
    <w:qFormat/>
    <w:uiPriority w:val="0"/>
    <w:pPr>
      <w:spacing w:line="240" w:lineRule="auto"/>
      <w:ind w:firstLine="560" w:firstLineChars="200"/>
    </w:pPr>
    <w:rPr>
      <w:rFonts w:hAnsi="宋体"/>
      <w:sz w:val="28"/>
      <w:szCs w:val="28"/>
    </w:rPr>
  </w:style>
  <w:style w:type="paragraph" w:customStyle="1" w:styleId="76">
    <w:name w:val="普通(网站)2"/>
    <w:basedOn w:val="1"/>
    <w:autoRedefine/>
    <w:qFormat/>
    <w:uiPriority w:val="0"/>
    <w:pPr>
      <w:widowControl/>
      <w:spacing w:before="100" w:beforeAutospacing="1" w:after="100" w:afterAutospacing="1"/>
      <w:jc w:val="left"/>
    </w:pPr>
    <w:rPr>
      <w:rFonts w:ascii="宋体" w:hAnsi="宋体"/>
      <w:sz w:val="24"/>
      <w:szCs w:val="20"/>
    </w:rPr>
  </w:style>
  <w:style w:type="paragraph" w:customStyle="1" w:styleId="77">
    <w:name w:val="表字体"/>
    <w:basedOn w:val="1"/>
    <w:next w:val="1"/>
    <w:autoRedefine/>
    <w:qFormat/>
    <w:uiPriority w:val="0"/>
    <w:pPr>
      <w:spacing w:line="240" w:lineRule="auto"/>
      <w:jc w:val="center"/>
    </w:pPr>
    <w:rPr>
      <w:sz w:val="21"/>
    </w:rPr>
  </w:style>
  <w:style w:type="paragraph" w:customStyle="1" w:styleId="78">
    <w:name w:val="!正文"/>
    <w:basedOn w:val="1"/>
    <w:autoRedefine/>
    <w:qFormat/>
    <w:uiPriority w:val="0"/>
    <w:pPr>
      <w:spacing w:line="480" w:lineRule="exact"/>
      <w:ind w:firstLine="480" w:firstLineChars="200"/>
    </w:pPr>
    <w:rPr>
      <w:rFonts w:hAnsi="宋体" w:cs="宋体"/>
    </w:rPr>
  </w:style>
  <w:style w:type="paragraph" w:customStyle="1" w:styleId="79">
    <w:name w:val="表"/>
    <w:basedOn w:val="1"/>
    <w:autoRedefine/>
    <w:qFormat/>
    <w:uiPriority w:val="0"/>
    <w:pPr>
      <w:jc w:val="center"/>
      <w:outlineLvl w:val="3"/>
    </w:pPr>
    <w:rPr>
      <w:rFonts w:eastAsia="仿宋_GB2312"/>
      <w:kern w:val="0"/>
      <w:szCs w:val="21"/>
    </w:rPr>
  </w:style>
  <w:style w:type="paragraph" w:customStyle="1" w:styleId="80">
    <w:name w:val="样式1"/>
    <w:basedOn w:val="20"/>
    <w:next w:val="1"/>
    <w:autoRedefine/>
    <w:qFormat/>
    <w:uiPriority w:val="0"/>
    <w:pPr>
      <w:spacing w:beforeLines="50" w:line="440" w:lineRule="exact"/>
      <w:ind w:left="100" w:leftChars="100"/>
    </w:pPr>
    <w:rPr>
      <w:rFonts w:ascii="宋体" w:hAnsi="宋体"/>
    </w:rPr>
  </w:style>
  <w:style w:type="paragraph" w:customStyle="1" w:styleId="81">
    <w:name w:val="表头"/>
    <w:basedOn w:val="1"/>
    <w:autoRedefine/>
    <w:qFormat/>
    <w:uiPriority w:val="0"/>
    <w:pPr>
      <w:spacing w:line="360" w:lineRule="auto"/>
      <w:ind w:firstLine="0" w:firstLineChars="0"/>
      <w:jc w:val="center"/>
    </w:pPr>
    <w:rPr>
      <w:rFonts w:eastAsia="黑体"/>
      <w:kern w:val="0"/>
      <w:szCs w:val="21"/>
    </w:rPr>
  </w:style>
  <w:style w:type="paragraph" w:customStyle="1" w:styleId="82">
    <w:name w:val="表格文字"/>
    <w:basedOn w:val="24"/>
    <w:autoRedefine/>
    <w:qFormat/>
    <w:uiPriority w:val="0"/>
    <w:pPr>
      <w:widowControl/>
      <w:spacing w:before="78" w:beforeLines="25" w:after="78" w:afterLines="25"/>
      <w:ind w:left="0" w:leftChars="0"/>
      <w:jc w:val="center"/>
    </w:pPr>
    <w:rPr>
      <w:rFonts w:ascii="宋体" w:hAnsi="宋体" w:eastAsia="仿宋_GB2312"/>
      <w:kern w:val="0"/>
      <w:sz w:val="24"/>
      <w:szCs w:val="52"/>
    </w:rPr>
  </w:style>
  <w:style w:type="paragraph" w:customStyle="1" w:styleId="83">
    <w:name w:val="lxc表格内容"/>
    <w:basedOn w:val="1"/>
    <w:autoRedefine/>
    <w:qFormat/>
    <w:uiPriority w:val="0"/>
    <w:pPr>
      <w:jc w:val="center"/>
    </w:pPr>
    <w:rPr>
      <w:rFonts w:ascii="Times New Roman" w:hAnsi="Times New Roman"/>
    </w:rPr>
  </w:style>
  <w:style w:type="paragraph" w:customStyle="1" w:styleId="84">
    <w:name w:val="表标题"/>
    <w:basedOn w:val="1"/>
    <w:autoRedefine/>
    <w:qFormat/>
    <w:uiPriority w:val="0"/>
    <w:pPr>
      <w:spacing w:line="240" w:lineRule="auto"/>
      <w:jc w:val="center"/>
    </w:pPr>
    <w:rPr>
      <w:b/>
      <w:kern w:val="0"/>
      <w:sz w:val="21"/>
      <w:szCs w:val="20"/>
    </w:rPr>
  </w:style>
  <w:style w:type="paragraph" w:styleId="85">
    <w:name w:val="List Paragraph"/>
    <w:basedOn w:val="1"/>
    <w:autoRedefine/>
    <w:qFormat/>
    <w:uiPriority w:val="34"/>
    <w:pPr>
      <w:widowControl/>
      <w:ind w:firstLine="420" w:firstLineChars="200"/>
      <w:jc w:val="left"/>
    </w:pPr>
    <w:rPr>
      <w:rFonts w:ascii="宋体" w:hAnsi="宋体" w:cs="宋体"/>
      <w:kern w:val="0"/>
    </w:rPr>
  </w:style>
  <w:style w:type="paragraph" w:customStyle="1" w:styleId="86">
    <w:name w:val="正文_1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7">
    <w:name w:val="样式 样式 样式 小四 首行缩进:  2.25 字符 + 首行缩进:  2.25 字符 + 首行缩进:  2 字符"/>
    <w:basedOn w:val="1"/>
    <w:autoRedefine/>
    <w:qFormat/>
    <w:uiPriority w:val="0"/>
    <w:pPr>
      <w:spacing w:line="440" w:lineRule="exact"/>
      <w:ind w:firstLine="200" w:firstLineChars="200"/>
    </w:pPr>
    <w:rPr>
      <w:sz w:val="24"/>
    </w:rPr>
  </w:style>
  <w:style w:type="paragraph" w:customStyle="1" w:styleId="88">
    <w:name w:val="表格内文字"/>
    <w:basedOn w:val="1"/>
    <w:autoRedefine/>
    <w:qFormat/>
    <w:uiPriority w:val="0"/>
    <w:pPr>
      <w:tabs>
        <w:tab w:val="left" w:pos="0"/>
      </w:tabs>
      <w:adjustRightInd w:val="0"/>
      <w:snapToGrid w:val="0"/>
      <w:jc w:val="center"/>
    </w:pPr>
    <w:rPr>
      <w:rFonts w:eastAsia="仿宋_GB2312"/>
      <w:sz w:val="24"/>
      <w:szCs w:val="28"/>
    </w:rPr>
  </w:style>
  <w:style w:type="character" w:customStyle="1" w:styleId="89">
    <w:name w:val="qred"/>
    <w:basedOn w:val="31"/>
    <w:autoRedefine/>
    <w:qFormat/>
    <w:uiPriority w:val="0"/>
    <w:rPr>
      <w:color w:val="D84C4D"/>
    </w:rPr>
  </w:style>
  <w:style w:type="character" w:customStyle="1" w:styleId="90">
    <w:name w:val="qred1"/>
    <w:basedOn w:val="31"/>
    <w:autoRedefine/>
    <w:qFormat/>
    <w:uiPriority w:val="0"/>
    <w:rPr>
      <w:color w:val="D84C4D"/>
    </w:rPr>
  </w:style>
  <w:style w:type="paragraph" w:customStyle="1" w:styleId="91">
    <w:name w:val="报告表格"/>
    <w:basedOn w:val="1"/>
    <w:autoRedefine/>
    <w:qFormat/>
    <w:uiPriority w:val="0"/>
    <w:pPr>
      <w:autoSpaceDE w:val="0"/>
      <w:autoSpaceDN w:val="0"/>
      <w:adjustRightInd w:val="0"/>
      <w:snapToGrid w:val="0"/>
      <w:spacing w:line="240" w:lineRule="auto"/>
      <w:jc w:val="center"/>
      <w:textAlignment w:val="baseline"/>
    </w:pPr>
    <w:rPr>
      <w:kern w:val="0"/>
      <w:sz w:val="21"/>
      <w:szCs w:val="20"/>
    </w:rPr>
  </w:style>
  <w:style w:type="paragraph" w:customStyle="1" w:styleId="92">
    <w:name w:val="Table Paragraph"/>
    <w:basedOn w:val="1"/>
    <w:autoRedefine/>
    <w:qFormat/>
    <w:uiPriority w:val="0"/>
  </w:style>
  <w:style w:type="paragraph" w:customStyle="1" w:styleId="93">
    <w:name w:val="样式 表格文字 + 居中1"/>
    <w:basedOn w:val="1"/>
    <w:autoRedefine/>
    <w:qFormat/>
    <w:uiPriority w:val="0"/>
    <w:pPr>
      <w:adjustRightInd w:val="0"/>
      <w:snapToGrid w:val="0"/>
      <w:spacing w:line="400" w:lineRule="exact"/>
      <w:jc w:val="center"/>
    </w:pPr>
    <w:rPr>
      <w:rFonts w:ascii="Times New Roman" w:hAnsi="Times New Roman" w:eastAsia="宋体" w:cs="宋体"/>
    </w:rPr>
  </w:style>
  <w:style w:type="paragraph" w:customStyle="1" w:styleId="94">
    <w:name w:val="空格7"/>
    <w:basedOn w:val="1"/>
    <w:autoRedefine/>
    <w:qFormat/>
    <w:uiPriority w:val="0"/>
    <w:pPr>
      <w:spacing w:line="0" w:lineRule="atLeast"/>
      <w:jc w:val="left"/>
    </w:pPr>
    <w:rPr>
      <w:szCs w:val="20"/>
    </w:rPr>
  </w:style>
  <w:style w:type="paragraph" w:customStyle="1" w:styleId="95">
    <w:name w:val="正文新 Char"/>
    <w:basedOn w:val="1"/>
    <w:autoRedefine/>
    <w:qFormat/>
    <w:uiPriority w:val="0"/>
    <w:pPr>
      <w:spacing w:line="360" w:lineRule="auto"/>
      <w:ind w:firstLine="480" w:firstLineChars="200"/>
    </w:pPr>
    <w:rPr>
      <w:rFonts w:ascii="Times New Roman" w:hAnsi="Times New Roman" w:eastAsia="宋体" w:cs="宋体"/>
      <w:sz w:val="24"/>
    </w:rPr>
  </w:style>
  <w:style w:type="paragraph" w:customStyle="1" w:styleId="96">
    <w:name w:val="报告正文"/>
    <w:basedOn w:val="1"/>
    <w:autoRedefine/>
    <w:qFormat/>
    <w:uiPriority w:val="0"/>
    <w:pPr>
      <w:adjustRightInd w:val="0"/>
      <w:snapToGrid w:val="0"/>
      <w:spacing w:line="360" w:lineRule="auto"/>
      <w:ind w:firstLine="200" w:firstLineChars="200"/>
    </w:pPr>
    <w:rPr>
      <w:rFonts w:ascii="宋体"/>
      <w:sz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image" Target="media/image5.wmf"/><Relationship Id="rId13" Type="http://schemas.openxmlformats.org/officeDocument/2006/relationships/oleObject" Target="embeddings/oleObject3.bin"/><Relationship Id="rId12" Type="http://schemas.openxmlformats.org/officeDocument/2006/relationships/image" Target="media/image4.wmf"/><Relationship Id="rId11" Type="http://schemas.openxmlformats.org/officeDocument/2006/relationships/oleObject" Target="embeddings/oleObject2.bin"/><Relationship Id="rId10" Type="http://schemas.openxmlformats.org/officeDocument/2006/relationships/image" Target="media/image3.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微软中国</Company>
  <Pages>1</Pages>
  <Words>42948</Words>
  <Characters>49368</Characters>
  <Lines>1</Lines>
  <Paragraphs>1</Paragraphs>
  <TotalTime>15</TotalTime>
  <ScaleCrop>false</ScaleCrop>
  <LinksUpToDate>false</LinksUpToDate>
  <CharactersWithSpaces>49437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lhj</dc:creator>
  <cp:lastModifiedBy>WPS_1648300428</cp:lastModifiedBy>
  <cp:lastPrinted>2020-12-29T02:43:00Z</cp:lastPrinted>
  <dcterms:modified xsi:type="dcterms:W3CDTF">2024-02-27T04:05:05Z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1399000871D042448E8F297CCEA3B212_13</vt:lpwstr>
  </property>
</Properties>
</file>